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17,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 I Acquisitions,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001-37872</w:t>
            </w:r>
          </w:p>
        </w:tc>
        <w:tc>
          <w:tcPr>
            <w:tcW w:w="386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3"/>
          </w:tcPr>
          <w:p>
            <w:pPr>
              <w:jc w:val="center"/>
              <w:ind w:right="580"/>
              <w:spacing w:after="0"/>
              <w:rPr>
                <w:sz w:val="20"/>
                <w:szCs w:val="20"/>
                <w:color w:val="auto"/>
              </w:rPr>
            </w:pPr>
            <w:r>
              <w:rPr>
                <w:rFonts w:ascii="Arial" w:cs="Arial" w:eastAsia="Arial" w:hAnsi="Arial"/>
                <w:sz w:val="18"/>
                <w:szCs w:val="18"/>
                <w:color w:val="auto"/>
                <w:w w:val="92"/>
              </w:rPr>
              <w:t>(Commission File Number)</w:t>
            </w:r>
          </w:p>
        </w:tc>
        <w:tc>
          <w:tcPr>
            <w:tcW w:w="24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48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2"/>
              </w:rPr>
              <w:t>c/o Magna Management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2"/>
              </w:rPr>
              <w:t>40 Wall Street, 58th Floor</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3"/>
              </w:rPr>
              <w:t>New York, NY</w:t>
            </w:r>
          </w:p>
        </w:tc>
        <w:tc>
          <w:tcPr>
            <w:tcW w:w="1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2"/>
          </w:tcPr>
          <w:p>
            <w:pPr>
              <w:jc w:val="right"/>
              <w:ind w:right="2470"/>
              <w:spacing w:after="0"/>
              <w:rPr>
                <w:sz w:val="20"/>
                <w:szCs w:val="20"/>
                <w:color w:val="auto"/>
              </w:rPr>
            </w:pPr>
            <w:r>
              <w:rPr>
                <w:rFonts w:ascii="Arial" w:cs="Arial" w:eastAsia="Arial" w:hAnsi="Arial"/>
                <w:sz w:val="18"/>
                <w:szCs w:val="18"/>
                <w:b w:val="1"/>
                <w:bCs w:val="1"/>
                <w:color w:val="auto"/>
              </w:rPr>
              <w:t>10005</w:t>
            </w:r>
          </w:p>
        </w:tc>
        <w:tc>
          <w:tcPr>
            <w:tcW w:w="20" w:type="dxa"/>
            <w:vAlign w:val="bottom"/>
            <w:tcBorders>
              <w:bottom w:val="single" w:sz="8" w:color="auto"/>
            </w:tcBorders>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48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20" w:type="dxa"/>
            <w:vAlign w:val="bottom"/>
          </w:tcPr>
          <w:p>
            <w:pPr>
              <w:jc w:val="center"/>
              <w:ind w:right="1850"/>
              <w:spacing w:after="0"/>
              <w:rPr>
                <w:sz w:val="20"/>
                <w:szCs w:val="20"/>
                <w:color w:val="auto"/>
              </w:rPr>
            </w:pPr>
            <w:r>
              <w:rPr>
                <w:rFonts w:ascii="Arial" w:cs="Arial" w:eastAsia="Arial" w:hAnsi="Arial"/>
                <w:sz w:val="18"/>
                <w:szCs w:val="18"/>
                <w:color w:val="auto"/>
                <w:w w:val="94"/>
              </w:rPr>
              <w:t>(Zip Code)</w:t>
            </w:r>
          </w:p>
        </w:tc>
        <w:tc>
          <w:tcPr>
            <w:tcW w:w="20" w:type="dxa"/>
            <w:vAlign w:val="bottom"/>
          </w:tcPr>
          <w:p>
            <w:pPr>
              <w:spacing w:after="0"/>
              <w:rPr>
                <w:sz w:val="19"/>
                <w:szCs w:val="19"/>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(347) 491-4240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48895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IMPORTANT NOTICES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Priority Holdings, LLC (“Priority” or the “Company”), M I Acquisitions, Inc. (“M I”), and their respective directors, executive officers and employees and other persons may be deemed to be participants in the solicitation of proxies from the holders of M I common stock in respect of the proposed transaction between them. Information about M I’s directors and executive officers and their ownership of M I’s common stock is set forth in M I’s Annual Report on Form 10-K for the year ended December 31, 2016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18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In connection with the transaction between Priority and M I, M I has filed a preliminary proxy statement on Schedule 14A with the Securities and Exchange Commission (the “SEC”), which includes information relating to the transaction between Priority and M I. Promptly after filing its definitive proxy statement with the SEC, M I will mail the definitive proxy statement and a proxy card to each stockholder entitled to vote at the special meeting relating to the transaction. INVESTORS AND SECURITY HOLDERS OF THE COMPANY ARE URGED TO READ THESE MATERIALS (INCLUDING ANY AMENDMENTS OR SUPPLEMENTS THERETO) AND ANY OTHER RELEVANT DOCUMENTS IN CONNECTION WITH THE TRANSACTION THAT M I WILL FILE WITH THE SEC WHEN THEY BECOME AVAILABLE BECAUSE THEY WILL CONTAIN IMPORTANT INFORMATION ABOUT M I, PRIORITY AND THE TRANSACTION. The preliminary proxy statement, the definitive proxy statement (when it becomes available), and other relevant materials in connection with the transaction, and any other documents filed by M I with the SEC, may be obtained free of charge at the SEC’s website (www.sec.gov) or at M I’s website (www.miacquisitions.com) or by writing to M I, c/o Magna Management LLC, 40 Wall Street, 58th Floor, New York, NY 10005.</w:t>
      </w:r>
    </w:p>
    <w:p>
      <w:pPr>
        <w:spacing w:after="0" w:line="178"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b w:val="1"/>
          <w:bCs w:val="1"/>
          <w:color w:val="auto"/>
        </w:rPr>
        <w:t>This current report on Form 8-K contains certain “forward-looking statements” within the meaning of the Securities Act of 1933 and the Securities Exchange Act of 1934, both as amended by the Private Securities Litigation Reform Act of 1995. Statements that are not historical facts, including statements about the pending transaction between M I and the Company and the transactions contemplated thereby, and the parties’ perspectives and expectations, are forward looking statements. Such statements include, but are not limited to, statements regarding the proposed transaction, including the anticipated initial enterprise value and post-closing equity value, the benefits of the proposed transaction,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contribution agreement between M I and Priority dated February 26, 2018, as subsequently amended and restated (the “Purchase Agreement”). The words “expect,” “believe,” “estimate,” “intend,” “plan” and similar expressions indicate forward-looking statements. These forward-looking statements are not guarantees of future performance and are subject to various risks and uncertainties, assumptions (including assumptions about general economic, market, industry and operational factors), known or unknown, which could cause the actual results to vary materially from those indicated or anticipated.</w:t>
      </w:r>
    </w:p>
    <w:p>
      <w:pPr>
        <w:spacing w:after="0" w:line="18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Such risks and uncertainties include, but are not limited to: (i) risks related to the expected timing and likelihood of completion of the pending transaction,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M I was not obtained; (ii) the occurrence of any event, change or other circumstances that could give rise to the termination of the Purchase Agreement; (iii) the risk that there may be a material adverse change with respect to the financial position, performance, operations or prospects of Priority or M I; (iv) risks related to disruption of management time from ongoing business operations due to the proposed transaction; (v) the risk that any announcements relating to the proposed transaction could have adverse effects on the market price of M I’s common stock; (vi) the risk that the proposed transaction and its announcement could have an adverse effect on the ability of Priority and M I to retain customers and retain and hire key personnel and maintain relationships with their suppliers and customers and on their operating results and businesses generally; (vii) risks related to successfully integrating the businesses of the companies, which may result in the combined company not operating as effectively and efficiently as expected; (viii) the risk that the combined company may be unable to achieve cost-cutting synergies or it may take longer than expected to achieve those synergies; and (ix) risks associated with the financing of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2" w:name="page3"/>
    <w:bookmarkEnd w:id="2"/>
    <w:p>
      <w:pPr>
        <w:spacing w:after="0" w:line="255" w:lineRule="auto"/>
        <w:rPr>
          <w:sz w:val="20"/>
          <w:szCs w:val="20"/>
          <w:color w:val="auto"/>
        </w:rPr>
      </w:pPr>
      <w:r>
        <w:rPr>
          <w:rFonts w:ascii="Arial" w:cs="Arial" w:eastAsia="Arial" w:hAnsi="Arial"/>
          <w:sz w:val="18"/>
          <w:szCs w:val="18"/>
          <w:b w:val="1"/>
          <w:bCs w:val="1"/>
          <w:color w:val="auto"/>
        </w:rPr>
        <w:t>A further list and description of risks and uncertainties can be found in M I’s Annual Report on Form 10-K for the fiscal year ending December 31, 2017 that M I filed with the SEC and in the preliminary proxy statement on Schedule 14A that M I filed with the SEC in connection with the proposed transaction,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M I, Priority, and their subsidiaries undertake no obligation to update forward-looking statements to reflect events or circumstances after the date they were made except as required by law or applicable regulation.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As previously reported by M I Acquisitions, Inc. (“M I”), on February 26, 2018, M I, entered into a contribution agreement (the “Purchase Agreement”) with Priority Investment Holdings, LLC and Priority Incentive Equity Holdings, LLC (collectively, the “Interest Holders”) to acquire all of the outstanding equity interests of Priority Holdings, LLC (“Priority” or the “Company”), a leading provider of B2C and B2B payment processing solutions, which was previously amended and restated on March 26, 2018. On April 17, 2018, the parties entered into a Second Amended and Restated Contribution Agreement (the “Second Amendment”). The Second Amendment:</w:t>
      </w:r>
    </w:p>
    <w:p>
      <w:pPr>
        <w:spacing w:after="0" w:line="188" w:lineRule="exact"/>
        <w:rPr>
          <w:sz w:val="20"/>
          <w:szCs w:val="20"/>
          <w:color w:val="auto"/>
        </w:rPr>
      </w:pPr>
    </w:p>
    <w:p>
      <w:pPr>
        <w:ind w:left="980" w:right="220" w:hanging="324"/>
        <w:spacing w:after="0" w:line="31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clarified that the calculation of Priority’s enterprise value should also take into account any acquisitions for which Priority has contracted to acquire prior to closing of the business combination so long as the only factor preventing closing of those acquisitions is that the cash and/or other consideration has not yet been paid and those acquisitions are completed within 30 days of the closing of the business combination; and</w:t>
      </w:r>
    </w:p>
    <w:p>
      <w:pPr>
        <w:spacing w:after="0" w:line="146" w:lineRule="exact"/>
        <w:rPr>
          <w:rFonts w:ascii="Arial" w:cs="Arial" w:eastAsia="Arial" w:hAnsi="Arial"/>
          <w:sz w:val="16"/>
          <w:szCs w:val="16"/>
          <w:color w:val="auto"/>
        </w:rPr>
      </w:pPr>
    </w:p>
    <w:p>
      <w:pPr>
        <w:ind w:left="980" w:right="6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clarified the treatment of a certain currently outstanding warrant that entitles the holder to acquire certain Priority equity interests as it relates to the payment of the consideration under the Purchase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a full description of the Purchase Agreement, please see the preliminary proxy statement on Schedule 14A filed by M I on April 19, 2018.</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April 19, 2018, M I issued a promissory note in the aggregate principal amount of $76,771.06 to Priority. The funds received pursuant to the promissory note were used to pay the filing fee for the preliminary proxy statement filed by M I on April 19, 2018. The note does not bear interest and is payable five business days after the date M I completes a business combination. The following events constitute events of default under the notes:</w:t>
      </w:r>
    </w:p>
    <w:p>
      <w:pPr>
        <w:spacing w:after="0" w:line="16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make required payments;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voluntary liquidation of M I;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involuntary bankruptcy of M 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Exhibit No.</w:t>
            </w:r>
          </w:p>
        </w:tc>
        <w:tc>
          <w:tcPr>
            <w:tcW w:w="120" w:type="dxa"/>
            <w:vAlign w:val="bottom"/>
          </w:tcPr>
          <w:p>
            <w:pPr>
              <w:spacing w:after="0"/>
              <w:rPr>
                <w:sz w:val="20"/>
                <w:szCs w:val="20"/>
                <w:color w:val="auto"/>
              </w:rPr>
            </w:pPr>
          </w:p>
        </w:tc>
        <w:tc>
          <w:tcPr>
            <w:tcW w:w="102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Description</w:t>
            </w:r>
          </w:p>
        </w:tc>
      </w:tr>
      <w:tr>
        <w:trPr>
          <w:trHeight w:val="385"/>
        </w:trPr>
        <w:tc>
          <w:tcPr>
            <w:tcW w:w="240" w:type="dxa"/>
            <w:vAlign w:val="bottom"/>
          </w:tcPr>
          <w:p>
            <w:pPr>
              <w:spacing w:after="0"/>
              <w:rPr>
                <w:rFonts w:ascii="Arial" w:cs="Arial" w:eastAsia="Arial" w:hAnsi="Arial"/>
                <w:sz w:val="18"/>
                <w:szCs w:val="18"/>
                <w:color w:val="0000EE"/>
                <w:w w:val="87"/>
              </w:rPr>
            </w:pPr>
            <w:hyperlink r:id="rId12">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4"/>
          </w:tcPr>
          <w:p>
            <w:pPr>
              <w:spacing w:after="0"/>
              <w:rPr>
                <w:rFonts w:ascii="Arial" w:cs="Arial" w:eastAsia="Arial" w:hAnsi="Arial"/>
                <w:sz w:val="18"/>
                <w:szCs w:val="18"/>
                <w:color w:val="0000EE"/>
                <w:w w:val="92"/>
              </w:rPr>
            </w:pPr>
            <w:hyperlink r:id="rId12">
              <w:r>
                <w:rPr>
                  <w:rFonts w:ascii="Arial" w:cs="Arial" w:eastAsia="Arial" w:hAnsi="Arial"/>
                  <w:sz w:val="18"/>
                  <w:szCs w:val="18"/>
                  <w:color w:val="0000EE"/>
                  <w:w w:val="92"/>
                </w:rPr>
                <w:t>Second Amended and Restated Contribution Agreement (Incorporated by reference to Annex A to the Preliminary Proxy Statement filed by</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12">
              <w:r>
                <w:rPr>
                  <w:rFonts w:ascii="Arial" w:cs="Arial" w:eastAsia="Arial" w:hAnsi="Arial"/>
                  <w:sz w:val="18"/>
                  <w:szCs w:val="18"/>
                  <w:color w:val="0000EE"/>
                </w:rPr>
                <w:t>M I on April 19, 2018)</w:t>
              </w:r>
            </w:hyperlink>
          </w:p>
        </w:tc>
        <w:tc>
          <w:tcPr>
            <w:tcW w:w="18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r>
      <w:tr>
        <w:trPr>
          <w:trHeight w:val="412"/>
        </w:trPr>
        <w:tc>
          <w:tcPr>
            <w:tcW w:w="1040" w:type="dxa"/>
            <w:vAlign w:val="bottom"/>
            <w:gridSpan w:val="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20" w:type="dxa"/>
            <w:vAlign w:val="bottom"/>
          </w:tcPr>
          <w:p>
            <w:pPr>
              <w:spacing w:after="0"/>
              <w:rPr>
                <w:sz w:val="24"/>
                <w:szCs w:val="24"/>
                <w:color w:val="auto"/>
              </w:rPr>
            </w:pPr>
          </w:p>
        </w:tc>
        <w:tc>
          <w:tcPr>
            <w:tcW w:w="10260" w:type="dxa"/>
            <w:vAlign w:val="bottom"/>
            <w:gridSpan w:val="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Promissory Note dated April 19, 2018</w:t>
              </w:r>
            </w:hyperlink>
          </w:p>
        </w:tc>
      </w:tr>
      <w:tr>
        <w:trPr>
          <w:trHeight w:val="581"/>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top w:val="single" w:sz="8" w:color="0000EE"/>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4" w:name="page5"/>
    <w:bookmarkEnd w:id="4"/>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20,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Marc Manuel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ind w:left="10300"/>
        <w:spacing w:after="0"/>
        <w:rPr>
          <w:sz w:val="20"/>
          <w:szCs w:val="20"/>
          <w:color w:val="auto"/>
        </w:rPr>
      </w:pPr>
      <w:r>
        <w:rPr>
          <w:rFonts w:ascii="Arial" w:cs="Arial" w:eastAsia="Arial" w:hAnsi="Arial"/>
          <w:sz w:val="19"/>
          <w:szCs w:val="19"/>
          <w:b w:val="1"/>
          <w:bCs w:val="1"/>
          <w:color w:val="auto"/>
        </w:rPr>
        <w:t>Exhibit 10.1</w:t>
      </w: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9" w:lineRule="exact"/>
        <w:rPr>
          <w:sz w:val="20"/>
          <w:szCs w:val="20"/>
          <w:color w:val="auto"/>
        </w:rPr>
      </w:pPr>
    </w:p>
    <w:p>
      <w:pPr>
        <w:ind w:left="100"/>
        <w:spacing w:after="0"/>
        <w:tabs>
          <w:tab w:leader="none" w:pos="9260" w:val="left"/>
        </w:tabs>
        <w:rPr>
          <w:sz w:val="20"/>
          <w:szCs w:val="20"/>
          <w:color w:val="auto"/>
        </w:rPr>
      </w:pPr>
      <w:r>
        <w:rPr>
          <w:rFonts w:ascii="Arial" w:cs="Arial" w:eastAsia="Arial" w:hAnsi="Arial"/>
          <w:sz w:val="18"/>
          <w:szCs w:val="18"/>
          <w:color w:val="auto"/>
        </w:rPr>
        <w:t>Principal Amount: $76,771.06</w:t>
      </w:r>
      <w:r>
        <w:rPr>
          <w:sz w:val="20"/>
          <w:szCs w:val="20"/>
          <w:color w:val="auto"/>
        </w:rPr>
        <w:tab/>
      </w:r>
      <w:r>
        <w:rPr>
          <w:rFonts w:ascii="Arial" w:cs="Arial" w:eastAsia="Arial" w:hAnsi="Arial"/>
          <w:sz w:val="24"/>
          <w:szCs w:val="24"/>
          <w:color w:val="auto"/>
          <w:vertAlign w:val="subscript"/>
        </w:rPr>
        <w:t>Dated as of April 19</w:t>
      </w:r>
      <w:r>
        <w:rPr>
          <w:rFonts w:ascii="Arial" w:cs="Arial" w:eastAsia="Arial" w:hAnsi="Arial"/>
          <w:sz w:val="20"/>
          <w:szCs w:val="20"/>
          <w:color w:val="auto"/>
          <w:vertAlign w:val="superscript"/>
        </w:rPr>
        <w:t>th</w:t>
      </w:r>
      <w:r>
        <w:rPr>
          <w:rFonts w:ascii="Arial" w:cs="Arial" w:eastAsia="Arial" w:hAnsi="Arial"/>
          <w:sz w:val="24"/>
          <w:szCs w:val="24"/>
          <w:color w:val="auto"/>
          <w:vertAlign w:val="subscript"/>
        </w:rPr>
        <w:t>, 2018</w:t>
      </w:r>
    </w:p>
    <w:p>
      <w:pPr>
        <w:spacing w:after="0" w:line="393" w:lineRule="exact"/>
        <w:rPr>
          <w:sz w:val="20"/>
          <w:szCs w:val="20"/>
          <w:color w:val="auto"/>
        </w:rPr>
      </w:pPr>
    </w:p>
    <w:p>
      <w:pPr>
        <w:ind w:right="260" w:firstLine="648"/>
        <w:spacing w:after="0" w:line="258" w:lineRule="auto"/>
        <w:rPr>
          <w:sz w:val="20"/>
          <w:szCs w:val="20"/>
          <w:color w:val="auto"/>
        </w:rPr>
      </w:pPr>
      <w:r>
        <w:rPr>
          <w:rFonts w:ascii="Arial" w:cs="Arial" w:eastAsia="Arial" w:hAnsi="Arial"/>
          <w:sz w:val="18"/>
          <w:szCs w:val="18"/>
          <w:color w:val="auto"/>
        </w:rPr>
        <w:t>M I Acquisitions, Inc., a Delaware corporation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Priority Holdings, LLC or its registered assigns or successors in interest (the “</w:t>
      </w:r>
      <w:r>
        <w:rPr>
          <w:rFonts w:ascii="Arial" w:cs="Arial" w:eastAsia="Arial" w:hAnsi="Arial"/>
          <w:sz w:val="18"/>
          <w:szCs w:val="18"/>
          <w:b w:val="1"/>
          <w:bCs w:val="1"/>
          <w:color w:val="auto"/>
        </w:rPr>
        <w:t>Payee</w:t>
      </w:r>
      <w:r>
        <w:rPr>
          <w:rFonts w:ascii="Arial" w:cs="Arial" w:eastAsia="Arial" w:hAnsi="Arial"/>
          <w:sz w:val="18"/>
          <w:szCs w:val="18"/>
          <w:color w:val="auto"/>
        </w:rPr>
        <w:t>”) the principal sum of Seventy Six Thousand Seven Hundred Seventy One Dollars and Six Cents ($76,771.06)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84" w:lineRule="exact"/>
        <w:rPr>
          <w:sz w:val="20"/>
          <w:szCs w:val="20"/>
          <w:color w:val="auto"/>
        </w:rPr>
      </w:pPr>
    </w:p>
    <w:p>
      <w:pPr>
        <w:ind w:left="660" w:right="360" w:hanging="652"/>
        <w:spacing w:after="0" w:line="288" w:lineRule="auto"/>
        <w:tabs>
          <w:tab w:leader="none" w:pos="660" w:val="left"/>
        </w:tabs>
        <w:numPr>
          <w:ilvl w:val="0"/>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shall be payable five (5) business days after the date on which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consummates and completes a business combination as outlined in the Company’s final prospectus dated on September 13</w:t>
      </w:r>
      <w:r>
        <w:rPr>
          <w:rFonts w:ascii="Arial" w:cs="Arial" w:eastAsia="Arial" w:hAnsi="Arial"/>
          <w:sz w:val="30"/>
          <w:szCs w:val="30"/>
          <w:color w:val="auto"/>
          <w:vertAlign w:val="superscript"/>
        </w:rPr>
        <w:t>th</w:t>
      </w:r>
      <w:r>
        <w:rPr>
          <w:rFonts w:ascii="Arial" w:cs="Arial" w:eastAsia="Arial" w:hAnsi="Arial"/>
          <w:sz w:val="18"/>
          <w:szCs w:val="18"/>
          <w:color w:val="auto"/>
        </w:rPr>
        <w:t>, 2016 and filed on September 15</w:t>
      </w:r>
      <w:r>
        <w:rPr>
          <w:rFonts w:ascii="Arial" w:cs="Arial" w:eastAsia="Arial" w:hAnsi="Arial"/>
          <w:sz w:val="30"/>
          <w:szCs w:val="30"/>
          <w:color w:val="auto"/>
          <w:vertAlign w:val="superscript"/>
        </w:rPr>
        <w:t>th</w:t>
      </w:r>
      <w:r>
        <w:rPr>
          <w:rFonts w:ascii="Arial" w:cs="Arial" w:eastAsia="Arial" w:hAnsi="Arial"/>
          <w:sz w:val="18"/>
          <w:szCs w:val="18"/>
          <w:color w:val="auto"/>
        </w:rPr>
        <w:t>, 2016 (the “</w:t>
      </w:r>
      <w:r>
        <w:rPr>
          <w:rFonts w:ascii="Arial" w:cs="Arial" w:eastAsia="Arial" w:hAnsi="Arial"/>
          <w:sz w:val="18"/>
          <w:szCs w:val="18"/>
          <w:b w:val="1"/>
          <w:bCs w:val="1"/>
          <w:color w:val="auto"/>
        </w:rPr>
        <w:t>Prospectus</w:t>
      </w:r>
      <w:r>
        <w:rPr>
          <w:rFonts w:ascii="Arial" w:cs="Arial" w:eastAsia="Arial" w:hAnsi="Arial"/>
          <w:sz w:val="18"/>
          <w:szCs w:val="18"/>
          <w:color w:val="auto"/>
        </w:rPr>
        <w:t>”).</w:t>
      </w:r>
    </w:p>
    <w:p>
      <w:pPr>
        <w:spacing w:after="0" w:line="34" w:lineRule="exact"/>
        <w:rPr>
          <w:rFonts w:ascii="Arial" w:cs="Arial" w:eastAsia="Arial" w:hAnsi="Arial"/>
          <w:sz w:val="18"/>
          <w:szCs w:val="18"/>
          <w:color w:val="010000"/>
        </w:rPr>
      </w:pPr>
    </w:p>
    <w:p>
      <w:pPr>
        <w:ind w:left="660" w:hanging="652"/>
        <w:spacing w:after="0"/>
        <w:tabs>
          <w:tab w:leader="none" w:pos="660" w:val="left"/>
        </w:tabs>
        <w:numPr>
          <w:ilvl w:val="0"/>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color w:val="010000"/>
        </w:rPr>
      </w:pPr>
    </w:p>
    <w:p>
      <w:pPr>
        <w:ind w:left="660" w:right="320" w:hanging="652"/>
        <w:spacing w:after="0" w:line="266" w:lineRule="auto"/>
        <w:tabs>
          <w:tab w:leader="none" w:pos="660" w:val="left"/>
        </w:tabs>
        <w:numPr>
          <w:ilvl w:val="0"/>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including (without limitation) reasonable attorney’s fees, then to the payment in full of any late charges and finally to the reduction of the unpaid principal balance of this Note.</w:t>
      </w:r>
    </w:p>
    <w:p>
      <w:pPr>
        <w:spacing w:after="0" w:line="176" w:lineRule="exact"/>
        <w:rPr>
          <w:rFonts w:ascii="Arial" w:cs="Arial" w:eastAsia="Arial" w:hAnsi="Arial"/>
          <w:sz w:val="18"/>
          <w:szCs w:val="18"/>
          <w:color w:val="010000"/>
        </w:rPr>
      </w:pPr>
    </w:p>
    <w:p>
      <w:pPr>
        <w:ind w:left="660" w:hanging="652"/>
        <w:spacing w:after="0"/>
        <w:tabs>
          <w:tab w:leader="none" w:pos="660" w:val="left"/>
        </w:tabs>
        <w:numPr>
          <w:ilvl w:val="0"/>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right="180" w:hanging="644"/>
        <w:spacing w:after="0" w:line="282" w:lineRule="auto"/>
        <w:tabs>
          <w:tab w:leader="none" w:pos="1300" w:val="left"/>
        </w:tabs>
        <w:numPr>
          <w:ilvl w:val="1"/>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Failure to Make Required Payments. </w:t>
      </w:r>
      <w:r>
        <w:rPr>
          <w:rFonts w:ascii="Arial" w:cs="Arial" w:eastAsia="Arial" w:hAnsi="Arial"/>
          <w:sz w:val="18"/>
          <w:szCs w:val="18"/>
          <w:color w:val="auto"/>
        </w:rPr>
        <w:t>Failure by Maker to pay the principal of this Note within five (5) business days following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due.</w:t>
      </w:r>
    </w:p>
    <w:p>
      <w:pPr>
        <w:spacing w:after="0" w:line="161" w:lineRule="exact"/>
        <w:rPr>
          <w:rFonts w:ascii="Arial" w:cs="Arial" w:eastAsia="Arial" w:hAnsi="Arial"/>
          <w:sz w:val="18"/>
          <w:szCs w:val="18"/>
          <w:color w:val="010000"/>
        </w:rPr>
      </w:pPr>
    </w:p>
    <w:p>
      <w:pPr>
        <w:ind w:left="1300" w:right="380" w:hanging="644"/>
        <w:spacing w:after="0" w:line="258" w:lineRule="auto"/>
        <w:tabs>
          <w:tab w:leader="none" w:pos="1300" w:val="left"/>
        </w:tabs>
        <w:numPr>
          <w:ilvl w:val="1"/>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Voluntary Liquidation, Etc. </w:t>
      </w:r>
      <w:r>
        <w:rPr>
          <w:rFonts w:ascii="Arial" w:cs="Arial" w:eastAsia="Arial" w:hAnsi="Arial"/>
          <w:sz w:val="18"/>
          <w:szCs w:val="18"/>
          <w:color w:val="auto"/>
        </w:rPr>
        <w:t>The commencement by Maker of a proceeding relating to its bankruptcy, insolvency, 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rehabilitation or other similar action, or the consent by it to the appointment of, or taking possession by, a receiver, liquidator, assignee, trustee, custodian, sequestrator (or other similar official) for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 w:name="page7"/>
    <w:bookmarkEnd w:id="6"/>
    <w:p>
      <w:pPr>
        <w:ind w:left="1292" w:right="60" w:hanging="644"/>
        <w:spacing w:after="0" w:line="258" w:lineRule="auto"/>
        <w:tabs>
          <w:tab w:leader="none" w:pos="1292" w:val="left"/>
        </w:tabs>
        <w:numPr>
          <w:ilvl w:val="1"/>
          <w:numId w:val="7"/>
        </w:numPr>
        <w:rPr>
          <w:rFonts w:ascii="Arial" w:cs="Arial" w:eastAsia="Arial" w:hAnsi="Arial"/>
          <w:sz w:val="18"/>
          <w:szCs w:val="18"/>
          <w:color w:val="010000"/>
        </w:rPr>
      </w:pPr>
      <w:r>
        <w:rPr>
          <w:rFonts w:ascii="Arial" w:cs="Arial" w:eastAsia="Arial" w:hAnsi="Arial"/>
          <w:sz w:val="18"/>
          <w:szCs w:val="18"/>
          <w:b w:val="1"/>
          <w:bCs w:val="1"/>
          <w:color w:val="auto"/>
        </w:rPr>
        <w:t xml:space="preserve">Involuntary Bankruptcy, Etc. </w:t>
      </w:r>
      <w:r>
        <w:rPr>
          <w:rFonts w:ascii="Arial" w:cs="Arial" w:eastAsia="Arial" w:hAnsi="Arial"/>
          <w:sz w:val="18"/>
          <w:szCs w:val="18"/>
          <w:color w:val="auto"/>
        </w:rPr>
        <w:t>The entry of a decree or order for relief by a court having jurisdiction in the premises in respect of maker in</w:t>
      </w:r>
      <w:r>
        <w:rPr>
          <w:rFonts w:ascii="Arial" w:cs="Arial" w:eastAsia="Arial" w:hAnsi="Arial"/>
          <w:sz w:val="18"/>
          <w:szCs w:val="18"/>
          <w:b w:val="1"/>
          <w:bCs w:val="1"/>
          <w:color w:val="auto"/>
        </w:rPr>
        <w:t xml:space="preserve"> </w:t>
      </w:r>
      <w:r>
        <w:rPr>
          <w:rFonts w:ascii="Arial" w:cs="Arial" w:eastAsia="Arial" w:hAnsi="Arial"/>
          <w:sz w:val="18"/>
          <w:szCs w:val="18"/>
          <w:color w:val="auto"/>
        </w:rPr>
        <w:t>an involuntary case under any applicable bankruptcy, insolvency or similar law, for the appointing of a receiver, liquidator, assignee, custodian, trustee, sequestrator (or similar official) for Maker or for any substantial part of its property, or ordering the winding-up or liquidation of the affairs of Maker, and the continuance of any such decree or order unstayed and in effect for a period of 60 consecutive days.</w:t>
      </w:r>
    </w:p>
    <w:p>
      <w:pPr>
        <w:spacing w:after="0" w:line="183" w:lineRule="exact"/>
        <w:rPr>
          <w:rFonts w:ascii="Arial" w:cs="Arial" w:eastAsia="Arial" w:hAnsi="Arial"/>
          <w:sz w:val="18"/>
          <w:szCs w:val="18"/>
          <w:color w:val="010000"/>
        </w:rPr>
      </w:pPr>
    </w:p>
    <w:p>
      <w:pPr>
        <w:ind w:left="652" w:hanging="652"/>
        <w:spacing w:after="0"/>
        <w:tabs>
          <w:tab w:leader="none" w:pos="652" w:val="left"/>
        </w:tabs>
        <w:numPr>
          <w:ilvl w:val="0"/>
          <w:numId w:val="8"/>
        </w:numPr>
        <w:rPr>
          <w:rFonts w:ascii="Arial" w:cs="Arial" w:eastAsia="Arial" w:hAnsi="Arial"/>
          <w:sz w:val="18"/>
          <w:szCs w:val="18"/>
          <w:color w:val="010000"/>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color w:val="010000"/>
        </w:rPr>
      </w:pPr>
    </w:p>
    <w:p>
      <w:pPr>
        <w:ind w:left="1292" w:right="60" w:hanging="644"/>
        <w:spacing w:after="0" w:line="279" w:lineRule="auto"/>
        <w:tabs>
          <w:tab w:leader="none" w:pos="1292" w:val="left"/>
        </w:tabs>
        <w:numPr>
          <w:ilvl w:val="1"/>
          <w:numId w:val="8"/>
        </w:numPr>
        <w:rPr>
          <w:rFonts w:ascii="Arial" w:cs="Arial" w:eastAsia="Arial" w:hAnsi="Arial"/>
          <w:sz w:val="17"/>
          <w:szCs w:val="17"/>
          <w:color w:val="010000"/>
        </w:rPr>
      </w:pPr>
      <w:r>
        <w:rPr>
          <w:rFonts w:ascii="Arial" w:cs="Arial" w:eastAsia="Arial" w:hAnsi="Arial"/>
          <w:sz w:val="17"/>
          <w:szCs w:val="17"/>
          <w:color w:val="auto"/>
        </w:rPr>
        <w:t>Upon the occurrence of an Event of Default specified in Section 4(a) hereof, Payee may, by written notice to Maker, declare this Note to be due immediately and payable, whereupon the unpaid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71" w:lineRule="exact"/>
        <w:rPr>
          <w:rFonts w:ascii="Arial" w:cs="Arial" w:eastAsia="Arial" w:hAnsi="Arial"/>
          <w:sz w:val="17"/>
          <w:szCs w:val="17"/>
          <w:color w:val="010000"/>
        </w:rPr>
      </w:pPr>
    </w:p>
    <w:p>
      <w:pPr>
        <w:jc w:val="both"/>
        <w:ind w:left="1292" w:hanging="644"/>
        <w:spacing w:after="0" w:line="264" w:lineRule="auto"/>
        <w:tabs>
          <w:tab w:leader="none" w:pos="1292" w:val="left"/>
        </w:tabs>
        <w:numPr>
          <w:ilvl w:val="1"/>
          <w:numId w:val="8"/>
        </w:numPr>
        <w:rPr>
          <w:rFonts w:ascii="Arial" w:cs="Arial" w:eastAsia="Arial" w:hAnsi="Arial"/>
          <w:sz w:val="18"/>
          <w:szCs w:val="18"/>
          <w:color w:val="010000"/>
        </w:rPr>
      </w:pPr>
      <w:r>
        <w:rPr>
          <w:rFonts w:ascii="Arial" w:cs="Arial" w:eastAsia="Arial" w:hAnsi="Arial"/>
          <w:sz w:val="18"/>
          <w:szCs w:val="18"/>
          <w:color w:val="auto"/>
        </w:rPr>
        <w:t>Upon the occurrence of an Event of Default specified in Sections 4(b) and 4(c), the unpaid principal balance of this Note, and all other sums payable with regard to this Note, shall automatically and immediately become due and payable, in all cases without any action on the part of Payee.</w:t>
      </w:r>
    </w:p>
    <w:p>
      <w:pPr>
        <w:spacing w:after="0" w:line="177" w:lineRule="exact"/>
        <w:rPr>
          <w:rFonts w:ascii="Arial" w:cs="Arial" w:eastAsia="Arial" w:hAnsi="Arial"/>
          <w:sz w:val="18"/>
          <w:szCs w:val="18"/>
          <w:color w:val="010000"/>
        </w:rPr>
      </w:pPr>
    </w:p>
    <w:p>
      <w:pPr>
        <w:ind w:left="652" w:right="80" w:hanging="652"/>
        <w:spacing w:after="0" w:line="255" w:lineRule="auto"/>
        <w:tabs>
          <w:tab w:leader="none" w:pos="652" w:val="left"/>
        </w:tabs>
        <w:numPr>
          <w:ilvl w:val="0"/>
          <w:numId w:val="8"/>
        </w:numPr>
        <w:rPr>
          <w:rFonts w:ascii="Arial" w:cs="Arial" w:eastAsia="Arial" w:hAnsi="Arial"/>
          <w:sz w:val="18"/>
          <w:szCs w:val="18"/>
          <w:color w:val="010000"/>
        </w:rPr>
      </w:pPr>
      <w:r>
        <w:rPr>
          <w:rFonts w:ascii="Arial" w:cs="Arial" w:eastAsia="Arial" w:hAnsi="Arial"/>
          <w:sz w:val="18"/>
          <w:szCs w:val="18"/>
          <w:b w:val="1"/>
          <w:bCs w:val="1"/>
          <w:color w:val="auto"/>
        </w:rPr>
        <w:t xml:space="preserve">Waivers. </w:t>
      </w:r>
      <w:r>
        <w:rPr>
          <w:rFonts w:ascii="Arial" w:cs="Arial" w:eastAsia="Arial" w:hAnsi="Arial"/>
          <w:sz w:val="18"/>
          <w:szCs w:val="18"/>
          <w:color w:val="auto"/>
        </w:rPr>
        <w:t>Maker and all endorsers and guarantors of, and sureties for, this Note waive presentment for payment, demand, notice of dishonor, protest,</w:t>
      </w:r>
      <w:r>
        <w:rPr>
          <w:rFonts w:ascii="Arial" w:cs="Arial" w:eastAsia="Arial" w:hAnsi="Arial"/>
          <w:sz w:val="18"/>
          <w:szCs w:val="18"/>
          <w:b w:val="1"/>
          <w:bCs w:val="1"/>
          <w:color w:val="auto"/>
        </w:rPr>
        <w:t xml:space="preserve"> </w:t>
      </w:r>
      <w:r>
        <w:rPr>
          <w:rFonts w:ascii="Arial" w:cs="Arial" w:eastAsia="Arial" w:hAnsi="Arial"/>
          <w:sz w:val="18"/>
          <w:szCs w:val="18"/>
          <w:color w:val="auto"/>
        </w:rPr>
        <w:t>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89" w:lineRule="exact"/>
        <w:rPr>
          <w:rFonts w:ascii="Arial" w:cs="Arial" w:eastAsia="Arial" w:hAnsi="Arial"/>
          <w:sz w:val="18"/>
          <w:szCs w:val="18"/>
          <w:color w:val="010000"/>
        </w:rPr>
      </w:pPr>
    </w:p>
    <w:p>
      <w:pPr>
        <w:ind w:left="652" w:hanging="652"/>
        <w:spacing w:after="0" w:line="256" w:lineRule="auto"/>
        <w:tabs>
          <w:tab w:leader="none" w:pos="652" w:val="left"/>
        </w:tabs>
        <w:numPr>
          <w:ilvl w:val="0"/>
          <w:numId w:val="8"/>
        </w:numPr>
        <w:rPr>
          <w:rFonts w:ascii="Arial" w:cs="Arial" w:eastAsia="Arial" w:hAnsi="Arial"/>
          <w:sz w:val="18"/>
          <w:szCs w:val="18"/>
          <w:color w:val="010000"/>
        </w:rPr>
      </w:pPr>
      <w:r>
        <w:rPr>
          <w:rFonts w:ascii="Arial" w:cs="Arial" w:eastAsia="Arial" w:hAnsi="Arial"/>
          <w:sz w:val="18"/>
          <w:szCs w:val="18"/>
          <w:b w:val="1"/>
          <w:bCs w:val="1"/>
          <w:color w:val="auto"/>
        </w:rPr>
        <w:t xml:space="preserve">Unconditional Liability. </w:t>
      </w:r>
      <w:r>
        <w:rPr>
          <w:rFonts w:ascii="Arial" w:cs="Arial" w:eastAsia="Arial" w:hAnsi="Arial"/>
          <w:sz w:val="18"/>
          <w:szCs w:val="18"/>
          <w:color w:val="auto"/>
        </w:rPr>
        <w:t>Maker hereby waives all notices in connection with the delivery, acceptance, performance, default, or enforcement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422275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12"/>
          </w:cols>
          <w:pgMar w:left="248" w:top="796" w:right="239" w:bottom="1440" w:gutter="0" w:footer="0" w:header="0"/>
        </w:sectPr>
      </w:pPr>
    </w:p>
    <w:bookmarkStart w:id="7" w:name="page8"/>
    <w:bookmarkEnd w:id="7"/>
    <w:p>
      <w:pPr>
        <w:ind w:left="660" w:right="480" w:hanging="652"/>
        <w:spacing w:after="0" w:line="314" w:lineRule="auto"/>
        <w:tabs>
          <w:tab w:leader="none" w:pos="660" w:val="left"/>
        </w:tabs>
        <w:numPr>
          <w:ilvl w:val="0"/>
          <w:numId w:val="9"/>
        </w:numPr>
        <w:rPr>
          <w:rFonts w:ascii="Arial" w:cs="Arial" w:eastAsia="Arial" w:hAnsi="Arial"/>
          <w:sz w:val="16"/>
          <w:szCs w:val="16"/>
          <w:color w:val="010000"/>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called for hereunder shall be deemed properly given if (i) sent by certified mail, return receipt requested, (ii) personally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(iii) dispatched by any form of private or governmental express mail or delivery service providing receipted delivery or (iv) sent by facsimile or (v) to the following addresses or to such other address as either party may designate by notice in accordance with this Section:</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Maker: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 I Acquisitions, Inc.</w:t>
      </w:r>
    </w:p>
    <w:p>
      <w:pPr>
        <w:ind w:left="1300"/>
        <w:spacing w:after="0" w:line="195"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Payee: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Priority Holdings,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w:t>
      </w:r>
    </w:p>
    <w:p>
      <w:pPr>
        <w:spacing w:after="0" w:line="211"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Notice shall be deemed given on the earlier of (i) actual receipt by the receiving party, (ii) the date shown on a facsimile transmission confirmation, (iii) the date reflected on a signed delivery receipt, or (iv) two (2) Business Days following tender of delivery or dispatch by express mail or delivery service.</w:t>
      </w:r>
    </w:p>
    <w:p>
      <w:pPr>
        <w:spacing w:after="0" w:line="120" w:lineRule="exact"/>
        <w:rPr>
          <w:sz w:val="20"/>
          <w:szCs w:val="20"/>
          <w:color w:val="auto"/>
        </w:rPr>
      </w:pPr>
    </w:p>
    <w:p>
      <w:pPr>
        <w:ind w:left="660" w:right="40" w:hanging="652"/>
        <w:spacing w:after="0" w:line="282" w:lineRule="auto"/>
        <w:tabs>
          <w:tab w:leader="none" w:pos="660" w:val="left"/>
        </w:tabs>
        <w:numPr>
          <w:ilvl w:val="0"/>
          <w:numId w:val="10"/>
        </w:numPr>
        <w:rPr>
          <w:rFonts w:ascii="Arial" w:cs="Arial" w:eastAsia="Arial" w:hAnsi="Arial"/>
          <w:sz w:val="18"/>
          <w:szCs w:val="18"/>
          <w:color w:val="010000"/>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PROVISIONS THEREOF.</w:t>
      </w:r>
    </w:p>
    <w:p>
      <w:pPr>
        <w:spacing w:after="0" w:line="161" w:lineRule="exact"/>
        <w:rPr>
          <w:rFonts w:ascii="Arial" w:cs="Arial" w:eastAsia="Arial" w:hAnsi="Arial"/>
          <w:sz w:val="18"/>
          <w:szCs w:val="18"/>
          <w:color w:val="010000"/>
        </w:rPr>
      </w:pPr>
    </w:p>
    <w:p>
      <w:pPr>
        <w:ind w:left="660" w:right="20" w:hanging="652"/>
        <w:spacing w:after="0" w:line="266" w:lineRule="auto"/>
        <w:tabs>
          <w:tab w:leader="none" w:pos="660" w:val="left"/>
        </w:tabs>
        <w:numPr>
          <w:ilvl w:val="0"/>
          <w:numId w:val="10"/>
        </w:numPr>
        <w:rPr>
          <w:rFonts w:ascii="Arial" w:cs="Arial" w:eastAsia="Arial" w:hAnsi="Arial"/>
          <w:sz w:val="18"/>
          <w:szCs w:val="18"/>
          <w:color w:val="010000"/>
        </w:rPr>
      </w:pPr>
      <w:r>
        <w:rPr>
          <w:rFonts w:ascii="Arial" w:cs="Arial" w:eastAsia="Arial" w:hAnsi="Arial"/>
          <w:sz w:val="18"/>
          <w:szCs w:val="18"/>
          <w:b w:val="1"/>
          <w:bCs w:val="1"/>
          <w:color w:val="auto"/>
        </w:rPr>
        <w:t xml:space="preserve">Jurisdiction. </w:t>
      </w:r>
      <w:r>
        <w:rPr>
          <w:rFonts w:ascii="Arial" w:cs="Arial" w:eastAsia="Arial" w:hAnsi="Arial"/>
          <w:sz w:val="18"/>
          <w:szCs w:val="18"/>
          <w:color w:val="auto"/>
        </w:rPr>
        <w:t>The courts of New York have exclusive jurisdiction to settle any dispute arising out of or in connection with this agreement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 dispute relating to any non-contractual obligations arising out of or in connection with this agreement) and the parties submit to the exclusive jurisdiction of the courts of New York.</w:t>
      </w:r>
    </w:p>
    <w:p>
      <w:pPr>
        <w:spacing w:after="0" w:line="176" w:lineRule="exact"/>
        <w:rPr>
          <w:rFonts w:ascii="Arial" w:cs="Arial" w:eastAsia="Arial" w:hAnsi="Arial"/>
          <w:sz w:val="18"/>
          <w:szCs w:val="18"/>
          <w:color w:val="010000"/>
        </w:rPr>
      </w:pPr>
    </w:p>
    <w:p>
      <w:pPr>
        <w:ind w:left="660" w:right="260" w:hanging="652"/>
        <w:spacing w:after="0" w:line="289" w:lineRule="auto"/>
        <w:tabs>
          <w:tab w:leader="none" w:pos="660" w:val="left"/>
        </w:tabs>
        <w:numPr>
          <w:ilvl w:val="0"/>
          <w:numId w:val="10"/>
        </w:numPr>
        <w:rPr>
          <w:rFonts w:ascii="Arial" w:cs="Arial" w:eastAsia="Arial" w:hAnsi="Arial"/>
          <w:sz w:val="17"/>
          <w:szCs w:val="17"/>
          <w:color w:val="010000"/>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Any provision contained in this Note which is prohibited or unenforceable in any jurisdiction shall, as to such jurisdiction, be</w:t>
      </w:r>
      <w:r>
        <w:rPr>
          <w:rFonts w:ascii="Arial" w:cs="Arial" w:eastAsia="Arial" w:hAnsi="Arial"/>
          <w:sz w:val="17"/>
          <w:szCs w:val="17"/>
          <w:b w:val="1"/>
          <w:bCs w:val="1"/>
          <w:color w:val="auto"/>
        </w:rPr>
        <w:t xml:space="preserve"> </w:t>
      </w:r>
      <w:r>
        <w:rPr>
          <w:rFonts w:ascii="Arial" w:cs="Arial" w:eastAsia="Arial" w:hAnsi="Arial"/>
          <w:sz w:val="17"/>
          <w:szCs w:val="17"/>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8" w:lineRule="exact"/>
        <w:rPr>
          <w:rFonts w:ascii="Arial" w:cs="Arial" w:eastAsia="Arial" w:hAnsi="Arial"/>
          <w:sz w:val="17"/>
          <w:szCs w:val="17"/>
          <w:color w:val="010000"/>
        </w:rPr>
      </w:pPr>
    </w:p>
    <w:p>
      <w:pPr>
        <w:ind w:left="660" w:hanging="652"/>
        <w:spacing w:after="0"/>
        <w:tabs>
          <w:tab w:leader="none" w:pos="660" w:val="left"/>
        </w:tabs>
        <w:numPr>
          <w:ilvl w:val="0"/>
          <w:numId w:val="10"/>
        </w:numPr>
        <w:rPr>
          <w:rFonts w:ascii="Arial" w:cs="Arial" w:eastAsia="Arial" w:hAnsi="Arial"/>
          <w:sz w:val="17"/>
          <w:szCs w:val="17"/>
          <w:color w:val="010000"/>
        </w:rPr>
      </w:pPr>
      <w:r>
        <w:rPr>
          <w:rFonts w:ascii="Arial" w:cs="Arial" w:eastAsia="Arial" w:hAnsi="Arial"/>
          <w:sz w:val="17"/>
          <w:szCs w:val="17"/>
          <w:b w:val="1"/>
          <w:bCs w:val="1"/>
          <w:color w:val="auto"/>
        </w:rPr>
        <w:t xml:space="preserve">Trust Waiver. </w:t>
      </w:r>
      <w:r>
        <w:rPr>
          <w:rFonts w:ascii="Arial" w:cs="Arial" w:eastAsia="Arial" w:hAnsi="Arial"/>
          <w:sz w:val="17"/>
          <w:szCs w:val="17"/>
          <w:color w:val="auto"/>
        </w:rPr>
        <w:t>Notwithstanding anything herein to the contrary, the Payee hereby waives any and all right, title, interest or claim of any kind</w:t>
      </w:r>
    </w:p>
    <w:p>
      <w:pPr>
        <w:spacing w:after="0" w:line="38" w:lineRule="exact"/>
        <w:rPr>
          <w:rFonts w:ascii="Arial" w:cs="Arial" w:eastAsia="Arial" w:hAnsi="Arial"/>
          <w:sz w:val="17"/>
          <w:szCs w:val="17"/>
          <w:color w:val="010000"/>
        </w:rPr>
      </w:pPr>
    </w:p>
    <w:p>
      <w:pPr>
        <w:ind w:left="660"/>
        <w:spacing w:after="0" w:line="292" w:lineRule="auto"/>
        <w:rPr>
          <w:rFonts w:ascii="Arial" w:cs="Arial" w:eastAsia="Arial" w:hAnsi="Arial"/>
          <w:sz w:val="17"/>
          <w:szCs w:val="17"/>
          <w:color w:val="010000"/>
        </w:rPr>
      </w:pPr>
      <w:r>
        <w:rPr>
          <w:rFonts w:ascii="Arial" w:cs="Arial" w:eastAsia="Arial" w:hAnsi="Arial"/>
          <w:sz w:val="16"/>
          <w:szCs w:val="16"/>
          <w:color w:val="auto"/>
        </w:rPr>
        <w:t>(“</w:t>
      </w:r>
      <w:r>
        <w:rPr>
          <w:rFonts w:ascii="Arial" w:cs="Arial" w:eastAsia="Arial" w:hAnsi="Arial"/>
          <w:sz w:val="16"/>
          <w:szCs w:val="16"/>
          <w:b w:val="1"/>
          <w:bCs w:val="1"/>
          <w:color w:val="auto"/>
        </w:rPr>
        <w:t>Claim</w:t>
      </w:r>
      <w:r>
        <w:rPr>
          <w:rFonts w:ascii="Arial" w:cs="Arial" w:eastAsia="Arial" w:hAnsi="Arial"/>
          <w:sz w:val="16"/>
          <w:szCs w:val="16"/>
          <w:color w:val="auto"/>
        </w:rPr>
        <w:t>”) in or to any amounts contained in the trust account (the “</w:t>
      </w:r>
      <w:r>
        <w:rPr>
          <w:rFonts w:ascii="Arial" w:cs="Arial" w:eastAsia="Arial" w:hAnsi="Arial"/>
          <w:sz w:val="16"/>
          <w:szCs w:val="16"/>
          <w:b w:val="1"/>
          <w:bCs w:val="1"/>
          <w:color w:val="auto"/>
        </w:rPr>
        <w:t>Trust Account</w:t>
      </w:r>
      <w:r>
        <w:rPr>
          <w:rFonts w:ascii="Arial" w:cs="Arial" w:eastAsia="Arial" w:hAnsi="Arial"/>
          <w:sz w:val="16"/>
          <w:szCs w:val="16"/>
          <w:color w:val="auto"/>
        </w:rPr>
        <w:t>”) in which the proceeds of the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conducted by the Maker and the proceeds of the sale of securities in a private placement that occurred prior to the effectiveness of the IPO, as described in greater detail in the Prospectus, were placed,, and hereby agrees not to seek recourse, reimbursement, payment or satisfaction for any Claim from the trust account or any distribution therefrom for any reason whatsoever. If the Maker does not consummate a business combination (as described in the Prospectus), this Note shall be repaid only from amounts remaining outside of the Trust Account,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sectPr>
      </w:pPr>
    </w:p>
    <w:bookmarkStart w:id="8" w:name="page9"/>
    <w:bookmarkEnd w:id="8"/>
    <w:p>
      <w:pPr>
        <w:ind w:left="660" w:right="20" w:hanging="652"/>
        <w:spacing w:after="0" w:line="282" w:lineRule="auto"/>
        <w:tabs>
          <w:tab w:leader="none" w:pos="660" w:val="left"/>
        </w:tabs>
        <w:numPr>
          <w:ilvl w:val="0"/>
          <w:numId w:val="11"/>
        </w:numPr>
        <w:rPr>
          <w:rFonts w:ascii="Arial" w:cs="Arial" w:eastAsia="Arial" w:hAnsi="Arial"/>
          <w:sz w:val="18"/>
          <w:szCs w:val="18"/>
          <w:color w:val="010000"/>
        </w:rPr>
      </w:pPr>
      <w:r>
        <w:rPr>
          <w:rFonts w:ascii="Arial" w:cs="Arial" w:eastAsia="Arial" w:hAnsi="Arial"/>
          <w:sz w:val="18"/>
          <w:szCs w:val="18"/>
          <w:b w:val="1"/>
          <w:bCs w:val="1"/>
          <w:color w:val="auto"/>
        </w:rPr>
        <w:t xml:space="preserve">Amendment; Waiver. </w:t>
      </w:r>
      <w:r>
        <w:rPr>
          <w:rFonts w:ascii="Arial" w:cs="Arial" w:eastAsia="Arial" w:hAnsi="Arial"/>
          <w:sz w:val="18"/>
          <w:szCs w:val="18"/>
          <w:color w:val="auto"/>
        </w:rPr>
        <w:t>Any amendment hereto or waiver of any provision hereof may be made with, and only with, the written consent of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Payee.</w:t>
      </w:r>
    </w:p>
    <w:p>
      <w:pPr>
        <w:spacing w:after="0" w:line="161" w:lineRule="exact"/>
        <w:rPr>
          <w:rFonts w:ascii="Arial" w:cs="Arial" w:eastAsia="Arial" w:hAnsi="Arial"/>
          <w:sz w:val="18"/>
          <w:szCs w:val="18"/>
          <w:color w:val="010000"/>
        </w:rPr>
      </w:pPr>
    </w:p>
    <w:p>
      <w:pPr>
        <w:ind w:left="660" w:right="80" w:hanging="652"/>
        <w:spacing w:after="0" w:line="347" w:lineRule="auto"/>
        <w:tabs>
          <w:tab w:leader="none" w:pos="660" w:val="left"/>
        </w:tabs>
        <w:numPr>
          <w:ilvl w:val="0"/>
          <w:numId w:val="11"/>
        </w:numPr>
        <w:rPr>
          <w:rFonts w:ascii="Arial" w:cs="Arial" w:eastAsia="Arial" w:hAnsi="Arial"/>
          <w:sz w:val="16"/>
          <w:szCs w:val="16"/>
          <w:color w:val="010000"/>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No assignment or transfer of this Note or any rights or obligations hereunder may be made by any party hereto (by operation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without the prior written consent of the other party hereto and any attempted assignment without the required consent shall be void.</w:t>
      </w:r>
    </w:p>
    <w:p>
      <w:pPr>
        <w:spacing w:after="0" w:line="116" w:lineRule="exact"/>
        <w:rPr>
          <w:rFonts w:ascii="Arial" w:cs="Arial" w:eastAsia="Arial" w:hAnsi="Arial"/>
          <w:sz w:val="16"/>
          <w:szCs w:val="16"/>
          <w:color w:val="010000"/>
        </w:rPr>
      </w:pPr>
    </w:p>
    <w:p>
      <w:pPr>
        <w:ind w:left="660" w:hanging="652"/>
        <w:spacing w:after="0" w:line="266" w:lineRule="auto"/>
        <w:tabs>
          <w:tab w:leader="none" w:pos="660" w:val="left"/>
        </w:tabs>
        <w:numPr>
          <w:ilvl w:val="0"/>
          <w:numId w:val="11"/>
        </w:numPr>
        <w:rPr>
          <w:rFonts w:ascii="Arial" w:cs="Arial" w:eastAsia="Arial" w:hAnsi="Arial"/>
          <w:sz w:val="18"/>
          <w:szCs w:val="18"/>
          <w:color w:val="010000"/>
        </w:rPr>
      </w:pPr>
      <w:r>
        <w:rPr>
          <w:rFonts w:ascii="Arial" w:cs="Arial" w:eastAsia="Arial" w:hAnsi="Arial"/>
          <w:sz w:val="18"/>
          <w:szCs w:val="18"/>
          <w:b w:val="1"/>
          <w:bCs w:val="1"/>
          <w:color w:val="auto"/>
        </w:rPr>
        <w:t xml:space="preserve">Further Assurance. </w:t>
      </w:r>
      <w:r>
        <w:rPr>
          <w:rFonts w:ascii="Arial" w:cs="Arial" w:eastAsia="Arial" w:hAnsi="Arial"/>
          <w:sz w:val="18"/>
          <w:szCs w:val="18"/>
          <w:color w:val="auto"/>
        </w:rPr>
        <w:t>The Maker shall, at its own cost and expense, execute and do (or procure to be executed and done by any other necessary party)</w:t>
      </w:r>
      <w:r>
        <w:rPr>
          <w:rFonts w:ascii="Arial" w:cs="Arial" w:eastAsia="Arial" w:hAnsi="Arial"/>
          <w:sz w:val="18"/>
          <w:szCs w:val="18"/>
          <w:b w:val="1"/>
          <w:bCs w:val="1"/>
          <w:color w:val="auto"/>
        </w:rPr>
        <w:t xml:space="preserve"> </w:t>
      </w:r>
      <w:r>
        <w:rPr>
          <w:rFonts w:ascii="Arial" w:cs="Arial" w:eastAsia="Arial" w:hAnsi="Arial"/>
          <w:sz w:val="18"/>
          <w:szCs w:val="18"/>
          <w:color w:val="auto"/>
        </w:rPr>
        <w:t>all such deeds, documents, acts and things as the Payee may from time to time require as may be necessary to give full effect to this Promissory Note.</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WITNESS WHEREOF, Maker, intending to be legally bound hereby, has caused this Note to be duly executed by its Chief Financial Officer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Marc Manuel</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00"/>
      </w:cols>
      <w:pgMar w:left="240" w:top="79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decimal"/>
      <w:start w:val="1"/>
    </w:lvl>
    <w:lvl w:ilvl="1">
      <w:lvlJc w:val="left"/>
      <w:lvlText w:val="(%2)"/>
      <w:numFmt w:val="lowerLetter"/>
      <w:start w:val="3"/>
    </w:lvl>
  </w:abstractNum>
  <w:abstractNum w:abstractNumId="7">
    <w:nsid w:val="12200854"/>
    <w:multiLevelType w:val="hybridMultilevel"/>
    <w:lvl w:ilvl="0">
      <w:lvlJc w:val="left"/>
      <w:lvlText w:val="%1."/>
      <w:numFmt w:val="decimal"/>
      <w:start w:val="5"/>
    </w:lvl>
    <w:lvl w:ilvl="1">
      <w:lvlJc w:val="left"/>
      <w:lvlText w:val="(%2)"/>
      <w:numFmt w:val="lowerLetter"/>
      <w:start w:val="1"/>
    </w:lvl>
  </w:abstractNum>
  <w:abstractNum w:abstractNumId="8">
    <w:nsid w:val="4DB127F8"/>
    <w:multiLevelType w:val="hybridMultilevel"/>
    <w:lvl w:ilvl="0">
      <w:lvlJc w:val="left"/>
      <w:lvlText w:val="%1."/>
      <w:numFmt w:val="decimal"/>
      <w:start w:val="8"/>
    </w:lvl>
  </w:abstractNum>
  <w:abstractNum w:abstractNumId="9">
    <w:nsid w:val="216231B"/>
    <w:multiLevelType w:val="hybridMultilevel"/>
    <w:lvl w:ilvl="0">
      <w:lvlJc w:val="left"/>
      <w:lvlText w:val="%1."/>
      <w:numFmt w:val="decimal"/>
      <w:start w:val="9"/>
    </w:lvl>
  </w:abstractNum>
  <w:abstractNum w:abstractNumId="10">
    <w:nsid w:val="1F16E9E8"/>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2" Type="http://schemas.openxmlformats.org/officeDocument/2006/relationships/hyperlink" Target="http://www.sec.gov/Archives/edgar/data/1653558/000161577418002735/s109695_prem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2020-01-15T02:36:34Z</dcterms:created>
  <dcterms:modified xsi:type="dcterms:W3CDTF">2020-01-15T02:36:34Z</dcterms:modified>
</cp:coreProperties>
</file>