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17,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Delaware</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001-37872</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39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w:t>
            </w:r>
          </w:p>
        </w:tc>
        <w:tc>
          <w:tcPr>
            <w:tcW w:w="370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621"/>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90"/>
              </w:rPr>
              <w:t>2001 Westside Parkway</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Pr>
          <w:p>
            <w:pPr>
              <w:jc w:val="right"/>
              <w:ind w:right="2270"/>
              <w:spacing w:after="0"/>
              <w:rPr>
                <w:sz w:val="20"/>
                <w:szCs w:val="20"/>
                <w:color w:val="auto"/>
              </w:rPr>
            </w:pPr>
            <w:r>
              <w:rPr>
                <w:rFonts w:ascii="Arial" w:cs="Arial" w:eastAsia="Arial" w:hAnsi="Arial"/>
                <w:sz w:val="18"/>
                <w:szCs w:val="18"/>
                <w:b w:val="1"/>
                <w:bCs w:val="1"/>
                <w:color w:val="auto"/>
              </w:rPr>
              <w:t>30004</w:t>
            </w:r>
          </w:p>
        </w:tc>
      </w:tr>
      <w:tr>
        <w:trPr>
          <w:trHeight w:val="270"/>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88"/>
              </w:rPr>
              <w:t>Suite 155</w:t>
            </w:r>
          </w:p>
        </w:tc>
        <w:tc>
          <w:tcPr>
            <w:tcW w:w="1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0"/>
        </w:trPr>
        <w:tc>
          <w:tcPr>
            <w:tcW w:w="3940" w:type="dxa"/>
            <w:vAlign w:val="bottom"/>
            <w:gridSpan w:val="2"/>
          </w:tcPr>
          <w:p>
            <w:pPr>
              <w:ind w:left="980"/>
              <w:spacing w:after="0"/>
              <w:rPr>
                <w:sz w:val="20"/>
                <w:szCs w:val="20"/>
                <w:color w:val="auto"/>
              </w:rPr>
            </w:pPr>
            <w:r>
              <w:rPr>
                <w:rFonts w:ascii="Arial" w:cs="Arial" w:eastAsia="Arial" w:hAnsi="Arial"/>
                <w:sz w:val="18"/>
                <w:szCs w:val="18"/>
                <w:b w:val="1"/>
                <w:bCs w:val="1"/>
                <w:color w:val="auto"/>
              </w:rPr>
              <w:t>Alpharetta,</w:t>
            </w:r>
          </w:p>
        </w:tc>
        <w:tc>
          <w:tcPr>
            <w:tcW w:w="3700" w:type="dxa"/>
            <w:vAlign w:val="bottom"/>
            <w:gridSpan w:val="4"/>
          </w:tcPr>
          <w:p>
            <w:pPr>
              <w:ind w:left="40"/>
              <w:spacing w:after="0"/>
              <w:rPr>
                <w:sz w:val="20"/>
                <w:szCs w:val="20"/>
                <w:color w:val="auto"/>
              </w:rPr>
            </w:pPr>
            <w:r>
              <w:rPr>
                <w:rFonts w:ascii="Arial" w:cs="Arial" w:eastAsia="Arial" w:hAnsi="Arial"/>
                <w:sz w:val="18"/>
                <w:szCs w:val="18"/>
                <w:b w:val="1"/>
                <w:bCs w:val="1"/>
                <w:color w:val="auto"/>
              </w:rPr>
              <w:t>Georgia</w:t>
            </w:r>
          </w:p>
        </w:tc>
        <w:tc>
          <w:tcPr>
            <w:tcW w:w="3600" w:type="dxa"/>
            <w:vAlign w:val="bottom"/>
          </w:tcPr>
          <w:p>
            <w:pPr>
              <w:spacing w:after="0"/>
              <w:rPr>
                <w:sz w:val="23"/>
                <w:szCs w:val="23"/>
                <w:color w:val="auto"/>
              </w:rPr>
            </w:pPr>
          </w:p>
        </w:tc>
      </w:tr>
      <w:tr>
        <w:trPr>
          <w:trHeight w:val="27"/>
        </w:trPr>
        <w:tc>
          <w:tcPr>
            <w:tcW w:w="5760" w:type="dxa"/>
            <w:vAlign w:val="bottom"/>
            <w:tcBorders>
              <w:bottom w:val="single" w:sz="8" w:color="auto"/>
            </w:tcBorders>
            <w:gridSpan w:val="3"/>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640" w:type="dxa"/>
            <w:vAlign w:val="bottom"/>
            <w:gridSpan w:val="6"/>
          </w:tcPr>
          <w:p>
            <w:pPr>
              <w:ind w:left="1400"/>
              <w:spacing w:after="0"/>
              <w:rPr>
                <w:sz w:val="20"/>
                <w:szCs w:val="20"/>
                <w:color w:val="auto"/>
              </w:rPr>
            </w:pPr>
            <w:r>
              <w:rPr>
                <w:rFonts w:ascii="Arial" w:cs="Arial" w:eastAsia="Arial" w:hAnsi="Arial"/>
                <w:sz w:val="18"/>
                <w:szCs w:val="18"/>
                <w:color w:val="auto"/>
              </w:rPr>
              <w:t>(Address of Principal Executive Offices)</w:t>
            </w:r>
          </w:p>
        </w:tc>
        <w:tc>
          <w:tcPr>
            <w:tcW w:w="3600" w:type="dxa"/>
            <w:vAlign w:val="bottom"/>
          </w:tcPr>
          <w:p>
            <w:pPr>
              <w:jc w:val="center"/>
              <w:ind w:right="15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w:t>
            </w: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6"/>
        </w:trPr>
        <w:tc>
          <w:tcPr>
            <w:tcW w:w="35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 $0.001 par value</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PRTH</w:t>
            </w:r>
          </w:p>
        </w:tc>
        <w:tc>
          <w:tcPr>
            <w:tcW w:w="4340" w:type="dxa"/>
            <w:vAlign w:val="bottom"/>
          </w:tcPr>
          <w:p>
            <w:pPr>
              <w:ind w:left="1340"/>
              <w:spacing w:after="0"/>
              <w:rPr>
                <w:sz w:val="20"/>
                <w:szCs w:val="20"/>
                <w:color w:val="auto"/>
              </w:rPr>
            </w:pPr>
            <w:r>
              <w:rPr>
                <w:rFonts w:ascii="Arial" w:cs="Arial" w:eastAsia="Arial" w:hAnsi="Arial"/>
                <w:sz w:val="18"/>
                <w:szCs w:val="18"/>
                <w:color w:val="auto"/>
              </w:rPr>
              <w:t>Nasdaq Global Market</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4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661"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17, 2020, Priority Technology Holdings, Inc. (the “Company”) held its 2020 annual meeting of stockholders (the “Annual Meeting”). A total of 61,836,660 shares, or approximately 92.2%, of the Company’s outstanding shares of common stock as of the record date for the Annual Meeting, were represented in person through virtual attendance or by proxy at the Annual Meeting, constituting a quorum.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Proposal 1 - Election of Directors.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The Company’s stockholders elected each of the persons listed below to serve as director until the next annual meeting in 2021, or until his earlier resignation, death, or removal. The votes were cast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Name of Nominee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For</w:t>
            </w:r>
          </w:p>
        </w:tc>
        <w:tc>
          <w:tcPr>
            <w:tcW w:w="2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Against</w:t>
            </w:r>
          </w:p>
        </w:tc>
        <w:tc>
          <w:tcPr>
            <w:tcW w:w="184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0"/>
              </w:rPr>
              <w:t>Abstain</w:t>
            </w:r>
          </w:p>
        </w:tc>
        <w:tc>
          <w:tcPr>
            <w:tcW w:w="222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b w:val="1"/>
                <w:bCs w:val="1"/>
                <w:color w:val="auto"/>
                <w:w w:val="90"/>
              </w:rPr>
              <w:t>Broker Non-Votes</w:t>
            </w:r>
          </w:p>
        </w:tc>
      </w:tr>
      <w:tr>
        <w:trPr>
          <w:trHeight w:val="135"/>
        </w:trPr>
        <w:tc>
          <w:tcPr>
            <w:tcW w:w="20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277"/>
        </w:trPr>
        <w:tc>
          <w:tcPr>
            <w:tcW w:w="2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Thomas Priore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53,311,604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2,991,448</w:t>
            </w:r>
          </w:p>
        </w:tc>
        <w:tc>
          <w:tcPr>
            <w:tcW w:w="184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11</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89"/>
              </w:rPr>
              <w:t>5,533,597</w:t>
            </w:r>
          </w:p>
        </w:tc>
      </w:tr>
      <w:tr>
        <w:trPr>
          <w:trHeight w:val="243"/>
        </w:trPr>
        <w:tc>
          <w:tcPr>
            <w:tcW w:w="2080" w:type="dxa"/>
            <w:vAlign w:val="bottom"/>
          </w:tcPr>
          <w:p>
            <w:pPr>
              <w:ind w:left="60"/>
              <w:spacing w:after="0"/>
              <w:rPr>
                <w:sz w:val="20"/>
                <w:szCs w:val="20"/>
                <w:color w:val="auto"/>
              </w:rPr>
            </w:pPr>
            <w:r>
              <w:rPr>
                <w:rFonts w:ascii="Arial" w:cs="Arial" w:eastAsia="Arial" w:hAnsi="Arial"/>
                <w:sz w:val="18"/>
                <w:szCs w:val="18"/>
                <w:color w:val="auto"/>
              </w:rPr>
              <w:t>John Priore</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53,544,184</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2,758,868</w:t>
            </w:r>
          </w:p>
        </w:tc>
        <w:tc>
          <w:tcPr>
            <w:tcW w:w="1840" w:type="dxa"/>
            <w:vAlign w:val="bottom"/>
          </w:tcPr>
          <w:p>
            <w:pPr>
              <w:jc w:val="center"/>
              <w:ind w:left="90"/>
              <w:spacing w:after="0"/>
              <w:rPr>
                <w:sz w:val="20"/>
                <w:szCs w:val="20"/>
                <w:color w:val="auto"/>
              </w:rPr>
            </w:pPr>
            <w:r>
              <w:rPr>
                <w:rFonts w:ascii="Arial" w:cs="Arial" w:eastAsia="Arial" w:hAnsi="Arial"/>
                <w:sz w:val="18"/>
                <w:szCs w:val="18"/>
                <w:color w:val="auto"/>
                <w:w w:val="89"/>
              </w:rPr>
              <w:t>11</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89"/>
              </w:rPr>
              <w:t>5,533,597</w:t>
            </w:r>
          </w:p>
        </w:tc>
      </w:tr>
      <w:tr>
        <w:trPr>
          <w:trHeight w:val="54"/>
        </w:trPr>
        <w:tc>
          <w:tcPr>
            <w:tcW w:w="20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277"/>
        </w:trPr>
        <w:tc>
          <w:tcPr>
            <w:tcW w:w="2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Christina Favilla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55,925,019</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378,033</w:t>
            </w:r>
          </w:p>
        </w:tc>
        <w:tc>
          <w:tcPr>
            <w:tcW w:w="184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11</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89"/>
              </w:rPr>
              <w:t>5,533,597</w:t>
            </w:r>
          </w:p>
        </w:tc>
      </w:tr>
      <w:tr>
        <w:trPr>
          <w:trHeight w:val="243"/>
        </w:trPr>
        <w:tc>
          <w:tcPr>
            <w:tcW w:w="2080" w:type="dxa"/>
            <w:vAlign w:val="bottom"/>
          </w:tcPr>
          <w:p>
            <w:pPr>
              <w:ind w:left="60"/>
              <w:spacing w:after="0"/>
              <w:rPr>
                <w:sz w:val="20"/>
                <w:szCs w:val="20"/>
                <w:color w:val="auto"/>
              </w:rPr>
            </w:pPr>
            <w:r>
              <w:rPr>
                <w:rFonts w:ascii="Arial" w:cs="Arial" w:eastAsia="Arial" w:hAnsi="Arial"/>
                <w:sz w:val="18"/>
                <w:szCs w:val="18"/>
                <w:color w:val="auto"/>
              </w:rPr>
              <w:t>William Gahan</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53,633,505</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2,669,547</w:t>
            </w:r>
          </w:p>
        </w:tc>
        <w:tc>
          <w:tcPr>
            <w:tcW w:w="1840" w:type="dxa"/>
            <w:vAlign w:val="bottom"/>
          </w:tcPr>
          <w:p>
            <w:pPr>
              <w:jc w:val="center"/>
              <w:ind w:left="90"/>
              <w:spacing w:after="0"/>
              <w:rPr>
                <w:sz w:val="20"/>
                <w:szCs w:val="20"/>
                <w:color w:val="auto"/>
              </w:rPr>
            </w:pPr>
            <w:r>
              <w:rPr>
                <w:rFonts w:ascii="Arial" w:cs="Arial" w:eastAsia="Arial" w:hAnsi="Arial"/>
                <w:sz w:val="18"/>
                <w:szCs w:val="18"/>
                <w:color w:val="auto"/>
                <w:w w:val="89"/>
              </w:rPr>
              <w:t>11</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89"/>
              </w:rPr>
              <w:t>5,533,597</w:t>
            </w:r>
          </w:p>
        </w:tc>
      </w:tr>
      <w:tr>
        <w:trPr>
          <w:trHeight w:val="54"/>
        </w:trPr>
        <w:tc>
          <w:tcPr>
            <w:tcW w:w="20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277"/>
        </w:trPr>
        <w:tc>
          <w:tcPr>
            <w:tcW w:w="2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Matthew Kearney</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53,570,372</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2,732,680</w:t>
            </w:r>
          </w:p>
        </w:tc>
        <w:tc>
          <w:tcPr>
            <w:tcW w:w="184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11</w:t>
            </w:r>
          </w:p>
        </w:tc>
        <w:tc>
          <w:tcPr>
            <w:tcW w:w="222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89"/>
              </w:rPr>
              <w:t>5,533,597</w:t>
            </w:r>
          </w:p>
        </w:tc>
      </w:tr>
      <w:tr>
        <w:trPr>
          <w:trHeight w:val="243"/>
        </w:trPr>
        <w:tc>
          <w:tcPr>
            <w:tcW w:w="2080" w:type="dxa"/>
            <w:vAlign w:val="bottom"/>
          </w:tcPr>
          <w:p>
            <w:pPr>
              <w:ind w:left="60"/>
              <w:spacing w:after="0"/>
              <w:rPr>
                <w:sz w:val="20"/>
                <w:szCs w:val="20"/>
                <w:color w:val="auto"/>
              </w:rPr>
            </w:pPr>
            <w:r>
              <w:rPr>
                <w:rFonts w:ascii="Arial" w:cs="Arial" w:eastAsia="Arial" w:hAnsi="Arial"/>
                <w:sz w:val="18"/>
                <w:szCs w:val="18"/>
                <w:color w:val="auto"/>
              </w:rPr>
              <w:t>Michael K. Passilla</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53,656,167</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2,646,885</w:t>
            </w:r>
          </w:p>
        </w:tc>
        <w:tc>
          <w:tcPr>
            <w:tcW w:w="1840" w:type="dxa"/>
            <w:vAlign w:val="bottom"/>
          </w:tcPr>
          <w:p>
            <w:pPr>
              <w:jc w:val="center"/>
              <w:ind w:left="90"/>
              <w:spacing w:after="0"/>
              <w:rPr>
                <w:sz w:val="20"/>
                <w:szCs w:val="20"/>
                <w:color w:val="auto"/>
              </w:rPr>
            </w:pPr>
            <w:r>
              <w:rPr>
                <w:rFonts w:ascii="Arial" w:cs="Arial" w:eastAsia="Arial" w:hAnsi="Arial"/>
                <w:sz w:val="18"/>
                <w:szCs w:val="18"/>
                <w:color w:val="auto"/>
                <w:w w:val="89"/>
              </w:rPr>
              <w:t>11</w:t>
            </w:r>
          </w:p>
        </w:tc>
        <w:tc>
          <w:tcPr>
            <w:tcW w:w="2220" w:type="dxa"/>
            <w:vAlign w:val="bottom"/>
          </w:tcPr>
          <w:p>
            <w:pPr>
              <w:jc w:val="center"/>
              <w:ind w:left="130"/>
              <w:spacing w:after="0"/>
              <w:rPr>
                <w:sz w:val="20"/>
                <w:szCs w:val="20"/>
                <w:color w:val="auto"/>
              </w:rPr>
            </w:pPr>
            <w:r>
              <w:rPr>
                <w:rFonts w:ascii="Arial" w:cs="Arial" w:eastAsia="Arial" w:hAnsi="Arial"/>
                <w:sz w:val="18"/>
                <w:szCs w:val="18"/>
                <w:color w:val="auto"/>
                <w:w w:val="89"/>
              </w:rPr>
              <w:t>5,533,597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June 18, 2020</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By: /s/ Bradley J. Miller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Bradley J. Miller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General Counsel and Chief Risk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2020-06-18T10:58:34Z</dcterms:created>
  <dcterms:modified xsi:type="dcterms:W3CDTF">2020-06-18T10:58:34Z</dcterms:modified>
</cp:coreProperties>
</file>