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892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2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Passilla Michael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PRIORITY TECHNOLOGY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5" w:right="600" w:hanging="5"/>
        <w:spacing w:after="0" w:line="264"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4" w:lineRule="exact"/>
        <w:rPr>
          <w:sz w:val="24"/>
          <w:szCs w:val="24"/>
          <w:color w:val="auto"/>
        </w:rPr>
      </w:pPr>
    </w:p>
    <w:p>
      <w:pPr>
        <w:sectPr>
          <w:pgSz w:w="11900" w:h="16838" w:orient="portrait"/>
          <w:cols w:equalWidth="0" w:num="3">
            <w:col w:w="3380" w:space="520"/>
            <w:col w:w="3640" w:space="19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4"/>
          </w:tcPr>
          <w:p>
            <w:pPr>
              <w:ind w:left="20"/>
              <w:spacing w:after="0" w:line="185" w:lineRule="exact"/>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top w:val="single" w:sz="8" w:color="2C2C2C"/>
            </w:tcBorders>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tcBorders>
              <w:top w:val="single" w:sz="8" w:color="2C2C2C"/>
            </w:tcBorders>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30004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4"/>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30,491</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2.6236</w:t>
            </w:r>
            <w:r>
              <w:rPr>
                <w:rFonts w:ascii="Times New Roman" w:cs="Times New Roman" w:eastAsia="Times New Roman" w:hAnsi="Times New Roman"/>
                <w:sz w:val="21"/>
                <w:szCs w:val="21"/>
                <w:color w:val="008000"/>
                <w:w w:val="99"/>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68,150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26,596</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10"/>
          </w:tcPr>
          <w:p>
            <w:pPr>
              <w:jc w:val="center"/>
              <w:ind w:left="5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26,596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26,596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-3453130</wp:posOffset>
            </wp:positionV>
            <wp:extent cx="7033260" cy="3462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62655"/>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$2.59 to $2.65,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by Posillipo Ventures, Inc., a limited liability company of which the Reporting Person is managing member.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(PRTH).</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2020, the Reporting Person was granted 53,192 restricted stock units which vest 25% on April 1, 2020, 25% on July 1, 2020, 25% on October 1, 2020, and 25% on January 1, 2021 subject to the Reporting Person's continued service as a director of the Issuer.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Passilla</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09/11/2020</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8940"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2020-09-11T15:53:00Z</dcterms:created>
  <dcterms:modified xsi:type="dcterms:W3CDTF">2020-09-11T15:53:00Z</dcterms:modified>
</cp:coreProperties>
</file>