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b w:val="1"/>
          <w:bCs w:val="1"/>
          <w:color w:val="auto"/>
        </w:rPr>
        <w:t>FORM SC 13G</w:t>
      </w:r>
    </w:p>
    <w:p>
      <w:pPr>
        <w:sectPr>
          <w:pgSz w:w="11900" w:h="16838" w:orient="portrait"/>
          <w:cols w:equalWidth="0" w:num="1">
            <w:col w:w="10219"/>
          </w:cols>
          <w:pgMar w:left="240" w:top="454"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SCHEDULE 13G/A</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(Amendment No. 1)*</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Priority Technology Holdings, Inc.</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(f/k/a M I Acquisitions,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74275G107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0"/>
          <w:szCs w:val="20"/>
          <w:color w:val="auto"/>
        </w:rPr>
      </w:pPr>
    </w:p>
    <w:p>
      <w:pPr>
        <w:spacing w:after="0" w:line="25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0"/>
          <w:szCs w:val="20"/>
          <w:color w:val="auto"/>
        </w:rPr>
      </w:pPr>
    </w:p>
    <w:p>
      <w:pPr>
        <w:jc w:val="both"/>
        <w:ind w:left="660" w:right="9100" w:firstLine="70"/>
        <w:spacing w:after="0" w:line="253" w:lineRule="exact"/>
        <w:tabs>
          <w:tab w:leader="none" w:pos="103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(Page 1 of 7 Pages)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0"/>
          <w:szCs w:val="20"/>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0"/>
          <w:szCs w:val="20"/>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703" w:right="4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69"/>
        </w:trPr>
        <w:tc>
          <w:tcPr>
            <w:tcW w:w="186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21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7380" w:type="dxa"/>
            <w:vAlign w:val="bottom"/>
            <w:gridSpan w:val="2"/>
          </w:tcPr>
          <w:p>
            <w:pPr>
              <w:ind w:left="440"/>
              <w:spacing w:after="0"/>
              <w:rPr>
                <w:sz w:val="20"/>
                <w:szCs w:val="20"/>
                <w:color w:val="auto"/>
              </w:rPr>
            </w:pPr>
            <w:r>
              <w:rPr>
                <w:rFonts w:ascii="Arial" w:cs="Arial" w:eastAsia="Arial" w:hAnsi="Arial"/>
                <w:sz w:val="20"/>
                <w:szCs w:val="20"/>
                <w:color w:val="auto"/>
              </w:rPr>
              <w:t>Hudson Bay Capital Management LP</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tcBorders>
            <w:gridSpan w:val="2"/>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8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80" w:type="dxa"/>
            <w:vAlign w:val="bottom"/>
            <w:tcBorders>
              <w:right w:val="single" w:sz="8" w:color="auto"/>
            </w:tcBorders>
          </w:tcPr>
          <w:p>
            <w:pPr>
              <w:jc w:val="center"/>
              <w:ind w:left="86"/>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jc w:val="center"/>
              <w:ind w:left="8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50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588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738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8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7380" w:type="dxa"/>
            <w:vAlign w:val="bottom"/>
            <w:gridSpan w:val="2"/>
          </w:tcPr>
          <w:p>
            <w:pPr>
              <w:ind w:left="440"/>
              <w:spacing w:after="0"/>
              <w:rPr>
                <w:sz w:val="20"/>
                <w:szCs w:val="20"/>
                <w:color w:val="auto"/>
              </w:rPr>
            </w:pPr>
            <w:r>
              <w:rPr>
                <w:rFonts w:ascii="Arial" w:cs="Arial" w:eastAsia="Arial" w:hAnsi="Arial"/>
                <w:sz w:val="20"/>
                <w:szCs w:val="20"/>
                <w:color w:val="auto"/>
              </w:rPr>
              <w:t>State of Delaware</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5880" w:type="dxa"/>
            <w:vAlign w:val="bottom"/>
            <w:tcBorders>
              <w:bottom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89"/>
              </w:rPr>
              <w:t>5</w:t>
            </w:r>
          </w:p>
        </w:tc>
        <w:tc>
          <w:tcPr>
            <w:tcW w:w="588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5880" w:type="dxa"/>
            <w:vAlign w:val="bottom"/>
          </w:tcPr>
          <w:p>
            <w:pPr>
              <w:ind w:left="420"/>
              <w:spacing w:after="0"/>
              <w:rPr>
                <w:sz w:val="20"/>
                <w:szCs w:val="20"/>
                <w:color w:val="auto"/>
              </w:rPr>
            </w:pPr>
            <w:r>
              <w:rPr>
                <w:rFonts w:ascii="Arial" w:cs="Arial" w:eastAsia="Arial" w:hAnsi="Arial"/>
                <w:sz w:val="20"/>
                <w:szCs w:val="20"/>
                <w:color w:val="auto"/>
              </w:rPr>
              <w:t>0</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60" w:type="dxa"/>
            <w:vAlign w:val="bottom"/>
            <w:tcBorders>
              <w:left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5880" w:type="dxa"/>
            <w:vAlign w:val="bottom"/>
            <w:tcBorders>
              <w:bottom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right w:val="single" w:sz="8" w:color="auto"/>
            </w:tcBorders>
          </w:tcPr>
          <w:p>
            <w:pPr>
              <w:ind w:left="1320"/>
              <w:spacing w:after="0" w:line="291" w:lineRule="exact"/>
              <w:rPr>
                <w:sz w:val="20"/>
                <w:szCs w:val="20"/>
                <w:color w:val="auto"/>
              </w:rPr>
            </w:pPr>
            <w:r>
              <w:rPr>
                <w:rFonts w:ascii="Arial" w:cs="Arial" w:eastAsia="Arial" w:hAnsi="Arial"/>
                <w:sz w:val="29"/>
                <w:szCs w:val="29"/>
                <w:b w:val="1"/>
                <w:bCs w:val="1"/>
                <w:color w:val="auto"/>
                <w:w w:val="86"/>
              </w:rPr>
              <w:t>6</w:t>
            </w:r>
          </w:p>
        </w:tc>
        <w:tc>
          <w:tcPr>
            <w:tcW w:w="58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tcPr>
          <w:p>
            <w:pPr>
              <w:spacing w:after="0"/>
              <w:rPr>
                <w:sz w:val="14"/>
                <w:szCs w:val="14"/>
                <w:color w:val="auto"/>
              </w:rPr>
            </w:pPr>
          </w:p>
        </w:tc>
        <w:tc>
          <w:tcPr>
            <w:tcW w:w="8060" w:type="dxa"/>
            <w:vAlign w:val="bottom"/>
            <w:tcBorders>
              <w:right w:val="single" w:sz="8" w:color="auto"/>
            </w:tcBorders>
            <w:gridSpan w:val="2"/>
          </w:tcPr>
          <w:p>
            <w:pPr>
              <w:ind w:left="420"/>
              <w:spacing w:after="0" w:line="173" w:lineRule="exact"/>
              <w:rPr>
                <w:sz w:val="20"/>
                <w:szCs w:val="20"/>
                <w:color w:val="auto"/>
              </w:rPr>
            </w:pPr>
            <w:r>
              <w:rPr>
                <w:rFonts w:ascii="Arial" w:cs="Arial" w:eastAsia="Arial" w:hAnsi="Arial"/>
                <w:sz w:val="19"/>
                <w:szCs w:val="19"/>
                <w:color w:val="auto"/>
                <w:w w:val="96"/>
              </w:rPr>
              <w:t>140,857 shares of Common Stock (including 100,000 shares of Common Stock issuable upon</w:t>
            </w:r>
          </w:p>
        </w:tc>
        <w:tc>
          <w:tcPr>
            <w:tcW w:w="0" w:type="dxa"/>
            <w:vAlign w:val="bottom"/>
          </w:tcPr>
          <w:p>
            <w:pPr>
              <w:spacing w:after="0"/>
              <w:rPr>
                <w:sz w:val="1"/>
                <w:szCs w:val="1"/>
                <w:color w:val="auto"/>
              </w:rPr>
            </w:pPr>
          </w:p>
        </w:tc>
      </w:tr>
      <w:tr>
        <w:trPr>
          <w:trHeight w:val="75"/>
        </w:trPr>
        <w:tc>
          <w:tcPr>
            <w:tcW w:w="1860" w:type="dxa"/>
            <w:vAlign w:val="bottom"/>
            <w:tcBorders>
              <w:left w:val="single" w:sz="8" w:color="auto"/>
              <w:right w:val="single" w:sz="8" w:color="auto"/>
            </w:tcBorders>
            <w:vMerge w:val="continue"/>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880" w:type="dxa"/>
            <w:vAlign w:val="bottom"/>
            <w:vMerge w:val="restart"/>
          </w:tcPr>
          <w:p>
            <w:pPr>
              <w:ind w:left="420"/>
              <w:spacing w:after="0"/>
              <w:rPr>
                <w:sz w:val="20"/>
                <w:szCs w:val="20"/>
                <w:color w:val="auto"/>
              </w:rPr>
            </w:pPr>
            <w:r>
              <w:rPr>
                <w:rFonts w:ascii="Arial" w:cs="Arial" w:eastAsia="Arial" w:hAnsi="Arial"/>
                <w:sz w:val="20"/>
                <w:szCs w:val="20"/>
                <w:color w:val="auto"/>
              </w:rPr>
              <w:t>exercise of warrants)</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880" w:type="dxa"/>
            <w:vAlign w:val="bottom"/>
            <w:vMerge w:val="continue"/>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880" w:type="dxa"/>
            <w:vAlign w:val="bottom"/>
            <w:tcBorders>
              <w:bottom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6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89"/>
              </w:rPr>
              <w:t>7</w:t>
            </w:r>
          </w:p>
        </w:tc>
        <w:tc>
          <w:tcPr>
            <w:tcW w:w="58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2"/>
                <w:szCs w:val="12"/>
                <w:color w:val="auto"/>
              </w:rPr>
            </w:pPr>
          </w:p>
        </w:tc>
        <w:tc>
          <w:tcPr>
            <w:tcW w:w="5880" w:type="dxa"/>
            <w:vAlign w:val="bottom"/>
            <w:vMerge w:val="continue"/>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22"/>
                <w:szCs w:val="22"/>
                <w:color w:val="auto"/>
              </w:rPr>
            </w:pPr>
          </w:p>
        </w:tc>
        <w:tc>
          <w:tcPr>
            <w:tcW w:w="5880" w:type="dxa"/>
            <w:vAlign w:val="bottom"/>
          </w:tcPr>
          <w:p>
            <w:pPr>
              <w:ind w:left="420"/>
              <w:spacing w:after="0"/>
              <w:rPr>
                <w:sz w:val="20"/>
                <w:szCs w:val="20"/>
                <w:color w:val="auto"/>
              </w:rPr>
            </w:pPr>
            <w:r>
              <w:rPr>
                <w:rFonts w:ascii="Arial" w:cs="Arial" w:eastAsia="Arial" w:hAnsi="Arial"/>
                <w:sz w:val="20"/>
                <w:szCs w:val="20"/>
                <w:color w:val="auto"/>
              </w:rPr>
              <w:t>0</w:t>
            </w:r>
          </w:p>
        </w:tc>
        <w:tc>
          <w:tcPr>
            <w:tcW w:w="2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880" w:type="dxa"/>
            <w:vAlign w:val="bottom"/>
            <w:tcBorders>
              <w:bottom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89"/>
              </w:rPr>
              <w:t>8</w:t>
            </w:r>
          </w:p>
        </w:tc>
        <w:tc>
          <w:tcPr>
            <w:tcW w:w="588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6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5880" w:type="dxa"/>
            <w:vAlign w:val="bottom"/>
            <w:vMerge w:val="continue"/>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8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8060" w:type="dxa"/>
            <w:vAlign w:val="bottom"/>
            <w:tcBorders>
              <w:right w:val="single" w:sz="8" w:color="auto"/>
            </w:tcBorders>
            <w:gridSpan w:val="2"/>
          </w:tcPr>
          <w:p>
            <w:pPr>
              <w:ind w:left="420"/>
              <w:spacing w:after="0" w:line="213" w:lineRule="exact"/>
              <w:rPr>
                <w:sz w:val="20"/>
                <w:szCs w:val="20"/>
                <w:color w:val="auto"/>
              </w:rPr>
            </w:pPr>
            <w:r>
              <w:rPr>
                <w:rFonts w:ascii="Arial" w:cs="Arial" w:eastAsia="Arial" w:hAnsi="Arial"/>
                <w:sz w:val="20"/>
                <w:szCs w:val="20"/>
                <w:color w:val="auto"/>
                <w:w w:val="91"/>
              </w:rPr>
              <w:t>140,857 shares of Common Stock (including 100,000 shares of Common Stock issuable upon</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5880" w:type="dxa"/>
            <w:vAlign w:val="bottom"/>
          </w:tcPr>
          <w:p>
            <w:pPr>
              <w:ind w:left="420"/>
              <w:spacing w:after="0"/>
              <w:rPr>
                <w:sz w:val="20"/>
                <w:szCs w:val="20"/>
                <w:color w:val="auto"/>
              </w:rPr>
            </w:pPr>
            <w:r>
              <w:rPr>
                <w:rFonts w:ascii="Arial" w:cs="Arial" w:eastAsia="Arial" w:hAnsi="Arial"/>
                <w:sz w:val="20"/>
                <w:szCs w:val="20"/>
                <w:color w:val="auto"/>
              </w:rPr>
              <w:t>exercise of warrants)</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880" w:type="dxa"/>
            <w:vAlign w:val="bottom"/>
            <w:tcBorders>
              <w:bottom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8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860" w:type="dxa"/>
            <w:vAlign w:val="bottom"/>
            <w:tcBorders>
              <w:left w:val="single" w:sz="8" w:color="auto"/>
              <w:right w:val="single" w:sz="8" w:color="auto"/>
            </w:tcBorders>
          </w:tcPr>
          <w:p>
            <w:pPr>
              <w:spacing w:after="0"/>
              <w:rPr>
                <w:sz w:val="18"/>
                <w:szCs w:val="18"/>
                <w:color w:val="auto"/>
              </w:rPr>
            </w:pPr>
          </w:p>
        </w:tc>
        <w:tc>
          <w:tcPr>
            <w:tcW w:w="9560" w:type="dxa"/>
            <w:vAlign w:val="bottom"/>
            <w:tcBorders>
              <w:right w:val="single" w:sz="8" w:color="auto"/>
            </w:tcBorders>
            <w:gridSpan w:val="3"/>
          </w:tcPr>
          <w:p>
            <w:pPr>
              <w:ind w:left="440"/>
              <w:spacing w:after="0" w:line="213" w:lineRule="exact"/>
              <w:rPr>
                <w:sz w:val="20"/>
                <w:szCs w:val="20"/>
                <w:color w:val="auto"/>
              </w:rPr>
            </w:pPr>
            <w:r>
              <w:rPr>
                <w:rFonts w:ascii="Arial" w:cs="Arial" w:eastAsia="Arial" w:hAnsi="Arial"/>
                <w:sz w:val="20"/>
                <w:szCs w:val="20"/>
                <w:color w:val="auto"/>
                <w:w w:val="97"/>
              </w:rPr>
              <w:t>140,857 shares of Common Stock (including 100,000 shares of Common Stock issuable upon exercise of</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440"/>
              <w:spacing w:after="0"/>
              <w:rPr>
                <w:sz w:val="20"/>
                <w:szCs w:val="20"/>
                <w:color w:val="auto"/>
              </w:rPr>
            </w:pPr>
            <w:r>
              <w:rPr>
                <w:rFonts w:ascii="Arial" w:cs="Arial" w:eastAsia="Arial" w:hAnsi="Arial"/>
                <w:sz w:val="20"/>
                <w:szCs w:val="20"/>
                <w:color w:val="auto"/>
              </w:rPr>
              <w:t>warrants)</w:t>
            </w:r>
          </w:p>
        </w:tc>
        <w:tc>
          <w:tcPr>
            <w:tcW w:w="588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880" w:type="dxa"/>
            <w:vAlign w:val="bottom"/>
            <w:tcBorders>
              <w:bottom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7"/>
        </w:trPr>
        <w:tc>
          <w:tcPr>
            <w:tcW w:w="18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8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80" w:type="dxa"/>
            <w:vAlign w:val="bottom"/>
            <w:tcBorders>
              <w:right w:val="single" w:sz="8" w:color="auto"/>
            </w:tcBorders>
          </w:tcPr>
          <w:p>
            <w:pPr>
              <w:jc w:val="center"/>
              <w:ind w:left="4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5880" w:type="dxa"/>
            <w:vAlign w:val="bottom"/>
            <w:tcBorders>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8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440"/>
              <w:spacing w:after="0"/>
              <w:rPr>
                <w:sz w:val="20"/>
                <w:szCs w:val="20"/>
                <w:color w:val="auto"/>
              </w:rPr>
            </w:pPr>
            <w:r>
              <w:rPr>
                <w:rFonts w:ascii="Arial" w:cs="Arial" w:eastAsia="Arial" w:hAnsi="Arial"/>
                <w:sz w:val="20"/>
                <w:szCs w:val="20"/>
                <w:color w:val="auto"/>
              </w:rPr>
              <w:t>0.21%</w:t>
            </w:r>
          </w:p>
        </w:tc>
        <w:tc>
          <w:tcPr>
            <w:tcW w:w="588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5880" w:type="dxa"/>
            <w:vAlign w:val="bottom"/>
            <w:tcBorders>
              <w:bottom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8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440"/>
              <w:spacing w:after="0"/>
              <w:rPr>
                <w:sz w:val="20"/>
                <w:szCs w:val="20"/>
                <w:color w:val="auto"/>
              </w:rPr>
            </w:pPr>
            <w:r>
              <w:rPr>
                <w:rFonts w:ascii="Arial" w:cs="Arial" w:eastAsia="Arial" w:hAnsi="Arial"/>
                <w:sz w:val="20"/>
                <w:szCs w:val="20"/>
                <w:color w:val="auto"/>
              </w:rPr>
              <w:t>PN</w:t>
            </w:r>
          </w:p>
        </w:tc>
        <w:tc>
          <w:tcPr>
            <w:tcW w:w="588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5880" w:type="dxa"/>
            <w:vAlign w:val="bottom"/>
            <w:tcBorders>
              <w:bottom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0"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6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8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21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Arial" w:cs="Arial" w:eastAsia="Arial" w:hAnsi="Arial"/>
                <w:sz w:val="20"/>
                <w:szCs w:val="20"/>
                <w:color w:val="auto"/>
                <w:w w:val="84"/>
              </w:rPr>
              <w:t>Sander Gerber</w:t>
            </w:r>
          </w:p>
        </w:tc>
        <w:tc>
          <w:tcPr>
            <w:tcW w:w="580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tcBorders>
            <w:gridSpan w:val="3"/>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80" w:type="dxa"/>
            <w:vAlign w:val="bottom"/>
            <w:gridSpan w:val="3"/>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80" w:type="dxa"/>
            <w:vAlign w:val="bottom"/>
            <w:tcBorders>
              <w:right w:val="single" w:sz="8" w:color="auto"/>
            </w:tcBorders>
          </w:tcPr>
          <w:p>
            <w:pPr>
              <w:jc w:val="center"/>
              <w:ind w:left="86"/>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jc w:val="center"/>
              <w:ind w:left="8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58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580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7380" w:type="dxa"/>
            <w:vAlign w:val="bottom"/>
            <w:tcBorders>
              <w:bottom w:val="single" w:sz="8" w:color="auto"/>
            </w:tcBorders>
            <w:gridSpan w:val="3"/>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8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Arial" w:cs="Arial" w:eastAsia="Arial" w:hAnsi="Arial"/>
                <w:sz w:val="20"/>
                <w:szCs w:val="20"/>
                <w:color w:val="auto"/>
                <w:w w:val="93"/>
              </w:rPr>
              <w:t>United States</w:t>
            </w:r>
          </w:p>
        </w:tc>
        <w:tc>
          <w:tcPr>
            <w:tcW w:w="580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89"/>
              </w:rPr>
              <w:t>5</w:t>
            </w:r>
          </w:p>
        </w:tc>
        <w:tc>
          <w:tcPr>
            <w:tcW w:w="8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800" w:type="dxa"/>
            <w:vAlign w:val="bottom"/>
          </w:tcPr>
          <w:p>
            <w:pPr>
              <w:ind w:left="340"/>
              <w:spacing w:after="0"/>
              <w:rPr>
                <w:sz w:val="20"/>
                <w:szCs w:val="20"/>
                <w:color w:val="auto"/>
              </w:rPr>
            </w:pPr>
            <w:r>
              <w:rPr>
                <w:rFonts w:ascii="Arial" w:cs="Arial" w:eastAsia="Arial" w:hAnsi="Arial"/>
                <w:sz w:val="20"/>
                <w:szCs w:val="20"/>
                <w:color w:val="auto"/>
              </w:rPr>
              <w:t>0</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60" w:type="dxa"/>
            <w:vAlign w:val="bottom"/>
            <w:tcBorders>
              <w:left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right w:val="single" w:sz="8" w:color="auto"/>
            </w:tcBorders>
          </w:tcPr>
          <w:p>
            <w:pPr>
              <w:ind w:left="1320"/>
              <w:spacing w:after="0" w:line="291" w:lineRule="exact"/>
              <w:rPr>
                <w:sz w:val="20"/>
                <w:szCs w:val="20"/>
                <w:color w:val="auto"/>
              </w:rPr>
            </w:pPr>
            <w:r>
              <w:rPr>
                <w:rFonts w:ascii="Arial" w:cs="Arial" w:eastAsia="Arial" w:hAnsi="Arial"/>
                <w:sz w:val="29"/>
                <w:szCs w:val="29"/>
                <w:b w:val="1"/>
                <w:bCs w:val="1"/>
                <w:color w:val="auto"/>
                <w:w w:val="86"/>
              </w:rPr>
              <w:t>6</w:t>
            </w:r>
          </w:p>
        </w:tc>
        <w:tc>
          <w:tcPr>
            <w:tcW w:w="8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SHARED VOTING POWER</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980" w:type="dxa"/>
            <w:vAlign w:val="bottom"/>
            <w:tcBorders>
              <w:right w:val="single" w:sz="8" w:color="auto"/>
            </w:tcBorders>
            <w:gridSpan w:val="2"/>
          </w:tcPr>
          <w:p>
            <w:pPr>
              <w:ind w:left="340"/>
              <w:spacing w:after="0" w:line="173" w:lineRule="exact"/>
              <w:rPr>
                <w:sz w:val="20"/>
                <w:szCs w:val="20"/>
                <w:color w:val="auto"/>
              </w:rPr>
            </w:pPr>
            <w:r>
              <w:rPr>
                <w:rFonts w:ascii="Arial" w:cs="Arial" w:eastAsia="Arial" w:hAnsi="Arial"/>
                <w:sz w:val="19"/>
                <w:szCs w:val="19"/>
                <w:color w:val="auto"/>
                <w:w w:val="96"/>
              </w:rPr>
              <w:t>140,857 shares of Common Stock (including 100,000 shares of Common Stock issuable upon</w:t>
            </w:r>
          </w:p>
        </w:tc>
        <w:tc>
          <w:tcPr>
            <w:tcW w:w="0" w:type="dxa"/>
            <w:vAlign w:val="bottom"/>
          </w:tcPr>
          <w:p>
            <w:pPr>
              <w:spacing w:after="0"/>
              <w:rPr>
                <w:sz w:val="1"/>
                <w:szCs w:val="1"/>
                <w:color w:val="auto"/>
              </w:rPr>
            </w:pPr>
          </w:p>
        </w:tc>
      </w:tr>
      <w:tr>
        <w:trPr>
          <w:trHeight w:val="75"/>
        </w:trPr>
        <w:tc>
          <w:tcPr>
            <w:tcW w:w="1860" w:type="dxa"/>
            <w:vAlign w:val="bottom"/>
            <w:tcBorders>
              <w:left w:val="single" w:sz="8" w:color="auto"/>
              <w:right w:val="single" w:sz="8" w:color="auto"/>
            </w:tcBorders>
            <w:vMerge w:val="continue"/>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0" w:type="dxa"/>
            <w:vAlign w:val="bottom"/>
            <w:vMerge w:val="restart"/>
          </w:tcPr>
          <w:p>
            <w:pPr>
              <w:ind w:left="340"/>
              <w:spacing w:after="0"/>
              <w:rPr>
                <w:sz w:val="20"/>
                <w:szCs w:val="20"/>
                <w:color w:val="auto"/>
              </w:rPr>
            </w:pPr>
            <w:r>
              <w:rPr>
                <w:rFonts w:ascii="Arial" w:cs="Arial" w:eastAsia="Arial" w:hAnsi="Arial"/>
                <w:sz w:val="20"/>
                <w:szCs w:val="20"/>
                <w:color w:val="auto"/>
              </w:rPr>
              <w:t>exercise of warrants)</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0" w:type="dxa"/>
            <w:vAlign w:val="bottom"/>
            <w:tcBorders>
              <w:bottom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6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89"/>
              </w:rPr>
              <w:t>7</w:t>
            </w:r>
          </w:p>
        </w:tc>
        <w:tc>
          <w:tcPr>
            <w:tcW w:w="80" w:type="dxa"/>
            <w:vAlign w:val="bottom"/>
          </w:tcPr>
          <w:p>
            <w:pPr>
              <w:spacing w:after="0"/>
              <w:rPr>
                <w:sz w:val="9"/>
                <w:szCs w:val="9"/>
                <w:color w:val="auto"/>
              </w:rPr>
            </w:pPr>
          </w:p>
        </w:tc>
        <w:tc>
          <w:tcPr>
            <w:tcW w:w="580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2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0" w:type="dxa"/>
            <w:vAlign w:val="bottom"/>
            <w:vMerge w:val="continue"/>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800" w:type="dxa"/>
            <w:vAlign w:val="bottom"/>
          </w:tcPr>
          <w:p>
            <w:pPr>
              <w:ind w:left="340"/>
              <w:spacing w:after="0"/>
              <w:rPr>
                <w:sz w:val="20"/>
                <w:szCs w:val="20"/>
                <w:color w:val="auto"/>
              </w:rPr>
            </w:pPr>
            <w:r>
              <w:rPr>
                <w:rFonts w:ascii="Arial" w:cs="Arial" w:eastAsia="Arial" w:hAnsi="Arial"/>
                <w:sz w:val="20"/>
                <w:szCs w:val="20"/>
                <w:color w:val="auto"/>
              </w:rPr>
              <w:t>0</w:t>
            </w:r>
          </w:p>
        </w:tc>
        <w:tc>
          <w:tcPr>
            <w:tcW w:w="2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0" w:type="dxa"/>
            <w:vAlign w:val="bottom"/>
            <w:tcBorders>
              <w:bottom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89"/>
              </w:rPr>
              <w:t>8</w:t>
            </w:r>
          </w:p>
        </w:tc>
        <w:tc>
          <w:tcPr>
            <w:tcW w:w="80" w:type="dxa"/>
            <w:vAlign w:val="bottom"/>
          </w:tcPr>
          <w:p>
            <w:pPr>
              <w:spacing w:after="0"/>
              <w:rPr>
                <w:sz w:val="9"/>
                <w:szCs w:val="9"/>
                <w:color w:val="auto"/>
              </w:rPr>
            </w:pPr>
          </w:p>
        </w:tc>
        <w:tc>
          <w:tcPr>
            <w:tcW w:w="580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2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6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0" w:type="dxa"/>
            <w:vAlign w:val="bottom"/>
            <w:vMerge w:val="continue"/>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8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auto"/>
            </w:tcBorders>
            <w:gridSpan w:val="2"/>
          </w:tcPr>
          <w:p>
            <w:pPr>
              <w:ind w:left="340"/>
              <w:spacing w:after="0" w:line="213" w:lineRule="exact"/>
              <w:rPr>
                <w:sz w:val="20"/>
                <w:szCs w:val="20"/>
                <w:color w:val="auto"/>
              </w:rPr>
            </w:pPr>
            <w:r>
              <w:rPr>
                <w:rFonts w:ascii="Arial" w:cs="Arial" w:eastAsia="Arial" w:hAnsi="Arial"/>
                <w:sz w:val="20"/>
                <w:szCs w:val="20"/>
                <w:color w:val="auto"/>
                <w:w w:val="91"/>
              </w:rPr>
              <w:t>140,857 shares of Common Stock (including 100,000 shares of Common Stock issuable upon</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800" w:type="dxa"/>
            <w:vAlign w:val="bottom"/>
          </w:tcPr>
          <w:p>
            <w:pPr>
              <w:ind w:left="340"/>
              <w:spacing w:after="0"/>
              <w:rPr>
                <w:sz w:val="20"/>
                <w:szCs w:val="20"/>
                <w:color w:val="auto"/>
              </w:rPr>
            </w:pPr>
            <w:r>
              <w:rPr>
                <w:rFonts w:ascii="Arial" w:cs="Arial" w:eastAsia="Arial" w:hAnsi="Arial"/>
                <w:sz w:val="20"/>
                <w:szCs w:val="20"/>
                <w:color w:val="auto"/>
              </w:rPr>
              <w:t>exercise of warrants)</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880" w:type="dxa"/>
            <w:vAlign w:val="bottom"/>
            <w:tcBorders>
              <w:bottom w:val="single" w:sz="8" w:color="auto"/>
            </w:tcBorders>
            <w:gridSpan w:val="2"/>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8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860" w:type="dxa"/>
            <w:vAlign w:val="bottom"/>
            <w:tcBorders>
              <w:left w:val="single" w:sz="8" w:color="auto"/>
              <w:right w:val="single" w:sz="8" w:color="auto"/>
            </w:tcBorders>
          </w:tcPr>
          <w:p>
            <w:pPr>
              <w:spacing w:after="0"/>
              <w:rPr>
                <w:sz w:val="18"/>
                <w:szCs w:val="18"/>
                <w:color w:val="auto"/>
              </w:rPr>
            </w:pPr>
          </w:p>
        </w:tc>
        <w:tc>
          <w:tcPr>
            <w:tcW w:w="9560" w:type="dxa"/>
            <w:vAlign w:val="bottom"/>
            <w:tcBorders>
              <w:right w:val="single" w:sz="8" w:color="auto"/>
            </w:tcBorders>
            <w:gridSpan w:val="4"/>
          </w:tcPr>
          <w:p>
            <w:pPr>
              <w:ind w:left="440"/>
              <w:spacing w:after="0" w:line="213" w:lineRule="exact"/>
              <w:rPr>
                <w:sz w:val="20"/>
                <w:szCs w:val="20"/>
                <w:color w:val="auto"/>
              </w:rPr>
            </w:pPr>
            <w:r>
              <w:rPr>
                <w:rFonts w:ascii="Arial" w:cs="Arial" w:eastAsia="Arial" w:hAnsi="Arial"/>
                <w:sz w:val="20"/>
                <w:szCs w:val="20"/>
                <w:color w:val="auto"/>
                <w:w w:val="97"/>
              </w:rPr>
              <w:t>140,857 shares of Common Stock (including 100,000 shares of Common Stock issuable upon exercise of</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Arial" w:cs="Arial" w:eastAsia="Arial" w:hAnsi="Arial"/>
                <w:sz w:val="20"/>
                <w:szCs w:val="20"/>
                <w:color w:val="auto"/>
              </w:rPr>
              <w:t>warrants)</w:t>
            </w:r>
          </w:p>
        </w:tc>
        <w:tc>
          <w:tcPr>
            <w:tcW w:w="580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880" w:type="dxa"/>
            <w:vAlign w:val="bottom"/>
            <w:tcBorders>
              <w:bottom w:val="single" w:sz="8" w:color="auto"/>
            </w:tcBorders>
            <w:gridSpan w:val="2"/>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7"/>
        </w:trPr>
        <w:tc>
          <w:tcPr>
            <w:tcW w:w="18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80" w:type="dxa"/>
            <w:vAlign w:val="bottom"/>
            <w:gridSpan w:val="3"/>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80" w:type="dxa"/>
            <w:vAlign w:val="bottom"/>
            <w:tcBorders>
              <w:right w:val="single" w:sz="8" w:color="auto"/>
            </w:tcBorders>
          </w:tcPr>
          <w:p>
            <w:pPr>
              <w:jc w:val="center"/>
              <w:ind w:left="4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5880" w:type="dxa"/>
            <w:vAlign w:val="bottom"/>
            <w:tcBorders>
              <w:bottom w:val="single" w:sz="8" w:color="auto"/>
            </w:tcBorders>
            <w:gridSpan w:val="2"/>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8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440"/>
              <w:spacing w:after="0"/>
              <w:rPr>
                <w:sz w:val="20"/>
                <w:szCs w:val="20"/>
                <w:color w:val="auto"/>
              </w:rPr>
            </w:pPr>
            <w:r>
              <w:rPr>
                <w:rFonts w:ascii="Arial" w:cs="Arial" w:eastAsia="Arial" w:hAnsi="Arial"/>
                <w:sz w:val="20"/>
                <w:szCs w:val="20"/>
                <w:color w:val="auto"/>
              </w:rPr>
              <w:t>0.21%</w:t>
            </w:r>
          </w:p>
        </w:tc>
        <w:tc>
          <w:tcPr>
            <w:tcW w:w="8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5880" w:type="dxa"/>
            <w:vAlign w:val="bottom"/>
            <w:tcBorders>
              <w:bottom w:val="single" w:sz="8" w:color="auto"/>
            </w:tcBorders>
            <w:gridSpan w:val="2"/>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6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8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580" w:type="dxa"/>
            <w:vAlign w:val="bottom"/>
            <w:gridSpan w:val="2"/>
          </w:tcPr>
          <w:p>
            <w:pPr>
              <w:ind w:left="440"/>
              <w:spacing w:after="0"/>
              <w:rPr>
                <w:sz w:val="20"/>
                <w:szCs w:val="20"/>
                <w:color w:val="auto"/>
              </w:rPr>
            </w:pPr>
            <w:r>
              <w:rPr>
                <w:rFonts w:ascii="Arial" w:cs="Arial" w:eastAsia="Arial" w:hAnsi="Arial"/>
                <w:sz w:val="20"/>
                <w:szCs w:val="20"/>
                <w:color w:val="auto"/>
              </w:rPr>
              <w:t>IN</w:t>
            </w:r>
          </w:p>
        </w:tc>
        <w:tc>
          <w:tcPr>
            <w:tcW w:w="5800" w:type="dxa"/>
            <w:vAlign w:val="bottom"/>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0" w:right="239" w:bottom="1440" w:gutter="0" w:footer="0" w:header="0"/>
        </w:sectPr>
      </w:pPr>
    </w:p>
    <w:bookmarkStart w:id="4" w:name="page5"/>
    <w:bookmarkEnd w:id="4"/>
    <w:p>
      <w:pPr>
        <w:spacing w:after="0"/>
        <w:tabs>
          <w:tab w:leader="none" w:pos="17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20" w:right="740"/>
        <w:spacing w:after="0" w:line="260" w:lineRule="auto"/>
        <w:rPr>
          <w:sz w:val="20"/>
          <w:szCs w:val="20"/>
          <w:color w:val="auto"/>
        </w:rPr>
      </w:pPr>
      <w:r>
        <w:rPr>
          <w:rFonts w:ascii="Arial" w:cs="Arial" w:eastAsia="Arial" w:hAnsi="Arial"/>
          <w:sz w:val="20"/>
          <w:szCs w:val="20"/>
          <w:color w:val="auto"/>
        </w:rPr>
        <w:t>The name of the issuer is Priority Technology Holdings, (formerly known as M I Acquisitions,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84"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Company's principal executive offices are located at 2001 Westside Parkway, Suite 155, Alpharetta, GA 30004.</w:t>
      </w:r>
    </w:p>
    <w:p>
      <w:pPr>
        <w:spacing w:after="0" w:line="246"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35" w:lineRule="exact"/>
        <w:rPr>
          <w:sz w:val="20"/>
          <w:szCs w:val="20"/>
          <w:color w:val="auto"/>
        </w:rPr>
      </w:pPr>
    </w:p>
    <w:p>
      <w:pPr>
        <w:ind w:left="1620" w:right="180"/>
        <w:spacing w:after="0" w:line="260" w:lineRule="auto"/>
        <w:rPr>
          <w:sz w:val="20"/>
          <w:szCs w:val="20"/>
          <w:color w:val="auto"/>
        </w:rPr>
      </w:pPr>
      <w:r>
        <w:rPr>
          <w:rFonts w:ascii="Arial" w:cs="Arial" w:eastAsia="Arial" w:hAnsi="Arial"/>
          <w:sz w:val="20"/>
          <w:szCs w:val="20"/>
          <w:color w:val="auto"/>
        </w:rPr>
        <w:t>This statement is filed by Hudson Bay Capital Management LP (the "</w:t>
      </w:r>
      <w:r>
        <w:rPr>
          <w:rFonts w:ascii="Arial" w:cs="Arial" w:eastAsia="Arial" w:hAnsi="Arial"/>
          <w:sz w:val="20"/>
          <w:szCs w:val="20"/>
          <w:u w:val="single" w:color="auto"/>
          <w:color w:val="auto"/>
        </w:rPr>
        <w:t>Investment Manager</w:t>
      </w:r>
      <w:r>
        <w:rPr>
          <w:rFonts w:ascii="Arial" w:cs="Arial" w:eastAsia="Arial" w:hAnsi="Arial"/>
          <w:sz w:val="20"/>
          <w:szCs w:val="20"/>
          <w:color w:val="auto"/>
        </w:rPr>
        <w:t>") and Mr. Sander Gerber ("</w:t>
      </w:r>
      <w:r>
        <w:rPr>
          <w:rFonts w:ascii="Arial" w:cs="Arial" w:eastAsia="Arial" w:hAnsi="Arial"/>
          <w:sz w:val="20"/>
          <w:szCs w:val="20"/>
          <w:u w:val="single" w:color="auto"/>
          <w:color w:val="auto"/>
        </w:rPr>
        <w:t>Mr.</w:t>
      </w:r>
      <w:r>
        <w:rPr>
          <w:rFonts w:ascii="Arial" w:cs="Arial" w:eastAsia="Arial" w:hAnsi="Arial"/>
          <w:sz w:val="20"/>
          <w:szCs w:val="20"/>
          <w:color w:val="auto"/>
        </w:rPr>
        <w:t xml:space="preserve"> </w:t>
      </w:r>
      <w:r>
        <w:rPr>
          <w:rFonts w:ascii="Arial" w:cs="Arial" w:eastAsia="Arial" w:hAnsi="Arial"/>
          <w:sz w:val="20"/>
          <w:szCs w:val="20"/>
          <w:u w:val="single" w:color="auto"/>
          <w:color w:val="auto"/>
        </w:rPr>
        <w:t>Gerber</w:t>
      </w:r>
      <w:r>
        <w:rPr>
          <w:rFonts w:ascii="Arial" w:cs="Arial" w:eastAsia="Arial" w:hAnsi="Arial"/>
          <w:sz w:val="20"/>
          <w:szCs w:val="20"/>
          <w:color w:val="auto"/>
        </w:rPr>
        <w:t>"), who are collectively referred to herein as "</w:t>
      </w:r>
      <w:r>
        <w:rPr>
          <w:rFonts w:ascii="Arial" w:cs="Arial" w:eastAsia="Arial" w:hAnsi="Arial"/>
          <w:sz w:val="20"/>
          <w:szCs w:val="20"/>
          <w:u w:val="single" w:color="auto"/>
          <w:color w:val="auto"/>
        </w:rPr>
        <w:t>Reporting Persons</w:t>
      </w:r>
      <w:r>
        <w:rPr>
          <w:rFonts w:ascii="Arial" w:cs="Arial" w:eastAsia="Arial" w:hAnsi="Arial"/>
          <w:sz w:val="20"/>
          <w:szCs w:val="20"/>
          <w:color w:val="auto"/>
        </w:rPr>
        <w:t>."</w:t>
      </w:r>
    </w:p>
    <w:p>
      <w:pPr>
        <w:spacing w:after="0" w:line="190" w:lineRule="exact"/>
        <w:rPr>
          <w:sz w:val="20"/>
          <w:szCs w:val="20"/>
          <w:color w:val="auto"/>
        </w:rPr>
      </w:pPr>
    </w:p>
    <w:p>
      <w:pPr>
        <w:ind w:left="1620" w:right="160"/>
        <w:spacing w:after="0" w:line="328" w:lineRule="auto"/>
        <w:rPr>
          <w:sz w:val="20"/>
          <w:szCs w:val="20"/>
          <w:color w:val="auto"/>
        </w:rPr>
      </w:pPr>
      <w:r>
        <w:rPr>
          <w:rFonts w:ascii="Arial" w:cs="Arial" w:eastAsia="Arial" w:hAnsi="Arial"/>
          <w:sz w:val="16"/>
          <w:szCs w:val="16"/>
          <w:color w:val="auto"/>
        </w:rPr>
        <w:t>The Investment Manager, which serves as the investment manager to Hudson Bay Master Fund Ltd., in whose name the securities reported herein are held, may be deemed to be the beneficial owner of all shares of Common Stock held by, and all shares of Common Stock issuable upon exercise of the warrants held by, Hudson Bay Master Fund Ltd. Mr. Gerber serves as the managing member of Hudson Bay Capital GP LLC, which is the general partner of the Investment Manager.</w:t>
      </w:r>
    </w:p>
    <w:p>
      <w:pPr>
        <w:spacing w:after="0" w:line="142" w:lineRule="exact"/>
        <w:rPr>
          <w:sz w:val="20"/>
          <w:szCs w:val="20"/>
          <w:color w:val="auto"/>
        </w:rPr>
      </w:pPr>
    </w:p>
    <w:p>
      <w:pPr>
        <w:ind w:left="1620" w:right="180"/>
        <w:spacing w:after="0" w:line="260" w:lineRule="auto"/>
        <w:rPr>
          <w:sz w:val="20"/>
          <w:szCs w:val="20"/>
          <w:color w:val="auto"/>
        </w:rPr>
      </w:pPr>
      <w:r>
        <w:rPr>
          <w:rFonts w:ascii="Arial" w:cs="Arial" w:eastAsia="Arial" w:hAnsi="Arial"/>
          <w:sz w:val="20"/>
          <w:szCs w:val="20"/>
          <w:color w:val="auto"/>
        </w:rPr>
        <w:t>The filing of this statement should not be construed as an admission that any of the Reporting Persons is, for the purposes of Section 13 of the Act, the beneficial owner of the shares of Common Stock reported herein.</w:t>
      </w:r>
    </w:p>
    <w:p>
      <w:pPr>
        <w:spacing w:after="0" w:line="184"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ind w:left="1820" w:right="400"/>
        <w:spacing w:after="0" w:line="260" w:lineRule="auto"/>
        <w:rPr>
          <w:sz w:val="20"/>
          <w:szCs w:val="20"/>
          <w:color w:val="auto"/>
        </w:rPr>
      </w:pPr>
      <w:r>
        <w:rPr>
          <w:rFonts w:ascii="Arial" w:cs="Arial" w:eastAsia="Arial" w:hAnsi="Arial"/>
          <w:sz w:val="20"/>
          <w:szCs w:val="20"/>
          <w:color w:val="auto"/>
        </w:rPr>
        <w:t>The address of the business office of each of the Reporting Persons is 777 Third Avenue, 30th Floor, New York, NY 10017.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1860" w:type="dxa"/>
            <w:vAlign w:val="bottom"/>
            <w:gridSpan w:val="2"/>
          </w:tcPr>
          <w:p>
            <w:pPr>
              <w:ind w:left="440"/>
              <w:spacing w:after="0"/>
              <w:rPr>
                <w:sz w:val="20"/>
                <w:szCs w:val="20"/>
                <w:color w:val="auto"/>
              </w:rPr>
            </w:pPr>
            <w:r>
              <w:rPr>
                <w:rFonts w:ascii="Arial" w:cs="Arial" w:eastAsia="Arial" w:hAnsi="Arial"/>
                <w:sz w:val="20"/>
                <w:szCs w:val="20"/>
                <w:b w:val="1"/>
                <w:bCs w:val="1"/>
                <w:color w:val="auto"/>
              </w:rPr>
              <w:t>CITIZENSHIP:</w:t>
            </w:r>
          </w:p>
        </w:tc>
        <w:tc>
          <w:tcPr>
            <w:tcW w:w="25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540" w:type="dxa"/>
            <w:vAlign w:val="bottom"/>
          </w:tcPr>
          <w:p>
            <w:pPr>
              <w:spacing w:after="0"/>
              <w:rPr>
                <w:sz w:val="22"/>
                <w:szCs w:val="22"/>
                <w:color w:val="auto"/>
              </w:rPr>
            </w:pPr>
          </w:p>
        </w:tc>
      </w:tr>
      <w:tr>
        <w:trPr>
          <w:trHeight w:val="459"/>
        </w:trPr>
        <w:tc>
          <w:tcPr>
            <w:tcW w:w="1280" w:type="dxa"/>
            <w:vAlign w:val="bottom"/>
          </w:tcPr>
          <w:p>
            <w:pPr>
              <w:spacing w:after="0"/>
              <w:rPr>
                <w:sz w:val="24"/>
                <w:szCs w:val="24"/>
                <w:color w:val="auto"/>
              </w:rPr>
            </w:pPr>
          </w:p>
        </w:tc>
        <w:tc>
          <w:tcPr>
            <w:tcW w:w="10140" w:type="dxa"/>
            <w:vAlign w:val="bottom"/>
            <w:gridSpan w:val="5"/>
          </w:tcPr>
          <w:p>
            <w:pPr>
              <w:ind w:left="440"/>
              <w:spacing w:after="0"/>
              <w:rPr>
                <w:sz w:val="20"/>
                <w:szCs w:val="20"/>
                <w:color w:val="auto"/>
              </w:rPr>
            </w:pPr>
            <w:r>
              <w:rPr>
                <w:rFonts w:ascii="Arial" w:cs="Arial" w:eastAsia="Arial" w:hAnsi="Arial"/>
                <w:sz w:val="20"/>
                <w:szCs w:val="20"/>
                <w:color w:val="auto"/>
              </w:rPr>
              <w:t>The Investment Manager is a Delaware limited partnership. Mr. Gerber is a United States citizen.</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1014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80" w:type="dxa"/>
            <w:vAlign w:val="bottom"/>
          </w:tcPr>
          <w:p>
            <w:pPr>
              <w:spacing w:after="0"/>
              <w:rPr>
                <w:sz w:val="24"/>
                <w:szCs w:val="24"/>
                <w:color w:val="auto"/>
              </w:rPr>
            </w:pPr>
          </w:p>
        </w:tc>
        <w:tc>
          <w:tcPr>
            <w:tcW w:w="10140" w:type="dxa"/>
            <w:vAlign w:val="bottom"/>
            <w:gridSpan w:val="5"/>
          </w:tcPr>
          <w:p>
            <w:pPr>
              <w:ind w:left="440"/>
              <w:spacing w:after="0"/>
              <w:rPr>
                <w:sz w:val="20"/>
                <w:szCs w:val="20"/>
                <w:color w:val="auto"/>
              </w:rPr>
            </w:pPr>
            <w:r>
              <w:rPr>
                <w:rFonts w:ascii="Arial" w:cs="Arial" w:eastAsia="Arial" w:hAnsi="Arial"/>
                <w:sz w:val="20"/>
                <w:szCs w:val="20"/>
                <w:color w:val="auto"/>
              </w:rPr>
              <w:t>Common Stock, par value $0.001 per share (the "Common Stock").</w:t>
            </w: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36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1380" w:type="dxa"/>
            <w:vAlign w:val="bottom"/>
          </w:tcPr>
          <w:p>
            <w:pPr>
              <w:ind w:left="440"/>
              <w:spacing w:after="0"/>
              <w:rPr>
                <w:sz w:val="20"/>
                <w:szCs w:val="20"/>
                <w:color w:val="auto"/>
              </w:rPr>
            </w:pPr>
            <w:r>
              <w:rPr>
                <w:rFonts w:ascii="Arial" w:cs="Arial" w:eastAsia="Arial" w:hAnsi="Arial"/>
                <w:sz w:val="20"/>
                <w:szCs w:val="20"/>
                <w:color w:val="auto"/>
                <w:w w:val="87"/>
              </w:rPr>
              <w:t>74275G107</w:t>
            </w: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140" w:type="dxa"/>
            <w:vAlign w:val="bottom"/>
            <w:gridSpan w:val="5"/>
          </w:tcPr>
          <w:p>
            <w:pPr>
              <w:ind w:left="440"/>
              <w:spacing w:after="0"/>
              <w:rPr>
                <w:sz w:val="20"/>
                <w:szCs w:val="20"/>
                <w:color w:val="auto"/>
              </w:rPr>
            </w:pPr>
            <w:r>
              <w:rPr>
                <w:rFonts w:ascii="Arial" w:cs="Arial" w:eastAsia="Arial" w:hAnsi="Arial"/>
                <w:sz w:val="20"/>
                <w:szCs w:val="20"/>
                <w:b w:val="1"/>
                <w:bCs w:val="1"/>
                <w:color w:val="auto"/>
              </w:rPr>
              <w:t>IF THIS STATEMENT IS FILED PURSUANT TO RULES 13d-1(b) OR 13d-2(b) OR (c), CHECK WHETHER</w:t>
            </w:r>
          </w:p>
        </w:tc>
      </w:tr>
      <w:tr>
        <w:trPr>
          <w:trHeight w:val="256"/>
        </w:trPr>
        <w:tc>
          <w:tcPr>
            <w:tcW w:w="1280" w:type="dxa"/>
            <w:vAlign w:val="bottom"/>
          </w:tcPr>
          <w:p>
            <w:pPr>
              <w:spacing w:after="0"/>
              <w:rPr>
                <w:sz w:val="22"/>
                <w:szCs w:val="22"/>
                <w:color w:val="auto"/>
              </w:rPr>
            </w:pPr>
          </w:p>
        </w:tc>
        <w:tc>
          <w:tcPr>
            <w:tcW w:w="10140" w:type="dxa"/>
            <w:vAlign w:val="bottom"/>
            <w:gridSpan w:val="5"/>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Arial" w:cs="Arial" w:eastAsia="Arial" w:hAnsi="Arial"/>
                <w:sz w:val="20"/>
                <w:szCs w:val="20"/>
                <w:color w:val="auto"/>
              </w:rPr>
              <w:t>(a)</w:t>
            </w:r>
          </w:p>
        </w:tc>
        <w:tc>
          <w:tcPr>
            <w:tcW w:w="48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8280" w:type="dxa"/>
            <w:vAlign w:val="bottom"/>
            <w:gridSpan w:val="3"/>
          </w:tcPr>
          <w:p>
            <w:pPr>
              <w:ind w:left="60"/>
              <w:spacing w:after="0"/>
              <w:rPr>
                <w:sz w:val="20"/>
                <w:szCs w:val="20"/>
                <w:color w:val="auto"/>
              </w:rPr>
            </w:pPr>
            <w:r>
              <w:rPr>
                <w:rFonts w:ascii="Arial" w:cs="Arial" w:eastAsia="Arial" w:hAnsi="Arial"/>
                <w:sz w:val="20"/>
                <w:szCs w:val="20"/>
                <w:color w:val="auto"/>
              </w:rPr>
              <w:t>Broker or dealer registered under Section 15 of the Act (15 U.S.C. 78o);</w:t>
            </w:r>
          </w:p>
        </w:tc>
      </w:tr>
      <w:tr>
        <w:trPr>
          <w:trHeight w:val="459"/>
        </w:trPr>
        <w:tc>
          <w:tcPr>
            <w:tcW w:w="12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Arial" w:cs="Arial" w:eastAsia="Arial" w:hAnsi="Arial"/>
                <w:sz w:val="20"/>
                <w:szCs w:val="20"/>
                <w:color w:val="auto"/>
              </w:rPr>
              <w:t>(b)</w:t>
            </w:r>
          </w:p>
        </w:tc>
        <w:tc>
          <w:tcPr>
            <w:tcW w:w="48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8280" w:type="dxa"/>
            <w:vAlign w:val="bottom"/>
            <w:gridSpan w:val="3"/>
          </w:tcPr>
          <w:p>
            <w:pPr>
              <w:ind w:left="60"/>
              <w:spacing w:after="0"/>
              <w:rPr>
                <w:sz w:val="20"/>
                <w:szCs w:val="20"/>
                <w:color w:val="auto"/>
              </w:rPr>
            </w:pPr>
            <w:r>
              <w:rPr>
                <w:rFonts w:ascii="Arial" w:cs="Arial" w:eastAsia="Arial" w:hAnsi="Arial"/>
                <w:sz w:val="20"/>
                <w:szCs w:val="20"/>
                <w:color w:val="auto"/>
              </w:rPr>
              <w:t>Bank as defined in Section 3(a)(6) of the Act (15 U.S.C. 78c);</w:t>
            </w:r>
          </w:p>
        </w:tc>
      </w:tr>
    </w:tbl>
    <w:p>
      <w:pPr>
        <w:sectPr>
          <w:pgSz w:w="11900" w:h="16838" w:orient="portrait"/>
          <w:cols w:equalWidth="0" w:num="1">
            <w:col w:w="11420"/>
          </w:cols>
          <w:pgMar w:left="240" w:top="927" w:right="239" w:bottom="1440" w:gutter="0" w:footer="0" w:header="0"/>
        </w:sectPr>
      </w:pPr>
    </w:p>
    <w:bookmarkStart w:id="5" w:name="page6"/>
    <w:bookmarkEnd w:id="5"/>
    <w:p>
      <w:pPr>
        <w:ind w:left="2560" w:hanging="840"/>
        <w:spacing w:after="0" w:line="230" w:lineRule="exact"/>
        <w:tabs>
          <w:tab w:leader="none" w:pos="256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Insurance company as defined in Section 3(a)(19) of the Act (15 U.S.C. 78c);</w:t>
      </w:r>
    </w:p>
    <w:p>
      <w:pPr>
        <w:spacing w:after="0" w:line="229" w:lineRule="exact"/>
        <w:rPr>
          <w:rFonts w:ascii="Arial" w:cs="Arial" w:eastAsia="Arial" w:hAnsi="Arial"/>
          <w:sz w:val="20"/>
          <w:szCs w:val="20"/>
          <w:color w:val="auto"/>
        </w:rPr>
      </w:pPr>
    </w:p>
    <w:p>
      <w:pPr>
        <w:ind w:left="3100" w:right="300" w:hanging="1380"/>
        <w:spacing w:after="0" w:line="237" w:lineRule="exact"/>
        <w:tabs>
          <w:tab w:leader="none" w:pos="2571"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Investment company registered under Section 8 of the Investment Company Act of 1940 (15 U.S.C. 80a-8);</w:t>
      </w:r>
    </w:p>
    <w:p>
      <w:pPr>
        <w:spacing w:after="0" w:line="25" w:lineRule="exact"/>
        <w:rPr>
          <w:rFonts w:ascii="Arial" w:cs="Arial" w:eastAsia="Arial" w:hAnsi="Arial"/>
          <w:sz w:val="20"/>
          <w:szCs w:val="20"/>
          <w:color w:val="auto"/>
        </w:rPr>
      </w:pPr>
    </w:p>
    <w:p>
      <w:pPr>
        <w:ind w:left="2600" w:hanging="880"/>
        <w:spacing w:after="0"/>
        <w:tabs>
          <w:tab w:leader="none" w:pos="2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ý</w:t>
      </w:r>
      <w:r>
        <w:rPr>
          <w:rFonts w:ascii="Arial" w:cs="Arial" w:eastAsia="Arial" w:hAnsi="Arial"/>
          <w:sz w:val="18"/>
          <w:szCs w:val="18"/>
          <w:color w:val="auto"/>
        </w:rPr>
        <w:t>Investment adviser in accordance with Rule 13d-1(b)(1)(ii)(E);</w:t>
      </w:r>
    </w:p>
    <w:p>
      <w:pPr>
        <w:spacing w:after="0" w:line="175" w:lineRule="exact"/>
        <w:rPr>
          <w:rFonts w:ascii="Arial" w:cs="Arial" w:eastAsia="Arial" w:hAnsi="Arial"/>
          <w:sz w:val="20"/>
          <w:szCs w:val="20"/>
          <w:color w:val="auto"/>
        </w:rPr>
      </w:pPr>
    </w:p>
    <w:p>
      <w:pPr>
        <w:ind w:left="2560" w:hanging="840"/>
        <w:spacing w:after="0" w:line="230" w:lineRule="exact"/>
        <w:tabs>
          <w:tab w:leader="none" w:pos="256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Employee benefit plan or endowment fund in accordance with</w:t>
      </w:r>
    </w:p>
    <w:p>
      <w:pPr>
        <w:spacing w:after="0" w:line="39"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Rule 13d-1(b)(1)(ii)(F);</w:t>
      </w:r>
    </w:p>
    <w:p>
      <w:pPr>
        <w:spacing w:after="0" w:line="213" w:lineRule="exact"/>
        <w:rPr>
          <w:sz w:val="20"/>
          <w:szCs w:val="20"/>
          <w:color w:val="auto"/>
        </w:rPr>
      </w:pPr>
    </w:p>
    <w:p>
      <w:pPr>
        <w:ind w:left="3100" w:right="3340" w:hanging="1380"/>
        <w:spacing w:after="0" w:line="247" w:lineRule="auto"/>
        <w:tabs>
          <w:tab w:leader="none" w:pos="2609" w:val="left"/>
        </w:tabs>
        <w:numPr>
          <w:ilvl w:val="0"/>
          <w:numId w:val="3"/>
        </w:numPr>
        <w:rPr>
          <w:rFonts w:ascii="Arial" w:cs="Arial" w:eastAsia="Arial" w:hAnsi="Arial"/>
          <w:sz w:val="20"/>
          <w:szCs w:val="20"/>
          <w:color w:val="auto"/>
        </w:rPr>
      </w:pPr>
      <w:r>
        <w:rPr>
          <w:rFonts w:ascii="Arial" w:cs="Arial" w:eastAsia="Arial" w:hAnsi="Arial"/>
          <w:sz w:val="20"/>
          <w:szCs w:val="20"/>
          <w:color w:val="auto"/>
        </w:rPr>
        <w:t>ýParent holding company or control person in accordance with Rule 13d-1(b)(1)(ii)(G);</w:t>
      </w:r>
    </w:p>
    <w:p>
      <w:pPr>
        <w:spacing w:after="0" w:line="1" w:lineRule="exact"/>
        <w:rPr>
          <w:rFonts w:ascii="Arial" w:cs="Arial" w:eastAsia="Arial" w:hAnsi="Arial"/>
          <w:sz w:val="20"/>
          <w:szCs w:val="20"/>
          <w:color w:val="auto"/>
        </w:rPr>
      </w:pPr>
    </w:p>
    <w:p>
      <w:pPr>
        <w:ind w:left="2560" w:hanging="840"/>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6"/>
          <w:szCs w:val="16"/>
          <w:color w:val="auto"/>
        </w:rPr>
        <w:t>Savings association as defined in Section 3(b) of the Federal Deposit Insurance Act (12 U.S.C. 1813);</w:t>
      </w:r>
    </w:p>
    <w:p>
      <w:pPr>
        <w:spacing w:after="0" w:line="189" w:lineRule="exact"/>
        <w:rPr>
          <w:rFonts w:ascii="Arial" w:cs="Arial" w:eastAsia="Arial" w:hAnsi="Arial"/>
          <w:sz w:val="20"/>
          <w:szCs w:val="20"/>
          <w:color w:val="auto"/>
        </w:rPr>
      </w:pPr>
    </w:p>
    <w:p>
      <w:pPr>
        <w:ind w:left="3100" w:right="220" w:hanging="1380"/>
        <w:spacing w:after="0" w:line="240" w:lineRule="exact"/>
        <w:tabs>
          <w:tab w:leader="none" w:pos="2571"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Church plan that is excluded from the definition of an investment company under Section 3(c)(14) of the Investment Company Act (15 U.S.C. 80a-3);</w:t>
      </w:r>
    </w:p>
    <w:p>
      <w:pPr>
        <w:spacing w:after="0" w:line="209" w:lineRule="exact"/>
        <w:rPr>
          <w:rFonts w:ascii="Arial" w:cs="Arial" w:eastAsia="Arial" w:hAnsi="Arial"/>
          <w:sz w:val="20"/>
          <w:szCs w:val="20"/>
          <w:color w:val="auto"/>
        </w:rPr>
      </w:pPr>
    </w:p>
    <w:p>
      <w:pPr>
        <w:ind w:left="2560" w:hanging="840"/>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Non-U.S. institution in accordance with Rule 13d-1(b)(1)(ii)(J);</w:t>
      </w:r>
    </w:p>
    <w:p>
      <w:pPr>
        <w:spacing w:after="0" w:line="229" w:lineRule="exact"/>
        <w:rPr>
          <w:rFonts w:ascii="Arial" w:cs="Arial" w:eastAsia="Arial" w:hAnsi="Arial"/>
          <w:sz w:val="20"/>
          <w:szCs w:val="20"/>
          <w:color w:val="auto"/>
        </w:rPr>
      </w:pPr>
    </w:p>
    <w:p>
      <w:pPr>
        <w:ind w:left="2560" w:hanging="840"/>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Group, in accordance with Rule 13d-1(b)(1)(ii)(K).</w:t>
      </w:r>
    </w:p>
    <w:p>
      <w:pPr>
        <w:spacing w:after="0" w:line="200" w:lineRule="exact"/>
        <w:rPr>
          <w:sz w:val="20"/>
          <w:szCs w:val="20"/>
          <w:color w:val="auto"/>
        </w:rPr>
      </w:pPr>
    </w:p>
    <w:p>
      <w:pPr>
        <w:spacing w:after="0" w:line="283" w:lineRule="exact"/>
        <w:rPr>
          <w:sz w:val="20"/>
          <w:szCs w:val="20"/>
          <w:color w:val="auto"/>
        </w:rPr>
      </w:pPr>
    </w:p>
    <w:p>
      <w:pPr>
        <w:ind w:left="1720" w:right="304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184"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620" w:right="2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190" w:lineRule="exact"/>
        <w:rPr>
          <w:sz w:val="20"/>
          <w:szCs w:val="20"/>
          <w:color w:val="auto"/>
        </w:rPr>
      </w:pPr>
    </w:p>
    <w:p>
      <w:pPr>
        <w:ind w:left="1620" w:right="80"/>
        <w:spacing w:after="0" w:line="246" w:lineRule="auto"/>
        <w:rPr>
          <w:sz w:val="20"/>
          <w:szCs w:val="20"/>
          <w:color w:val="auto"/>
        </w:rPr>
      </w:pPr>
      <w:r>
        <w:rPr>
          <w:rFonts w:ascii="Arial" w:cs="Arial" w:eastAsia="Arial" w:hAnsi="Arial"/>
          <w:sz w:val="20"/>
          <w:szCs w:val="20"/>
          <w:color w:val="auto"/>
        </w:rPr>
        <w:t>The percentage set forth in Row (11) of the cover page for each Reporting Person is based on the 66,856,966 shares of Common Stock reported to be outstanding upon the closing of the business combination on July 25, 2018, as described in the Company's Current Report on Form 8-K filed with the Securities and Exchange Commission on July 31, 2018, and assumes the exercise of the reported warrants.</w:t>
      </w:r>
    </w:p>
    <w:p>
      <w:pPr>
        <w:spacing w:after="0" w:line="199"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620" w:right="72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ý</w:t>
      </w:r>
    </w:p>
    <w:p>
      <w:pPr>
        <w:spacing w:after="0" w:line="376"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See Item 2.</w:t>
      </w:r>
    </w:p>
    <w:p>
      <w:pPr>
        <w:spacing w:after="0" w:line="223" w:lineRule="exact"/>
        <w:rPr>
          <w:sz w:val="20"/>
          <w:szCs w:val="20"/>
          <w:color w:val="auto"/>
        </w:rPr>
      </w:pPr>
    </w:p>
    <w:p>
      <w:pPr>
        <w:ind w:left="1620" w:hanging="1617"/>
        <w:spacing w:after="0" w:line="267" w:lineRule="auto"/>
        <w:tabs>
          <w:tab w:leader="none" w:pos="16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ectPr>
          <w:pgSz w:w="11900" w:h="16838" w:orient="portrait"/>
          <w:cols w:equalWidth="0" w:num="1">
            <w:col w:w="11320"/>
          </w:cols>
          <w:pgMar w:left="340" w:top="680" w:right="239" w:bottom="1440" w:gutter="0" w:footer="0" w:header="0"/>
        </w:sectPr>
      </w:pPr>
    </w:p>
    <w:bookmarkStart w:id="6" w:name="page7"/>
    <w:bookmarkEnd w:id="6"/>
    <w:p>
      <w:pPr>
        <w:ind w:left="16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2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00"/>
          </w:cols>
          <w:pgMar w:left="340" w:top="933" w:right="4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or his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August 8, 2018</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HUDSON BAY CAPITAL MANAGEMENT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Sander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356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Sander Gerber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Sander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356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SANDER GERBER</w:t>
      </w:r>
    </w:p>
    <w:sectPr>
      <w:pgSz w:w="11900" w:h="16838" w:orient="portrait"/>
      <w:cols w:equalWidth="0" w:num="1">
        <w:col w:w="11420"/>
      </w:cols>
      <w:pgMar w:left="240" w:top="6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ý"/>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2020-01-13T06:50:25Z</dcterms:created>
  <dcterms:modified xsi:type="dcterms:W3CDTF">2020-01-13T06:50:25Z</dcterms:modified>
</cp:coreProperties>
</file>