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6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30004</w:t>
            </w:r>
          </w:p>
        </w:tc>
      </w:tr>
      <w:tr>
        <w:trPr>
          <w:trHeight w:val="270"/>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760" w:type="dxa"/>
            <w:vAlign w:val="bottom"/>
            <w:gridSpan w:val="4"/>
          </w:tcPr>
          <w:p>
            <w:pPr>
              <w:ind w:left="20"/>
              <w:spacing w:after="0"/>
              <w:rPr>
                <w:sz w:val="20"/>
                <w:szCs w:val="20"/>
                <w:color w:val="auto"/>
              </w:rPr>
            </w:pPr>
            <w:r>
              <w:rPr>
                <w:rFonts w:ascii="Arial" w:cs="Arial" w:eastAsia="Arial" w:hAnsi="Arial"/>
                <w:sz w:val="18"/>
                <w:szCs w:val="18"/>
                <w:b w:val="1"/>
                <w:bCs w:val="1"/>
                <w:color w:val="auto"/>
              </w:rPr>
              <w:t>Georgia</w:t>
            </w:r>
          </w:p>
        </w:tc>
        <w:tc>
          <w:tcPr>
            <w:tcW w:w="3640" w:type="dxa"/>
            <w:vAlign w:val="bottom"/>
          </w:tcPr>
          <w:p>
            <w:pPr>
              <w:spacing w:after="0"/>
              <w:rPr>
                <w:sz w:val="23"/>
                <w:szCs w:val="23"/>
                <w:color w:val="auto"/>
              </w:rPr>
            </w:pPr>
          </w:p>
        </w:tc>
      </w:tr>
      <w:tr>
        <w:trPr>
          <w:trHeight w:val="27"/>
        </w:trPr>
        <w:tc>
          <w:tcPr>
            <w:tcW w:w="584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30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8"/>
        </w:trPr>
        <w:tc>
          <w:tcPr>
            <w:tcW w:w="298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$0.001 par 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2019, Tim Schneible was notified that he will no longer be serving as Chief Operating Officer of Priority Technology Holdings, Inc.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Schneible, who had served in this role since October, 2018, departed employment with the Company on October 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4,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2020-01-09T02:18:15Z</dcterms:created>
  <dcterms:modified xsi:type="dcterms:W3CDTF">2020-01-09T02:18:15Z</dcterms:modified>
</cp:coreProperties>
</file>