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4" w:lineRule="exact"/>
        <w:rPr>
          <w:sz w:val="24"/>
          <w:szCs w:val="24"/>
          <w:color w:val="auto"/>
        </w:rPr>
      </w:pPr>
    </w:p>
    <w:p>
      <w:pPr>
        <w:jc w:val="right"/>
        <w:ind w:right="40"/>
        <w:spacing w:after="0"/>
        <w:rPr>
          <w:sz w:val="20"/>
          <w:szCs w:val="20"/>
          <w:color w:val="auto"/>
        </w:rPr>
      </w:pPr>
      <w:r>
        <w:rPr>
          <w:rFonts w:ascii="Arial" w:cs="Arial" w:eastAsia="Arial" w:hAnsi="Arial"/>
          <w:sz w:val="22"/>
          <w:szCs w:val="22"/>
          <w:b w:val="1"/>
          <w:bCs w:val="1"/>
          <w:color w:val="auto"/>
        </w:rPr>
        <w:t>Registration No. 333-228645</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PROSPECTUS/OFFER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154940</wp:posOffset>
            </wp:positionV>
            <wp:extent cx="257302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 Warrants to Acquire Shares of Common Stock</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Shares of Common Stock of Priority Technology Holdings,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Consent Solicitation</w:t>
      </w:r>
    </w:p>
    <w:p>
      <w:pPr>
        <w:spacing w:after="0" w:line="207" w:lineRule="exact"/>
        <w:rPr>
          <w:sz w:val="24"/>
          <w:szCs w:val="24"/>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THE OFFER PERIOD (AS DEFINED BELOW) AND WITHDRAWAL RIGHTS WILL EXPIRE AT 11:59 P.M., EASTERN STANDARD TIME, ON FEBRUARY 12, 2019, OR SUCH LATER TIME AND DATE TO WHICH WE MAY EXTEND.</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Terms of the Offer and Consent Solicitation</w:t>
      </w:r>
    </w:p>
    <w:p>
      <w:pPr>
        <w:spacing w:after="0" w:line="229" w:lineRule="exact"/>
        <w:rPr>
          <w:sz w:val="24"/>
          <w:szCs w:val="24"/>
          <w:color w:val="auto"/>
        </w:rPr>
      </w:pPr>
    </w:p>
    <w:p>
      <w:pPr>
        <w:jc w:val="both"/>
        <w:ind w:right="300"/>
        <w:spacing w:after="0" w:line="312" w:lineRule="auto"/>
        <w:rPr>
          <w:sz w:val="20"/>
          <w:szCs w:val="20"/>
          <w:color w:val="auto"/>
        </w:rPr>
      </w:pPr>
      <w:r>
        <w:rPr>
          <w:rFonts w:ascii="Arial" w:cs="Arial" w:eastAsia="Arial" w:hAnsi="Arial"/>
          <w:sz w:val="16"/>
          <w:szCs w:val="16"/>
          <w:color w:val="auto"/>
        </w:rPr>
        <w:t>Until the Expiration Date (as defined below), we are offering to the holders of our warrants as described below the opportunity to receive 0.1920 shares of common stock, par value of $0.001 per share (the “Common Stock”) of Priority Technology Holdings, Inc. (“Priority” or the “Company”) in exchange for each of our outstanding warrants tendered by the holder and exchanged pursuant to the offer (the “Offer”). The Offer is being made to:</w:t>
      </w:r>
    </w:p>
    <w:p>
      <w:pPr>
        <w:spacing w:after="0" w:line="147" w:lineRule="exact"/>
        <w:rPr>
          <w:sz w:val="24"/>
          <w:szCs w:val="24"/>
          <w:color w:val="auto"/>
        </w:rPr>
      </w:pPr>
    </w:p>
    <w:p>
      <w:pPr>
        <w:ind w:left="900" w:right="140" w:hanging="406"/>
        <w:spacing w:after="0" w:line="25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holders of our publicly traded warrants to purchase our Common Stock, which were originally issued as warrants to purchase the Common Stock of the Company, formerly known as M I Acquisitions, Inc. (“M I”), in connection with the initial public offering of M I’s securities on September 19, 2016 (the “M I IPO”), which entitle such warrant holders to purchase one share of Common Stock at an exercise price of $11.50, subject to adjustments, referred to as the “Public Warrants.” Our Common Stock is listed on The NASDAQ Global Market (“NASDAQ”) under the symbol “PRTH,” and our Public Warrants are listed on NASDAQ under the symbol “PRTHW.” As of February 8, 2019, 5,310,109 Public Warrants were outstanding. Pursuant to the Offer, we are offering up to an aggregate of 1,019,541 shares of Common Stock in exchange for the Public Warrants.</w:t>
      </w:r>
    </w:p>
    <w:p>
      <w:pPr>
        <w:spacing w:after="0" w:line="189" w:lineRule="exact"/>
        <w:rPr>
          <w:rFonts w:ascii="Arial" w:cs="Arial" w:eastAsia="Arial" w:hAnsi="Arial"/>
          <w:sz w:val="18"/>
          <w:szCs w:val="18"/>
          <w:color w:val="auto"/>
        </w:rPr>
      </w:pPr>
    </w:p>
    <w:p>
      <w:pPr>
        <w:ind w:left="900" w:right="40" w:hanging="406"/>
        <w:spacing w:after="0" w:line="291"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holders of certain of our warrants to purchase shares of Common Stock that were privately issued in connection with the M I IPO based on an exemption from registration under the Securities Act of 1933, as amended (the “Securities Act”), referred to as the “Private Warrants.” The Private Warrants entitle the holders to purchase one share of Common Stock for a purchase price of $11.50, subject to adjustments. The terms of the Private Warrants are identical to the Public Warrants, except that such Private Warrants are exercisable on a cashless basis and are not redeemable by us, in each case so long as they are still held by the initial holders or their affiliates. The Public Warrants and Private Warrants are referred to collectively as the “Warrants.” As of February 8, 2019, 421,107 Private Warrants were outstanding. Pursuant to the Offer, we are offering up to an aggregate of 80,852 shares of our Common Stock in exchange for the Private Warrants.</w:t>
      </w:r>
    </w:p>
    <w:p>
      <w:pPr>
        <w:spacing w:after="0" w:line="167"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Each Warrant holder whose Warrants are exchanged pursuant to the Offer will receive 0.1920 shares of our Common Stock for each Warrant tendered by such holder and exchanged. No fractional shares of our Common Stock will be issued pursuant to the Offer. In lieu of issuing fractional shares, any holder of Warrants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Common Stock on NASDAQ on the last trading day of the Offer Period (as defined below). Our obligation to complete the Offer is not conditioned on the receipt of a minimum number of tendered Warrants.</w:t>
      </w:r>
    </w:p>
    <w:p>
      <w:pPr>
        <w:spacing w:after="0" w:line="193" w:lineRule="exact"/>
        <w:rPr>
          <w:sz w:val="24"/>
          <w:szCs w:val="24"/>
          <w:color w:val="auto"/>
        </w:rPr>
      </w:pPr>
    </w:p>
    <w:p>
      <w:pPr>
        <w:ind w:right="60"/>
        <w:spacing w:after="0" w:line="269" w:lineRule="auto"/>
        <w:rPr>
          <w:sz w:val="20"/>
          <w:szCs w:val="20"/>
          <w:color w:val="auto"/>
        </w:rPr>
      </w:pPr>
      <w:r>
        <w:rPr>
          <w:rFonts w:ascii="Arial" w:cs="Arial" w:eastAsia="Arial" w:hAnsi="Arial"/>
          <w:sz w:val="17"/>
          <w:szCs w:val="17"/>
          <w:color w:val="auto"/>
        </w:rPr>
        <w:t>Concurrently with the Offer, we are also soliciting consents (the “Consent Solicitation”) from holders of the Warrants to amend (the “Warrant Amendment”) the Warrant Agreement, dated as of September 13, 2016, by and between the Company and American Stock Transfer &amp; Trust Company, LLC (the “Warrant Agreement”), which governs all of the Warrants to permit the Company to require that each outstanding Warrant be converted into 0.1728 shares of Common Stock, which is a ratio 10% less than the ratio applicable to the Offer. Pursuant to the terms of the Warrant Agreement, the consent of holders of at least a majority of the outstanding Warrants is required to approve the Warrant Amendment, with the Public Warrant holders and Private Warrant holders voting together. Therefore, one of the conditions to the adoption of the Warrant Amendment is the receipt of the consent of holders of at least a majority of the outstanding Warrants. You may not consent to the Warrant Amendment without tendering your Warrants in the Offer and you may not tender your Warrants without consenting to the Warrant Amendment. The consent to the Warrant Amendment is a part of the letter of transmittal and consent relating to the Warrants (as it may be supplemented and amended from time to time, the “Letter of Transmittal and Consent”), and therefore by tendering your Warrants for exchange you will deliver to us your consent. You may revoke your consent at any time prior to the Expiration Date (as defined below) by withdrawing the Warrants you have tendered.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ind w:right="40"/>
        <w:spacing w:after="0" w:line="276" w:lineRule="auto"/>
        <w:rPr>
          <w:sz w:val="20"/>
          <w:szCs w:val="20"/>
          <w:color w:val="auto"/>
        </w:rPr>
      </w:pPr>
      <w:r>
        <w:rPr>
          <w:rFonts w:ascii="Arial" w:cs="Arial" w:eastAsia="Arial" w:hAnsi="Arial"/>
          <w:sz w:val="17"/>
          <w:szCs w:val="17"/>
          <w:color w:val="auto"/>
        </w:rPr>
        <w:t>The Offer and Consent Solicitation is made solely upon the terms and conditions in this Prospectus/Offer to Exchange and in the related Letter of Transmittal and Consent. The Offer and Consent Solicitation will be open until 11:59 p.m., Eastern Standard Time, on February 12, 2019, or such later time and date to which we may extend (the period during which the Offer and Consent Solicitation is open, giving effect to any withdrawal or extension, is referred to as the “Offer Period,” and the date and time at which the Offer Period ends is referred to as the “Expiration Date”). The Offer and Consent Solicitation is not made to those holders who reside in states or other jurisdictions where an offer, solicitation or sale would be unlawful.</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may withdraw the Offer and Consent Solicitation only if the conditions to the Offer and Consent Solicitation are not satisfied or waived prior to the Expiration Date. Promptly upon any such withdrawal, we will return the tendered Warrants to the holders (and the consent to the Warrant Amendment will be revoked).</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 approved, by following the instructions in this Prospectus/Offer to Exchange. In addition, tendered Warrants that are not accepted by us for exchange by February 25, 2019, may thereafter be withdrawn by you until such time as the Warrants are accepted by us for exchange. If you withdraw the tender of your Warrants, your consent to the Warrant Amendment will be withdrawn as a result.</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Warrants not exchanged for shares of our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conversion of all outstanding Warrants to Common Stock as provided in the Warrant Amendment. Our Public Warrants are currently listed on NASDAQ under the symbol “PRTHW”; however, NASDAQ has advised us that they intend to delist our Public Warrants if any such Public Warrants remain outstanding as of February 27, 2019. See “Risk Factors—Risk Factors Related to Our Warrants and the Offer to Exchange and Consent Solicitation—NASDAQ intends to delist our Public Warrants from trading on its exchange, which would limit, for anyone holding Public Warrants after the completion of the Offer and Consent Solicitation and such delisting, the ability to engage in transactions in our Public Warrants.”</w:t>
      </w:r>
    </w:p>
    <w:p>
      <w:pPr>
        <w:spacing w:after="0" w:line="179"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Offer and Consent Solicitation is conditioned upon the effectiveness of a registration statement on Form S-4 that we filed with the Securities and Exchange Commission (the “SEC”) regarding the shares of Common Stock issuable upon exchange of the Warrants pursuant to the Offer. This Prospectus/Offer to Exchange forms a part of the registration statement.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board of directors has approved the Offer and Consent Solicitation. However, neither we nor any of our management, our board of directors, or the information agent, the exchange agent or the dealer manager for the Offer and Consent Solicitation is making any recommendation as to whether holders of Warrants should tender Warrants for exchange in the Offer and consent to the Warrant Amendment in the Consent Solicitation. Each holder of a Warrant must make its own decision as to whether to exchange some or all of its Warrants and consent to the Warrant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questions concerning the terms of the Offer and Consent Solicitation should be directed to the dealer manager:</w:t>
      </w:r>
    </w:p>
    <w:p>
      <w:pPr>
        <w:spacing w:after="0" w:line="2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Cowen and Company, LLC</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 (833) 297-2926</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Attn: Equity Capital Markets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questions concerning exchange procedures and requests for additional copies of this Prospectus/Offer to Exchange, the Letter of Transmittal and Consent or the Notice of Guaranteed Delivery should be directed to the information agent:</w:t>
      </w:r>
    </w:p>
    <w:p>
      <w:pPr>
        <w:spacing w:after="0" w:line="16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D.F. King &amp; Co., Inc.</w:t>
      </w:r>
    </w:p>
    <w:p>
      <w:pPr>
        <w:ind w:left="4780"/>
        <w:spacing w:after="0" w:line="198" w:lineRule="auto"/>
        <w:rPr>
          <w:sz w:val="20"/>
          <w:szCs w:val="20"/>
          <w:color w:val="auto"/>
        </w:rPr>
      </w:pPr>
      <w:r>
        <w:rPr>
          <w:rFonts w:ascii="Arial" w:cs="Arial" w:eastAsia="Arial" w:hAnsi="Arial"/>
          <w:sz w:val="18"/>
          <w:szCs w:val="18"/>
          <w:color w:val="auto"/>
        </w:rPr>
        <w:t>48 Wall Street,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10005</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Others Call Toll-Free: (800) 967-4607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PRTH@dfking.com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 w:name="page3"/>
    <w:bookmarkEnd w:id="2"/>
    <w:p>
      <w:pPr>
        <w:ind w:right="480"/>
        <w:spacing w:after="0" w:line="277" w:lineRule="auto"/>
        <w:rPr>
          <w:sz w:val="20"/>
          <w:szCs w:val="20"/>
          <w:color w:val="auto"/>
        </w:rPr>
      </w:pPr>
      <w:r>
        <w:rPr>
          <w:rFonts w:ascii="Arial" w:cs="Arial" w:eastAsia="Arial" w:hAnsi="Arial"/>
          <w:sz w:val="18"/>
          <w:szCs w:val="18"/>
          <w:color w:val="auto"/>
        </w:rPr>
        <w:t>We will amend our offering materials, including this Prospectus/Offer to Exchange, to the extent required by applicable securities laws to disclose any material changes to information previously published, sent or given to Warrant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jc w:val="both"/>
        <w:ind w:right="700"/>
        <w:spacing w:after="0" w:line="347" w:lineRule="auto"/>
        <w:rPr>
          <w:sz w:val="20"/>
          <w:szCs w:val="20"/>
          <w:color w:val="auto"/>
        </w:rPr>
      </w:pPr>
      <w:r>
        <w:rPr>
          <w:rFonts w:ascii="Arial" w:cs="Arial" w:eastAsia="Arial" w:hAnsi="Arial"/>
          <w:sz w:val="16"/>
          <w:szCs w:val="16"/>
          <w:b w:val="1"/>
          <w:bCs w:val="1"/>
          <w:color w:val="auto"/>
        </w:rPr>
        <w:t>The securities offered by this Prospectus/Offer to Exchange involve risks. Before participating in the Offer and consenting to the Warrant Amendment, you are urged to read carefully the section entitled “Risk Factors” beginning on page 6 of this 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or any other regulatory body has approved or disapproved of these securities or determined if this Prospectus/Offer to Exchange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Through the Offer, we are soliciting your consent to the Warrant Amendment. By tendering your Warrants, you will be delivering your consent to the proposed Warrant Amendment, which consent will be effective upon our acceptance of the Warrants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dealer manager for the Offer and Consent Solicitation is:</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Prospectus/Offer to Exchange is dated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gridSpan w:val="5"/>
          </w:tcPr>
          <w:p>
            <w:pPr>
              <w:ind w:left="5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385"/>
        </w:trPr>
        <w:tc>
          <w:tcPr>
            <w:tcW w:w="108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PROSPECTUS/OFFER TO EXCHANGE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412"/>
        </w:trPr>
        <w:tc>
          <w:tcPr>
            <w:tcW w:w="416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FORWARD LOOKING STATEMENTS</w:t>
              </w:r>
            </w:hyperlink>
          </w:p>
        </w:tc>
        <w:tc>
          <w:tcPr>
            <w:tcW w:w="67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412"/>
        </w:trPr>
        <w:tc>
          <w:tcPr>
            <w:tcW w:w="2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FREQUENTLY USED TERMS</w:t>
              </w:r>
            </w:hyperlink>
          </w:p>
        </w:tc>
        <w:tc>
          <w:tcPr>
            <w:tcW w:w="580" w:type="dxa"/>
            <w:vAlign w:val="bottom"/>
            <w:tcBorders>
              <w:top w:val="single" w:sz="8" w:color="0000EE"/>
            </w:tcBorders>
            <w:gridSpan w:val="2"/>
          </w:tcPr>
          <w:p>
            <w:pPr>
              <w:spacing w:after="0"/>
              <w:rPr>
                <w:sz w:val="24"/>
                <w:szCs w:val="24"/>
                <w:color w:val="auto"/>
              </w:rPr>
            </w:pPr>
          </w:p>
        </w:tc>
        <w:tc>
          <w:tcPr>
            <w:tcW w:w="794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412"/>
        </w:trPr>
        <w:tc>
          <w:tcPr>
            <w:tcW w:w="1086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SUMMARY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RISK FACTORS</w:t>
              </w:r>
            </w:hyperlink>
          </w:p>
        </w:tc>
        <w:tc>
          <w:tcPr>
            <w:tcW w:w="960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35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THE OFFER AND CONSENT SOLICITATION</w:t>
              </w:r>
            </w:hyperlink>
          </w:p>
        </w:tc>
        <w:tc>
          <w:tcPr>
            <w:tcW w:w="73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086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SELECTED FINANCIAL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086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UNAUDITED PRO FORMA CONDENSED COMBINED FINANCIAL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BUSINESS</w:t>
              </w:r>
            </w:hyperlink>
          </w:p>
        </w:tc>
        <w:tc>
          <w:tcPr>
            <w:tcW w:w="5660" w:type="dxa"/>
            <w:vAlign w:val="bottom"/>
            <w:tcBorders>
              <w:top w:val="single" w:sz="8" w:color="0000EE"/>
            </w:tcBorders>
            <w:gridSpan w:val="12"/>
          </w:tcPr>
          <w:p>
            <w:pPr>
              <w:spacing w:after="0"/>
              <w:rPr>
                <w:sz w:val="24"/>
                <w:szCs w:val="24"/>
                <w:color w:val="auto"/>
              </w:rPr>
            </w:pPr>
          </w:p>
        </w:tc>
        <w:tc>
          <w:tcPr>
            <w:tcW w:w="42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2"/>
        </w:trPr>
        <w:tc>
          <w:tcPr>
            <w:tcW w:w="10860" w:type="dxa"/>
            <w:vAlign w:val="bottom"/>
            <w:gridSpan w:val="1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2"/>
        </w:trPr>
        <w:tc>
          <w:tcPr>
            <w:tcW w:w="8860" w:type="dxa"/>
            <w:vAlign w:val="bottom"/>
            <w:tcBorders>
              <w:top w:val="single" w:sz="8" w:color="0000EE"/>
            </w:tcBorders>
            <w:gridSpan w:val="1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MANAGEMENT</w:t>
              </w:r>
            </w:hyperlink>
          </w:p>
        </w:tc>
        <w:tc>
          <w:tcPr>
            <w:tcW w:w="2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2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20">
              <w:r>
                <w:rPr>
                  <w:rFonts w:ascii="Arial" w:cs="Arial" w:eastAsia="Arial" w:hAnsi="Arial"/>
                  <w:sz w:val="18"/>
                  <w:szCs w:val="18"/>
                  <w:color w:val="0000EE"/>
                  <w:w w:val="95"/>
                </w:rPr>
                <w:t>DESCRIPTION OF CAPITAL STOCK</w:t>
              </w:r>
            </w:hyperlink>
          </w:p>
        </w:tc>
        <w:tc>
          <w:tcPr>
            <w:tcW w:w="79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12"/>
        </w:trPr>
        <w:tc>
          <w:tcPr>
            <w:tcW w:w="10860" w:type="dxa"/>
            <w:vAlign w:val="bottom"/>
            <w:gridSpan w:val="1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CERTAIN RELATIONSHIPS AND RELATED PERSON TRANSACTIONS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24">
              <w:r>
                <w:rPr>
                  <w:rFonts w:ascii="Arial" w:cs="Arial" w:eastAsia="Arial" w:hAnsi="Arial"/>
                  <w:sz w:val="18"/>
                  <w:szCs w:val="18"/>
                  <w:color w:val="0000EE"/>
                  <w:w w:val="96"/>
                </w:rPr>
                <w:t>SECURITY OWNERSHIP OF CERTAIN BENEFICIAL OWNERS AND MANAGEMENT</w:t>
              </w:r>
            </w:hyperlink>
          </w:p>
        </w:tc>
        <w:tc>
          <w:tcPr>
            <w:tcW w:w="41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12"/>
        </w:trPr>
        <w:tc>
          <w:tcPr>
            <w:tcW w:w="10860" w:type="dxa"/>
            <w:vAlign w:val="bottom"/>
            <w:gridSpan w:val="1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LEGAL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12"/>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24"/>
                <w:szCs w:val="24"/>
                <w:color w:val="auto"/>
              </w:rPr>
            </w:pPr>
          </w:p>
        </w:tc>
        <w:tc>
          <w:tcPr>
            <w:tcW w:w="94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12"/>
        </w:trPr>
        <w:tc>
          <w:tcPr>
            <w:tcW w:w="10860" w:type="dxa"/>
            <w:vAlign w:val="bottom"/>
            <w:gridSpan w:val="1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WHERE YOU CAN FIND MORE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12"/>
        </w:trPr>
        <w:tc>
          <w:tcPr>
            <w:tcW w:w="382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INDEX TO FINANCIAL STATEMENTS</w:t>
              </w:r>
            </w:hyperlink>
          </w:p>
        </w:tc>
        <w:tc>
          <w:tcPr>
            <w:tcW w:w="70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PROSPECTUS/OFFER TO EXCHANGE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Prospectus/Offer to Exchange is a part of the registration statement that we filed on Form S-4 with the Securities and Exchange Commission. You should read this Prospectus/Offer to Exchange, including the detailed information regarding our company, Common Stock and Warrants, and the financial statements and the notes to those statements that appear elsewhere in this Prospectus/Offer to Exchange and any applicable prospectus supplement.</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this Prospectus/Offer to Exchange and in any accompanying prospectus supplement. We have not authorized anyone to provide you with information different from that contained in this Prospectus/Offer to Exchange. If anyone makes any recommendation or representation to you, or gives you any information, you must not rely upon that recommendation, representation or information as having been authorized by us. We and the dealer manager take no responsibility for, and can provide no assurance as to the reliability of, any other information that others may give you. You should not assume that the information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Prospectus/Offer to Exchange to be an offer or solicitation relating to the securities if the person making the offer or solicitation is not qualified to do so, or if it is unlawful for you to receive such an offer or solicitation.</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the context requires otherwise, in this Prospectus/Offer to Exchange, we use the terms “the Company,” “Priority,” “our company,” “we,” “us,” “our,” and similar references to refer to Priority Technology Holdings, Inc. and its subsidiaries.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p>
      <w:pPr>
        <w:ind w:left="4160"/>
        <w:spacing w:after="0"/>
        <w:rPr>
          <w:sz w:val="20"/>
          <w:szCs w:val="20"/>
          <w:color w:val="auto"/>
        </w:rPr>
      </w:pPr>
      <w:r>
        <w:rPr>
          <w:rFonts w:ascii="Arial" w:cs="Arial" w:eastAsia="Arial" w:hAnsi="Arial"/>
          <w:sz w:val="18"/>
          <w:szCs w:val="18"/>
          <w:b w:val="1"/>
          <w:bCs w:val="1"/>
          <w:color w:val="auto"/>
        </w:rPr>
        <w:t>FORWARD 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of the statements made in this Prospectus/Offer to Exchange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Prospectus/Offer to Exchange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unauthorized disclosure of merchant or cardholder data, whether through breach of our computer systems, computer viruses, or otherwise;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approval of the Warrant Amendment and our ability to require that all outstanding Warrants be exchanged for shares of Common Stock;</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exchange of Warrants for shares of Common Stock pursuant to the Offer, which will increase the number of shares eligible for future resale in the public market and result in dilution to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third-party determination that the Offer or the Consent Solicitation is fair to Warrant 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set forth in the “Risk Factors” section of this Prospectus/Offer to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Prospectus/Offer to Exchange.</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forward-looking statements contained in this Prospectus/Offer to Exchange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on page 6 of this Prospectus/Offer to Exchange,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Prospectus/Offer to Exchange,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spacing w:after="0" w:line="308" w:lineRule="auto"/>
        <w:rPr>
          <w:sz w:val="20"/>
          <w:szCs w:val="20"/>
          <w:color w:val="auto"/>
        </w:rPr>
      </w:pPr>
      <w:r>
        <w:rPr>
          <w:rFonts w:ascii="Arial" w:cs="Arial" w:eastAsia="Arial" w:hAnsi="Arial"/>
          <w:sz w:val="17"/>
          <w:szCs w:val="17"/>
          <w:color w:val="auto"/>
        </w:rPr>
        <w:t>You should read this Prospectus/Offer to Exchange with the understanding that our actual future results, levels of activity, performance and achievements may be materially different from what we expect. We qualify all of our forward-looking statements by these cautionary statements.</w:t>
      </w:r>
    </w:p>
    <w:p>
      <w:pPr>
        <w:spacing w:after="0" w:line="14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Prospectus/Offer to Exchange: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that certain business combination contemplated by that certain contribution agreement, dated February 26, 2018, as amended and restated on March 26, 2018 and April 17, 2018, by and among M I and the Sellers and consummated as of July 25,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shares of common stock, with a par value of $0.001 per share, of Priority.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 Solicitation</w:t>
      </w:r>
      <w:r>
        <w:rPr>
          <w:rFonts w:ascii="Arial" w:cs="Arial" w:eastAsia="Arial" w:hAnsi="Arial"/>
          <w:sz w:val="18"/>
          <w:szCs w:val="18"/>
          <w:color w:val="auto"/>
        </w:rPr>
        <w:t>” means the solicitation of consent from the holders of the Warrants to approve the Warrant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means 11:59 p.m., Eastern Standard Time on February 12, 2019 or such later date and time to which we may extend.</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Transmittal and Consent</w:t>
      </w:r>
      <w:r>
        <w:rPr>
          <w:rFonts w:ascii="Arial" w:cs="Arial" w:eastAsia="Arial" w:hAnsi="Arial"/>
          <w:sz w:val="18"/>
          <w:szCs w:val="18"/>
          <w:color w:val="auto"/>
        </w:rPr>
        <w:t>” means the letter of transmittal and consent (as it may be supplemented and amended from time to time) related to the Offer and Consent Solicitation.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 I</w:t>
      </w:r>
      <w:r>
        <w:rPr>
          <w:rFonts w:ascii="Arial" w:cs="Arial" w:eastAsia="Arial" w:hAnsi="Arial"/>
          <w:sz w:val="18"/>
          <w:szCs w:val="18"/>
          <w:color w:val="auto"/>
        </w:rPr>
        <w:t>” means 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 I IPO</w:t>
      </w:r>
      <w:r>
        <w:rPr>
          <w:rFonts w:ascii="Arial" w:cs="Arial" w:eastAsia="Arial" w:hAnsi="Arial"/>
          <w:sz w:val="18"/>
          <w:szCs w:val="18"/>
          <w:color w:val="auto"/>
        </w:rPr>
        <w:t>” means the initial public offering of M I’s securities on September 19, 2016.</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Guaranteed Delivery</w:t>
      </w:r>
      <w:r>
        <w:rPr>
          <w:rFonts w:ascii="Arial" w:cs="Arial" w:eastAsia="Arial" w:hAnsi="Arial"/>
          <w:sz w:val="18"/>
          <w:szCs w:val="18"/>
          <w:color w:val="auto"/>
        </w:rPr>
        <w:t>” means the form provided with this Prospectus/Offer to Exchange to be used to accept the Offer pursuant to the conditions set forth therein.</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w:t>
      </w:r>
      <w:r>
        <w:rPr>
          <w:rFonts w:ascii="Arial" w:cs="Arial" w:eastAsia="Arial" w:hAnsi="Arial"/>
          <w:sz w:val="18"/>
          <w:szCs w:val="18"/>
          <w:color w:val="auto"/>
        </w:rPr>
        <w:t>” means the opportunity to receive 0.1920 shares of Common Stock in exchange for each of our outstanding warrants, up to an aggregate of (i) 1,019,541 shares of Common Stock in exchange for all 5,310,109 Public Warrants and (ii) 80,852 shares of Common Stock in exchange for all 421,107 Private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Period</w:t>
      </w:r>
      <w:r>
        <w:rPr>
          <w:rFonts w:ascii="Arial" w:cs="Arial" w:eastAsia="Arial" w:hAnsi="Arial"/>
          <w:sz w:val="18"/>
          <w:szCs w:val="18"/>
          <w:color w:val="auto"/>
        </w:rPr>
        <w:t>” means the period during which the Offer and Consent Solicitation is open, giving effect to any withdrawal or extension.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 means Priority Technology Holdings, Inc., a Delaware corporation.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Warrants</w:t>
      </w:r>
      <w:r>
        <w:rPr>
          <w:rFonts w:ascii="Arial" w:cs="Arial" w:eastAsia="Arial" w:hAnsi="Arial"/>
          <w:sz w:val="18"/>
          <w:szCs w:val="18"/>
          <w:color w:val="auto"/>
        </w:rPr>
        <w:t>” mean our warrants to purchase shares of Common Stock that were privately issued in connection with the M I IPO, entitling each holder to purchase one share of Common Stock for a purchase price of $11.50, subject to adjustments.</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Public Warrants</w:t>
      </w:r>
      <w:r>
        <w:rPr>
          <w:rFonts w:ascii="Arial" w:cs="Arial" w:eastAsia="Arial" w:hAnsi="Arial"/>
          <w:sz w:val="16"/>
          <w:szCs w:val="16"/>
          <w:color w:val="auto"/>
        </w:rPr>
        <w:t>” mean our publicly traded warrants to purchase our shares of Common Stock that were originally issued as warrants to purchase the common stock of M I, entitling each holder to purchase one share of Common Stock for a purchase price of $11.50, subject to adjustments.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Sellers</w:t>
      </w:r>
      <w:r>
        <w:rPr>
          <w:rFonts w:ascii="Arial" w:cs="Arial" w:eastAsia="Arial" w:hAnsi="Arial"/>
          <w:sz w:val="18"/>
          <w:szCs w:val="18"/>
          <w:color w:val="auto"/>
        </w:rPr>
        <w:t>” means Priority Investment Holdings, LLC and Priority Incentive Equity Holdings, LLC.</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means the Warrant Agreement, dated as of September 13, 2016, by and between the Company and American Stock Transfer &amp; Trust Company, LLC.</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Amendment</w:t>
      </w:r>
      <w:r>
        <w:rPr>
          <w:rFonts w:ascii="Arial" w:cs="Arial" w:eastAsia="Arial" w:hAnsi="Arial"/>
          <w:sz w:val="18"/>
          <w:szCs w:val="18"/>
          <w:color w:val="auto"/>
        </w:rPr>
        <w:t>” means the amendment to the Warrant Agreement permitting the Company to require that each outstanding Warrant be converted into 0.1728 shares of Common Stock, which is a ratio 10% less than the ratio applicable to the Offer.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mean the Public Warrants and the Private Warrants.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76465" cy="7585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7585075"/>
                    </a:xfrm>
                    <a:prstGeom prst="rect">
                      <a:avLst/>
                    </a:prstGeom>
                    <a:noFill/>
                  </pic:spPr>
                </pic:pic>
              </a:graphicData>
            </a:graphic>
          </wp:anchor>
        </w:drawing>
        <w:t>SUMMARY</w:t>
      </w:r>
    </w:p>
    <w:p>
      <w:pPr>
        <w:spacing w:after="0" w:line="229" w:lineRule="exact"/>
        <w:rPr>
          <w:sz w:val="20"/>
          <w:szCs w:val="20"/>
          <w:color w:val="auto"/>
        </w:rPr>
      </w:pPr>
    </w:p>
    <w:p>
      <w:pPr>
        <w:ind w:left="260" w:right="300"/>
        <w:spacing w:after="0" w:line="259" w:lineRule="auto"/>
        <w:rPr>
          <w:sz w:val="20"/>
          <w:szCs w:val="20"/>
          <w:color w:val="auto"/>
        </w:rPr>
      </w:pPr>
      <w:r>
        <w:rPr>
          <w:rFonts w:ascii="Arial" w:cs="Arial" w:eastAsia="Arial" w:hAnsi="Arial"/>
          <w:sz w:val="18"/>
          <w:szCs w:val="18"/>
          <w:i w:val="1"/>
          <w:iCs w:val="1"/>
          <w:color w:val="auto"/>
        </w:rPr>
        <w:t>In this Prospectus/Offer to Exchange, unless otherwise stated, the terms “the Company,” “Priority,” “we,” “us” or “our” refer to Priority Technology Holdings, Inc. and its subsidiaries. Except where noted, references to our business, operations, properties, financial results, operating and other information relating to periods prior to the consummation of the Business Combination on July 25, 2018, refer to the business, operations, properties, financial results, operating and other information of Priority Holdings, LLC, our accounting predecessor.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 and Consent Solicitation</w:t>
      </w:r>
    </w:p>
    <w:p>
      <w:pPr>
        <w:spacing w:after="0" w:line="229" w:lineRule="exact"/>
        <w:rPr>
          <w:sz w:val="20"/>
          <w:szCs w:val="20"/>
          <w:color w:val="auto"/>
        </w:rPr>
      </w:pPr>
    </w:p>
    <w:p>
      <w:pPr>
        <w:ind w:left="260" w:right="280"/>
        <w:spacing w:after="0" w:line="276" w:lineRule="auto"/>
        <w:rPr>
          <w:sz w:val="20"/>
          <w:szCs w:val="20"/>
          <w:color w:val="auto"/>
        </w:rPr>
      </w:pPr>
      <w:r>
        <w:rPr>
          <w:rFonts w:ascii="Arial" w:cs="Arial" w:eastAsia="Arial" w:hAnsi="Arial"/>
          <w:sz w:val="17"/>
          <w:szCs w:val="17"/>
          <w:i w:val="1"/>
          <w:iCs w:val="1"/>
          <w:color w:val="auto"/>
        </w:rPr>
        <w:t>This summary provides a brief overview of the key aspects of the Offer and Consent Solicitation. Because it is only a summary, it does not contain all of the detailed information contained elsewhere in this Prospectus/Offer to Exchange or in the documents included as exhibits to the registration statement that contains this Prospectus/Offer to Exchange. Accordingly, you are urged to carefully review this Prospectus/Offer to Exchange in its entirety (including all documents filed as exhibits to the registration statement that contains this Prospectus/Offer to Exchange, which may be obtained by following the procedures set forth herein in the section entitled “Where You Can Find Additional Information”).</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Summary of the Offer and Consent Solicitation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Our Company</w:t>
            </w: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7"/>
              </w:rPr>
              <w:t>Priority Technology Holdings, Inc., a Delaware corporation, a leading provider of merchant acquiring</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and commercial payment solutions, offering unique product capabilities to small and mid-sized</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4"/>
              </w:rPr>
              <w:t>businesses, enterprises and distribution partners (retail and wholesale independent sales organizations,</w:t>
            </w:r>
          </w:p>
        </w:tc>
      </w:tr>
      <w:tr>
        <w:trPr>
          <w:trHeight w:val="230"/>
        </w:trPr>
        <w:tc>
          <w:tcPr>
            <w:tcW w:w="320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financial institutions and independent software vendors) in the United States.</w:t>
            </w:r>
          </w:p>
        </w:tc>
      </w:tr>
      <w:tr>
        <w:trPr>
          <w:trHeight w:val="418"/>
        </w:trPr>
        <w:tc>
          <w:tcPr>
            <w:tcW w:w="3200" w:type="dxa"/>
            <w:vAlign w:val="bottom"/>
          </w:tcPr>
          <w:p>
            <w:pPr>
              <w:ind w:left="260"/>
              <w:spacing w:after="0"/>
              <w:rPr>
                <w:sz w:val="20"/>
                <w:szCs w:val="20"/>
                <w:color w:val="auto"/>
              </w:rPr>
            </w:pPr>
            <w:r>
              <w:rPr>
                <w:rFonts w:ascii="Arial" w:cs="Arial" w:eastAsia="Arial" w:hAnsi="Arial"/>
                <w:sz w:val="18"/>
                <w:szCs w:val="18"/>
                <w:color w:val="auto"/>
              </w:rPr>
              <w:t>Corporate Contact Information</w:t>
            </w: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6"/>
              </w:rPr>
              <w:t>Our principal executive offices are located at 2001 Westside Parkway, Alpharetta, GA 30004, and our</w:t>
            </w:r>
          </w:p>
        </w:tc>
      </w:tr>
      <w:tr>
        <w:trPr>
          <w:trHeight w:val="230"/>
        </w:trPr>
        <w:tc>
          <w:tcPr>
            <w:tcW w:w="320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telephone number is (800) 935-5961.</w:t>
            </w:r>
          </w:p>
        </w:tc>
      </w:tr>
      <w:tr>
        <w:trPr>
          <w:trHeight w:val="432"/>
        </w:trPr>
        <w:tc>
          <w:tcPr>
            <w:tcW w:w="3200" w:type="dxa"/>
            <w:vAlign w:val="bottom"/>
          </w:tcPr>
          <w:p>
            <w:pPr>
              <w:ind w:left="260"/>
              <w:spacing w:after="0"/>
              <w:rPr>
                <w:sz w:val="20"/>
                <w:szCs w:val="20"/>
                <w:color w:val="auto"/>
              </w:rPr>
            </w:pPr>
            <w:r>
              <w:rPr>
                <w:rFonts w:ascii="Arial" w:cs="Arial" w:eastAsia="Arial" w:hAnsi="Arial"/>
                <w:sz w:val="18"/>
                <w:szCs w:val="18"/>
                <w:color w:val="auto"/>
              </w:rPr>
              <w:t>Warrants that qualify for the Offer</w:t>
            </w: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w:t>
            </w:r>
          </w:p>
        </w:tc>
      </w:tr>
      <w:tr>
        <w:trPr>
          <w:trHeight w:val="418"/>
        </w:trPr>
        <w:tc>
          <w:tcPr>
            <w:tcW w:w="3200" w:type="dxa"/>
            <w:vAlign w:val="bottom"/>
          </w:tcPr>
          <w:p>
            <w:pPr>
              <w:spacing w:after="0"/>
              <w:rPr>
                <w:sz w:val="24"/>
                <w:szCs w:val="24"/>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7"/>
              </w:rPr>
              <w:t>As of February 8, 2019, we had outstanding Public Warrants to purchase an aggregate of 5,310,109</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8"/>
              </w:rPr>
              <w:t>shares of our Common Stock. The Public Warrants were originally issued in connection with the M I</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3"/>
              </w:rPr>
              <w:t>IPO. Pursuant to the Offer, we are offering up to an aggregate of 1,019,541 shares of our Common Stock</w:t>
            </w:r>
          </w:p>
        </w:tc>
      </w:tr>
      <w:tr>
        <w:trPr>
          <w:trHeight w:val="230"/>
        </w:trPr>
        <w:tc>
          <w:tcPr>
            <w:tcW w:w="320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in exchange for all of the Public Warrants.</w:t>
            </w:r>
          </w:p>
        </w:tc>
      </w:tr>
      <w:tr>
        <w:trPr>
          <w:trHeight w:val="432"/>
        </w:trPr>
        <w:tc>
          <w:tcPr>
            <w:tcW w:w="3200" w:type="dxa"/>
            <w:vAlign w:val="bottom"/>
          </w:tcPr>
          <w:p>
            <w:pPr>
              <w:spacing w:after="0"/>
              <w:rPr>
                <w:sz w:val="24"/>
                <w:szCs w:val="24"/>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Warrants</w:t>
            </w:r>
            <w:r>
              <w:rPr>
                <w:rFonts w:ascii="Arial" w:cs="Arial" w:eastAsia="Arial" w:hAnsi="Arial"/>
                <w:sz w:val="18"/>
                <w:szCs w:val="18"/>
                <w:color w:val="auto"/>
              </w:rPr>
              <w:t>”</w:t>
            </w:r>
          </w:p>
        </w:tc>
      </w:tr>
      <w:tr>
        <w:trPr>
          <w:trHeight w:val="418"/>
        </w:trPr>
        <w:tc>
          <w:tcPr>
            <w:tcW w:w="3200" w:type="dxa"/>
            <w:vAlign w:val="bottom"/>
          </w:tcPr>
          <w:p>
            <w:pPr>
              <w:spacing w:after="0"/>
              <w:rPr>
                <w:sz w:val="24"/>
                <w:szCs w:val="24"/>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8"/>
              </w:rPr>
              <w:t>As of February 8, 2019, we had outstanding Private Warrants to purchase an aggregate of 421,107</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shares of our Common Stock. The Private Warrants were issued in connection with the M I IPO.</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8"/>
              </w:rPr>
              <w:t>Pursuant to the Offer, we are offering up to an aggregate of 80,852 shares of our Common Stock in</w:t>
            </w:r>
          </w:p>
        </w:tc>
      </w:tr>
      <w:tr>
        <w:trPr>
          <w:trHeight w:val="230"/>
        </w:trPr>
        <w:tc>
          <w:tcPr>
            <w:tcW w:w="320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exchange for all of the Private Warrants.</w:t>
            </w:r>
          </w:p>
        </w:tc>
      </w:tr>
      <w:tr>
        <w:trPr>
          <w:trHeight w:val="432"/>
        </w:trPr>
        <w:tc>
          <w:tcPr>
            <w:tcW w:w="3200" w:type="dxa"/>
            <w:vAlign w:val="bottom"/>
          </w:tcPr>
          <w:p>
            <w:pPr>
              <w:spacing w:after="0"/>
              <w:rPr>
                <w:sz w:val="24"/>
                <w:szCs w:val="24"/>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i w:val="1"/>
                <w:iCs w:val="1"/>
                <w:color w:val="auto"/>
              </w:rPr>
              <w:t>General Terms of the Warrants</w:t>
            </w:r>
          </w:p>
        </w:tc>
      </w:tr>
      <w:tr>
        <w:trPr>
          <w:trHeight w:val="418"/>
        </w:trPr>
        <w:tc>
          <w:tcPr>
            <w:tcW w:w="3200" w:type="dxa"/>
            <w:vAlign w:val="bottom"/>
          </w:tcPr>
          <w:p>
            <w:pPr>
              <w:spacing w:after="0"/>
              <w:rPr>
                <w:sz w:val="24"/>
                <w:szCs w:val="24"/>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3"/>
              </w:rPr>
              <w:t>Each Warrant entitles such warrant holder to purchase one share of Common Stock for a purchase price</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4"/>
              </w:rPr>
              <w:t>of $11.50, subject to adjustments pursuant to the Warrant Agreement. We may call the Public Warrants</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5"/>
              </w:rPr>
              <w:t>or the Private Warrants, if no longer held by their initial holders or their affiliates, for redemption, at any</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5"/>
              </w:rPr>
              <w:t>time while the Warrants are exercisable, upon not less than 30 days’ prior written notice of redemption</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5"/>
              </w:rPr>
              <w:t>to each Warrant holder, at $0.01 per warrant, if and only if the last sale price of our Common Stock has</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4"/>
              </w:rPr>
              <w:t>been $16.00 per share on each of 20 trading days within a 30 consecutive trading day period and if, and</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6"/>
              </w:rPr>
              <w:t>only if, there is a current registration statement in effect with respect to the Common Stock underlying</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3"/>
              </w:rPr>
              <w:t>the Warrants available throughout the 30-day redemption period or cashless exercise is exempt from the</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4"/>
              </w:rPr>
              <w:t>registration requirements under the Securities Act. The terms of the Private Warrants are identical to the</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8"/>
              </w:rPr>
              <w:t>Public Warrants, except that such Private Warrants are exercisable on a cashless basis and are not</w:t>
            </w:r>
          </w:p>
        </w:tc>
      </w:tr>
      <w:tr>
        <w:trPr>
          <w:trHeight w:val="216"/>
        </w:trPr>
        <w:tc>
          <w:tcPr>
            <w:tcW w:w="320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w w:val="95"/>
              </w:rPr>
              <w:t>redeemable by us, in each case so long as they are still held by the initial holders or their affiliates. The</w:t>
            </w:r>
          </w:p>
        </w:tc>
      </w:tr>
      <w:tr>
        <w:trPr>
          <w:trHeight w:val="230"/>
        </w:trPr>
        <w:tc>
          <w:tcPr>
            <w:tcW w:w="320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Arial" w:cs="Arial" w:eastAsia="Arial" w:hAnsi="Arial"/>
                <w:sz w:val="18"/>
                <w:szCs w:val="18"/>
                <w:color w:val="auto"/>
              </w:rPr>
              <w:t>Warrants expire on September 19, 2021.</w:t>
            </w:r>
          </w:p>
        </w:tc>
      </w:tr>
      <w:tr>
        <w:trPr>
          <w:trHeight w:val="226"/>
        </w:trPr>
        <w:tc>
          <w:tcPr>
            <w:tcW w:w="3200" w:type="dxa"/>
            <w:vAlign w:val="bottom"/>
            <w:tcBorders>
              <w:bottom w:val="single" w:sz="8" w:color="auto"/>
            </w:tcBorders>
          </w:tcPr>
          <w:p>
            <w:pPr>
              <w:spacing w:after="0"/>
              <w:rPr>
                <w:sz w:val="19"/>
                <w:szCs w:val="19"/>
                <w:color w:val="auto"/>
              </w:rPr>
            </w:pPr>
          </w:p>
        </w:tc>
        <w:tc>
          <w:tcPr>
            <w:tcW w:w="8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584"/>
        </w:trPr>
        <w:tc>
          <w:tcPr>
            <w:tcW w:w="320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1148" w:right="199" w:bottom="1440" w:gutter="0" w:footer="0" w:header="0"/>
        </w:sectPr>
      </w:pPr>
    </w:p>
    <w:bookmarkStart w:id="9" w:name="page10"/>
    <w:bookmarkEnd w:id="9"/>
    <w:p>
      <w:pPr>
        <w:ind w:left="260"/>
        <w:spacing w:after="0"/>
        <w:rPr>
          <w:sz w:val="20"/>
          <w:szCs w:val="20"/>
          <w:color w:val="auto"/>
        </w:rPr>
      </w:pPr>
      <w:r>
        <w:rPr>
          <w:rFonts w:ascii="Arial" w:cs="Arial" w:eastAsia="Arial" w:hAnsi="Arial"/>
          <w:sz w:val="16"/>
          <w:szCs w:val="16"/>
          <w:color w:val="auto"/>
        </w:rPr>
        <w:t>Market Price of Our Common Stock</w:t>
      </w:r>
    </w:p>
    <w:p>
      <w:pPr>
        <w:spacing w:after="0" w:line="20" w:lineRule="exact"/>
        <w:rPr>
          <w:sz w:val="20"/>
          <w:szCs w:val="20"/>
          <w:color w:val="auto"/>
        </w:rPr>
      </w:pPr>
      <w:r>
        <w:rPr>
          <w:sz w:val="20"/>
          <w:szCs w:val="20"/>
          <w:color w:val="auto"/>
        </w:rPr>
        <w:br w:type="column"/>
      </w:r>
    </w:p>
    <w:p>
      <w:pPr>
        <w:ind w:right="280"/>
        <w:spacing w:after="0" w:line="302" w:lineRule="auto"/>
        <w:rPr>
          <w:sz w:val="20"/>
          <w:szCs w:val="20"/>
          <w:color w:val="auto"/>
        </w:rPr>
      </w:pPr>
      <w:r>
        <w:rPr>
          <w:rFonts w:ascii="Arial" w:cs="Arial" w:eastAsia="Arial" w:hAnsi="Arial"/>
          <w:sz w:val="16"/>
          <w:szCs w:val="16"/>
          <w:color w:val="auto"/>
        </w:rPr>
        <w:t>Our Common Stock is listed on NASDAQ under the symbol “PRTH,” and the Public Warrants are listed on NASDAQ under the symbol “PRTHW.” Units, each consisting of one share of Common Stock and one Public Warrant, are listed on NASDAQ under the symbol “PRTHU.” See “The Offer and Consent Solicitation—Market Price, Dividends and Related Stockholder Matters” beginning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-871855</wp:posOffset>
            </wp:positionV>
            <wp:extent cx="7276465" cy="6350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35000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2940" w:space="720"/>
            <w:col w:w="7800"/>
          </w:cols>
          <w:pgMar w:left="240" w:top="1287" w:right="199" w:bottom="1440" w:gutter="0" w:footer="0" w:header="0"/>
        </w:sectPr>
      </w:pPr>
    </w:p>
    <w:p>
      <w:pPr>
        <w:ind w:left="260"/>
        <w:spacing w:after="0"/>
        <w:rPr>
          <w:sz w:val="20"/>
          <w:szCs w:val="20"/>
          <w:color w:val="auto"/>
        </w:rPr>
      </w:pPr>
      <w:r>
        <w:rPr>
          <w:rFonts w:ascii="Arial" w:cs="Arial" w:eastAsia="Arial" w:hAnsi="Arial"/>
          <w:sz w:val="16"/>
          <w:szCs w:val="16"/>
          <w:color w:val="auto"/>
        </w:rPr>
        <w:t>The Offer</w:t>
      </w:r>
    </w:p>
    <w:p>
      <w:pPr>
        <w:spacing w:after="0" w:line="20" w:lineRule="exact"/>
        <w:rPr>
          <w:sz w:val="20"/>
          <w:szCs w:val="20"/>
          <w:color w:val="auto"/>
        </w:rPr>
      </w:pPr>
      <w:r>
        <w:rPr>
          <w:sz w:val="20"/>
          <w:szCs w:val="20"/>
          <w:color w:val="auto"/>
        </w:rPr>
        <w:br w:type="column"/>
      </w:r>
    </w:p>
    <w:p>
      <w:pPr>
        <w:ind w:right="300"/>
        <w:spacing w:after="0" w:line="271" w:lineRule="auto"/>
        <w:rPr>
          <w:sz w:val="20"/>
          <w:szCs w:val="20"/>
          <w:color w:val="auto"/>
        </w:rPr>
      </w:pPr>
      <w:r>
        <w:rPr>
          <w:rFonts w:ascii="Arial" w:cs="Arial" w:eastAsia="Arial" w:hAnsi="Arial"/>
          <w:sz w:val="17"/>
          <w:szCs w:val="17"/>
          <w:color w:val="auto"/>
        </w:rPr>
        <w:t>Each Warrant holder whose Warrants are exchanged pursuant to the Offer will receive 0.1920 shares of Common Stock for each Warrant so exchanged. No fractional shares of Common Stock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shares of Common Stock on NASDAQ on the last trading day of the Offer Period. Our obligation to complete the Offer is not conditioned on the receipt of a minimum number of tendered Warrants.</w:t>
      </w:r>
    </w:p>
    <w:p>
      <w:pPr>
        <w:spacing w:after="0" w:line="179" w:lineRule="exact"/>
        <w:rPr>
          <w:sz w:val="20"/>
          <w:szCs w:val="20"/>
          <w:color w:val="auto"/>
        </w:rPr>
      </w:pPr>
    </w:p>
    <w:p>
      <w:pPr>
        <w:sectPr>
          <w:pgSz w:w="11900" w:h="16838" w:orient="portrait"/>
          <w:cols w:equalWidth="0" w:num="2">
            <w:col w:w="2940" w:space="720"/>
            <w:col w:w="7800"/>
          </w:cols>
          <w:pgMar w:left="240" w:top="1287" w:right="199" w:bottom="1440" w:gutter="0" w:footer="0" w:header="0"/>
          <w:type w:val="continuous"/>
        </w:sectPr>
      </w:pPr>
    </w:p>
    <w:p>
      <w:pPr>
        <w:ind w:left="3660" w:right="640"/>
        <w:spacing w:after="0" w:line="277" w:lineRule="auto"/>
        <w:rPr>
          <w:sz w:val="20"/>
          <w:szCs w:val="20"/>
          <w:color w:val="auto"/>
        </w:rPr>
      </w:pPr>
      <w:r>
        <w:rPr>
          <w:rFonts w:ascii="Arial" w:cs="Arial" w:eastAsia="Arial" w:hAnsi="Arial"/>
          <w:sz w:val="18"/>
          <w:szCs w:val="18"/>
          <w:color w:val="auto"/>
        </w:rPr>
        <w:t>Holders of the Warrants tendered for exchange will not have to pay any of the exercise price for the tendered Warrants in order to receive Common Stock in the exchange.</w:t>
      </w:r>
    </w:p>
    <w:p>
      <w:pPr>
        <w:spacing w:after="0" w:line="170" w:lineRule="exact"/>
        <w:rPr>
          <w:sz w:val="20"/>
          <w:szCs w:val="20"/>
          <w:color w:val="auto"/>
        </w:rPr>
      </w:pPr>
    </w:p>
    <w:p>
      <w:pPr>
        <w:ind w:left="3660" w:right="540"/>
        <w:spacing w:after="0" w:line="264" w:lineRule="auto"/>
        <w:rPr>
          <w:sz w:val="20"/>
          <w:szCs w:val="20"/>
          <w:color w:val="auto"/>
        </w:rPr>
      </w:pPr>
      <w:r>
        <w:rPr>
          <w:rFonts w:ascii="Arial" w:cs="Arial" w:eastAsia="Arial" w:hAnsi="Arial"/>
          <w:sz w:val="18"/>
          <w:szCs w:val="18"/>
          <w:color w:val="auto"/>
        </w:rPr>
        <w:t>The shares of Common Stock issued in exchange for the Warrants will be unrestricted and freely transferable, as long as the holder is not an affiliate of ours and was not an affiliate of ours within the three months prior to the proposed transfer of such shares.</w:t>
      </w:r>
    </w:p>
    <w:p>
      <w:pPr>
        <w:spacing w:after="0" w:line="181" w:lineRule="exact"/>
        <w:rPr>
          <w:sz w:val="20"/>
          <w:szCs w:val="20"/>
          <w:color w:val="auto"/>
        </w:rPr>
      </w:pPr>
    </w:p>
    <w:p>
      <w:pPr>
        <w:ind w:left="3660" w:right="520"/>
        <w:spacing w:after="0" w:line="264" w:lineRule="auto"/>
        <w:rPr>
          <w:sz w:val="20"/>
          <w:szCs w:val="20"/>
          <w:color w:val="auto"/>
        </w:rPr>
      </w:pPr>
      <w:r>
        <w:rPr>
          <w:rFonts w:ascii="Arial" w:cs="Arial" w:eastAsia="Arial" w:hAnsi="Arial"/>
          <w:sz w:val="18"/>
          <w:szCs w:val="18"/>
          <w:color w:val="auto"/>
        </w:rPr>
        <w:t>The Offer is being made to all Warrant holders except those holders who reside in states or other jurisdictions where an offer, solicitation or sale would be unlawful (or would require further action in order to comply with applicable securities laws).</w:t>
      </w:r>
    </w:p>
    <w:p>
      <w:pPr>
        <w:sectPr>
          <w:pgSz w:w="11900" w:h="16838" w:orient="portrait"/>
          <w:cols w:equalWidth="0" w:num="1">
            <w:col w:w="11460"/>
          </w:cols>
          <w:pgMar w:left="240" w:top="1287" w:right="199" w:bottom="1440" w:gutter="0" w:footer="0" w:header="0"/>
          <w:type w:val="continuous"/>
        </w:sectPr>
      </w:pP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Consent Solicitation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In order to tender Warrants in the Offer and Consent Solicitation, holders are required to consent (by executing the Letters of Transmittal and Consent or requesting that their broker or nominee consent on their behalf) to an amendment to the Warrant Agreement governing the Warrants as set forth in the Warrant Amendment attached as Annex A. If approved, the Warrant Amendment would permit us to require that all remaining outstanding Warrants not tendered in the Offer be converted into shares of Common Stock at a ratio of 0.1728 shares of Common Stock per Warrant (a ratio which is 10% less than the ratio applicable to the Offer), thus eliminating all of the Warrants.</w:t>
      </w:r>
    </w:p>
    <w:p>
      <w:pPr>
        <w:spacing w:after="0" w:line="178" w:lineRule="exact"/>
        <w:rPr>
          <w:sz w:val="20"/>
          <w:szCs w:val="20"/>
          <w:color w:val="auto"/>
        </w:rPr>
      </w:pPr>
    </w:p>
    <w:p>
      <w:pPr>
        <w:sectPr>
          <w:pgSz w:w="11900" w:h="16838" w:orient="portrait"/>
          <w:cols w:equalWidth="0" w:num="2">
            <w:col w:w="2940" w:space="720"/>
            <w:col w:w="7800"/>
          </w:cols>
          <w:pgMar w:left="240" w:top="1287" w:right="199" w:bottom="1440" w:gutter="0" w:footer="0" w:header="0"/>
          <w:type w:val="continuous"/>
        </w:sectPr>
      </w:pPr>
    </w:p>
    <w:p>
      <w:pPr>
        <w:ind w:left="3660" w:right="440" w:hanging="3402"/>
        <w:spacing w:after="0" w:line="279" w:lineRule="auto"/>
        <w:rPr>
          <w:sz w:val="20"/>
          <w:szCs w:val="20"/>
          <w:color w:val="auto"/>
        </w:rPr>
      </w:pPr>
      <w:r>
        <w:rPr>
          <w:rFonts w:ascii="Arial" w:cs="Arial" w:eastAsia="Arial" w:hAnsi="Arial"/>
          <w:sz w:val="17"/>
          <w:szCs w:val="17"/>
          <w:color w:val="auto"/>
        </w:rPr>
        <w:t>Purpose of the Offer and Consent Solicitation The purpose of the Offer and Consent Solicitation is to attempt to simplify our corporate structure and reduce the potential dilutive impact of the Warrants, thereby providing us with more flexibility for financing our operations in the future. See “The Offer and Consent Solicitation — Background and Purpose of the Offer and Consent Solicitation” beginning on page 37.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260"/>
              <w:spacing w:after="0"/>
              <w:rPr>
                <w:sz w:val="20"/>
                <w:szCs w:val="20"/>
                <w:color w:val="auto"/>
              </w:rPr>
            </w:pPr>
            <w:r>
              <w:rPr>
                <w:rFonts w:ascii="Arial" w:cs="Arial" w:eastAsia="Arial" w:hAnsi="Arial"/>
                <w:sz w:val="18"/>
                <w:szCs w:val="18"/>
                <w:color w:val="auto"/>
              </w:rPr>
              <w:t>Offer Period</w:t>
            </w:r>
          </w:p>
        </w:tc>
        <w:tc>
          <w:tcPr>
            <w:tcW w:w="9060" w:type="dxa"/>
            <w:vAlign w:val="bottom"/>
            <w:gridSpan w:val="2"/>
          </w:tcPr>
          <w:p>
            <w:pPr>
              <w:ind w:left="1260"/>
              <w:spacing w:after="0"/>
              <w:rPr>
                <w:sz w:val="20"/>
                <w:szCs w:val="20"/>
                <w:color w:val="auto"/>
              </w:rPr>
            </w:pPr>
            <w:r>
              <w:rPr>
                <w:rFonts w:ascii="Arial" w:cs="Arial" w:eastAsia="Arial" w:hAnsi="Arial"/>
                <w:sz w:val="18"/>
                <w:szCs w:val="18"/>
                <w:color w:val="auto"/>
                <w:w w:val="99"/>
              </w:rPr>
              <w:t>The Offer and Consent Solicitation will expire on the Expiration Date, which is 11:59 p.m., Eastern</w:t>
            </w:r>
          </w:p>
        </w:tc>
      </w:tr>
      <w:tr>
        <w:trPr>
          <w:trHeight w:val="216"/>
        </w:trPr>
        <w:tc>
          <w:tcPr>
            <w:tcW w:w="2400" w:type="dxa"/>
            <w:vAlign w:val="bottom"/>
          </w:tcPr>
          <w:p>
            <w:pPr>
              <w:spacing w:after="0"/>
              <w:rPr>
                <w:sz w:val="18"/>
                <w:szCs w:val="18"/>
                <w:color w:val="auto"/>
              </w:rPr>
            </w:pPr>
          </w:p>
        </w:tc>
        <w:tc>
          <w:tcPr>
            <w:tcW w:w="9060" w:type="dxa"/>
            <w:vAlign w:val="bottom"/>
            <w:gridSpan w:val="2"/>
          </w:tcPr>
          <w:p>
            <w:pPr>
              <w:ind w:left="1260"/>
              <w:spacing w:after="0"/>
              <w:rPr>
                <w:sz w:val="20"/>
                <w:szCs w:val="20"/>
                <w:color w:val="auto"/>
              </w:rPr>
            </w:pPr>
            <w:r>
              <w:rPr>
                <w:rFonts w:ascii="Arial" w:cs="Arial" w:eastAsia="Arial" w:hAnsi="Arial"/>
                <w:sz w:val="18"/>
                <w:szCs w:val="18"/>
                <w:color w:val="auto"/>
                <w:w w:val="93"/>
              </w:rPr>
              <w:t>Standard Time, on February 12, 2019, or such later time and date to which we may extend. All Warrants</w:t>
            </w:r>
          </w:p>
        </w:tc>
      </w:tr>
      <w:tr>
        <w:trPr>
          <w:trHeight w:val="216"/>
        </w:trPr>
        <w:tc>
          <w:tcPr>
            <w:tcW w:w="2400" w:type="dxa"/>
            <w:vAlign w:val="bottom"/>
          </w:tcPr>
          <w:p>
            <w:pPr>
              <w:spacing w:after="0"/>
              <w:rPr>
                <w:sz w:val="18"/>
                <w:szCs w:val="18"/>
                <w:color w:val="auto"/>
              </w:rPr>
            </w:pPr>
          </w:p>
        </w:tc>
        <w:tc>
          <w:tcPr>
            <w:tcW w:w="9060" w:type="dxa"/>
            <w:vAlign w:val="bottom"/>
            <w:gridSpan w:val="2"/>
          </w:tcPr>
          <w:p>
            <w:pPr>
              <w:ind w:left="1260"/>
              <w:spacing w:after="0"/>
              <w:rPr>
                <w:sz w:val="20"/>
                <w:szCs w:val="20"/>
                <w:color w:val="auto"/>
              </w:rPr>
            </w:pPr>
            <w:r>
              <w:rPr>
                <w:rFonts w:ascii="Arial" w:cs="Arial" w:eastAsia="Arial" w:hAnsi="Arial"/>
                <w:sz w:val="18"/>
                <w:szCs w:val="18"/>
                <w:color w:val="auto"/>
              </w:rPr>
              <w:t>tendered for exchange pursuant to the Offer and Consent Solicitation, and all required related</w:t>
            </w:r>
          </w:p>
        </w:tc>
      </w:tr>
      <w:tr>
        <w:trPr>
          <w:trHeight w:val="216"/>
        </w:trPr>
        <w:tc>
          <w:tcPr>
            <w:tcW w:w="2400" w:type="dxa"/>
            <w:vAlign w:val="bottom"/>
          </w:tcPr>
          <w:p>
            <w:pPr>
              <w:spacing w:after="0"/>
              <w:rPr>
                <w:sz w:val="18"/>
                <w:szCs w:val="18"/>
                <w:color w:val="auto"/>
              </w:rPr>
            </w:pPr>
          </w:p>
        </w:tc>
        <w:tc>
          <w:tcPr>
            <w:tcW w:w="9060" w:type="dxa"/>
            <w:vAlign w:val="bottom"/>
            <w:gridSpan w:val="2"/>
          </w:tcPr>
          <w:p>
            <w:pPr>
              <w:ind w:left="1260"/>
              <w:spacing w:after="0"/>
              <w:rPr>
                <w:sz w:val="20"/>
                <w:szCs w:val="20"/>
                <w:color w:val="auto"/>
              </w:rPr>
            </w:pPr>
            <w:r>
              <w:rPr>
                <w:rFonts w:ascii="Arial" w:cs="Arial" w:eastAsia="Arial" w:hAnsi="Arial"/>
                <w:sz w:val="18"/>
                <w:szCs w:val="18"/>
                <w:color w:val="auto"/>
              </w:rPr>
              <w:t>paperwork, must be received by the exchange agent by the Expiration Date, as described in this</w:t>
            </w:r>
          </w:p>
        </w:tc>
      </w:tr>
      <w:tr>
        <w:trPr>
          <w:trHeight w:val="230"/>
        </w:trPr>
        <w:tc>
          <w:tcPr>
            <w:tcW w:w="2400" w:type="dxa"/>
            <w:vAlign w:val="bottom"/>
          </w:tcPr>
          <w:p>
            <w:pPr>
              <w:spacing w:after="0"/>
              <w:rPr>
                <w:sz w:val="20"/>
                <w:szCs w:val="20"/>
                <w:color w:val="auto"/>
              </w:rPr>
            </w:pPr>
          </w:p>
        </w:tc>
        <w:tc>
          <w:tcPr>
            <w:tcW w:w="9060" w:type="dxa"/>
            <w:vAlign w:val="bottom"/>
            <w:gridSpan w:val="2"/>
          </w:tcPr>
          <w:p>
            <w:pPr>
              <w:ind w:left="1260"/>
              <w:spacing w:after="0"/>
              <w:rPr>
                <w:sz w:val="20"/>
                <w:szCs w:val="20"/>
                <w:color w:val="auto"/>
              </w:rPr>
            </w:pPr>
            <w:r>
              <w:rPr>
                <w:rFonts w:ascii="Arial" w:cs="Arial" w:eastAsia="Arial" w:hAnsi="Arial"/>
                <w:sz w:val="18"/>
                <w:szCs w:val="18"/>
                <w:color w:val="auto"/>
              </w:rPr>
              <w:t>Prospectus/Offer to Exchange.</w:t>
            </w:r>
          </w:p>
        </w:tc>
      </w:tr>
      <w:tr>
        <w:trPr>
          <w:trHeight w:val="226"/>
        </w:trPr>
        <w:tc>
          <w:tcPr>
            <w:tcW w:w="2400" w:type="dxa"/>
            <w:vAlign w:val="bottom"/>
            <w:tcBorders>
              <w:bottom w:val="single" w:sz="8" w:color="auto"/>
            </w:tcBorders>
          </w:tcPr>
          <w:p>
            <w:pPr>
              <w:spacing w:after="0"/>
              <w:rPr>
                <w:sz w:val="19"/>
                <w:szCs w:val="19"/>
                <w:color w:val="auto"/>
              </w:rPr>
            </w:pPr>
          </w:p>
        </w:tc>
        <w:tc>
          <w:tcPr>
            <w:tcW w:w="9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584"/>
        </w:trPr>
        <w:tc>
          <w:tcPr>
            <w:tcW w:w="240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1287" w:right="19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Amendments to the Offer and Consent Solicitation</w:t>
      </w:r>
    </w:p>
    <w:p>
      <w:pPr>
        <w:spacing w:after="0" w:line="20" w:lineRule="exact"/>
        <w:rPr>
          <w:sz w:val="20"/>
          <w:szCs w:val="20"/>
          <w:color w:val="auto"/>
        </w:rPr>
      </w:pPr>
      <w:r>
        <w:rPr>
          <w:sz w:val="20"/>
          <w:szCs w:val="20"/>
          <w:color w:val="auto"/>
        </w:rPr>
        <w:br w:type="column"/>
      </w:r>
    </w:p>
    <w:p>
      <w:pPr>
        <w:ind w:right="360"/>
        <w:spacing w:after="0" w:line="264" w:lineRule="auto"/>
        <w:rPr>
          <w:sz w:val="20"/>
          <w:szCs w:val="20"/>
          <w:color w:val="auto"/>
        </w:rPr>
      </w:pPr>
      <w:r>
        <w:rPr>
          <w:rFonts w:ascii="Arial" w:cs="Arial" w:eastAsia="Arial" w:hAnsi="Arial"/>
          <w:sz w:val="18"/>
          <w:szCs w:val="18"/>
          <w:color w:val="auto"/>
        </w:rPr>
        <w:t>If the Offer Period is extended, we will make a public announcement of such extension by no later than 9:00 a.m., Eastern Standard Time, on the next business day following the Expiration Date as in effect immediately prior to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-580390</wp:posOffset>
            </wp:positionV>
            <wp:extent cx="7276465" cy="6624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624955"/>
                    </a:xfrm>
                    <a:prstGeom prst="rect">
                      <a:avLst/>
                    </a:prstGeom>
                    <a:noFill/>
                  </pic:spPr>
                </pic:pic>
              </a:graphicData>
            </a:graphic>
          </wp:anchor>
        </w:drawing>
      </w:r>
    </w:p>
    <w:p>
      <w:pPr>
        <w:spacing w:after="0" w:line="161"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 See “The Offer—General Terms—Offer Period” on page 31.</w:t>
      </w:r>
    </w:p>
    <w:p>
      <w:pPr>
        <w:spacing w:after="0" w:line="19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reserve the right at any time or from time to time to amend the Offer and Consent Solicitation, including by increasing or (if the conditions to the Offer are not satisfied) decreasing the exchange ratio of Common Stock issued for every Warrant exchanged or by changing the terms of the Warrant Amendment. 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Securities Exchange Act of 1934, as amended (the “Exchange Act”). See “The Offer—General Terms—Amendments to the Offer and Consent Solicitation.”</w:t>
      </w:r>
    </w:p>
    <w:p>
      <w:pPr>
        <w:spacing w:after="0" w:line="197" w:lineRule="exact"/>
        <w:rPr>
          <w:sz w:val="20"/>
          <w:szCs w:val="20"/>
          <w:color w:val="auto"/>
        </w:rPr>
      </w:pPr>
    </w:p>
    <w:p>
      <w:pPr>
        <w:sectPr>
          <w:pgSz w:w="11900" w:h="16838" w:orient="portrait"/>
          <w:cols w:equalWidth="0" w:num="2">
            <w:col w:w="3040" w:space="620"/>
            <w:col w:w="7800"/>
          </w:cols>
          <w:pgMar w:left="240" w:top="1071" w:right="199" w:bottom="1440" w:gutter="0" w:footer="0" w:header="0"/>
        </w:sectPr>
      </w:pPr>
    </w:p>
    <w:p>
      <w:pPr>
        <w:ind w:left="260" w:right="80"/>
        <w:spacing w:after="0" w:line="277" w:lineRule="auto"/>
        <w:rPr>
          <w:sz w:val="20"/>
          <w:szCs w:val="20"/>
          <w:color w:val="auto"/>
        </w:rPr>
      </w:pPr>
      <w:r>
        <w:rPr>
          <w:rFonts w:ascii="Arial" w:cs="Arial" w:eastAsia="Arial" w:hAnsi="Arial"/>
          <w:sz w:val="18"/>
          <w:szCs w:val="18"/>
          <w:color w:val="auto"/>
        </w:rPr>
        <w:t>Conditions to the Offer and Consent Solicitation</w:t>
      </w:r>
    </w:p>
    <w:p>
      <w:pPr>
        <w:spacing w:after="0" w:line="20" w:lineRule="exact"/>
        <w:rPr>
          <w:sz w:val="20"/>
          <w:szCs w:val="20"/>
          <w:color w:val="auto"/>
        </w:rPr>
      </w:pPr>
      <w:r>
        <w:rPr>
          <w:sz w:val="20"/>
          <w:szCs w:val="20"/>
          <w:color w:val="auto"/>
        </w:rPr>
        <w:br w:type="column"/>
      </w:r>
    </w:p>
    <w:p>
      <w:pPr>
        <w:ind w:right="320"/>
        <w:spacing w:after="0" w:line="271" w:lineRule="auto"/>
        <w:rPr>
          <w:sz w:val="20"/>
          <w:szCs w:val="20"/>
          <w:color w:val="auto"/>
        </w:rPr>
      </w:pPr>
      <w:r>
        <w:rPr>
          <w:rFonts w:ascii="Arial" w:cs="Arial" w:eastAsia="Arial" w:hAnsi="Arial"/>
          <w:sz w:val="17"/>
          <w:szCs w:val="17"/>
          <w:color w:val="auto"/>
        </w:rPr>
        <w:t>The Offer is subject to customary conditions, including the effectiveness of the registration statement of which this document is a part and there being no action or proceeding, statute, rule, regulation or order that would challenge or restrict the making or completion of the Offer. The Offer is not conditioned upon the receipt of a minimum number of tendered Warrants, however. The Consent Solicitation is conditioned upon receiving the consent of holders of at least a majority of the outstanding Warrants (which is the minimum number required to amend the Warrant Agreement). We may waive some of the conditions to the Offer. See “The Offer and Consent Solicitation—General Terms—Conditions to the Offer and Consent Solicitation” on page 32.</w:t>
      </w:r>
    </w:p>
    <w:p>
      <w:pPr>
        <w:spacing w:after="0" w:line="179" w:lineRule="exact"/>
        <w:rPr>
          <w:sz w:val="20"/>
          <w:szCs w:val="20"/>
          <w:color w:val="auto"/>
        </w:rPr>
      </w:pPr>
    </w:p>
    <w:p>
      <w:pPr>
        <w:sectPr>
          <w:pgSz w:w="11900" w:h="16838" w:orient="portrait"/>
          <w:cols w:equalWidth="0" w:num="2">
            <w:col w:w="2940" w:space="720"/>
            <w:col w:w="7800"/>
          </w:cols>
          <w:pgMar w:left="240" w:top="1071"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Withdrawal Rights</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8"/>
              </w:rPr>
              <w:t>If you tender your Warrants and change your mind, you may withdraw your tendered Warrants (and</w:t>
            </w:r>
          </w:p>
        </w:tc>
      </w:tr>
      <w:tr>
        <w:trPr>
          <w:trHeight w:val="216"/>
        </w:trPr>
        <w:tc>
          <w:tcPr>
            <w:tcW w:w="3600" w:type="dxa"/>
            <w:vAlign w:val="bottom"/>
          </w:tcPr>
          <w:p>
            <w:pPr>
              <w:spacing w:after="0"/>
              <w:rPr>
                <w:sz w:val="18"/>
                <w:szCs w:val="18"/>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4"/>
              </w:rPr>
              <w:t>thereby revoke the related consent to the Warrant Amendment) at any time prior to the Expiration Date,</w:t>
            </w:r>
          </w:p>
        </w:tc>
      </w:tr>
      <w:tr>
        <w:trPr>
          <w:trHeight w:val="216"/>
        </w:trPr>
        <w:tc>
          <w:tcPr>
            <w:tcW w:w="3600" w:type="dxa"/>
            <w:vAlign w:val="bottom"/>
          </w:tcPr>
          <w:p>
            <w:pPr>
              <w:spacing w:after="0"/>
              <w:rPr>
                <w:sz w:val="18"/>
                <w:szCs w:val="18"/>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7"/>
              </w:rPr>
              <w:t>as described in greater detail in the section entitled “The Offer and Consent Solicitation—Withdrawal</w:t>
            </w:r>
          </w:p>
        </w:tc>
      </w:tr>
      <w:tr>
        <w:trPr>
          <w:trHeight w:val="216"/>
        </w:trPr>
        <w:tc>
          <w:tcPr>
            <w:tcW w:w="3600" w:type="dxa"/>
            <w:vAlign w:val="bottom"/>
          </w:tcPr>
          <w:p>
            <w:pPr>
              <w:spacing w:after="0"/>
              <w:rPr>
                <w:sz w:val="18"/>
                <w:szCs w:val="18"/>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Rights” beginning on page 36. If the Offer Period is extended, you may withdraw your tendered</w:t>
            </w:r>
          </w:p>
        </w:tc>
      </w:tr>
      <w:tr>
        <w:trPr>
          <w:trHeight w:val="216"/>
        </w:trPr>
        <w:tc>
          <w:tcPr>
            <w:tcW w:w="3600" w:type="dxa"/>
            <w:vAlign w:val="bottom"/>
          </w:tcPr>
          <w:p>
            <w:pPr>
              <w:spacing w:after="0"/>
              <w:rPr>
                <w:sz w:val="18"/>
                <w:szCs w:val="18"/>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3"/>
              </w:rPr>
              <w:t>Warrants (and your related consent to the Warrant Amendment will be automatically revoked as a result)</w:t>
            </w:r>
          </w:p>
        </w:tc>
      </w:tr>
      <w:tr>
        <w:trPr>
          <w:trHeight w:val="216"/>
        </w:trPr>
        <w:tc>
          <w:tcPr>
            <w:tcW w:w="3600" w:type="dxa"/>
            <w:vAlign w:val="bottom"/>
          </w:tcPr>
          <w:p>
            <w:pPr>
              <w:spacing w:after="0"/>
              <w:rPr>
                <w:sz w:val="18"/>
                <w:szCs w:val="18"/>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5"/>
              </w:rPr>
              <w:t>at any time until the extended Expiration Date. In addition, tendered Warrants that are not accepted by</w:t>
            </w:r>
          </w:p>
        </w:tc>
      </w:tr>
      <w:tr>
        <w:trPr>
          <w:trHeight w:val="216"/>
        </w:trPr>
        <w:tc>
          <w:tcPr>
            <w:tcW w:w="3600" w:type="dxa"/>
            <w:vAlign w:val="bottom"/>
          </w:tcPr>
          <w:p>
            <w:pPr>
              <w:spacing w:after="0"/>
              <w:rPr>
                <w:sz w:val="18"/>
                <w:szCs w:val="18"/>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us for exchange by February 25, 2019 may thereafter be withdrawn by you until such time as the</w:t>
            </w:r>
          </w:p>
        </w:tc>
      </w:tr>
      <w:tr>
        <w:trPr>
          <w:trHeight w:val="230"/>
        </w:trPr>
        <w:tc>
          <w:tcPr>
            <w:tcW w:w="3600" w:type="dxa"/>
            <w:vAlign w:val="bottom"/>
          </w:tcPr>
          <w:p>
            <w:pPr>
              <w:spacing w:after="0"/>
              <w:rPr>
                <w:sz w:val="20"/>
                <w:szCs w:val="20"/>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Warrants are accepted by us for exchange.</w:t>
            </w:r>
          </w:p>
        </w:tc>
      </w:tr>
      <w:tr>
        <w:trPr>
          <w:trHeight w:val="418"/>
        </w:trPr>
        <w:tc>
          <w:tcPr>
            <w:tcW w:w="3600" w:type="dxa"/>
            <w:vAlign w:val="bottom"/>
          </w:tcPr>
          <w:p>
            <w:pPr>
              <w:ind w:left="260"/>
              <w:spacing w:after="0"/>
              <w:rPr>
                <w:sz w:val="20"/>
                <w:szCs w:val="20"/>
                <w:color w:val="auto"/>
              </w:rPr>
            </w:pPr>
            <w:r>
              <w:rPr>
                <w:rFonts w:ascii="Arial" w:cs="Arial" w:eastAsia="Arial" w:hAnsi="Arial"/>
                <w:sz w:val="18"/>
                <w:szCs w:val="18"/>
                <w:color w:val="auto"/>
                <w:w w:val="93"/>
              </w:rPr>
              <w:t>Participation by Directors, Executive Officers</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6"/>
              </w:rPr>
              <w:t>Although certain affiliates are holders of our Private Warrants, none of our directors, executive officers</w:t>
            </w: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and Affiliates</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6"/>
              </w:rPr>
              <w:t>or affiliates are required to participate in the Offer. See “The Offer and Consent Solicitation—Interests</w:t>
            </w:r>
          </w:p>
        </w:tc>
      </w:tr>
      <w:tr>
        <w:trPr>
          <w:trHeight w:val="230"/>
        </w:trPr>
        <w:tc>
          <w:tcPr>
            <w:tcW w:w="3600" w:type="dxa"/>
            <w:vAlign w:val="bottom"/>
          </w:tcPr>
          <w:p>
            <w:pPr>
              <w:spacing w:after="0"/>
              <w:rPr>
                <w:sz w:val="20"/>
                <w:szCs w:val="20"/>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of Directors, Executive Officers and Others.”</w:t>
            </w:r>
          </w:p>
        </w:tc>
      </w:tr>
      <w:tr>
        <w:trPr>
          <w:trHeight w:val="418"/>
        </w:trPr>
        <w:tc>
          <w:tcPr>
            <w:tcW w:w="3600" w:type="dxa"/>
            <w:vAlign w:val="bottom"/>
          </w:tcPr>
          <w:p>
            <w:pPr>
              <w:ind w:left="260"/>
              <w:spacing w:after="0"/>
              <w:rPr>
                <w:sz w:val="20"/>
                <w:szCs w:val="20"/>
                <w:color w:val="auto"/>
              </w:rPr>
            </w:pPr>
            <w:r>
              <w:rPr>
                <w:rFonts w:ascii="Arial" w:cs="Arial" w:eastAsia="Arial" w:hAnsi="Arial"/>
                <w:sz w:val="18"/>
                <w:szCs w:val="18"/>
                <w:color w:val="auto"/>
              </w:rPr>
              <w:t>Federal and State Regulatory Approvals</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3"/>
              </w:rPr>
              <w:t>Other than compliance with the applicable federal and state securities laws, no federal or state regulatory</w:t>
            </w:r>
          </w:p>
        </w:tc>
      </w:tr>
      <w:tr>
        <w:trPr>
          <w:trHeight w:val="216"/>
        </w:trPr>
        <w:tc>
          <w:tcPr>
            <w:tcW w:w="3600" w:type="dxa"/>
            <w:vAlign w:val="bottom"/>
          </w:tcPr>
          <w:p>
            <w:pPr>
              <w:spacing w:after="0"/>
              <w:rPr>
                <w:sz w:val="18"/>
                <w:szCs w:val="18"/>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6"/>
              </w:rPr>
              <w:t>requirements must be complied with and no federal or state regulatory approvals must be obtained in</w:t>
            </w:r>
          </w:p>
        </w:tc>
      </w:tr>
      <w:tr>
        <w:trPr>
          <w:trHeight w:val="230"/>
        </w:trPr>
        <w:tc>
          <w:tcPr>
            <w:tcW w:w="3600" w:type="dxa"/>
            <w:vAlign w:val="bottom"/>
          </w:tcPr>
          <w:p>
            <w:pPr>
              <w:spacing w:after="0"/>
              <w:rPr>
                <w:sz w:val="20"/>
                <w:szCs w:val="20"/>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connection with the Offer and Consent Solicitation.</w:t>
            </w:r>
          </w:p>
        </w:tc>
      </w:tr>
      <w:tr>
        <w:trPr>
          <w:trHeight w:val="226"/>
        </w:trPr>
        <w:tc>
          <w:tcPr>
            <w:tcW w:w="3600" w:type="dxa"/>
            <w:vAlign w:val="bottom"/>
            <w:tcBorders>
              <w:bottom w:val="single" w:sz="8" w:color="auto"/>
            </w:tcBorders>
          </w:tcPr>
          <w:p>
            <w:pPr>
              <w:spacing w:after="0"/>
              <w:rPr>
                <w:sz w:val="19"/>
                <w:szCs w:val="19"/>
                <w:color w:val="auto"/>
              </w:rPr>
            </w:pPr>
          </w:p>
        </w:tc>
        <w:tc>
          <w:tcPr>
            <w:tcW w:w="7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584"/>
        </w:trPr>
        <w:tc>
          <w:tcPr>
            <w:tcW w:w="36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1071" w:right="199" w:bottom="1440" w:gutter="0" w:footer="0" w:header="0"/>
          <w:type w:val="continuous"/>
        </w:sectPr>
      </w:pPr>
    </w:p>
    <w:bookmarkStart w:id="11" w:name="page12"/>
    <w:bookmarkEnd w:id="11"/>
    <w:p>
      <w:pPr>
        <w:ind w:left="260"/>
        <w:spacing w:after="0"/>
        <w:rPr>
          <w:sz w:val="20"/>
          <w:szCs w:val="20"/>
          <w:color w:val="auto"/>
        </w:rPr>
      </w:pPr>
      <w:r>
        <w:rPr>
          <w:rFonts w:ascii="Arial" w:cs="Arial" w:eastAsia="Arial" w:hAnsi="Arial"/>
          <w:sz w:val="16"/>
          <w:szCs w:val="16"/>
          <w:color w:val="auto"/>
        </w:rPr>
        <w:t>Absence of Appraisal or Dissenters’ Rights</w:t>
      </w:r>
    </w:p>
    <w:p>
      <w:pPr>
        <w:spacing w:after="0" w:line="20" w:lineRule="exact"/>
        <w:rPr>
          <w:sz w:val="20"/>
          <w:szCs w:val="20"/>
          <w:color w:val="auto"/>
        </w:rPr>
      </w:pPr>
      <w:r>
        <w:rPr>
          <w:sz w:val="20"/>
          <w:szCs w:val="20"/>
          <w:color w:val="auto"/>
        </w:rPr>
        <w:br w:type="column"/>
      </w:r>
    </w:p>
    <w:p>
      <w:pPr>
        <w:ind w:right="1000"/>
        <w:spacing w:after="0" w:line="277" w:lineRule="auto"/>
        <w:rPr>
          <w:sz w:val="20"/>
          <w:szCs w:val="20"/>
          <w:color w:val="auto"/>
        </w:rPr>
      </w:pPr>
      <w:r>
        <w:rPr>
          <w:rFonts w:ascii="Arial" w:cs="Arial" w:eastAsia="Arial" w:hAnsi="Arial"/>
          <w:sz w:val="18"/>
          <w:szCs w:val="18"/>
          <w:color w:val="auto"/>
        </w:rPr>
        <w:t>Holders of the Warrants do not have any appraisal or dissenters’ rights under applicable law in connection with the Offer and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-450215</wp:posOffset>
            </wp:positionV>
            <wp:extent cx="7276465" cy="7310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73107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3380" w:space="280"/>
            <w:col w:w="7800"/>
          </w:cols>
          <w:pgMar w:left="240" w:top="1071" w:right="199" w:bottom="1440" w:gutter="0" w:footer="0" w:header="0"/>
        </w:sectPr>
      </w:pPr>
    </w:p>
    <w:p>
      <w:pPr>
        <w:ind w:left="260"/>
        <w:spacing w:after="0"/>
        <w:rPr>
          <w:sz w:val="20"/>
          <w:szCs w:val="20"/>
          <w:color w:val="auto"/>
        </w:rPr>
      </w:pPr>
      <w:r>
        <w:rPr>
          <w:rFonts w:ascii="Arial" w:cs="Arial" w:eastAsia="Arial" w:hAnsi="Arial"/>
          <w:sz w:val="17"/>
          <w:szCs w:val="17"/>
          <w:color w:val="auto"/>
        </w:rPr>
        <w:t>U.S. Federal Income Tax Consequences of the For those holders of Warrants participating in the Offer and for any holders of Warrants subsequently</w:t>
      </w:r>
    </w:p>
    <w:p>
      <w:pPr>
        <w:spacing w:after="0" w:line="35" w:lineRule="exact"/>
        <w:rPr>
          <w:sz w:val="20"/>
          <w:szCs w:val="20"/>
          <w:color w:val="auto"/>
        </w:rPr>
      </w:pPr>
    </w:p>
    <w:p>
      <w:pPr>
        <w:ind w:left="3660" w:right="280" w:hanging="3399"/>
        <w:spacing w:after="0" w:line="286" w:lineRule="auto"/>
        <w:tabs>
          <w:tab w:leader="none" w:pos="3640" w:val="left"/>
        </w:tabs>
        <w:rPr>
          <w:sz w:val="20"/>
          <w:szCs w:val="20"/>
          <w:color w:val="auto"/>
        </w:rPr>
      </w:pPr>
      <w:r>
        <w:rPr>
          <w:rFonts w:ascii="Arial" w:cs="Arial" w:eastAsia="Arial" w:hAnsi="Arial"/>
          <w:sz w:val="16"/>
          <w:szCs w:val="16"/>
          <w:color w:val="auto"/>
        </w:rPr>
        <w:t>Offer</w:t>
      </w:r>
      <w:r>
        <w:rPr>
          <w:sz w:val="20"/>
          <w:szCs w:val="20"/>
          <w:color w:val="auto"/>
        </w:rPr>
        <w:tab/>
      </w:r>
      <w:r>
        <w:rPr>
          <w:rFonts w:ascii="Arial" w:cs="Arial" w:eastAsia="Arial" w:hAnsi="Arial"/>
          <w:sz w:val="16"/>
          <w:szCs w:val="16"/>
          <w:color w:val="auto"/>
        </w:rPr>
        <w:t>exchanged for shares of Common Stock pursuant to the terms of the Warrant Amendment, we intend to treat your exchange of Warrants for our shares of Common Stock as a “recapitalization” within the meaning of Section 368(a)(1)(E) of United States Internal Revenue Code of 1986, as amended (the “Code”). Assuming the exchange qualifies as a “recapitalization” (i) you should not recognize any gain or loss on the exchange of Warrants for shares of our Common Stock, (ii) your aggregate tax basis in the Common Stock received in the exchange should equal your aggregate tax basis in your Warrants surrendered in the exchange (except to the extent of any tax basis allocated to a fractional share for which a cash payment is received in connection with the Offer), and (iii) your holding period for the Common Stock received in the exchange should include your holding period for the surrendered Warrants. There can be no assurance that the IRS or a court will agree with the tax consequences of the exchange described above and alternate characterizations are possible.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5"/>
              </w:rPr>
              <w:t>Although the issue is not free from doubt, if the Warrant Amendment is approved, we intend to treat all</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5"/>
              </w:rPr>
              <w:t>Warrants not exchanged for Common Stock in the Offer as having been exchanged for “new” Warrants</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5"/>
              </w:rPr>
              <w:t>pursuant to the Warrant Amendment and to treat such deemed exchange as a “recapitalization” within</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9"/>
              </w:rPr>
              <w:t>the meaning of Section 368(a)(1)(E) of the Code. Assuming such deemed exchange qualifies as a</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4"/>
              </w:rPr>
              <w:t>“recapitalization” (i) you should not recognize any gain or loss on the deemed exchange of Warrants for</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“new” Warrants, (ii) your aggregate tax basis in the “new” Warrants deemed to be received in the</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3"/>
              </w:rPr>
              <w:t>exchange should equal your aggregate tax basis in your existing Warrants surrendered in the exchange,</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9"/>
              </w:rPr>
              <w:t>and (iii) your holding period for the “new” Warrants deemed to be received in the exchange should</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5"/>
              </w:rPr>
              <w:t>include your holding period for the surrendered Warrants. There can be no assurance that the IRS or a</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court will agree with the tax consequences of the exchange described above and alternate</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9"/>
              </w:rPr>
              <w:t>characterizations are possible. See “The Offer—Material U.S. Federal Income Tax Consequences”</w:t>
            </w:r>
          </w:p>
        </w:tc>
      </w:tr>
      <w:tr>
        <w:trPr>
          <w:trHeight w:val="230"/>
        </w:trPr>
        <w:tc>
          <w:tcPr>
            <w:tcW w:w="2720" w:type="dxa"/>
            <w:vAlign w:val="bottom"/>
          </w:tcPr>
          <w:p>
            <w:pPr>
              <w:spacing w:after="0"/>
              <w:rPr>
                <w:sz w:val="20"/>
                <w:szCs w:val="20"/>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beginning on page 41.</w:t>
            </w:r>
          </w:p>
        </w:tc>
      </w:tr>
      <w:tr>
        <w:trPr>
          <w:trHeight w:val="418"/>
        </w:trPr>
        <w:tc>
          <w:tcPr>
            <w:tcW w:w="2720" w:type="dxa"/>
            <w:vAlign w:val="bottom"/>
          </w:tcPr>
          <w:p>
            <w:pPr>
              <w:ind w:left="260"/>
              <w:spacing w:after="0"/>
              <w:rPr>
                <w:sz w:val="20"/>
                <w:szCs w:val="20"/>
                <w:color w:val="auto"/>
              </w:rPr>
            </w:pPr>
            <w:r>
              <w:rPr>
                <w:rFonts w:ascii="Arial" w:cs="Arial" w:eastAsia="Arial" w:hAnsi="Arial"/>
                <w:sz w:val="18"/>
                <w:szCs w:val="18"/>
                <w:color w:val="auto"/>
              </w:rPr>
              <w:t>No Recommendation</w:t>
            </w: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4"/>
              </w:rPr>
              <w:t>None of Priority, our board of directors, our management, the dealer manager, the exchange agent, the</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7"/>
              </w:rPr>
              <w:t>information agent or any other person makes any recommendation on whether you should tender or</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4"/>
              </w:rPr>
              <w:t>refrain from tendering all or any portion of your Warrants or consent to the Warrant Amendment, and no</w:t>
            </w:r>
          </w:p>
        </w:tc>
      </w:tr>
      <w:tr>
        <w:trPr>
          <w:trHeight w:val="230"/>
        </w:trPr>
        <w:tc>
          <w:tcPr>
            <w:tcW w:w="2720" w:type="dxa"/>
            <w:vAlign w:val="bottom"/>
          </w:tcPr>
          <w:p>
            <w:pPr>
              <w:spacing w:after="0"/>
              <w:rPr>
                <w:sz w:val="20"/>
                <w:szCs w:val="20"/>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one has been authorized by any of them to make such a recommendation.</w:t>
            </w:r>
          </w:p>
        </w:tc>
      </w:tr>
      <w:tr>
        <w:trPr>
          <w:trHeight w:val="418"/>
        </w:trPr>
        <w:tc>
          <w:tcPr>
            <w:tcW w:w="272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w w:val="97"/>
              </w:rPr>
              <w:t>For risks related to the Offer and Consent Solicitation, please read the section entitled “Risk Factors”</w:t>
            </w:r>
          </w:p>
        </w:tc>
      </w:tr>
      <w:tr>
        <w:trPr>
          <w:trHeight w:val="230"/>
        </w:trPr>
        <w:tc>
          <w:tcPr>
            <w:tcW w:w="2720" w:type="dxa"/>
            <w:vAlign w:val="bottom"/>
          </w:tcPr>
          <w:p>
            <w:pPr>
              <w:spacing w:after="0"/>
              <w:rPr>
                <w:sz w:val="20"/>
                <w:szCs w:val="20"/>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beginning on page 6 of this Prospectus/Offer to Exchange.</w:t>
            </w:r>
          </w:p>
        </w:tc>
      </w:tr>
      <w:tr>
        <w:trPr>
          <w:trHeight w:val="432"/>
        </w:trPr>
        <w:tc>
          <w:tcPr>
            <w:tcW w:w="2720" w:type="dxa"/>
            <w:vAlign w:val="bottom"/>
          </w:tcPr>
          <w:p>
            <w:pPr>
              <w:ind w:left="260"/>
              <w:spacing w:after="0"/>
              <w:rPr>
                <w:sz w:val="20"/>
                <w:szCs w:val="20"/>
                <w:color w:val="auto"/>
              </w:rPr>
            </w:pPr>
            <w:r>
              <w:rPr>
                <w:rFonts w:ascii="Arial" w:cs="Arial" w:eastAsia="Arial" w:hAnsi="Arial"/>
                <w:sz w:val="18"/>
                <w:szCs w:val="18"/>
                <w:color w:val="auto"/>
              </w:rPr>
              <w:t>Exchange Agent</w:t>
            </w: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The exchange agent for the Offer and Consent Solicitation is:</w:t>
            </w:r>
          </w:p>
        </w:tc>
      </w:tr>
      <w:tr>
        <w:trPr>
          <w:trHeight w:val="418"/>
        </w:trPr>
        <w:tc>
          <w:tcPr>
            <w:tcW w:w="2720" w:type="dxa"/>
            <w:vAlign w:val="bottom"/>
          </w:tcPr>
          <w:p>
            <w:pPr>
              <w:spacing w:after="0"/>
              <w:rPr>
                <w:sz w:val="24"/>
                <w:szCs w:val="24"/>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6201 15th Avenue</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Brooklyn, NY 11219</w:t>
            </w:r>
          </w:p>
        </w:tc>
      </w:tr>
      <w:tr>
        <w:trPr>
          <w:trHeight w:val="230"/>
        </w:trPr>
        <w:tc>
          <w:tcPr>
            <w:tcW w:w="2720" w:type="dxa"/>
            <w:vAlign w:val="bottom"/>
          </w:tcPr>
          <w:p>
            <w:pPr>
              <w:spacing w:after="0"/>
              <w:rPr>
                <w:sz w:val="20"/>
                <w:szCs w:val="20"/>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Tel: (718) 921-8200</w:t>
            </w:r>
          </w:p>
        </w:tc>
      </w:tr>
      <w:tr>
        <w:trPr>
          <w:trHeight w:val="432"/>
        </w:trPr>
        <w:tc>
          <w:tcPr>
            <w:tcW w:w="2720" w:type="dxa"/>
            <w:vAlign w:val="bottom"/>
          </w:tcPr>
          <w:p>
            <w:pPr>
              <w:ind w:left="260"/>
              <w:spacing w:after="0"/>
              <w:rPr>
                <w:sz w:val="20"/>
                <w:szCs w:val="20"/>
                <w:color w:val="auto"/>
              </w:rPr>
            </w:pPr>
            <w:r>
              <w:rPr>
                <w:rFonts w:ascii="Arial" w:cs="Arial" w:eastAsia="Arial" w:hAnsi="Arial"/>
                <w:sz w:val="18"/>
                <w:szCs w:val="18"/>
                <w:color w:val="auto"/>
              </w:rPr>
              <w:t>Dealer Manager</w:t>
            </w: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The dealer manager for the Offer and Consent Solicitation is:</w:t>
            </w:r>
          </w:p>
        </w:tc>
      </w:tr>
      <w:tr>
        <w:trPr>
          <w:trHeight w:val="418"/>
        </w:trPr>
        <w:tc>
          <w:tcPr>
            <w:tcW w:w="2720" w:type="dxa"/>
            <w:vAlign w:val="bottom"/>
          </w:tcPr>
          <w:p>
            <w:pPr>
              <w:spacing w:after="0"/>
              <w:rPr>
                <w:sz w:val="24"/>
                <w:szCs w:val="24"/>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Cowen and Company, LLC</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599 Lexington Avenue</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New York, New York 10022</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Tel: (833) 297-2926</w:t>
            </w:r>
          </w:p>
        </w:tc>
      </w:tr>
      <w:tr>
        <w:trPr>
          <w:trHeight w:val="230"/>
        </w:trPr>
        <w:tc>
          <w:tcPr>
            <w:tcW w:w="2720" w:type="dxa"/>
            <w:vAlign w:val="bottom"/>
          </w:tcPr>
          <w:p>
            <w:pPr>
              <w:spacing w:after="0"/>
              <w:rPr>
                <w:sz w:val="20"/>
                <w:szCs w:val="20"/>
                <w:color w:val="auto"/>
              </w:rPr>
            </w:pPr>
          </w:p>
        </w:tc>
        <w:tc>
          <w:tcPr>
            <w:tcW w:w="8740" w:type="dxa"/>
            <w:vAlign w:val="bottom"/>
            <w:gridSpan w:val="2"/>
          </w:tcPr>
          <w:p>
            <w:pPr>
              <w:ind w:left="940"/>
              <w:spacing w:after="0"/>
              <w:rPr>
                <w:sz w:val="20"/>
                <w:szCs w:val="20"/>
                <w:color w:val="auto"/>
              </w:rPr>
            </w:pPr>
            <w:r>
              <w:rPr>
                <w:rFonts w:ascii="Arial" w:cs="Arial" w:eastAsia="Arial" w:hAnsi="Arial"/>
                <w:sz w:val="18"/>
                <w:szCs w:val="18"/>
                <w:color w:val="auto"/>
              </w:rPr>
              <w:t>Attn: Equity Capital Markets</w:t>
            </w:r>
          </w:p>
        </w:tc>
      </w:tr>
      <w:tr>
        <w:trPr>
          <w:trHeight w:val="226"/>
        </w:trPr>
        <w:tc>
          <w:tcPr>
            <w:tcW w:w="272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584"/>
        </w:trPr>
        <w:tc>
          <w:tcPr>
            <w:tcW w:w="27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1071" w:right="199" w:bottom="1440" w:gutter="0" w:footer="0" w:header="0"/>
          <w:type w:val="continuous"/>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8"/>
        </w:trPr>
        <w:tc>
          <w:tcPr>
            <w:tcW w:w="2800" w:type="dxa"/>
            <w:vAlign w:val="bottom"/>
            <w:tcBorders>
              <w:top w:val="single" w:sz="8" w:color="auto"/>
              <w:left w:val="single" w:sz="8" w:color="auto"/>
            </w:tcBorders>
          </w:tcPr>
          <w:p>
            <w:pPr>
              <w:spacing w:after="0"/>
              <w:rPr>
                <w:sz w:val="24"/>
                <w:szCs w:val="24"/>
                <w:color w:val="auto"/>
              </w:rPr>
            </w:pPr>
          </w:p>
        </w:tc>
        <w:tc>
          <w:tcPr>
            <w:tcW w:w="8660" w:type="dxa"/>
            <w:vAlign w:val="bottom"/>
            <w:tcBorders>
              <w:top w:val="single" w:sz="8" w:color="auto"/>
              <w:right w:val="single" w:sz="8" w:color="auto"/>
            </w:tcBorders>
            <w:gridSpan w:val="2"/>
          </w:tcPr>
          <w:p>
            <w:pPr>
              <w:ind w:left="860"/>
              <w:spacing w:after="0"/>
              <w:rPr>
                <w:sz w:val="20"/>
                <w:szCs w:val="20"/>
                <w:color w:val="auto"/>
              </w:rPr>
            </w:pPr>
            <w:r>
              <w:rPr>
                <w:rFonts w:ascii="Arial" w:cs="Arial" w:eastAsia="Arial" w:hAnsi="Arial"/>
                <w:sz w:val="18"/>
                <w:szCs w:val="18"/>
                <w:color w:val="auto"/>
                <w:w w:val="94"/>
              </w:rPr>
              <w:t>We have other business relationships with the dealer manager, as described in “The Offer and Consent</w:t>
            </w:r>
          </w:p>
        </w:tc>
      </w:tr>
      <w:tr>
        <w:trPr>
          <w:trHeight w:val="230"/>
        </w:trPr>
        <w:tc>
          <w:tcPr>
            <w:tcW w:w="280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Solicitation—Dealer Manager</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418"/>
        </w:trPr>
        <w:tc>
          <w:tcPr>
            <w:tcW w:w="280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Delisting of Warrants</w:t>
            </w: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4"/>
              </w:rPr>
              <w:t>NASDAQ has informed us that it intends to delist the Warrants if any Warrants remain outstanding after</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February 27, 2019 because the Warrants do not have a sufficient number of round-lot holders. If the</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6"/>
              </w:rPr>
              <w:t>Warrant Amendment is approved, it is unlikely that any Warrants will remain outstanding following the</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completion of the Offer and Consent Solicitation because the Warrant Amendment would allow us to</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5"/>
              </w:rPr>
              <w:t>require that all outstanding Warrants be exchanged for shares of Common Stock at a ratio that is 10%</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lower than the ratio applicable to the Offer. However, if any unexchanged Warrants do remain</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outstanding following the completion of the Offer and Consent Solicitation, and such delisting, the</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holders of such Warrants would face limits to their ability to engage in transactions in such Warrants.</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9"/>
              </w:rPr>
              <w:t>See “Risk Factors—Risk Factors Related to Our Warrants and the Offer to Exchange and Consent</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Solicitation—NASDAQ intends to delist our Public Warrants from trading on its exchange, which</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would limit, for anyone holding Public Warrants after the completion of the Offer and Consent</w:t>
            </w:r>
          </w:p>
        </w:tc>
      </w:tr>
      <w:tr>
        <w:trPr>
          <w:trHeight w:val="230"/>
        </w:trPr>
        <w:tc>
          <w:tcPr>
            <w:tcW w:w="280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Solicitation and such delisting, the ability to engage in transactions in our Public Warrants.”</w:t>
            </w:r>
          </w:p>
        </w:tc>
      </w:tr>
      <w:tr>
        <w:trPr>
          <w:trHeight w:val="418"/>
        </w:trPr>
        <w:tc>
          <w:tcPr>
            <w:tcW w:w="280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Additional Information</w:t>
            </w: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6"/>
              </w:rPr>
              <w:t>We recommend that our Warrant holders review the registration statement on Form S-4, of which this</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Prospectus/Offer to Exchange forms a part, including the exhibits, that we have filed with the SEC in</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6"/>
              </w:rPr>
              <w:t>connection with the Offer and Consent Solicitation and our other materials that we have filed with the</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4"/>
              </w:rPr>
              <w:t>SEC, before making a decision on whether to accept the Offer and consent to the Warrant Amendment.</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3"/>
              </w:rPr>
              <w:t>All reports and other documents we have filed with the SEC can be accessed electronically on the SEC’s</w:t>
            </w:r>
          </w:p>
        </w:tc>
      </w:tr>
      <w:tr>
        <w:trPr>
          <w:trHeight w:val="230"/>
        </w:trPr>
        <w:tc>
          <w:tcPr>
            <w:tcW w:w="280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tc>
      </w:tr>
      <w:tr>
        <w:trPr>
          <w:trHeight w:val="418"/>
        </w:trPr>
        <w:tc>
          <w:tcPr>
            <w:tcW w:w="280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9"/>
              </w:rPr>
              <w:t>You should direct (1) questions about the terms of the Offer and Consent Solicitation to the dealer</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manager at its addresses and telephone number listed above and (2) questions about the exchange</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procedures and requests for additional copies of this Prospectus/Offer to Exchange, the Letter of</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3"/>
              </w:rPr>
              <w:t>Transmittal and Consent or Notice of Guaranteed Delivery to the information agent at the below address</w:t>
            </w:r>
          </w:p>
        </w:tc>
      </w:tr>
      <w:tr>
        <w:trPr>
          <w:trHeight w:val="230"/>
        </w:trPr>
        <w:tc>
          <w:tcPr>
            <w:tcW w:w="280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and phone number:</w:t>
            </w:r>
          </w:p>
        </w:tc>
      </w:tr>
      <w:tr>
        <w:trPr>
          <w:trHeight w:val="422"/>
        </w:trPr>
        <w:tc>
          <w:tcPr>
            <w:tcW w:w="2800" w:type="dxa"/>
            <w:vAlign w:val="bottom"/>
            <w:tcBorders>
              <w:left w:val="single" w:sz="8" w:color="auto"/>
            </w:tcBorders>
          </w:tcPr>
          <w:p>
            <w:pPr>
              <w:spacing w:after="0"/>
              <w:rPr>
                <w:sz w:val="24"/>
                <w:szCs w:val="24"/>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D.F. King &amp; Co., Inc.</w:t>
            </w:r>
          </w:p>
        </w:tc>
      </w:tr>
      <w:tr>
        <w:trPr>
          <w:trHeight w:val="253"/>
        </w:trPr>
        <w:tc>
          <w:tcPr>
            <w:tcW w:w="2800" w:type="dxa"/>
            <w:vAlign w:val="bottom"/>
            <w:tcBorders>
              <w:left w:val="single" w:sz="8" w:color="auto"/>
            </w:tcBorders>
          </w:tcPr>
          <w:p>
            <w:pPr>
              <w:spacing w:after="0"/>
              <w:rPr>
                <w:sz w:val="21"/>
                <w:szCs w:val="21"/>
                <w:color w:val="auto"/>
              </w:rPr>
            </w:pPr>
          </w:p>
        </w:tc>
        <w:tc>
          <w:tcPr>
            <w:tcW w:w="8660" w:type="dxa"/>
            <w:vAlign w:val="bottom"/>
            <w:tcBorders>
              <w:right w:val="single" w:sz="8" w:color="auto"/>
            </w:tcBorders>
            <w:gridSpan w:val="2"/>
          </w:tcPr>
          <w:p>
            <w:pPr>
              <w:ind w:left="860"/>
              <w:spacing w:after="0" w:line="253" w:lineRule="exact"/>
              <w:rPr>
                <w:sz w:val="20"/>
                <w:szCs w:val="20"/>
                <w:color w:val="auto"/>
              </w:rPr>
            </w:pPr>
            <w:r>
              <w:rPr>
                <w:rFonts w:ascii="Arial" w:cs="Arial" w:eastAsia="Arial" w:hAnsi="Arial"/>
                <w:sz w:val="18"/>
                <w:szCs w:val="18"/>
                <w:color w:val="auto"/>
              </w:rPr>
              <w:t>48 Wall Street,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New York, New York 10005</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Banks and Brokers Call Collect: (212) 269-5550</w:t>
            </w:r>
          </w:p>
        </w:tc>
      </w:tr>
      <w:tr>
        <w:trPr>
          <w:trHeight w:val="216"/>
        </w:trPr>
        <w:tc>
          <w:tcPr>
            <w:tcW w:w="280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All Others Call Toll-Free: (800) 967-4607</w:t>
            </w:r>
          </w:p>
        </w:tc>
      </w:tr>
      <w:tr>
        <w:trPr>
          <w:trHeight w:val="230"/>
        </w:trPr>
        <w:tc>
          <w:tcPr>
            <w:tcW w:w="2800" w:type="dxa"/>
            <w:vAlign w:val="bottom"/>
            <w:tcBorders>
              <w:left w:val="single" w:sz="8" w:color="auto"/>
            </w:tcBorders>
          </w:tcPr>
          <w:p>
            <w:pPr>
              <w:spacing w:after="0"/>
              <w:rPr>
                <w:sz w:val="20"/>
                <w:szCs w:val="20"/>
                <w:color w:val="auto"/>
              </w:rPr>
            </w:pPr>
          </w:p>
        </w:tc>
        <w:tc>
          <w:tcPr>
            <w:tcW w:w="86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Email: PRTH@dfking.com</w:t>
            </w:r>
          </w:p>
        </w:tc>
      </w:tr>
      <w:tr>
        <w:trPr>
          <w:trHeight w:val="226"/>
        </w:trPr>
        <w:tc>
          <w:tcPr>
            <w:tcW w:w="2800" w:type="dxa"/>
            <w:vAlign w:val="bottom"/>
            <w:tcBorders>
              <w:left w:val="single" w:sz="8" w:color="auto"/>
              <w:bottom w:val="single" w:sz="8" w:color="auto"/>
            </w:tcBorders>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557"/>
        </w:trPr>
        <w:tc>
          <w:tcPr>
            <w:tcW w:w="28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819" w:right="1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As used in the risks described in this subsection, references to “we,” “us” and “our” are intended to refer to Priority unless the context clearly indicates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payment processing industry is highly competitive. We primarily compete in the small and medium business (“SMB”) merchant industry. Competition has increased recently as other providers of payment processing services have established a sizable market share in the SMB merchant acquiring industry. Our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 Inc., TSYS and Square. We also compete with many of these same entities for the assistance of distribution partners. For example, many of our distribution partners are not exclusive to us but also have relationships with our competitors, such that we have to continually expend resources to maintain those relationships. Our growth will depend on the continued growth of payments with credit, debit and prepaid cards (“Electronic Payments”), particularly Electronic Payments to SMB merchants, and our ability to increase our market share through successful competitive efforts to gain new merchants and distribution partners.</w:t>
      </w:r>
    </w:p>
    <w:p>
      <w:pPr>
        <w:spacing w:after="0" w:line="16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In addition, many financial institutions, subsidiaries of financial institutions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Competing with financial institutions is also challenging because, unlike us, they often bundle processing services with other banking products and services. This competition may effectively limit the prices we can charge our merchants, cause us to increase the compensation we pay to our distribution partners and require us to control costs aggressively in order to maintain acceptable profit margins. Our current and future competitors may also develop or offer services that have price or other advantages over the services we provide.</w:t>
      </w:r>
    </w:p>
    <w:p>
      <w:pPr>
        <w:spacing w:after="0" w:line="17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are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 enabled software versus terminal based payments.</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To acquire and retain a segment of our merchants, we depend in part on distribution partners that may not serve us exclusively and are subject to attrition.</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rely in significant part on the efforts of independent sales organizations (“ISOs”), independent software vendors (“ISVs”) and referral partners to market our services to merchants seeking to establish a merchant acquiring relationship. These distribution partners seek to introduce us, as well as our competitors, to newly established and existing SMB merchants, including retailers, restaurants and other businesses. Generally, our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our competitors. We have been required, and expect to be required in the future, to make concessions when renewing contracts with our distribution partners and such concessions can have a material impact on our financial condition or operating performance. If these distribution partners switch to another merchant acquirer, cease operations or become insolvent, we will no longer receive new merchant referrals from them, and we risk losing existing merchants that were originally enrolled by them. Additionally, our distribution partners are subject to the requirements imposed by our bank sponsors, which may result in fines to them for non-compliance and may, in some cases, result in these entities ceasing to refer merchants to us. We cannot accurately predict the level of attrition of our distribution partners or merchants in the future, particularly those merchants we acquired as customers in the portfolio acquisitions we have completed in the past five years, which makes it difficult for us to forecast growth. If we are unable to establish relationships with new distribution partners or merchants, or otherwise increase our transaction processing volume in order to counter the effect of this attrition, our revenues will decline.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b w:val="1"/>
          <w:bCs w:val="1"/>
          <w:i w:val="1"/>
          <w:iCs w:val="1"/>
          <w:color w:val="auto"/>
        </w:rPr>
        <w:t>Unauthorized disclosure of merchant or cardholder data, whether through breach of our computer systems, computer viruses, or otherwise, could expose us to liability, protracted and costly litigation and damage our reputation.</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responsible for data security for ourselves and for third parties with whom we partner, including by contract and under the rules and regulations established by the payment networks, such as Visa, MasterCard, Discover and American Express, as well as debit card networks. These third parties include merchants, our distribution partners and other third-party service providers and agents. We and other third parties collect, process, store and/or transmit sensitive data, such as names, addresses, social security numbers, credit or debit card numbers and expiration dates, driver’s license numbers and bank account numbers. We have ultimate liability to the payment networks and our bank sponsors that register us with Visa or MasterCard for our failure or the failure of third parties with whom we contract to protect this data in accordance with payment network requirements. The loss, destruction or unauthorized modification of merchant or cardholder data by us or our contracted third parties could result in significant fines, sanctions and proceedings or actions against us by the payment networks, governmental bodies, consumers or others.</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CPUs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our employees have access to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services or to create a diversion for other malicious activities. These types of actions and attacks and others could disrupt our delivery of services or make them unavailable. Any such actions or attacks against us or our contracted third parties could hurt our reputation, force us to incur significant expenses in remediating the resulting impacts, expose us to uninsured liability, result in the loss of our bank sponsors or our ability to participate in the payment networks, subject us to lawsuits, fines or sanctions, distract our management or increase our costs of doing business. For example, we are presently evaluating whether the recent Spectre and Meltdown threats may require us to replace substantial portions of our current technology hardware and infrastructure in order to mitigate the risk associated with those threats. If we are required to replace a substantial portion of our current technology hardware and infrastructure, either as a result of the Spectre and Meltdown threats or similar future threats, we would likely incur substantial capital expenditures, which may materially and adversely affect our free cash flow and results of operations as a result.</w:t>
      </w:r>
    </w:p>
    <w:p>
      <w:pPr>
        <w:spacing w:after="0" w:line="19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and our contracted third parties could be subject to breaches of security by hackers. Its encryption of data and other protective measures may not prevent unauthorized access to or use of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merchants from using electronic payments generally and our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our insurance coverage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ind w:right="160"/>
        <w:spacing w:after="0" w:line="270" w:lineRule="auto"/>
        <w:rPr>
          <w:sz w:val="20"/>
          <w:szCs w:val="20"/>
          <w:color w:val="auto"/>
        </w:rPr>
      </w:pPr>
      <w:r>
        <w:rPr>
          <w:rFonts w:ascii="Arial" w:cs="Arial" w:eastAsia="Arial" w:hAnsi="Arial"/>
          <w:sz w:val="17"/>
          <w:szCs w:val="17"/>
          <w:color w:val="auto"/>
        </w:rPr>
        <w:t>The confidentiality of the sensitive business information and personal consumer information that resides on our systems and our associated third parties’ systems are critical to our business. While we maintain controls and procedures to protect the sensitive data we collect, we cannot be certain that these measures will be successful or sufficient to counter all current and emerging technology threats that are designed to breach these systems in order to gain access to confidential information. For example, although we generally require that our agreements with distribution partners or our service providers which may have access to merchant or cardholder data include confidentiality obligations that restrict these parties from using or disclosing any merchant or cardholder data except as necessary to perform their services under the applicable agreements, we cannot guarantee that these contractual measures will prevent the unauthorized use, modification, destruction or disclosure of data or allow us to seek reimbursement from the contracted party. In addition, many of our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incurring significant losses.</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addition, our agreements with our bank sponsors and our third-party payment processors (as well as payment network requirements) require us to take certain protective measures to ensure the confidentiality of merchant and consumer data. Any failure to adequately comply with these protective measures could result in fees, penalties, litigation or termination of our bank sponsor agreements.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significant unauthorized disclosure of sensitive data entrusted to us would cause significant damage to our reputation and impair our ability to attract new integrated technology and referral partners, and may cause parties with whom we already have such agreements to terminate them.</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breakdowns in our processing systems that could damage client relations and expose us to liability.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core business depends heavily on the reliability of our processing systems. A system outage could have a material adverse effect on our business, financial condition, and results of operations. Not only would we suffer damage to our reputation in the event of a system outage, but we may also be liable to third parties. Many of our contractual agreements with clients require us to pay penalties if our systems do not meet certain operating standards. To successfully operate our business, we must be able to protect our processing and other systems from interruption, including from events that may be beyond our control. Events that could cause system interruptions include, but are not limited to, fire, natural disaster, unauthorized entry, power loss, telecommunications failure, computer viruses, terrorist acts, cyber-attacks, and war. Although we have taken steps to protect against data loss and system failures, there is still risk that we may lose critical data or experience system failures. To help protect against these events, we perform the vast majority of disaster recovery operations ourselves, but we also utilize select third parties for certain operations. To the extent we outsource our disaster recovery, we are at risk of the vendor’s unresponsiveness or other failures in the event of breakdowns in our systems. In addition, our property and business interruption insurance may not be adequate to compensate us for all losses or failures that may occur.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ind w:right="300"/>
        <w:spacing w:after="0" w:line="277" w:lineRule="auto"/>
        <w:rPr>
          <w:sz w:val="20"/>
          <w:szCs w:val="20"/>
          <w:color w:val="auto"/>
        </w:rPr>
      </w:pPr>
      <w:r>
        <w:rPr>
          <w:rFonts w:ascii="Arial" w:cs="Arial" w:eastAsia="Arial" w:hAnsi="Arial"/>
          <w:sz w:val="18"/>
          <w:szCs w:val="18"/>
          <w:b w:val="1"/>
          <w:bCs w:val="1"/>
          <w:i w:val="1"/>
          <w:iCs w:val="1"/>
          <w:color w:val="auto"/>
        </w:rPr>
        <w:t>Governmental regulations designed to protect or limit access to or use of consumer information could adversely affect our ability to effectively provide our services to merchants.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Governmental bodies in the United States have adopted, or are considering the adoption of, laws and regulations restricting the use, collection, storage, and transfer of, and requiring safeguarding of, non-public personal information. Our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Federal Trade Commission’s information safeguarding rules under the Gramm-Leach-Bliley Act require us to develop, implement and maintain a written, comprehensive information security program containing safeguards that are appropriate for our size and complexity, the nature and scope of our activities and the sensitivity of any customer information at issue. Our financial institution clients are subject to similar requirements under the guidelines issued by the federal banking regulators. As part of their compliance with these requirements, each of our financial institution clients is expected to have a program in place for responding to unauthorized access to, or use of, customer information that could result in substantial harm or inconvenience to customers and they are also responsible for our compliance efforts as a major service provider. In addition, regulators are proposing new laws or regulations which could require us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18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4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with providing services to our merchants, we are required by regulations and contracts with our merchants and with our financial institution referral partners to provide assurances regarding the confidentiality and security of non-public consumer information. These contracts require periodic audits by independent companies regarding our compliance with industry standards and also allow for similar audits regarding best practices established by regulatory guidelines. The compliance standards relate to our infrastructure, components and operational procedures designed to safeguard the confidentiality and security of non-public consumer personal information shared by our merchants with it. Our ability to maintain compliance with these standards and satisfy these audits will affect our ability to attract, grow and maintain business in the future. If we fail to comply with the laws and regulations relating to the protection of data privacy, we could be exposed to suits for breach of contract or to governmental proceedings. In addition, our relationships and reputation could be harmed, which could inhibit our ability to retain existing merchants and distribution partners and obtain new merchants and distribution partners.</w:t>
      </w:r>
    </w:p>
    <w:p>
      <w:pPr>
        <w:spacing w:after="0" w:line="16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If more restrictive privacy laws or rules are adopted by authorities in the future, our compliance costs may increase and our ability to perform due diligence on, and monitor the risk of, our current and potential merchants may decrease, which could create liability for it. Additionally, our opportunities for growth may be curtailed by our compliance capabilities or reputational harm, and our potential liability for security breaches may increase.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distribution partners and merchants may be reluctant to switch to a new merchant acquirer, which may adversely affect our growth.</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Many potential distribution partners and merchants worry about potential disadvantages associated with switching merchant acquirers, such as a loss of accustomed functionality, increased costs and business disruption. For our distribution partners, switching to us from another merchant acquirer or integrating with us may be perceived by them as a significant undertaking. As a result, many distribution partners and merchants often resist change. There can be no assurance that our strategies for overcoming potential reluctance to change vendors or initiate a relationship with us will be successful, and this resistance may adversely affect our growth and performance results.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Because we rely on third-party vendors to provide products and services, we could be adversely impacted if we fail to fulfill their obligations.</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is dependent on third-party vendors to provide us with certain products and services. For example, we utilize First Data and TSYS to provide authorization and settlement services. Our current amended and restated processing agreement with First Data was entered into in December 2014 and will remain in effect through December 2019 and automatically renews for successive one year terms thereafter unless either party provides written notice of non-renewal to the other party. Our current processing agreement with TSYS was entered into in November 2014 and will remain in effect through December 2019 and automatically renews for successive one year terms thereafter unless either party provides written notice of non-renewal to the other party. In this regard, we have provided TSYS with a notice of our intent to terminate the agreement effective as of April 3, 2019, in connection with our intent to negotiate and enter into a new agreement with TSYS. There can be no assurance, however, that we will be successful in negotiating or entering into such a subsequent agreement with TSYS, and in the event we are unable to do so, we may determine to shift all or a portion of our current TSYS processing work to other providers.</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failure of these vendors, such as First Data and TSYS, to perform their obligations in a timely manner could adversely affect our operations and profitability. In addition, if we are unable to renew our existing contracts with our most significant vendors, such as First Data and TSYS, it might not be able to replace the related product or service at the same cost, which would negatively impact our profitability. Specifically, while we believe we would be able to locate alternative vendors to provide substantially similar services at comparable rates, or otherwise replicate such services internally, it is not assured that a change will not be disruptive to our business, which could potentially lead to a material adverse impact on our revenue and profitability until resolved.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card association and debit network fees or products could increase costs or otherwise limit our operations.</w:t>
      </w:r>
    </w:p>
    <w:p>
      <w:pPr>
        <w:spacing w:after="0" w:line="22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subject to numerous regulations that affect electronic payments including, U.S. financial services regulations, consumer protection laws, escheat regulations, and privacy and information security regulations. Regulation and proposed regulation of our industry has increased significantly in recent years. Changes to statutes, regulations or industry standards, including interpretation and implementation of statutes, regulations or standards, could increase our cost of doing business or affect the competitive balance. For example, the Trump Administration has called for changes in existing regulatory requirements, including those applicable to financial services.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predict the impact, if any, of such changes on our business. It is likely that some policies adopted by the new administration will benefit us, while others will negatively affect it. Until we know what changes are adopted, we will not know whether in total we benefit from, or are negatively affected by, the changes. Failure to comply with regulations may have an adverse effect on our business, including the limitation, suspension or termination of services provided to, or by, third parties, and the imposition of penalties or fines.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8" w:name="page19"/>
    <w:bookmarkEnd w:id="18"/>
    <w:p>
      <w:pPr>
        <w:ind w:right="160"/>
        <w:spacing w:after="0" w:line="257" w:lineRule="auto"/>
        <w:rPr>
          <w:sz w:val="20"/>
          <w:szCs w:val="20"/>
          <w:color w:val="auto"/>
        </w:rPr>
      </w:pPr>
      <w:r>
        <w:rPr>
          <w:rFonts w:ascii="Arial" w:cs="Arial" w:eastAsia="Arial" w:hAnsi="Arial"/>
          <w:sz w:val="18"/>
          <w:szCs w:val="18"/>
          <w:color w:val="auto"/>
        </w:rPr>
        <w:t>Interchange fees, which are typically paid by the payment processor to the issuer in connection with electronic payments, are subject to increasingly intense legal, regulatory, and legislative scrutiny. In particular, the Dodd-Frank Wall Street Reform and Consumer Protection Act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our business. The Dodd-Frank Act also created the Consumer Financial Protection Bureau (the “CFPB”), which has assumed responsibility for most federal consumer protection laws, and the Financial Stability Oversight Council, which has the authority to determine whether any non-bank financial company, which may include us within the definitional scope, should be supervised by the Board of Governors of the Federal Reserve System (the “Federal Reserve Board”), because it is systemically important to the United States financial system. Any such designation would result in increased regulatory burdens on our business, which increases our risk profile and may have an adverse impact on our business, financial condition and results of operations.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Separately, the Housing Assistance Tax Act of 2008 included an amendment to the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9" w:name="page20"/>
    <w:bookmarkEnd w:id="19"/>
    <w:p>
      <w:pPr>
        <w:ind w:right="380"/>
        <w:spacing w:after="0" w:line="308" w:lineRule="auto"/>
        <w:rPr>
          <w:sz w:val="20"/>
          <w:szCs w:val="20"/>
          <w:color w:val="auto"/>
        </w:rPr>
      </w:pPr>
      <w:r>
        <w:rPr>
          <w:rFonts w:ascii="Arial" w:cs="Arial" w:eastAsia="Arial" w:hAnsi="Arial"/>
          <w:sz w:val="17"/>
          <w:szCs w:val="17"/>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our registrations through our bank sponsors.</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order to provide our merchant acquiring services, we are registered through our bank sponsors with the Visa and MasterCard networks as service providers for member institutions. More than $32 billion of our processing volume in the fiscal year ended December 31, 2017 was attributable to transactions processed on the Visa and MasterCard networks. As such, we and our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Payment Card Industry and Data Security Standards (the “PCI DSS”). Standards governing our third-party processing agreements may also impose requirements with respect to compliance with PCI DSS.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do not comply with the payment network requirements or standards governing our third-party processing agreements, our transaction processing capabilities could be delayed or otherwise disrupted, and recurring non-compliance could result in the payment networks or third-party processors seeking to fine it, the payment networks suspending or terminating our registrations which allow us to process transactions on their networks, which would make it impossible for us to conduct our business on our current scale.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card association has sent us an inquiry regarding a subset of merchants representing approximately 2% of 2017 processing volume for potential noncompliance with card association rules. The card association identified at least one merchant as having engaged in deceptive practices with consumers and being noncompliant with their card association requirements, which resulted in excessive chargebacks. The card association has also found evidence that certain merchants have engaged in activities that violated certain card association rules, including entering transactions that did not represent bona fide business between the merchant of record and the cardholder, and processing sales for the same cardholder under different merchant accounts over time. The card association also raised concern about data security failures by merchants or merchant non-compliance with PCI DSS and about a customer relationship vendor that some of our merchants use.</w:t>
      </w:r>
    </w:p>
    <w:p>
      <w:pPr>
        <w:spacing w:after="0" w:line="18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a result of these and other findings, we took certain corrective actions, after reviewing these merchant accounts for violations of card association rules and our terms of service, including opening duplicate or multiple accounts to avoid compliance with our chargeback limitations. The corrective actions increase the costs of our compliance program which were passed along to resellers representing these merchants. As a result of some of these discrete corrective actions as well as standard risk assessment conducted through our risk management systems, we have terminated certain merchant accounts. We continue to evaluate additional existing and new merchant accounts for similar activity, and the number and type of merchants we will onboard in the future could potentially be affected. In addition, if we are in the future forced to close a material number of our merchant accounts as a result of separate inquiries from card associations of our own internal risk assessment process, such closures could have a material adverse effect on our business, financial condition, and results of operations. We have not been fined by the credit card association, however, had we not resolved the issues presented in such notices, we may be required to pay a fine. If in the future we are unable to recover fines from or pass-through costs to our merchants and/or resellers, or recover losses under insurance policies, we would experience a financial loss, and any such loss could be significant.</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foregoing, we closed approximately 1,200 merchant accounts in 2018 in order to ensure compliance with MasterCard standards. In October of 2018, MasterCard issued guidance and revised standards for the boarding of merchants in this channel. This new guidance from MasterCard will allow us to resume the boarding of merchants in this e-commerce channel in compliance with new standards, but the success rate or financial impact of the new boarding of the e-commerce channel is not quantifiable.</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certain circumstances specified in the payment network rules or our third-party processing agreements,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The termination of our registration with the payment networks, or any changes in payment network or issuer rules that limit our ability to provide merchant acquiring services, could have an adverse effect on our payment processing volumes, revenues and operating costs. If an audit or self-assessment under PCI DSS identifies any deficiencies that we need to remediate, the remediation efforts may distract our management team and be expensive and time consuming.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Changes in payment network rules or standards could adversely affect our business, financial condition and results of operations.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us to quickly implement changes to our systems which increases the risk of non-compliance with new standards. In addition, the payment networks could make changes to interchange or other elements of the pricing structure of the merchant acquiring industry that would have a negative impact on our results of operations.</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There may be a decline in the use of electronic payments as a payment mechanism for consumers or adverse developments with respect to the electronic payments industry in general which could adversely affect our business, financial condition and operating results.</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Maintaining or increasing our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us, our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1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In order 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We are continually involved in many business and technology projects, such as Commercial Payments Exchange (“CPX”), MX Connect and MX Merchant. MX Connect and MX Merchant provide resellers and merchant clients, a flexible and customizable set of business applications that help better manage critical business work functions and revenue performance using core payment processing as our leverage point. Additionally, CPX provides Accounts Payable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expand our share of the existing electronic payments industry or expand into new markets, which would inhibit our ability to grow and increase our profitability.</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future growth and profitability depend, in part, upon our continued expansion within the markets in which we currently operate, the emergence of other markets for electronic payments and our ability to penetrate these markets and our current distribution partners’ merchant base. Future growth and profitability of our business may depend upon our ability to penetrate new industries and markets for electronic payments.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1" w:name="page22"/>
    <w:bookmarkEnd w:id="21"/>
    <w:p>
      <w:pPr>
        <w:ind w:right="120"/>
        <w:spacing w:after="0" w:line="257" w:lineRule="auto"/>
        <w:rPr>
          <w:sz w:val="20"/>
          <w:szCs w:val="20"/>
          <w:color w:val="auto"/>
        </w:rPr>
      </w:pPr>
      <w:r>
        <w:rPr>
          <w:rFonts w:ascii="Arial" w:cs="Arial" w:eastAsia="Arial" w:hAnsi="Arial"/>
          <w:sz w:val="18"/>
          <w:szCs w:val="18"/>
          <w:color w:val="auto"/>
        </w:rPr>
        <w:t>Our ability to expand into new industries and markets also depends upon our ability to adapt our existing technology or to develop new technologies to meet the particular needs of each new industry or market. We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we may anticipate. If we fail to expand into new and existing electronic payments industries and markets, we may not be able to continue to grow our revenues and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subject us to a variety of risks that could harm our business.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review and complete selective acquisition opportunities as part of our growth strategy.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us to a variety of other risks:</w:t>
      </w:r>
    </w:p>
    <w:p>
      <w:pPr>
        <w:spacing w:after="0" w:line="187" w:lineRule="exact"/>
        <w:rPr>
          <w:sz w:val="20"/>
          <w:szCs w:val="20"/>
          <w:color w:val="auto"/>
        </w:rPr>
      </w:pPr>
    </w:p>
    <w:p>
      <w:pPr>
        <w:ind w:left="660" w:right="1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46"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may have a material adverse effect on our business relationships with existing or future merchants or distribution partners, in particular, to the extent we consummate acquisitions that increase our sales and distribution capabilities;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assume substantial actual or contingent liabilities, known and unknown;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may not meet our expectations of future financial performance;</w:t>
      </w:r>
    </w:p>
    <w:p>
      <w:pPr>
        <w:spacing w:after="0" w:line="225" w:lineRule="exact"/>
        <w:rPr>
          <w:rFonts w:ascii="Arial" w:cs="Arial" w:eastAsia="Arial" w:hAnsi="Arial"/>
          <w:sz w:val="18"/>
          <w:szCs w:val="18"/>
          <w:color w:val="auto"/>
        </w:rPr>
      </w:pPr>
    </w:p>
    <w:p>
      <w:pPr>
        <w:ind w:left="660" w:right="5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delays or reductions in realizing expected synergies or benefits;</w:t>
      </w:r>
    </w:p>
    <w:p>
      <w:pPr>
        <w:spacing w:after="0" w:line="225" w:lineRule="exact"/>
        <w:rPr>
          <w:rFonts w:ascii="Arial" w:cs="Arial" w:eastAsia="Arial" w:hAnsi="Arial"/>
          <w:sz w:val="18"/>
          <w:szCs w:val="18"/>
          <w:color w:val="auto"/>
        </w:rPr>
      </w:pPr>
    </w:p>
    <w:p>
      <w:pPr>
        <w:ind w:left="660" w:right="9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incur substantial unanticipated costs or encounter other problems associated with acquired businesses or devote time and capital investigating a potential acquisition and not complete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achieve our intended objectives for the transaction;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retain the key personnel, customers and suppliers of the acquired business.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Additionally, we may be unable to maintain uniform standards, controls, procedures and policies as we attempt to integrate the acquired businesses, and this may lead to operational inefficiencies. These factors related to our acquisition strategy, among others, could have a material adverse effect on our business, financial condition and results of operations.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Potential changes in the competitive landscape, including disintermediation from other participants in the payments value chain, could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competitive landscape will continue to change, including the following developments:</w:t>
      </w:r>
    </w:p>
    <w:p>
      <w:pPr>
        <w:spacing w:after="0" w:line="225" w:lineRule="exact"/>
        <w:rPr>
          <w:sz w:val="20"/>
          <w:szCs w:val="20"/>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rapid and significant changes in technology may result in technology-led marketing that is focused on business solutions rather than pricing, new and innovative payment methods and programs that could place us at a competitive disadvantage and reduce the use of our services;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2" w:name="page23"/>
    <w:bookmarkEnd w:id="22"/>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competitors, distribution partners, and other industry participants may develop products that compete with or replace our value-added products and services;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participants in the financial services, payments and technology industries may merge, create joint ventures or form other business combinations that may strengthen their existing business services or create new payment services that compete with us;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services and technologies that we develop may be impacted by industry-wide solutions and standards related to migration to EMV chip technology, tokenization or other security-related technologies.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Failure to compete effectively against any of these competitive threats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manage our intellectual property and may be subject to infringement claims.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may also be subject to costly litigation if our services and technology are alleged to infringe upon or otherwise violate a third-party’s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827" w:right="299" w:bottom="1440" w:gutter="0" w:footer="0" w:header="0"/>
        </w:sectPr>
      </w:pPr>
    </w:p>
    <w:bookmarkStart w:id="23" w:name="page24"/>
    <w:bookmarkEnd w:id="23"/>
    <w:p>
      <w:pPr>
        <w:ind w:right="560"/>
        <w:spacing w:after="0" w:line="308" w:lineRule="auto"/>
        <w:rPr>
          <w:sz w:val="20"/>
          <w:szCs w:val="20"/>
          <w:color w:val="auto"/>
        </w:rPr>
      </w:pPr>
      <w:r>
        <w:rPr>
          <w:rFonts w:ascii="Arial" w:cs="Arial" w:eastAsia="Arial" w:hAnsi="Arial"/>
          <w:sz w:val="17"/>
          <w:szCs w:val="17"/>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worldwide financial market situation,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8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Any new legislation that may be adopted in the United States could significantly affect the regulation of U.S. financial markets. Areas subject to potential change, amendment or repeal include the Dodd-Frank Act and the authority of the Federal Reserve Board and the Financial Stability Oversight Council.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 substantial portion of all of our merchants are small- and medium-sized businesses, which may increase the impact of economic fluctuations and merchant attrition on it.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market and sell our solutions primarily to SMB merchants. SMB merchants are typically more susceptible to the adverse effects of economic fluctuations than larger businesses. We experience attrition in merchants and merchant charge volume in the ordinary course of business resulting from several factors, including business closures, transfers of merchants’ accounts to our competitors and account closures that we initiate due to heightened credit risks relating to, or contract breaches by, a merchant. Adverse changes in the economic environment or business failures of our SMB merchants may have a greater impact on us than on our competitors who do not focus on SMB merchants to the extent that we do. We cannot accurately predict the level of SMB merchant attrition in the future. If we are unable to establish accounts with new merchants or otherwise increase our payment processing volume in order to counter the effect of this attrition, our revenues will decline.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b w:val="1"/>
          <w:bCs w:val="1"/>
          <w:i w:val="1"/>
          <w:iCs w:val="1"/>
          <w:color w:val="auto"/>
        </w:rPr>
        <w:t>Our systems and our third-party providers’ systems may fail due to factors beyond our control, which could interrupt our service, resulting in our inability to process, cause us to lose business, increase our costs and expose us to liability.</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depend on the efficient and uninterrupted operation of numerous systems, including our computer network systems, software, data centers and telecommunication networks, as well as the systems and services of our bank sponsors, the payment networks, third-party providers of processing services and other third parties. Our systems and operations or those of our third-party providers, such as our provider of dial-up authorization services, or the payment networks themselves, could be exposed to damage or interruption from, among other things, fire, natural disaster, power loss, telecommunications failure, unauthorized entry, computer viruses, denial-of-service attacks, acts of terrorism, human error or sabotage, financial insolvency and similar events. Our property and business interruption insurance may not be adequate to compensate us for all losses or failures that may occur. At present, our critical operational systems, such as our payment gateway, are fully redundant, while certain of our less critical systems are not. Therefore, certain aspects of our operations may be subject to interruption. Also, while we have disaster recovery policies and arrangements in place, they have not been tested under actual disasters or similar events.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Defects in our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our business or reputation, exposure to fraud losses or other liabilities and fines and other sanctions imposed by payment networks.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it.</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by merchants or others could cause us to incur losses.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face potential liability for fraudulent electronic payment transactions initiated by merchants or others. Merchant fraud occurs when a merchant opens a fraudulent merchant account and conducts fraudulent transactions or when a merchant, rather than a customer (though sometimes working together with a customer engaged in fraudulent activities), knowingly uses a stolen or counterfeit card or card number to record a false sales transaction, or intentionally fails to deliver the merchandise or services sold in an otherwise valid transaction. Any time a merchant is unable to fund a chargeback, we have a number of contractual arrangements and other means of recourse to mitigate those risks. Nonetheless, there still is loss exposure in the event a merchant is unable to fund a chargeback. Additionally, merchant fraud occurs when employees of merchants change the merchant demand deposit accounts to their personal bank account numbers, so that payments are improperly credited to the employee’s personal account. We have established systems and procedures to detect and reduce the impact of merchant fraud, but we cannot be sure that these measures are or will be effective. Failure to effectively manage risk and prevent fraud could increase our chargeback or other liability.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ind w:right="40"/>
        <w:spacing w:after="0" w:line="272" w:lineRule="auto"/>
        <w:rPr>
          <w:sz w:val="20"/>
          <w:szCs w:val="20"/>
          <w:color w:val="auto"/>
        </w:rPr>
      </w:pPr>
      <w:r>
        <w:rPr>
          <w:rFonts w:ascii="Arial" w:cs="Arial" w:eastAsia="Arial" w:hAnsi="Arial"/>
          <w:sz w:val="17"/>
          <w:szCs w:val="17"/>
          <w:color w:val="auto"/>
        </w:rPr>
        <w:t>We also have potential liability for losses caused by fraudulent card-based payment transactions. Card fraud occurs when a merchant’s customer uses a stolen card (or a stolen card number in a card-not-present transaction) to purchase merchandise or services. In a card-present transaction, where a merchant has an EMV, or “chip reader”, compliant machine, if the merchant swipes the card and receives authorization for the transaction from the issuer, the issuer remains liable for any loss. In a card-not-present transaction, or where a merchant lacks an EMV-capable machine even if the merchant receives authorization for the transaction, the merchant is liable for any loss arising from the transaction. Many of the merchants that we serve transact a substantial percentage of their sales in card-not-present transactions over the internet or in response to telephone or mail orders, which makes these merchants more vulnerable to fraud than merchants whose transactions are conducted largely in card-present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liability when our merchants refuse or cannot reimburse us for chargebacks resolved in favor of their customers.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spacing w:after="0" w:line="182"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rely on bank sponsors, which have substantial discretion with respect to certain elements of our business practices, in order to process electronic payment transactions. If these sponsorships are terminated and we are not able to secure new bank sponsors, we will not be able to conduct our business.</w:t>
      </w:r>
    </w:p>
    <w:p>
      <w:pPr>
        <w:spacing w:after="0" w:line="10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Because we are not a bank, we are not eligible for membership in the Visa, MasterCard and other payment networks. These networks’ operating regulations require us to be sponsored by a member bank in order to process Electronic Payment transactions. We are currently registered with Visa and MasterCard through Citizens Bank, Wells Fargo and Synovus Bank. We are also subject to network operating rules promulgated by the National Automated Clearing House Association relating to payment transactions processed by us using the Automated Clearing House Network. For ACH payments, our ACH network (ACH.com) is sponsored by Atlantic Capital Bank, BB&amp;T Bank and MB Financial Bank. From time to time, we may enter into other sponsorship relationships as well.</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bank sponsors may terminate their agreements with us if we materially breach the agreements and do not cure the breach within an established cure period, if our membership with Visa and/or MasterCard terminates, if we enter bankruptcy or file for bankruptcy, or if applicable laws or regulations, including Visa and/or MasterCard regulations, change to prevent either the applicable bank or us from performing services under the agreement. If these sponsorships are terminated and we are unable to secure a replacement bank sponsor within the applicable wind down period, we will not be able to process electronic payment transactions.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Furthermore, our agreements with our bank sponsors provide the bank sponsors with substantial discretion in approving certain elements of our business practices, including our solicitation, application and underwriting procedures for merchants. We cannot guarantee that our bank sponsors’ actions under these agreements will not be detrimental to it, nor can we provide assurance that any of our bank sponsors will not terminate their sponsorship of us in the future. Our bank sponsors have broad discretion to impose new business or operational requirements on us, which may materially adversely affect our business. If our sponsorship agreements are terminated and we are unable to secure another bank sponsor, we will not be able to offer Visa or MasterCard transactions or settle transactions which would likely cause us to terminate our operations.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bank sponsors also provide or supplement authorization, funding and settlement services in connection with our bankcard processing services. If our sponsorships agreements are terminated and we are unable to secure another bank sponsor, we will not be able to process Visa and MasterCard transactions which would have a material adverse effect on our business, financial condition and results of operations.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In July 2018, the Office of the Comptroller of the Currency (“OCC”) announced that it will begin accepting special purpose national bank charter applications from financial technology companies (“FinTech Charter”). No applications for a FinTech Charter have been submitted to date, and we cannot predict which, if any, of our current or future competitors would take advantage of the charter. However, such a development could increase the competitive risks discussed above or create new competitive risks, such as our nonbank competitors being able to more easily access the payment networks without the requirement of a bank sponsor, which could provide them with a competitive advantage.</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could have a material adverse effect on our business, financial condition or results of operations.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President, Chief Executive Officer and Chairman, Thomas Priore, is presently subject to an SEC civil order pertaining to his prior involvement with a registered investment adviser, which could heighten the regulatory scrutiny on us.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21, 2010, the SEC filed a civil lawsuit against ICP Asset Management (“ICP”) and Thomas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us, or his service as President, Chief Executive Officer and Chairman. During such time that the SEC bar remains in effect, we will be required to monitor if any future offerings of our stock might be considered an offering of “penny stock” which would be prohibited under the bar. In addition, while the SEC bar remains in effect, Mr. Priore is prohibited from owning a controlling equity stake in or operating a securities broker dealer, investment adviser, municipal securities dealer or transfer agent. The SEC bar does not, however, impact our current business.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7" w:name="page28"/>
    <w:bookmarkEnd w:id="27"/>
    <w:p>
      <w:pPr>
        <w:ind w:right="340"/>
        <w:spacing w:after="0" w:line="277" w:lineRule="auto"/>
        <w:rPr>
          <w:sz w:val="20"/>
          <w:szCs w:val="20"/>
          <w:color w:val="auto"/>
        </w:rPr>
      </w:pPr>
      <w:r>
        <w:rPr>
          <w:rFonts w:ascii="Arial" w:cs="Arial" w:eastAsia="Arial" w:hAnsi="Arial"/>
          <w:sz w:val="18"/>
          <w:szCs w:val="18"/>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we rely heavily on several senior key directors and executive officers, including Thomas Priore, who is our President, Chief Executive Officer and Chairman and who helped found Priority. Our future success will continue to depend on the diligence, skill, network of business contacts and continued service of Thomas Priore, together with members of our senior management team. We cannot assure you that unforeseen business, medical, personal or other circumstances would not lead any such individual to terminate his relationship with us. The loss of Thomas Priore, or any of the members of our senior management team, could have a material adverse effect on our ability to achieve our growth strategy as well as on our future financial condition and results of operations. Failure to retain or attract key personnel could impede our ability to grow and could result in our inability to operate our business profitably. In addition, contractual obligations related to confidentiality, assignment of intellectual property rights, and non-solicitation may be ineffective or unenforceable and departing employees may share our proprietary information with competitors in ways that could adversely impact us or seek to solicit our distribution partners or merchants or recruit our key personnel to competing businesses.</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our stock price or other reasons may in the future cause us to become the target of securities litigation or stockholder activism. Securities litigation and stockholder activism, including potential proxy contests, could result in substantial costs and divert our management’s and the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Changes in tax laws and regulations could adversely affect our results of operations and cash flows from operations.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operations are subject to tax by U.S. federal, state, local, and non-U.S. taxing jurisdictions. 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U.S. GAAP.</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U.S. GAAP is subject to interpretation by the Financial Accounting Standards Board (“FASB”), the American Institute of Certified Public Accountants, the SEC and various bodies formed to promulgate and interpret appropriate accounting principles. A change in these principles or interpretations, including changes related to revenue recognition, could have a significant effect on our reported financial results, and could affect the reporting of transactions completed before the announcement of a change.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securities less attractive to investors.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until the fiscal year ended December 31, 2021. However, if our non-convertible debt issued within a three-year period or revenues exceeds $1.07 billion, or the market value of our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has reduced disclosure obligations regarding executive compensation in our periodic reports and proxy statements, and is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risks related to our substantial indebtedness.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September 30, 2018, we had outstanding long-term debt of $352.2 million (compared to $283.1 million at December 31, 2017), an increase of $69.1 million, consisting of outstanding debt of $263.5 million under a credit facility with SunTrust Bank (including $2.7 million in current portion of long-term debt) and $88.7 million under a subordinated term loan (including accrued payment-in-kind (“PIK”) interest through September 30, 2018). On December 24, 2018, the credit facility with SunTrust Bank was amended to immediately increase the amount of the term loan by $60.0 million and to allow us to borrow an additional $70.0 million on a delayed basis. We have a $25.0 million revolving credit facility with SunTrust Bank, which was undrawn as of September 30, 2018 and December 31, 2017. In October 2018, we drew $8.0 million of the $25.0 million revolving credit facility with SunTrust Bank to partially finance a merchant portfolio acquisition. Our total interest expense was $23.8 million, $4.1 million and $3.5 million in 2017, 2016 and 2015, respectively. In the future, we may elect to use additional forms of indebtedness, including publicly or privately offered notes, which may further increase our levels of indebtedness. See “Management’s Discussion and Analysis of Financial Condition and Results of Operations — Liquidity and Capital Resources” for a description of our existing credit facilities.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Our current and future levels of indebtedness could have important consequences to us, including, but not limited to:</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225"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the payment of principal of, and interest on, our indebtedness, thereby reducing the availability of such cash flow to fund working capital, capital expenditures, acquisitions, joint ventures or other general corporate purposes;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competitive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 increasing the cost of any such borrowing.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Substantially all of our indebtedness is floating rate debt. As a result, an increase in interest rates generally, such as those we have recently experienced, would adversely affect our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will be able to incur substantial additional indebtedness in the future. Although the agreements governing our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Upon the occurrence of an event of default under the credit agreements relating to our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our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Any future credit facilities or debt instruments we may issue will likely contain similar, or potentially more expansive, events of default as compared to those set forth in the terms of our existing credit facilities, including those breach or defaults with respect to any of our other outstanding debt instruments. Our existing credit facilities are secured by a pledge of substantially all of our assets and any indebtedness we incur in the future may also be secured.</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redeem or purchase equity interests;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acquisitions or other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we will be required to comply with certain restrictions on the ratio of our indebtedness to our Earnout Adjusted EBITDA (as defined in the credit agreements governing our existing credit facilities). 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“Management’s Discussion and Analysis of Financial Condition and Results of Operations — Liquidity and Capital Resources” for a description of our existing credit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Factors Related to Our Common Stock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stock price may change significantly following the exchange, and you may not be able to resell shares of our Common Stock at or above the price you paid or at all, and you could lose all or part of your investment as a result.</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 your shares at or above the initial price you paid due to a number of factors such as those listed in “—Risks Factors Related to our Business” and the following: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the market prices of stocks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acquisitions, joint marketing relationships, joint ventures, other strategic relationships, or capital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perceptions or the investment opportunity associated with our Common Stock relative to other investment alternatives;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31" w:name="page32"/>
    <w:bookmarkEnd w:id="3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relating to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occurrences of extreme or inclement weather;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natural disasters, war, acts of terrorism, or responses to these events.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Common Stock or our sector, our stock price and trading volume could decline.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Common Stock or our industry, or the stock of any of our competitors, or publish inaccurate or unfavorable research about our business, the price of our Common Stock could decline. If one or more of these analysts ceases coverage of the combined company or fails to publish reports on us regularly, we could lose visibility in the market,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These provisions provide for, among other things: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holders of at least 66 2⁄3% of the shares of Common Stock entitled to vote generally in the election of directors if the Sellers and their affiliates (collectively, the “Priority Holders”) hold less than 40% of our outstanding shares of Common Stock; and</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the shares of Common Stock entitled to vote generally in the election of directors if the Priority Holders hold less than 40% of our outstanding shares of Common Stock.</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provisions requiring 66 2⁄3% approval if the Priority Holders hold less than 40% of our outstanding shares of Common Stock gives the Priority Holders significant influence over the vote on these items even after the Priority Holders own less than a majority of our outstanding shares of Common Stock.</w:t>
      </w:r>
    </w:p>
    <w:p>
      <w:pPr>
        <w:spacing w:after="0" w:line="12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Court of Chancery of the State of Delaware will be the sole and exclusive forum for any (i) derivative action or proceeding brought on behalf of our Company, (ii) action asserting a claim of breach of a fiduciary duty owed by any of our directors, officers or stockholders to us or our stockholders, (iii) action asserting a claim against us or any of our directors, officers or stockholders arising pursuant to any provision of the Delaware General Corporation Law (“DGCL”) or our Amended and Restated Certificate of Incorporation or our Amended and Restated Bylaws, or (iv) action asserting a claim against us or any of our directors, officers or stockholders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We believe that our stockholders will benefit from having any such disputes litigated in the Court of Chancery of the State of Delaware. Although some plaintiffs might prefer to litigate matters in a forum outside of Delaware because another court may be more convenient or because they believe another court would be more favorable to their claims, we believe that the benefits us and our stockholders outweigh these concerns. Delaware offers a system of specialized courts to deal with corporate law questions, with streamlined procedures and processes which help provide relatively quick decisions. These courts have developed considerable expertise in dealing with corporate law issues, as well as a substantial and influential body of case law construing Delaware’s corporate law and long-standing precedent regarding corporate governance. In addition, the adoption of this provision would reduce the risk that we could be involved in duplicative litigation in more than one forum, as well as the risk that the outcome of cases in multiple forums could be inconsistent, even though each forum purports to follow Delaware law. The enforceability of similar exclusive jurisdiction provisions in other companies’ certificates of incorporation has been challenged in legal proceedings, and it is possible that, in connection with any action, a court could find the exclusive jurisdiction provision contained in our amended and restated certificate of incorporation to be inapplicable or unenforceable in such action. However, given the decisions of the Court of Chancery of the State of Delaware in 2013 upholding similar provisions in </w:t>
      </w:r>
      <w:r>
        <w:rPr>
          <w:rFonts w:ascii="Arial" w:cs="Arial" w:eastAsia="Arial" w:hAnsi="Arial"/>
          <w:sz w:val="17"/>
          <w:szCs w:val="17"/>
          <w:i w:val="1"/>
          <w:iCs w:val="1"/>
          <w:color w:val="auto"/>
        </w:rPr>
        <w:t>Boilermakers Local 154 Retirement Fund v. Chevron Corp.,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IClub Investment Partnership v. FedEx Corp., et al.</w:t>
      </w:r>
      <w:r>
        <w:rPr>
          <w:rFonts w:ascii="Arial" w:cs="Arial" w:eastAsia="Arial" w:hAnsi="Arial"/>
          <w:sz w:val="17"/>
          <w:szCs w:val="17"/>
          <w:color w:val="auto"/>
        </w:rPr>
        <w:t>, we believe that the Court of Chancery of the State of Delaware would find our exclusive forum provisions to be enforceable as well.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3" w:name="page34"/>
    <w:bookmarkEnd w:id="33"/>
    <w:p>
      <w:pPr>
        <w:ind w:right="360"/>
        <w:spacing w:after="0" w:line="277" w:lineRule="auto"/>
        <w:rPr>
          <w:sz w:val="20"/>
          <w:szCs w:val="20"/>
          <w:color w:val="auto"/>
        </w:rPr>
      </w:pPr>
      <w:r>
        <w:rPr>
          <w:rFonts w:ascii="Arial" w:cs="Arial" w:eastAsia="Arial" w:hAnsi="Arial"/>
          <w:sz w:val="18"/>
          <w:szCs w:val="18"/>
          <w:b w:val="1"/>
          <w:bCs w:val="1"/>
          <w:i w:val="1"/>
          <w:iCs w:val="1"/>
          <w:color w:val="auto"/>
        </w:rPr>
        <w:t>Thomas Priore, our President, Chief Executive Officer and Chairman, controls the Company, and his interests may conflict with ours or yours in the future.</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7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rely on, exemptions from certain corporate governance requirements. You will not have the same protections as those afforded to stockholders of companies that are subject to such governance requirements.</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Thomas Priore controls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4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4" w:name="page35"/>
    <w:bookmarkEnd w:id="34"/>
    <w:p>
      <w:pPr>
        <w:ind w:right="140"/>
        <w:spacing w:after="0" w:line="286" w:lineRule="auto"/>
        <w:rPr>
          <w:sz w:val="20"/>
          <w:szCs w:val="20"/>
          <w:color w:val="auto"/>
        </w:rPr>
      </w:pPr>
      <w:r>
        <w:rPr>
          <w:rFonts w:ascii="Arial" w:cs="Arial" w:eastAsia="Arial" w:hAnsi="Arial"/>
          <w:sz w:val="17"/>
          <w:szCs w:val="17"/>
          <w:color w:val="auto"/>
        </w:rPr>
        <w:t>We utilize and intend to continue to utilize these exemptions. As a result, we will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Warrants and the Offer to Exchange and Consent Solicitation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the ability to redeem outstanding Warrants (other than the private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 upon exercise of the Warrants and a current prospectus relating to them is available or cashless exercise is exempt from the registration requirements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Warrant Amendment, if approved, will allow us to require that all outstanding Warrants be exchanged for shares of Common Stock at a ratio 10% lower than the ratio applicable to the Offer.</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complete the Offer and Consent Solicitation and obtain the requisite approval of the Warrant Amendment by holders of the Warrants, we will have the right to require holders of all Warrants that remain outstanding after the expiration of the Offer to exchange each of their Warrants for 0.1728 shares of Common Stock. This represents a ratio of shares per Warrant that is 10% less than the ratio applicable to the Offer. Although we intend to require an exchange of all remaining outstanding Warrants as a result of the approval of the Warrant Amendment, we would not be required to effect such an exchange and may defer doing so, if ever, until most economically advantageous to us.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terms of the Warrant Agreement, the consent of holders of at least the majority of the outstanding Warrants is required to approve the Warrant Amendment. Therefore, one of the conditions to the adoption of the Warrant Amendment is the receipt of the consent of holders of at least the majority of the outstanding Warrants. See the section of this Prospectus/Offer to Exchange entitled “The Offer and Consent Solicitation—Transactions and Agreements Concerning Our Securities.” If adopted, we currently intend to require the conversion of all outstanding Warrants to shares of Common Stock as provided in the Warrant Amendment, which would result in the holders of any remaining outstanding Warrants receiving approximately 10% fewer shares than if they had tendered their Warrants in the Offer.</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Warrants may be exchanged for shares of Common Stock pursuant to the Offer, which will increase the number of shares eligible for future resale in the public market and result in dilution to our stockholders.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exchange of the Warrants will result in the issuance of additional shares of Common Stock, although there can be no assurance that such warrant exchange will be completed or that all of the holders of the Warrants will elect to participate in the Offer. Any Warrants remaining outstanding after the exchange likely will be exercised only if the $11.50 per share exercise price is below the market price of our Common Stock. We also intend to require an exchange of all remaining outstanding Warrants assuming the approval of the Warrant Amendment. To the extent such Warrants are exchanged following the approval of the Warrant Amendment or exercised, additional shares of Common Stock will be issued. These issuances of Common Stock will result in dilution to our stockholders and increase the number of shares eligible for resale in the public market.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have not obtained a third-party determination that the Offer or the Consent Solicitation is fair to Warrant holders.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None of us, our affiliates, the dealer managers, the exchange agent or the information agent makes any recommendation as to whether you should exchange some or all of your Warrants or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tendering your Warrants in the offer will put you in a better future economic position.</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We can give no assurance as to the market price of our Common Stock in the future. If you choose to tender some or all of your Warrants in the Offer, future events may cause an increase in the market price of our Common Stock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Common Stock) in the future at a higher value than would have been obtained by participating in the Offer.</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addition, if the Warrant Amendment is adopted, you may receive fewer shares than if you had tendered your Warrants in the Offer. See “—The Warrant Amendment, if approved, will allow us to require that all outstanding Warrants be exchanged for Common Stock at a ratio 10% lower than the ratio applicable to the Offer.” You should consult your own individual tax and/or financial advisor for assistance on how this may affect your individual situation.</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number of shares of Common Stock offered in the Offer is fixed and will not be adjusted. The market price of our Common Stock may fluctuate, and the market price of Common Stock when we deliver the shares of Common Stock in exchange for your Warrants could be less than the market price at the time you tender your Warrants.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number of shares of Common Stock for each Warrant accepted for exchange is fixed at the number of shares specified on the cover of this Prospectus/Offer to Exchange and will fluctuate in value if there is any increase or decrease in the market price of our Common Stock or the Warrants after the date of this Prospectus/Offer to Exchange. Therefore, the market price of our Common Stock when we deliver shares in exchange for your Warrants could be less than the market price at the time you tender your Warrants. The market price of our Common Stock could continue to fluctuate and be subject to volatility during the period of time between when we accept Warrants for exchange in the Offer and when we deliver shares in exchange for Warrants, or during any extension of the Offer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liquidity of the Warrants that are not exchanged may be reduced.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the Warrant Amendment is approved, it is unlikely that any Warrants will remain outstanding following the completion of the Offer and Consent Solicitation. See “—The Warrant Amendment, if approved, will allow us to require that all outstanding Warrants be exchanged for shares of Common Stock at a ratio 10% lower than the ratio applicable to the Offer.” However, if any unexchanged Warrants remain outstanding, then the ability to sell such Warrants may become more limited due to the reduction in the number of Warrants outstanding upon completion of the Offer and Consent Solicitation. A more limited trading market might adversely affect the liquidity, market price and price volatility of unexchanged Warrants. In addition, as discussed below, our Public Warrants may be removed from quotation on NASDAQ. As a result, investors in our Public Warrants may find it more difficult to dispose of or obtain accurate quotations as to the market value of our Warrants, and the ability of our stockholders to sell our Public Warrants in the secondary market may be materially limited. If there continues to be a market for our unexchanged Warrants, these securities may trade at a discount to the price at which the securities would trade if the number outstanding were not reduced, depending on the market for similar securities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NASDAQ may delist our Warrants from trading on its exchange, which could limit Warrant holders’ ability to make transactions in our Warrants.</w:t>
      </w:r>
    </w:p>
    <w:p>
      <w:pPr>
        <w:spacing w:after="0" w:line="24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the Warrant Amendment is approved, it is unlikely that any Warrants will remain outstanding. See “—The Warrant Amendment, if approved, will allow us to require that all outstanding Warrants be exchanged for shares of Common Stock at a ratio that is 10% lower than the ratio applicable to the Offer.” However, if any unexchanged Warrants remain outstanding following the completion of the Offer and Consent Solicitation, we cannot assure you that our Warrants will continue to be listed on NASDAQ in the future. NASDAQ has informed us that it intends to delist the Warrants if any Warrants remain outstanding after February 27, 2019 because the Warrants do not have a sufficient number of round-lot holders.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ind w:right="120"/>
        <w:spacing w:after="0" w:line="264" w:lineRule="auto"/>
        <w:rPr>
          <w:sz w:val="20"/>
          <w:szCs w:val="20"/>
          <w:color w:val="auto"/>
        </w:rPr>
      </w:pPr>
      <w:r>
        <w:rPr>
          <w:rFonts w:ascii="Arial" w:cs="Arial" w:eastAsia="Arial" w:hAnsi="Arial"/>
          <w:sz w:val="18"/>
          <w:szCs w:val="18"/>
          <w:color w:val="auto"/>
        </w:rPr>
        <w:t>If NASDAQ delists our Warrants from trading on NASDAQ and we are not able to list the Warrants on another national securities exchange, our Warrants could be quoted on an over-the-counter market. However, if the Warrants are delisted, whether or not they are quoted on an over-the-counter market, holders of Warrants could face significant material adverse consequences,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for the Warrants;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that our Warrants are a “penny stock” which will require brokers trading in our Warrants to adhere to more stringent rules and possibly result in a reduced level of trading activity in the secondary trading market for our Warrants;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that any market makers that make a market in our unexchanged Warrants would eventually cease to do 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have been identified in our internal control over financial reporting.</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identified material weaknesses in internal controls over our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material weaknesses identified were (1) lack of sufficient resources with appropriate depth and experience to interpret complex accounting guidance and prepare financial statements and related disclosures in accordance with U.S. GAAP and (2) deficiencies in certain aspects of the financial statement close process and specifically lacks processes and procedures to ensure critical evaluation and review of various account reconciliations, analyses and journal entries.</w:t>
      </w:r>
    </w:p>
    <w:p>
      <w:pPr>
        <w:spacing w:after="0" w:line="187"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We were not required to perform an evaluation of internal control over financial reporting as of December 31, 2017 and 2016 in accordance with the provisions of the Sarbanes-Oxley Act as we were a private company prior to July 2018. Had such an evaluation been performed, additional control deficiencies may have been identified by our management, and those control deficiencies could have also represented one or more material weaknesses.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taken steps to enhance our internal control environment and plans to take additional steps to remediate the material weaknesses. Although we plan to complete this remediation process as quickly as possible, we cannot at this time estimate how long it will take.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THE OFFER AND CONSENT SOLICITATION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Participation in the Offer and Consent Solicitation involves a number of risks, including, but not limited to, the risks identified in the section entitled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publicly-filed information about us, before making a decision regarding the Offer and Consent Solicitation.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Until the Expiration Date, we are offering to holders of our Warrants the opportunity to receive 0.1920 shares of Common Stock in exchange for each Warrant they hold. Holders of the Warrants tendered for exchange will not have to pay any of the exercise price for the tendered Warrants in order to receive Common Stock in the exchange. Our obligation to complete the Offer is not conditioned on the receipt of a minimum number of tendered Warrants.</w:t>
      </w:r>
    </w:p>
    <w:p>
      <w:pPr>
        <w:spacing w:after="0" w:line="14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Common Stock on NASDAQ on the last trading day of the Offer Period.</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the Offer, we are also soliciting from the holders of the Warrants their consent to the amendment of the Warrant Agreement. If approved, the Warrant Amendment would permit the Company to require that all outstanding Warrants be converted into shares of Common Stock at a ratio of 0.1728 shares of Common Stock per Warrant, which is a ratio 10% less than the ratio applicable to the Offer, which would permit us to eliminate all of the Warrants that remain outstanding after the Offer expires. A copy of the Warrant Amendment is attached hereto as Annex A. We urge that you carefully read the Warrant Amendment in its entirety. Pursuant to the terms of the Warrant Agreement, the consent of holders of at least a majority of the outstanding Warrants is required to approve the Warrant Amendment.</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Holders who tender Warrants in the Offer will automatically be deemed, without any further action, to have given their consent to approval of the Warrant Amendment (effective upon our acceptance of the Warrants tendered). The consent to the Warrant Amendment is a part of the Letter of Transmittal and Consent relating to the Warrants.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cannot tender any Warrants in the Offer without giving your consent to the Warrant Amendment. Thus, before deciding whether to tender any Warrants, you should be aware that a tender of Warrants may result in the approval of the Warrant Amendment.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Offer and Consent Solicitation is subject to the terms and conditions contained in this Prospectus/Offer to Exchange and the Letter of Transmittal and Consent.</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you tender Warrants, you may withdraw your tendered Warrants at any time before the Expiration Date and retain them on their current terms or amended terms if the Warrant Amendment is approved, by following the instructions herein. In addition, Warrants that are not accepted by us for exchange by February 25, 2019 may thereafter be withdrawn by you until such time as the Warrants are accepted by us for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was incorporated on April 23, 2015 under the laws of the state of Delaware. On July 25, 2018, the Company completed its acquisition of 100% of the issued and outstanding equity securities of Priority Holdings, LLC, which resulted in Priority Holdings, LLC becoming a wholly-owned subsidiary of the Company. On July 25, 2018, the Company changed its name to Priority Technology Holdings, Inc.</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Our principal executive offices are located at 2001 Westside Parkway, Alpharetta, GA 30004, and our telephone number is (800) 935-5961. Our website address is </w:t>
      </w:r>
      <w:r>
        <w:rPr>
          <w:rFonts w:ascii="Arial" w:cs="Arial" w:eastAsia="Arial" w:hAnsi="Arial"/>
          <w:sz w:val="16"/>
          <w:szCs w:val="16"/>
          <w:i w:val="1"/>
          <w:iCs w:val="1"/>
          <w:color w:val="auto"/>
        </w:rPr>
        <w:t>www.prth.com</w:t>
      </w:r>
      <w:r>
        <w:rPr>
          <w:rFonts w:ascii="Arial" w:cs="Arial" w:eastAsia="Arial" w:hAnsi="Arial"/>
          <w:sz w:val="16"/>
          <w:szCs w:val="16"/>
          <w:color w:val="auto"/>
        </w:rPr>
        <w:t>. We had approximately 553 employees as of September 30, 2018. Information contained on our website is not a part of this Prospectus/Offer to Exchange. Our Common Stock is listed on NASDAQ under the symbol “PRTH,” and our Public Warrants are listed on NASDAQ under the symbol “PRTHW.” Units, each consisting of one share of Common Stock and one Public Warrant, are listed on NASDAQ under the symbol “PRTHU.”</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Warrants Subject to the Offer</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Public Warrants were issued in connection with the M I IPO. Each Public Warrant entitles the holder to purchase one share of Common Stock for a purchase price of $11.50, subject to adjustments pursuant to the Warrant Agreement. The Public Warrants are listed on NASDAQ under the symbol “PRTHW.” As of February 8, 2019, 5,310,109 Public Warrants were outstanding. Pursuant to the Offer, we are offering up to an aggregate of 1,019,541 shares of our Common Stock in exchange for the Public Warrants.</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Private Warrants were issued concurrently with the M I IPO. Each Private Warrant entitles the holder to purchase one share of Common Stock for a purchase price of $11.50, subject to adjustments pursuant to the Warrant Agreement. As of February 8, 2019, 421,107 Private Warrants were outstanding. Pursuant to the Offer, we are offering up to an aggregate of 80,852 shares of our Common Stock in exchange for the Private Warrants.</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terms of the Private Warrants are identical to the Public Warrants, except that such Private Warrants are exercisable on a cashless basis and are not redeemable by us, in each case so long as they are still held by the initial holders or their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Period</w:t>
      </w:r>
    </w:p>
    <w:p>
      <w:pPr>
        <w:spacing w:after="0" w:line="225"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Offer and Consent Solicitation will expire on the Expiration Date, which is 11:59 p.m., Eastern Standard Time, on February 12, 2019,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Standard Time, on the next business day following the Expiration Date as in effect immediately prior to such extension.</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withdraw the Offer and Consent Solicitation only if the conditions to the Offer and Consent Solicitation are not satisfied or waived prior to the Expiration Date. Upon any such withdrawal, we are required by Rule 13e-4(f)(5) under the Exchange Act to promptly return the tendered Warrants. We will announce our decision to withdraw the Offer and Consent Solicitation by disseminating notice by public announcement or otherwise as permitted by applicable law.</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the expiration of the Offer Period, the current terms of the Warrants will continue to apply to any unexchanged Warrants, or the amended terms if the Warrant Amendment is approved, until the Warrants expire by their terms on September 19,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the Offer and Consent Solicitation</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reserve the right at any time or from time to time, to amend the Offer and Consent Solicitation, including by increasing or (if the conditions to the Offer are not satisfied) decreasing the exchange ratio of Common Stock issued for every Warrant exchanged or by changing the terms of the Warrant Amendment.</w:t>
      </w:r>
    </w:p>
    <w:p>
      <w:pPr>
        <w:spacing w:after="0" w:line="12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w:t>
      </w:r>
    </w:p>
    <w:p>
      <w:pPr>
        <w:ind w:right="20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13e-4(e)(3) under the Exchange Act. These rules require that the minimum period during which an offer must remain open after material changes in the terms of the offer or information concerning the offer, other than a change in price or a change in percentage of securities sought, will depend upon the facts and circumstances, including the relative materiality of the changed terms or information.</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increase or decrease the exchange ratio of the Common Stock issuable upon exchange of a Warrant, the amount of Warrants sought for tender or the dealer manager’s soliciting fee, and the Offer and Consent Solicitation is scheduled to expire at any time earlier than the end of the tenth business day from the date that we first publish, send or give notice of such an increase or decrease, then we will extend the Offer and Consent Solicitation until the expiration of that ten business day period.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Other material amendments to the Offer and Consent Solicitation may require us to extend the Offer and Consent Solicitation for a minimum of five business days, and we will need to amend this Registration Statement on Form S-4 of which this Prospectus/Offer to Exchange forms a part for any material changes in the facts set forth in this Registration Statement on Form S-4.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Partial Exchange Permitted</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Common Stock on NASDAQ on the last trading day of the Offer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Offer and Consent Solicitation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Offer and Consent Solicitation are conditioned upon the following: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registration statement, of which this document is a part, shall have become effective under the Securities Act, and shall not be the subject of any stop order or proceeding seeking a stop order;</w:t>
      </w:r>
    </w:p>
    <w:p>
      <w:pPr>
        <w:spacing w:after="0" w:line="170" w:lineRule="exact"/>
        <w:rPr>
          <w:rFonts w:ascii="Arial" w:cs="Arial" w:eastAsia="Arial" w:hAnsi="Arial"/>
          <w:sz w:val="18"/>
          <w:szCs w:val="18"/>
          <w:color w:val="auto"/>
        </w:rPr>
      </w:pPr>
    </w:p>
    <w:p>
      <w:pPr>
        <w:ind w:left="660" w:right="4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the tender of some or all of the Warrants pursuant to the Offer or otherwise relates in any manner to the Offer;</w:t>
      </w:r>
    </w:p>
    <w:p>
      <w:pPr>
        <w:spacing w:after="0" w:line="146" w:lineRule="exact"/>
        <w:rPr>
          <w:rFonts w:ascii="Arial" w:cs="Arial" w:eastAsia="Arial" w:hAnsi="Arial"/>
          <w:sz w:val="16"/>
          <w:szCs w:val="16"/>
          <w:color w:val="auto"/>
        </w:rPr>
      </w:pPr>
    </w:p>
    <w:p>
      <w:pPr>
        <w:ind w:left="660" w:right="60" w:hanging="328"/>
        <w:spacing w:after="0" w:line="29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would or might, directly or indirectly, (i) make the acceptance for exchange of, or exchange for, some or all of the Warrants illegal or otherwise restrict or prohibit completion of the Offer or Consent Solicitation, or (ii) delay or restrict our ability, or render us unable, to accept for exchange or exchange some or all of the Warrants; and</w:t>
      </w:r>
    </w:p>
    <w:p>
      <w:pPr>
        <w:spacing w:after="0" w:line="158"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shall not have occurred any general suspension of, or limitation on prices for, trading in securities in U.S. securities or financial markets; a declaration of a banking moratorium or any suspension of payments in respect to banks in the United States; any limitation (whether or not mandatory) by any government or governmental, regulatory or administrative authority, agency or instrumentality, domestic or foreign, or other event that, in our reasonable judgment, would or would be reasonably likely to affect the extension of credit by banks or other lending institutions; or a commencement or significant worsening of a war or armed hostilities or other national or international calamity, including but not limited to, catastrophic terrorist attacks against the United States or its citizens.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Consent Solicitation is conditioned on our receiving the consent of holders of at least a majority of the outstanding Warrants (which is the minimum number required to amend the Warrant Agreement).</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will not complete the Offer and Consent Solicitation unless and until the registration statement described above is declared effective by the SEC. If the registration statement is not effective at the Expiration Date, we may, in our discretion, extend, suspend or cancel the Offer and Consent Solicitation, and will inform Warrant holders of such event. If we extend the Offer Period, we will make a public announcement of such extension and the new Expiration Date by no later than 9:00 a.m., Eastern Standard Time, on the next business day following the Expiration Date as in effect immediately prior to such extension.</w:t>
      </w:r>
    </w:p>
    <w:p>
      <w:pPr>
        <w:spacing w:after="0" w:line="15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foregoing conditions are solely for our benefit, and we may assert one or more of the conditions regardless of the circumstances giving rise to any such conditions. We may also, in our sole and absolute discretion, waive these conditions in whole or in part, subject to the potential requirement to disseminate additional information and extend the Offer Period. The determination by us as to whether any condition has been satisfied shall be conclusive and binding on all parties. The failure by us at any time to exercise any of the foregoing rights shall not be deemed a waiver of any such right, and each such right shall be deemed a continuing right which may be asserted at any time and from time to time prior to the Expiration Date.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0" w:name="page41"/>
    <w:bookmarkEnd w:id="40"/>
    <w:p>
      <w:pPr>
        <w:ind w:right="260"/>
        <w:spacing w:after="0" w:line="259" w:lineRule="auto"/>
        <w:rPr>
          <w:sz w:val="20"/>
          <w:szCs w:val="20"/>
          <w:color w:val="auto"/>
        </w:rPr>
      </w:pPr>
      <w:r>
        <w:rPr>
          <w:rFonts w:ascii="Arial" w:cs="Arial" w:eastAsia="Arial" w:hAnsi="Arial"/>
          <w:sz w:val="18"/>
          <w:szCs w:val="18"/>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Recommendation; Warrant Holder’s Own Decision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None of Priority, our affiliates, directors, officers or employees, or the information agent, the exchange agent or the dealer manager for the Offer and Consent Solicitation, is making any recommendations to any Warrant holder as to whether to exchange their Warrants and deliver their consent to the Warrant Amendment. Each Warrant holder must make its own decision as to whether to tender Warrants for exchange pursuant to the Offer and consent to the amendment of the Warrant Agreement pursuant to the Consent Solicitation.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 Warrants for Exchange and Consenting to the Warrant Amendment</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Issuance of Common Stock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Warrants will constitute a consent to the Warrant Amendment with respect to each Warrant tendered.</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Prospectus/Offer to Exchange and Letter of Transmittal and Consent, in each case as may be amended or supplemented prior to the Expiration Date; (ii) the Warrant holder consents to the Warrant Agreement; (iii) the Offer is discretionary and may be extended, modified, suspended or terminated by us as provided herein; (iv) such Warrant holder is voluntarily participating in the Offer; (v) the future value of our Warrants is unknown and cannot be predicted with certainty; and (vi) such Warrant holder has read this Prospectus/Offer to Exchange, Letter of Transmittal and Consent and Warrant Amendment.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Holders of Warrants; Beneficial Owners of Warrants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the tender procedures set forth below, the term “registered holder” means any person in whose name Warrants are registered on our books or who is listed as a participant in a clearing agency’s security position listing with respect to the Warrants.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Persons whose Warrants are held through a direct or indirect participant of The Depository Trust Company (“DTC”),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“—Required Communications by Beneficial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Warrants Using Letter of Transmittal and Consent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registered holder of Warrants may tender Warrants for exchange using a Letter of Transmittal and Consent in the form provided by us with this Prospectus/Offer to Exchange. A Letter of Transmittal is to be used only if delivery of Warrants is to be made by book-entry transfer to the exchange agent’s account at DTC pursuant to the procedures set forth in “—Tendering Warrants Using Book-Entry Transfer;” provided, however, that it is not necessary to execute and deliver a Letter of Transmittal and Consent if instructions with respect to the tender of such Warrants are transmitted through DTC’s Automated Tender Offer Program (“ATOP”). If you are a registered holder of Warrants, unless you intend to tender those Warrants through ATOP, you should complete, execute and deliver a Letter of Transmittal and Consent to indicate the action you desire to take with respect to the Offer and Consent Solicitation.</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41" w:name="page42"/>
    <w:bookmarkEnd w:id="41"/>
    <w:p>
      <w:pPr>
        <w:ind w:right="320"/>
        <w:spacing w:after="0" w:line="302" w:lineRule="auto"/>
        <w:rPr>
          <w:sz w:val="20"/>
          <w:szCs w:val="20"/>
          <w:color w:val="auto"/>
        </w:rPr>
      </w:pPr>
      <w:r>
        <w:rPr>
          <w:rFonts w:ascii="Arial" w:cs="Arial" w:eastAsia="Arial" w:hAnsi="Arial"/>
          <w:sz w:val="16"/>
          <w:szCs w:val="16"/>
          <w:color w:val="auto"/>
        </w:rPr>
        <w:t>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w:t>
      </w:r>
    </w:p>
    <w:p>
      <w:pPr>
        <w:spacing w:after="0" w:line="15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the Letter of Transmittal and Consent, the tendering registered Warrant holder must set forth: (i) its name and address; (ii) the number of Warrants being tendered by the holder for exchange; and (iii) certain other information specified in the form of Letter of Transmittal and Consent.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certain cases, all signatures on the Letter of Transmittal and Consent must be guaranteed by an “Eligible Institution.” See “—Signature Guarantees.”</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 Letter of Transmittal and Consent is signed by someone other than the registered holder of the tendered Warrants (for example, if the registered holder has assigned the Warrants to a third party), or if the Common Stock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Warrants duly tendered and delivered as described above shall be automatically cancelled upon the issuance of Common Stock in exchange for such Warrants as part of the completion of the Offer.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 Guarantees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certain cases, all signatures on the Letter of Transmittal and Consent must be guaranteed by an “Eligible Institution.” An “Eligible Institution” is a bank, broker-dealer,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Exchange Act.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“Special Issuance Instructions” or the box entitled “Special Delivery Instructions” in the Letter of Transmittal and Consent; or (ii) such Warrants are tendered for the account of an Eligible Institution.</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all other cases, an Eligible Institution must guarantee all signatures on the Letter of Transmittal and Consent by completing and signing the table in the Letter of Transmittal and Consent entitled “Guarantee of Signature(s).”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Communications by Beneficial Owners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Persons whose Warrants are held through a direct or indirect DTC participant, such as a broker, dealer, commercial bank, trust company or other financial intermediary, are not considered registered holders of those Warrants, but are “beneficial owners,” and must instruct the broker, dealer, commercial bank, trust company or other financial intermediary to tender Warrants on their behalf. Your broker, dealer, commercial bank, trust company or other financial intermediary should have provided you with an “Instructions Form” with this Prospectus/Offer to Exchange. The Instructions Form is included with the Letter to Clients of Brokers, Dealers, Commercial Banks, Trust Companies and Other Nominees, which is filed as an exhibit to the registration statement of which this Prospectus/Offer to Exchange forms a part. The Instructions Form may be used by you to instruct your broker or other custodian to tender and deliver Warrants on your behalf.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Warrants Using Book-Entry Transfer</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“Agent’s Message”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“—Guaranteed Delivery Procedures” must be followed.</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ind w:right="40"/>
        <w:spacing w:after="0" w:line="289" w:lineRule="auto"/>
        <w:rPr>
          <w:sz w:val="20"/>
          <w:szCs w:val="20"/>
          <w:color w:val="auto"/>
        </w:rPr>
      </w:pPr>
      <w:r>
        <w:rPr>
          <w:rFonts w:ascii="Arial" w:cs="Arial" w:eastAsia="Arial" w:hAnsi="Arial"/>
          <w:sz w:val="16"/>
          <w:szCs w:val="16"/>
          <w:color w:val="auto"/>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“Agent’s Message” to the exchange agent for acceptance. Delivery of the Agent’s Message by DTC will satisfy the terms of the Offer and Consent Solicitation as to execution and delivery of a Letter of Transmittal and Consent by the DTC participant identified in the Agent’s Message. The term “Agent’s Message”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our company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Warrants duly tendered and delivered as described above shall be automatically cancelled upon the issuance of shares of Common Stock in exchange for such Warrants as part of the completion of the Offer.</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Delivery of a Letter of Transmittal and Consent or any other required documentation to DTC does not constitute delivery to the exchange agent. See “— Timing and Manner of Deliveries.”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Guaranteed Delivery Procedures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a registered holder of Warrants desires to tender its Warrants for exchange pursuant to the Offer, but (i) the procedure for book-entry transfer cannot be completed on a timely basis, or (ii) time will not permit all required documents to reach the exchange agent prior to the Expiration Date, the holder can still tender its Warrants if all the following conditions are met:</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tender is made by or through an Eligible Institution;</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exchange agent receives by hand, mail, overnight courier or facsimile transmission, prior to the Expiration Date, a properly completed and duly executed Notice of Guaranteed Delivery in the form we have provided with this Prospectus/Offer to Exchange, with signatures guaranteed by an Eligible Institution; and</w:t>
      </w:r>
    </w:p>
    <w:p>
      <w:pPr>
        <w:spacing w:after="0" w:line="181" w:lineRule="exact"/>
        <w:rPr>
          <w:rFonts w:ascii="Arial" w:cs="Arial" w:eastAsia="Arial" w:hAnsi="Arial"/>
          <w:sz w:val="18"/>
          <w:szCs w:val="18"/>
          <w:color w:val="auto"/>
        </w:rPr>
      </w:pPr>
    </w:p>
    <w:p>
      <w:pPr>
        <w:jc w:val="both"/>
        <w:ind w:left="660" w:right="220" w:hanging="328"/>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NASDAQ is open for trading after the date the exchange agent receives such Notice of Guaranteed Delivery.</w:t>
      </w:r>
    </w:p>
    <w:p>
      <w:pPr>
        <w:spacing w:after="0" w:line="15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 any case where the guaranteed delivery procedure is utilized for the tender of Warrants pursuant to the Offer, the issuance of Common Stock for those Warrants tendered for exchange pursuant to the Offer and accepted pursuant to the Offer will be made only if the exchange agent has timely received the applicable foregoing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and Manner of Deliveries</w:t>
      </w:r>
    </w:p>
    <w:p>
      <w:pPr>
        <w:spacing w:after="0" w:line="2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Determination of Validity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questions as to the form of documents and the validity, eligibility (including time of receipt) and acceptance for exchange of any tender of Warrants will be determined by us, in our sole discretion, and our determination will be final and binding. We reserve the absolute right to reject any or all tenders of Warrants that we determine are not in proper form or reject tenders of Warrants that may, in the opinion of our counsel, be unlawful. We also reserve the absolute right to waive any defect or irregularity in any tender of any particular Warrant, whether or not similar defects or irregularities are waived in the case of other tendered Warrants. Neither we nor any other person will be under any duty to give notice of any defect or irregularity in tenders, nor shall any of us or them incur any liability for failure to give any such notice.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Commissions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Taxes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Common Stock is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By tendering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Warrants. A valid withdrawal of tendered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on or prior to February 25, 2019 may thereafter be withdrawn by you until such time as the Warrants are accepted by us for exchange.</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the section entitled “—Procedure for Tendering Warrants for Exchange” at any time prior to the Expiration Date.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4" w:name="page45"/>
    <w:bookmarkEnd w:id="44"/>
    <w:p>
      <w:pPr>
        <w:ind w:right="40"/>
        <w:spacing w:after="0" w:line="254" w:lineRule="auto"/>
        <w:rPr>
          <w:sz w:val="20"/>
          <w:szCs w:val="20"/>
          <w:color w:val="auto"/>
        </w:rPr>
      </w:pPr>
      <w:r>
        <w:rPr>
          <w:rFonts w:ascii="Arial" w:cs="Arial" w:eastAsia="Arial" w:hAnsi="Arial"/>
          <w:sz w:val="18"/>
          <w:szCs w:val="18"/>
          <w:color w:val="auto"/>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(“PTOP”)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entitled “—Procedure for Tendering Warrants for Exchange—Signature Guarantees;” provided, however, that signatures on the notice of withdrawal need not be guaranteed if the Warrants 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questions as to the form and validity (including time of receipt) of any notice of withdrawal will be determined by us, in our sole discretion, which determination shall be final and binding. Neither we nor any other person will be under any duty to give notification of any defect or irregularity in any notice of withdrawal or incur any liability for failure to give any such notification.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for Issuance of Shares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the terms and subject to the conditions of the Offer and Consent Solicitation, we will accept for exchange Warrants validly tendered until the Expiration Date, which is 11:59 p.m., Eastern Standard Time, on February 12, 2019, or such later time and date to which we may extend. The Common Stock to be issued upon exchange of Warrants pursuant to the Offer, along with written notice from the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 (ii) a properly completed and duly executed Letter of Transmittal and Consent, or compliance with ATOP where applicable, (iii) any other documentation required by the Letter of Transmittal and Consent, and (iv) any required signature guarantees.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the Offer and Consent Solicitation, we will be deemed to have accepted for exchange Warrants that are validly tendered and for which tenders are not withdrawn, unless we give written notice to the Warrant holder of our non-acceptance.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 of Results of the Offer and Consent Solicitation</w:t>
      </w:r>
    </w:p>
    <w:p>
      <w:pPr>
        <w:spacing w:after="0" w:line="2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will announce the final results of the Offer and Consent Solicitation, including whether all of the conditions to the Offer and Consent Solicitation have been satisfied or waived and whether we will accept the tendered Warrants for exchange, as promptly as practicable following the end of the Offer Period. The announcement will be made by a press release and by amendment to the Schedule TO we file with the SEC in connection with the Offer and Consent Solicitation.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 of the Offer and Consent Solicitation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approved the Offer and Consent Solicitation on December 20, 2018. The purpose of the Offer and Consent Solicitation is to attempt to simplify our corporate structure and reduce the potential dilutive impact of the Warrants, thereby providing us with more flexibility for financing our operations in the future. The Warrants that are tendered for exchange pursuant to the Offer will be retired and cancelled automatically upon the issuance of the Common Stock in exchange for such Warrants pursuant to the Offer.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Agreements, Regulatory Requirements and Legal Proceedings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Other than as set forth under the sections entitled “The Offer and Consent Solicitation—Interests of Directors, Executive Officers and Others,” “The Offer and Consent Solicitation—Transactions and Agreements Concerning Our Securities” and “Certain Relationships and Related Person Transactions,” there are no present or proposed agreements, arrangements, understandings or relationships between us, and any of our directors, executive officers, affiliates or any other person relating, directly or indirectly, to the Offer and Consent Solicitation or to our securities that are the subject of the Offer and Consent Solicitation.</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pending legal proceedings relating to the Offer and Consent Solicitation.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Executive Officers and Others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do not beneficially own any of the Warrants. The following table lists the Warrants beneficially owned by our directors, executive officers and other affiliates or related persons as of February 8,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80"/>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3"/>
              </w:rPr>
              <w:t>Number of</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Warrants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of Warrants</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5"/>
              </w:rPr>
              <w:t>Owned</w:t>
            </w:r>
            <w:r>
              <w:rPr>
                <w:rFonts w:ascii="Arial" w:cs="Arial" w:eastAsia="Arial" w:hAnsi="Arial"/>
                <w:sz w:val="30"/>
                <w:szCs w:val="30"/>
                <w:b w:val="1"/>
                <w:bCs w:val="1"/>
                <w:color w:val="auto"/>
                <w:w w:val="85"/>
                <w:vertAlign w:val="superscript"/>
              </w:rPr>
              <w:t>(1)</w:t>
            </w:r>
          </w:p>
        </w:tc>
        <w:tc>
          <w:tcPr>
            <w:tcW w:w="0" w:type="dxa"/>
            <w:vAlign w:val="bottom"/>
          </w:tcPr>
          <w:p>
            <w:pPr>
              <w:spacing w:after="0"/>
              <w:rPr>
                <w:sz w:val="1"/>
                <w:szCs w:val="1"/>
                <w:color w:val="auto"/>
              </w:rPr>
            </w:pPr>
          </w:p>
        </w:tc>
      </w:tr>
      <w:tr>
        <w:trPr>
          <w:trHeight w:val="210"/>
        </w:trPr>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C. Priore</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339,490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John V. Priore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64,322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McMiller</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Sean Kiewiet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12,115</w:t>
            </w:r>
          </w:p>
        </w:tc>
        <w:tc>
          <w:tcPr>
            <w:tcW w:w="10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E. Mattox</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Michael Vollkommer</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Schneible</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Cindy O’Neill</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Afshin Yazdian</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Chris Prince</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Manuel</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William Gahan</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Kearney</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449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Determined based on 5,731,216 Warrants, representing 5,310,109 Public Warrants and 421,107 Private Warrants outstanding as of February 8, 2019.</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affiliates who own Private Warrants are under no contractual obligation to tender such Private Warrants, and there can be no assurance that they will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Dividends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Common Stock and Warrants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 I’s units commenced public trading upon consummation of the M I IPO on September 14, 2016, and its common stock and warrants commenced separate trading on November 14, 2016. Prior to the separation of M I’s units, there was no public market for its common stock.</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the consummation of the Business Combination on July 25, 2018, M I’s common stock, warrants and units were each listed on The NASDAQ Capital Market under the symbols “MACQ,” “MACQW” and “MACQU,” respectively. Upon the consummation of the Business Combination and the change of the Company’s name to Priority Technology Holdings, Inc., our Common Stock, Public Warrants and units commenced trading on NASDAQ under the symbols “PRTH,” “PRTHW” and “PRTHU,” respectively.</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shows the high and low sale prices per share of our Common Stock, Public Warrants and units as reported on The NASDAQ Capital Market and The NASDAQ Global Market, as applicable, for the periods indicated.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4"/>
          </w:tcPr>
          <w:p>
            <w:pPr>
              <w:ind w:left="5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0"/>
                <w:szCs w:val="20"/>
                <w:color w:val="auto"/>
              </w:rPr>
            </w:pPr>
          </w:p>
        </w:tc>
        <w:tc>
          <w:tcPr>
            <w:tcW w:w="1880" w:type="dxa"/>
            <w:vAlign w:val="bottom"/>
            <w:gridSpan w:val="2"/>
          </w:tcPr>
          <w:p>
            <w:pPr>
              <w:jc w:val="right"/>
              <w:ind w:right="190"/>
              <w:spacing w:after="0"/>
              <w:rPr>
                <w:sz w:val="20"/>
                <w:szCs w:val="20"/>
                <w:color w:val="auto"/>
              </w:rPr>
            </w:pPr>
            <w:r>
              <w:rPr>
                <w:rFonts w:ascii="Arial" w:cs="Arial" w:eastAsia="Arial" w:hAnsi="Arial"/>
                <w:sz w:val="18"/>
                <w:szCs w:val="18"/>
                <w:color w:val="auto"/>
              </w:rPr>
              <w:t>Public Warrants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Units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High</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High</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High</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31, 2019 (through February 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December 31, 2018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0.22</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June 30, 2018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0.72</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0.31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0.30</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0.30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June 30, 2017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0.28</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December 31, 2016*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0.17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60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period from November 14, 2016 (the date on which our Common Stock and Public Warrants were first quoted on The NASDAQ Capital Market) through December 31, 2016.</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February 8, 2019, we had approximately thirty-four holders of record of our Common Stock, one holder of record of our Public Warrants and eight holders of record of our Private Warrants. These figures do not include the number of persons whose securities are held in nominee or “street” name accounts through brokers.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have never declared or paid, and do not anticipate declaring or paying, any cash dividends on our Common Stock in the foreseeable future. In addition, the terms of our credit facilities will include restrictions on our ability to issue dividends. See “Management’s discussion and analysis of financial condition and results of operations — Liquidity and capital resources” for a discussion of our credit facilities’ restrictions on our subsidiaries’ ability to pay dividends or other payments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and Amount of Funds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Because this transaction is an offer to holders to exchange their existing Warrants for our Common Stock,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transactions and the payment of cash in lieu of fractional shares will be approximately $1,000. We expect to have sufficient funds to complete the transactions contemplated by the Offer and Consent Solicitation and to pay fees, expenses and other related amounts from our cash on hand.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American Stock Transfer &amp; Trust Company, LLC has been appointed the exchange agent for the Offer and Consent Solicitation. The Letter of Transmittal and Consent and all correspondence in connection with the Offer should be sent or delivered by each holder of the Warrants,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Agent</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D.F. King &amp; Co., Inc. has been appointed as the information agent for the Offer and Consent Solicitation, and will receive customary compensation for its services.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 Manager</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retained Cowen and Company, LLC to act as dealer manager in connection with the Offer and Consent Solicitation and will pay the dealer manager a customary fee as compensation for its services. We will also reimburse the dealer manager for certain expenses.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7" w:name="page48"/>
    <w:bookmarkEnd w:id="47"/>
    <w:p>
      <w:pPr>
        <w:spacing w:after="0" w:line="279" w:lineRule="auto"/>
        <w:rPr>
          <w:sz w:val="20"/>
          <w:szCs w:val="20"/>
          <w:color w:val="auto"/>
        </w:rPr>
      </w:pPr>
      <w:r>
        <w:rPr>
          <w:rFonts w:ascii="Arial" w:cs="Arial" w:eastAsia="Arial" w:hAnsi="Arial"/>
          <w:sz w:val="17"/>
          <w:szCs w:val="17"/>
          <w:color w:val="auto"/>
        </w:rPr>
        <w:t>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ordinary course of its business, the dealer manager or its affiliates may at any time hold long or short positions, and may trade for their own accounts or the accounts of customers, in securities of Priority, including Warrants, and, to the extent that the dealer manager or its affiliates own Warrants during the Offer and Consent Solicitation, they may tender such Warrants under the terms of the Offer and Consent Solicitation.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expenses of soliciting tenders of the Warrants and the Consent Solicitation will be borne by us. The principal solicitations are being made by mail; however, additional solicitations may be made by facsimile transmission, telephone or in person by the dealer manager and the information agent, as well as by our officers and other employees and affiliates.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and Agreements Concerning Our Securities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Other than as set forth below and in the sections of this Prospectus/Offer to Exchange entitled “Certain Relationships and Related Person Transactions” and “Description of Capital Stock” there are no agreements, arrangements or understandings between the Company, or any of our directors or executive officers, and any other person with respect to our securities that are the subject of the Offer and Consent Solicitation.</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owners of the Private Warrants are under no contractual obligation to tender such Private Warrants, and there can be no assurance that they will do so. None of the holders of Private Warrants will receive any benefit by virtue of participation in the Offer that is not shared on a pro rata basis with holders of the Public Warrants exchanged pursuant to the Offer.</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Except as set forth in the section of this Prospectus/Offer to Exchange entitled “Certain Relationships and Related Person Transactions,” neither we, nor any of our directors, executive officers or controlling persons, or any executive officers, directors, managers or partners of any of our controlling persons, has engaged in any transactions in our Warrants in the last 60 days.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Plans</w:t>
      </w:r>
    </w:p>
    <w:p>
      <w:pPr>
        <w:spacing w:after="0" w:line="22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Except as described in the sections of this Prospectus/Offer to Exchange entitled “Risk Factors” and “The Offer and Consent Solicitation,” neither the Company, nor any of its directors, executive officers, or controlling persons, or any executive officers, directors, managers or partners of its controlling persons, has any plans, proposals or negotiations that relate to or would result in:</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us or any of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assets of us or any of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change in our present dividend rate or policy, or our indebtedness or capitalization;</w:t>
      </w:r>
    </w:p>
    <w:p>
      <w:pPr>
        <w:spacing w:after="0" w:line="225"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described below, any change in our present board of directors or management, including, but not limited to, any plans or proposals to change the number or the term of directors or to fill any existing vacancies on the board or to change any material term of the employment contract of any executive officer;</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material change in our corporate structure or business;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class of our equity securities to be delisted from NASDAQ (except to the extent the results of the Offer and Consent Solicitation impact the continued listing of the Public Warrants);</w:t>
      </w:r>
    </w:p>
    <w:p>
      <w:pPr>
        <w:spacing w:after="0" w:line="170" w:lineRule="exact"/>
        <w:rPr>
          <w:rFonts w:ascii="Arial" w:cs="Arial" w:eastAsia="Arial" w:hAnsi="Arial"/>
          <w:sz w:val="18"/>
          <w:szCs w:val="18"/>
          <w:color w:val="auto"/>
        </w:rPr>
      </w:pPr>
    </w:p>
    <w:p>
      <w:pPr>
        <w:jc w:val="both"/>
        <w:ind w:left="660" w:right="140" w:hanging="328"/>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class of our equity securities becoming eligible for termination of registration under section 12(g)(4) of the Exchange Act (although NASDAQ intends to delist our Warrants from trading on its exchange, which could would limit, for anyone holding Warrants after the completion of the Offer and Consent Solicitation and such delisting, the Warrant holders’ ability to make engage in transactions in our Warrants);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suspension of our obligation to file reports under Section 15(d) of the Exchange 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or disposition by any person of our securities; or</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changes in our Second Amended and Restated Certificate of Incorporation or other governing instruments or other actions that could impede the acquisition of control of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Under The Exchange Act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Public Warrants currently are registered under the Exchange Act. This registration may be terminated upon application by us to the SEC if there are fewer than 300 record holders of the Public Warrants. We currently do not intend to deregister the Public Warrants, if any, that remain outstanding after completion of the Offer and Consent Solicitation. Notwithstanding any termination of the registration of our Public Warrants, we will continue to be subject to the reporting requirements under the Exchange Act as a result of the continuing registration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will account for the exchange of Warrants as a Common Stock issuance for no additional value. The par value of each share of Common Stock issued in the Offer will be recorded as a credit to Common Stock and a debit to additional paid-in capital. Any cash paid in lieu of fractional shares will be recorded as a credit to cash and a debit to additional paid-in capital. The Offer will not modify the current accounting treatment for the un-exchanged warrants.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Appraisal Or Dissenters’ Rights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Holders of the Warrants do not have any appraisal or dissenters’ rights under applicable law in connection with the Offer and Consent Solicitation.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the limitations and qualifications stated herein, this discussion sets forth a summary of certain material U.S. federal income tax consequences of the receipt of Common Stock in exchange for the Warrants pursuant to the Offer, the treatment of Warrants not exchanged for Common Stock in the Offer, but modified pursuant to the Warrant Amendment, and the ownership and disposition of Common Stock received in exchange for a Warrant. The discussion is based on the United States Internal Revenue Code of 1986, as amended (the “Code”), its legislative history, existing and proposed regulations thereunder, published rulings and court decisions, all as currently in effect and all subject to change at any time, possibly with retroactive effect. We cannot assure you that a change in law will not alter significantly the tax consequences described in this summary. We have not sought and do not expect to seek any rulings from the U.S. Internal Revenue Service (the “IRS”), regarding the matters discussed below, and as a result, there can be no assurance that the IRS or the courts will agree with any of the conclusions stated in this description. This description assumes that holders hold the Warrants, and will hold the shares of Common Stock received upon exchange of the Warrants, as capital assets (generally, property held for investment). This description does not address all of the tax consequences that might be relevant to a holder’s particular circumstances and does not address the tax consequences to any special class of holder, including without limitation, dealers in securities or currencies, banks, tax-exempt organizations, insurance companies, financial institutions, broker-dealers, regulated investment companies, real estate investment trusts, tax-exempt organizations, persons subject to Section 1061 of the Code, traders in securities that elect the mark-to-market method of accounting for their securities holdings, persons that hold shares of Common Stock or Warrants that are a hedge or that are hedged against currency or interest rate risks or that are part of a straddle, conversion or “integrated” transaction, persons holding Common Stock through a bank, financial institution or other entity, or a branch thereof, located, organized or resident outside the United States, certain U.S. expatriates, partnerships or other entities classified as partnerships for U.S. federal income tax purposes, persons holding 5% or more of our Common Stock, persons subject to special tax accounting rules as a result of any item of gross income with respect to shares of Common Stock being taken into account in an applicable financial statement, investment funds and their investors, and U.S. holders (as defined below) whose functional currency for U.S. federal income tax purposes is not the U.S. dollar.</w:t>
      </w:r>
    </w:p>
    <w:p>
      <w:pPr>
        <w:sectPr>
          <w:pgSz w:w="11900" w:h="16838" w:orient="portrait"/>
          <w:cols w:equalWidth="0" w:num="1">
            <w:col w:w="11420"/>
          </w:cols>
          <w:pgMar w:left="240" w:top="800" w:right="239" w:bottom="88"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right="60"/>
        <w:spacing w:after="0" w:line="276"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shares of Common Stock or Warrants, the tax treatment of the partnership and a partner in such partnership generally will depend on the status of the partner and the nature of the activities of the partnership. A holder that is a partnership, and the partners in such partnerships, should consult its tax advisors regarding the tax consequences of the receipt of shares of Common Stock in the exchange, the treatment of Warrants not exchanged for shares of Common Stock in the Offer, but modified pursuant to the Warrant Amendment, and the ownership and disposition of shares of Common Stock received in the exchange.</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description does not address the tax consequences arising under the laws of any U.S. state, local or non-U.S. tax jurisdiction. Moreover, except to the extent specifically set forth below, this description does not address the U.S. federal estate and gift tax, or alternative minimum tax, or other non-income tax consequences of the ownership and disposition of shares of Common Stock received upon exchange of the Warrants.</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This description is for general information only and is not tax advice. It is not intended to constitute a complete description of all tax consequences for holders relating to the exchange of Warrants for our Common Stock, the treatment of Warrants not exchanged for shares of Common Stock in the Offer, or relating to the ownership and disposition of our Common Stock. You are urged to consult with your tax advisor regarding the U.S. federal income tax consequences of the receipt of Common Stock in exchange for the Warrants, the treatment of Warrants not exchanged for shares of Common Stock in the Offer, and of the ownership and disposition of such Common Stock, applicable in your particular situation, as well as any consequences under the U.S. federal estate or gift tax, the U.S. federal alternative minimum tax, or under the tax laws of any state, local, foreign, or other taxing jurisdiction.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to U.S. Holders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Subject to the limitations stated above, the following description addresses certain material U.S. federal income tax consequences of the receipt of Common Stock in exchange for the Warrants, the treatment of Warrants not exchanged for shares of Common Stock in the Offer, and of the ownership and disposition of our Common Stock, that are expected to apply if you are a U.S. holder of the Warrants or our Common Stock. For this purpose, you are a “U.S. holder” if you are:</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 if a court within the United States is able to exercise primary supervision over the administration of the trust and one or more United States persons (as defined in Section 7701(a)(30) of the Code) have the authority to control all substantial decisions of the trust, or (ii) that has a valid election in effect under applicable U.S. Treasury Regulations to be treated as a U.S. person.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Exchange of Warrants for Common Stock</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those holders of Warrants participating in the Offer and for any holders of Warrants subsequently exchanged for Common Stock pursuant to the terms of the Warrant Amendment, we intend to treat your exchange of Warrants for our Common Stock as a “recapitalization” within the meaning of Section 368(a)(1)</w:t>
      </w:r>
    </w:p>
    <w:p>
      <w:pPr>
        <w:ind w:right="80" w:firstLine="8"/>
        <w:spacing w:after="0" w:line="269" w:lineRule="auto"/>
        <w:tabs>
          <w:tab w:leader="none" w:pos="2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of the Code. Assuming the exchange qualifies as a “recapitalization” (i) you should not recognize any gain or loss on the exchange of Warrants for shares of our Common Stock, (ii) your aggregate tax basis in the shares received in the exchange should equal your aggregate tax basis in your Warrants deemed to be surrendered in the exchange (except to the extent of any tax basis allocated to a fractional share for which a cash payment is received in connection with the Offer), and (iii) your holding period for the shares received in the exchange should include your holding period for the surrendered Warrants. Special tax basis and holding period rules apply to holders that acquired different blocks of Warrants at different prices or at different times. There can be no assurance that the IRS or a court will agree with the tax consequences of the exchange described above and alternate characterizations are possible. You should consult your tax advisor as to the applicability of these rules to your particular circumstances.</w:t>
      </w:r>
    </w:p>
    <w:p>
      <w:pPr>
        <w:spacing w:after="0" w:line="18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Any cash you receive in lieu of a fractional share of our Common Stock pursuant to the Offer should generally result in gain or loss to you equal to the difference between the cash received and your tax basis in Warrants deemed exchanged in respect of the fractional share.</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the issue is not free from doubt, if the Warrant Amendment is approved, we intend to treat all Warrants not exchanged for Common Stock in the Offer as having been exchanged for “new” Warrants pursuant to the Warrant Amendment and to treat such deemed exchange as a “recapitalization” within the meaning of Section 368(a)(1)(E) of the Code. Assuming such deemed exchange qualifies as a “recapitalization” (i) you should not recognize any gain or loss on the deemed exchange of Warrants for “new” Warrants, (ii) your aggregate tax basis in the “new” Warrants deemed to be received in the exchange should equal your aggregate tax basis in your existing Warrants surrendered in the exchange, and (iii) your holding period for the “new” Warrants deemed to be received in the exchange should include your holding period for the surrendered Warrants. Special tax basis and holding period rules apply to holders that acquired different blocks of Warrants at different prices or at different times. There can be no assurance that the IRS or a court will agree with the tax consequences of the exchange described above, and alternative characterizations by the IRS or a court are possible. You should consult your tax advisor as to the applicability of these rules to your particular circumstances.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and Disposition of Common Stock</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We do not anticipate paying dividends on our Common Stock. Distributions of cash or property that we pay on our Common Stock will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for U.S. federal income tax purposes to the extent paid from our current or accumulated earnings and profits (as determined under U.S. federal income tax principles) and will be includible in your gross income as ordinary dividend income when actually or constructively received by you. Distributions in excess of our current and accumulated earnings and profits will be treated first as a tax-free return of capital to the extent of your tax basis in our Common Stock, and thereafter will be treated as capital gain from the sale or exchange of the Common Stock.</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Dividends received by individual U.S. holders of shares of our common stock will generally be subject to a reduced maximum tax rate of 20% if such dividends are treated as “qualified dividend income” for U.S. federal income tax purposes. The rate reduction does not apply to dividends that are paid to individual stockholders with respect to shares of our common stock that are held for 60 days or less during the 121-day period beginning on the date which is 60 days before the date on which the shares of our common stock become ex-dividend. Furthermore, the rate reduction does not apply to dividends received to the extent that an individual holder elects to treat the dividends as “investment income” for purposes of determining the holder’s limit for the deduction of investment interest under Section 163(d) of the Code.</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Dividends received by corporate holders of shares of our common stock may be eligible for a dividends received deduction equal to 50% of the amount of the distribution, subject to applicable limitations, including limitations related to “debt-financed portfolio stock” under Section 246A of the Code and to the holding period requirements of Section 246 of the Code.</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Sale or Exchange</w:t>
      </w:r>
      <w:r>
        <w:rPr>
          <w:rFonts w:ascii="Arial" w:cs="Arial" w:eastAsia="Arial" w:hAnsi="Arial"/>
          <w:sz w:val="16"/>
          <w:szCs w:val="16"/>
          <w:color w:val="auto"/>
        </w:rPr>
        <w:t>. Upon a sale or other taxable disposition of our Common Stock, you generally will recognize capital gain or loss equal to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(i) the amount of cash and the fair market value of any property you receive on the disposition and (ii) your adjusted tax basis for the Common Stock. The capital gain or loss will be long-term capital gain or loss if you held the Common Stock for more than one year. The deductibility of capital losses is subject to limitations. You should consult your own tax advisors regarding the proper treatment of gain or loss in your particular circumstances.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Tax on Net Investment Income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3.8% Medicare contribution tax will generally apply to all or some portion of the net investment income of a U.S. holder who is an individual, estate or trust with adjusted gross income that exceeds a threshold amount. For these purposes, dividends received with respect to our Common Stock, and gains or losses realized from the taxable disposition of our Common Stock, will generally be taken into account in computing your net investment income. Each U.S. holder that is an individual, estate or trust should consult its own tax advisors regarding the effect, if any, of this tax provision on their ownership and disposition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Information reporting will generally apply to noncorporate U.S. holders with respect to payments of dividends on shares of our common stock and to certain payments of proceeds on the sale or other disposition of shares of our common stock. Certain noncorporate U.S. holders may be subject to U.S. backup withholding (at a rate of 24%) on payments of dividends on shares of our common stock and certain payments of proceeds on the sale or other disposition of shares of our common stock unless the beneficial owner of the shares of our common stock furnishes the payor or its agent with a taxpayer identification number, certified under penalties of perjury, and certain other information, or otherwise establishes, in the manner prescribed by law, an exemption from backup withholding.</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U.S. backup withholding is not an additional tax. Any amounts withheld under the backup withholding rules may be allowed as a credit against a U.S. holder’s U.S. federal income tax liability, which may entitle the U.S. holder to a refund, provided the U.S. holder timely furnishes the required information to the Internal Revenue Service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to Non-U.S. Holders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Subject to the limitations stated above, the following description addresses certain material U.S. federal income tax consequences of the receipt of Common Stock in exchange for the Warrants, the treatment of Warrants not exchanged for shares of Common Stock in the Offer, and of the ownership and disposition of our Common Stock, that are expected to apply if you are a non-U.S. holder of the Warrants or our Common Stock. For this purpose, you are a “non-U.S. holder” if you are not a U.S. holder as defined above. Special rules may apply to certain non-U.S. holders such as “controlled foreign corporations,” “passive foreign investment companies,” individuals present in the United States for 183 days or more in the taxable year of disposition (but who are not U.S. residents) or, in certain circumstances, individuals who are former U.S. citizens or residents.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Warrants For Common Stock</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Your exchange of Warrants for our Common Stock pursuant to the Offer, and the treatment of Warrants not exchanged for shares of Common Stock in the Offer (assuming the Warrant Amendment is approved) should generally have the same tax consequences as described above for U.S. holders (other than for foreign tax credit purposes). Assuming you are not engaged the conduct of a trade or business within the U.S., capital gain or loss you recognize with respect to the receipt of cash in lieu of fractional shares should not be subject to U.S. federal income tax, and you should not be required to make any U.S. federal income tax filings solely on account of the exchange of Warrants for our Common Stock or the receipt of cash in lieu of fractional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and Disposition of Common Stock</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We do not anticipate paying dividends on our Common Stock. Distributions treated as dividends (as described above under “Tax Consequences to</w:t>
      </w:r>
      <w:r>
        <w:rPr>
          <w:rFonts w:ascii="Arial" w:cs="Arial" w:eastAsia="Arial" w:hAnsi="Arial"/>
          <w:sz w:val="17"/>
          <w:szCs w:val="17"/>
          <w:i w:val="1"/>
          <w:iCs w:val="1"/>
          <w:color w:val="auto"/>
        </w:rPr>
        <w:t xml:space="preserve"> </w:t>
      </w:r>
      <w:r>
        <w:rPr>
          <w:rFonts w:ascii="Arial" w:cs="Arial" w:eastAsia="Arial" w:hAnsi="Arial"/>
          <w:sz w:val="17"/>
          <w:szCs w:val="17"/>
          <w:color w:val="auto"/>
        </w:rPr>
        <w:t>U.S. Holders—Ownership and Disposition of Common Stock—Dividends”) paid to a non-U.S. holder of shares of our Common Stock will generally be subject to withholding of U.S. federal income tax at a 30% rate or such lower rate as may be specified by an applicable income tax treaty. However, distributions that are effectively connected with the conduct by the non-U.S. holder of a trade or business within the United States (and, if a tax treaty applies, is attributable to a permanent establishment maintained by the non-U.S. holder in the United States) are not subject to the withholding tax, provided certain certification and disclosure requirements are satisfied. Instead, such distributions are subject to U.S. federal income tax on a net income basis in the same manner as if the non-U.S. holder were a United States person as defined under the 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53" w:name="page54"/>
    <w:bookmarkEnd w:id="53"/>
    <w:p>
      <w:pPr>
        <w:spacing w:after="0" w:line="276" w:lineRule="auto"/>
        <w:rPr>
          <w:sz w:val="20"/>
          <w:szCs w:val="20"/>
          <w:color w:val="auto"/>
        </w:rPr>
      </w:pPr>
      <w:r>
        <w:rPr>
          <w:rFonts w:ascii="Arial" w:cs="Arial" w:eastAsia="Arial" w:hAnsi="Arial"/>
          <w:sz w:val="17"/>
          <w:szCs w:val="17"/>
          <w:color w:val="auto"/>
        </w:rPr>
        <w:t>For purposes of obtaining a reduced rate of withholding under an income tax treaty or an exemption from withholding for dividends effectively connected to a U.S. trade or business, a non-U.S. holder will generally be required to provide a U.S. taxpayer identification number as well as certain information concerning the holder’s country of residence and entitlement to tax benefits. A non-U.S. holder can generally meet the certification requirements by providing a properly executed IRS Form W-8BEN or W-8BEN-E (if the holder is claiming the benefits of an income tax treaty) or Form W-8ECI (if the dividends are effectively connected with a trade or business in the United States) or suitable substitute or successor form.</w:t>
      </w:r>
    </w:p>
    <w:p>
      <w:pPr>
        <w:spacing w:after="0" w:line="17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Sale or Exchange</w:t>
      </w:r>
      <w:r>
        <w:rPr>
          <w:rFonts w:ascii="Arial" w:cs="Arial" w:eastAsia="Arial" w:hAnsi="Arial"/>
          <w:sz w:val="17"/>
          <w:szCs w:val="17"/>
          <w:color w:val="auto"/>
        </w:rPr>
        <w:t>. A non-U.S. holder generally will not be subject to U.S. federal income or withholding tax on gain realized on the sale, exchange,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shares of our Common Stock except for (i) certain non-resident alien individuals that are present in the United States for 183 or more days in the taxable year of the sale or disposition, (ii) gain that is effectively connected with the conduct by the non-U.S. holder of a trade or business within the United States (and, if a tax treaty applies, is attributable to a permanent establishment maintained by the non-U.S. holder in the United States), (iii) non-U.S. holders that are subject to tax pursuant to certain provisions of U.S. federal income tax law applicable to certain expatriates, and (iv) gain if we are or have been a “United States real property holding corporation” for U.S. federal income tax purposes.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Gain that is treated as effectively connected with a trade or business within the United States will be subject to U.S. federal income tax on a net income basis in the same manner as if the non-U.S. holder were a United States person as defined under the Code, unless an applicable income tax treaty provides otherwise. Any such effectively connected gain realized by a foreign corporation may be subject to an additional “branch profits tax” at a 30% rate or such lower rate as may be specified by an applicable income tax treaty.</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would not be treated as a “United States real property holding corporation” if less than 50% of our assets throughout a prescribed testing period consist of interests in real property located within the United States, excluding, for this purpose, interest in real property solely in a capacity as a creditor. We believe that we are not currently and do not anticipate becoming a “United States real property holding corporation” for U.S. federal income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returns will be filed with the IRS reporting payments of dividends on shares of our common stock and the amount of tax, if any, withheld with respect to those payments. Copies of information returns reporting such dividends and withholding may also be made available to the tax authorities in the country in which a non-U.S. holder resides under the provisions of an applicable income tax treaty. Unless the non-U.S. holder complies with certification procedures to establish that it is not a U.S. person, information returns may be filed with the IRS in connection with the proceeds from a sale or other disposition of shares of our common stock and the non-U.S. holder may be subject to U.S. backup withholding on dividend payments on shares of our common stock or on the proceeds from a sale or other disposition of shares of our common stock. Satisfaction of the certification procedures required to claim a reduced rate of or exemption from withholding under the rules described above under “Tax Consequences to Non-U.S. Holders—Ownership and Disposition of Common Stock—Dividends” will satisfy the certification requirements necessary to avoid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 Non-U.S. holders are urged to consult their own tax advisors regarding the application of backup withholding in their particular circumstances and the availability of and procedure for obtaining an exemption from backup withholding under current Treasury regulations.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Additional Withholding Tax Relating to Foreign Accounts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dividends on, and gross proceeds from the sale or other disposition of, shares of our common stock paid to a foreign financial institution or to a nonfinancial foreign entity (including any intermediaries through which such shares of our common stock are held), unless (1) the foreign financial institution and the intermediary, as applicable, undertake certain diligence and reporting, (2) the nonfinancial foreign entity either certifies that it does not have any substantial United States owners or furnish identifying information regarding each substantial United States owner, or (3) the foreign financial institution or non-financial foreign entity and the intermediary, as applicable, otherwise qualifies for an exemption from these rules. If the payee, including an intermediary, is a foreign financial institution and is subject to the diligence and reporting requirements in clause (1) above, it must enter into an agreement with the U.S.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entered into an intergovernmental agreement with the United States governing these withholding taxes and reporting requirements may be subject to different rules.</w:t>
      </w:r>
    </w:p>
    <w:p>
      <w:pPr>
        <w:spacing w:after="0" w:line="173"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preceding discussion of certain U.S. federal income tax consequences is for general information only and is not tax advice. Accordingly, each investor should consult its own tax advisor as to particular tax consequences to it of purchasing, holding and disposing of shares of our common stock, including the applicability and effect of any U.S. state, local or non-U.S. tax laws, and of any pending or subsequent changes in applicable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and exchange agent for the Offer and Consent Solicitation is: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Tel: (718) 921-8200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Amendments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board of directors recognizes that the decision to accept or reject the Offer and Consent Solicitation is an individual one that should be based on a variety of factors and Warrant holders should consult with personal advisors if they have questions about their financial or tax situation.</w:t>
      </w:r>
    </w:p>
    <w:p>
      <w:pPr>
        <w:spacing w:after="0" w:line="14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S-4 relating to the Offer and Consent Solicitation, or will file or furnish with the SEC in the future, can be accessed electronically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55" w:name="page56"/>
    <w:bookmarkEnd w:id="55"/>
    <w:p>
      <w:pPr>
        <w:spacing w:after="0" w:line="264" w:lineRule="auto"/>
        <w:rPr>
          <w:sz w:val="20"/>
          <w:szCs w:val="20"/>
          <w:color w:val="auto"/>
        </w:rPr>
      </w:pPr>
      <w:r>
        <w:rPr>
          <w:rFonts w:ascii="Arial" w:cs="Arial" w:eastAsia="Arial" w:hAnsi="Arial"/>
          <w:sz w:val="18"/>
          <w:szCs w:val="18"/>
          <w:color w:val="auto"/>
        </w:rPr>
        <w:t>If you have any questions regarding the Offer and Consent Solicitation or need assistance, you should contact the information agent for the Offer and Consent Solicitation. You may request additional copies of this document, the Letter of Transmittal and Consent or the Notice of Guaranteed Delivery from the information agent. All such questions or requests should be directed to:</w:t>
      </w:r>
    </w:p>
    <w:p>
      <w:pPr>
        <w:spacing w:after="0" w:line="18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D.F. King &amp; Co., Inc.</w:t>
      </w:r>
    </w:p>
    <w:p>
      <w:pPr>
        <w:ind w:left="4780"/>
        <w:spacing w:after="0" w:line="195" w:lineRule="auto"/>
        <w:rPr>
          <w:sz w:val="20"/>
          <w:szCs w:val="20"/>
          <w:color w:val="auto"/>
        </w:rPr>
      </w:pPr>
      <w:r>
        <w:rPr>
          <w:rFonts w:ascii="Arial" w:cs="Arial" w:eastAsia="Arial" w:hAnsi="Arial"/>
          <w:sz w:val="18"/>
          <w:szCs w:val="18"/>
          <w:color w:val="auto"/>
        </w:rPr>
        <w:t>48 Wall Street,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10005</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Others Call Toll-Free: (800) 967-4607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PRTH@dfking.com</w:t>
      </w:r>
    </w:p>
    <w:p>
      <w:pPr>
        <w:spacing w:after="0" w:line="21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SELECTED FINANCIAL INFORMATION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table sets forth selected historical financial information derived from (i) our unaudited condensed financial statements as of September 30, 2018 and the nine-month periods ended September 30, 2018 and 2017 included elsewhere in this Prospectus/Offer to Exchange and (ii) our audited financial statements included elsewhere in this Prospectus/Offer to Exchange as of December 31, 2017 and 2016 and for the years ended December 31, 2017, 2016 and 2015. You should read the following selected financial data in conjunction with the sections entitled “Management’s Discussion and Analysis of Financial Condition and Results of Operations” and the financial statements and the related notes appearing elsewhere in this Prospectus/Offer to Exchange and any applicable prospectus supplement.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3"/>
              </w:rPr>
              <w:t>For the 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4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Merchant card fees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299,661</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286,208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398,988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321,091</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Outsourced services revenue</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18,426</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17,135</w:t>
            </w: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23,308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20,061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323,949</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305,649</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344,114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Costs of merchant card fees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230,276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219,507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305,461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243,049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costs of services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Salary and employee benefits</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28,406</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24,356</w:t>
            </w: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32,357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32,330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12,679</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13,978</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7,790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10,449</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13,457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9,066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309,306</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281,349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14,643</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expense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(26,674)</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4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(21,581</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(loss) earnings per share</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(0.19)</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Diluted (loss)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 data;</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24,836</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28,979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36,869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22,275</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(42,345)</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8,827</w:t>
            </w:r>
          </w:p>
        </w:tc>
        <w:tc>
          <w:tcPr>
            <w:tcW w:w="24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(24,875)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(25,375)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(10,548)</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18,714</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720" w:type="dxa"/>
            <w:vAlign w:val="bottom"/>
            <w:gridSpan w:val="4"/>
          </w:tcPr>
          <w:p>
            <w:pPr>
              <w:ind w:left="2960"/>
              <w:spacing w:after="0"/>
              <w:rPr>
                <w:sz w:val="20"/>
                <w:szCs w:val="20"/>
                <w:color w:val="auto"/>
              </w:rPr>
            </w:pPr>
            <w:r>
              <w:rPr>
                <w:rFonts w:ascii="Arial" w:cs="Arial" w:eastAsia="Arial" w:hAnsi="Arial"/>
                <w:sz w:val="18"/>
                <w:szCs w:val="18"/>
                <w:b w:val="1"/>
                <w:bCs w:val="1"/>
                <w:color w:val="auto"/>
              </w:rPr>
              <w:t>As of September 30,</w:t>
            </w:r>
          </w:p>
        </w:tc>
        <w:tc>
          <w:tcPr>
            <w:tcW w:w="300" w:type="dxa"/>
            <w:vAlign w:val="bottom"/>
          </w:tcPr>
          <w:p>
            <w:pPr>
              <w:spacing w:after="0"/>
              <w:rPr>
                <w:sz w:val="20"/>
                <w:szCs w:val="20"/>
                <w:color w:val="auto"/>
              </w:rPr>
            </w:pPr>
          </w:p>
        </w:tc>
        <w:tc>
          <w:tcPr>
            <w:tcW w:w="2340" w:type="dxa"/>
            <w:vAlign w:val="bottom"/>
            <w:gridSpan w:val="6"/>
          </w:tcPr>
          <w:p>
            <w:pPr>
              <w:ind w:left="22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406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17,203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27,966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32,279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327,306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266,707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256,050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liabilities</w:t>
            </w: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409,698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356,862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140,043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(82,392)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(90,155)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116,007</w:t>
            </w:r>
          </w:p>
        </w:tc>
      </w:tr>
      <w:tr>
        <w:trPr>
          <w:trHeight w:val="561"/>
        </w:trPr>
        <w:tc>
          <w:tcPr>
            <w:tcW w:w="40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unaudited pro forma condensed combined statements of operations for the nine months ended September 30, 2018 and year ended December 31, 2017 present pro forma effects of the Business Combination and the related proposed equity commitments as if they had been completed on January 1, 2017. The unaudited pro forma condensed combined statement of operations for the nine months ended September 30, 2018 combines the historical unaudited condensed consolidated statement of operations of the Company for the nine months ended September 30, 2018 with financial information of M I for the period from January 1, 2018 to July 25, 2018, the closing date of the Business Combination.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condensed combined statements of operations do not necessarily reflect what the Company’s results of operations would have been had the acquisition occurred on the dates indicated. The unaudited pro forma condensed combined statements of operations also may not be useful in predicting the future results of operations of the Company. The actual financial results of operations may differ significantly from the pro forma amounts reflected herein due to a variety of factors.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to the Unaudited Pro Forma Condensed Combined Financial Information for information about the sources used to derive the unaudited pro forma financial information. The following discussion and analysis should also be read together with our audited consolidated financial statements and related notes for the years ended December 31, 2017, 2016 and 2015 and “Management’s Discussion and Analysis of Financial Condition and Results of Operations” included in elsewhere in this Prospectus/Offer to Exchange.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is accounted for as a reverse merger, with no goodwill or other intangible assets recorded, in accordance with GAAP. Under this method of accounting, M I is treated as the “acquired” company for financial reporting purposes. Accordingly, for accounting purposes, the Business Combination is treated as the equivalent of Priority Holdings, LLC issuing stock for the net assets of M I, accompanied by a recapitalization. The net assets of M I are stated at historical cost, with no goodwill or other intangible assets recorded. Operations prior to the Business Combination are those of Priority Holdings,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Priority Holdings, LLC has been determined to be the accounting acquirer based on evaluation of the following facts and circumstances: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Priority Holdings, LLC stockholder group has the greatest voting interest in the combined entity of 92% after redemptions;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largest individual minority stockholder comes from Priority Holdings,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combined company’s board of directors will initially consist of five directors, all of which will be selected by Priority Holdings, LLC;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Priority Holdings, LLC holds C-suite management roles for the combined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factors were considered, including size of the entities and the location of the combined company’s headquarters, noting that the preponderance of evidence as described above is indicative that Priority Holdings, LLC is the accounting acquirer in the Business Combination.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25, 2018, M I and Priority Holdings, LLC consummated the Business Combination, under which M I acquired controlling interest in Priority Holdings, LLC. M I was subsequently renamed Priority Technology Holdings, Inc. The Business Combination was consummated pursuant to a contribution agreement, dated February 26, 2018, as amended and restated on March 26, 2018 and April 17, 2018 (the “Purchase Agreement”).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Concurrently with the closing of the Business Combination, the Company and Goldman Sachs agreed to cancel the Goldman Sachs warrant and Goldman Sachs was paid cash of $12.7 million for the Goldman Sachs warrant. The Goldman Sachs warrant was a seven-year, zero exercise price warrant issued by Priority to Goldman Sachs in connection with the refinancing of Priority’s credit facility on January 3, 2017, as subsequently adjusted as a result of anti-dilution provisions in the Goldman Sachs warrant agreement triggered by Class A unit redemption of Priority, that entitled Goldman Sachs to exercise to receive 2.2% of Priority’s outstanding Class A Common Units at any time prior to expiration.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Purchase Agreement, M I acquired 100% of the outstanding shares and equity interests of Priority Holdings, LLC in exchange for the issuance of 60.5 million M I shares. Concurrently with the Purchase Agreement, the founding stockholders of M I (the “Founders”) and Priority Holdings, LLC entered into the Founders Share Agreement, pursuant to which Priority Holdings, LLC purchased 421,107 of the units issued to the Founders in a private placement immediately prior to the M I IPO, and 453,210 shares of common stock of M I issued to the Founders, for an aggregate purchase price of approximately $2.1 million at the closing of the acquisition. In addition, pursuant to the Founders Share Agreement, the Founders forfeited 174,863 founder’s shares at the closing of the acquisition, which shares may be reissued to the Founders if one of the earn-outs described herein (and relating to the Purchase Agreement consideration) is achieved.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The following represents the merger consideration:</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per share amount</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50"/>
        </w:trPr>
        <w:tc>
          <w:tcPr>
            <w:tcW w:w="9940" w:type="dxa"/>
            <w:vAlign w:val="bottom"/>
            <w:shd w:val="clear" w:color="auto" w:fill="CCEEFF"/>
          </w:tcPr>
          <w:p>
            <w:pPr>
              <w:ind w:left="180"/>
              <w:spacing w:after="0" w:line="251" w:lineRule="exact"/>
              <w:rPr>
                <w:sz w:val="20"/>
                <w:szCs w:val="20"/>
                <w:color w:val="auto"/>
              </w:rPr>
            </w:pPr>
            <w:r>
              <w:rPr>
                <w:rFonts w:ascii="Arial" w:cs="Arial" w:eastAsia="Arial" w:hAnsi="Arial"/>
                <w:sz w:val="18"/>
                <w:szCs w:val="18"/>
                <w:color w:val="auto"/>
              </w:rPr>
              <w:t>Enterprise Value</w:t>
            </w:r>
            <w:r>
              <w:rPr>
                <w:rFonts w:ascii="Arial" w:cs="Arial" w:eastAsia="Arial" w:hAnsi="Arial"/>
                <w:sz w:val="29"/>
                <w:szCs w:val="29"/>
                <w:color w:val="auto"/>
                <w:vertAlign w:val="superscript"/>
              </w:rPr>
              <w:t>(1)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947.8</w:t>
            </w:r>
          </w:p>
        </w:tc>
      </w:tr>
      <w:tr>
        <w:trPr>
          <w:trHeight w:val="257"/>
        </w:trPr>
        <w:tc>
          <w:tcPr>
            <w:tcW w:w="9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Plus: Incremental Enterprise Value </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57"/>
        </w:trPr>
        <w:tc>
          <w:tcPr>
            <w:tcW w:w="9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Minus: Closing Indebtedness</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w:t>
            </w:r>
          </w:p>
        </w:tc>
      </w:tr>
      <w:tr>
        <w:trPr>
          <w:trHeight w:val="270"/>
        </w:trPr>
        <w:tc>
          <w:tcPr>
            <w:tcW w:w="9940" w:type="dxa"/>
            <w:vAlign w:val="bottom"/>
          </w:tcPr>
          <w:p>
            <w:pPr>
              <w:ind w:left="180"/>
              <w:spacing w:after="0" w:line="269" w:lineRule="exact"/>
              <w:rPr>
                <w:sz w:val="20"/>
                <w:szCs w:val="20"/>
                <w:color w:val="auto"/>
              </w:rPr>
            </w:pPr>
            <w:r>
              <w:rPr>
                <w:rFonts w:ascii="Arial" w:cs="Arial" w:eastAsia="Arial" w:hAnsi="Arial"/>
                <w:sz w:val="18"/>
                <w:szCs w:val="18"/>
                <w:color w:val="auto"/>
              </w:rPr>
              <w:t>Plus: Closing Cash</w:t>
            </w:r>
            <w:r>
              <w:rPr>
                <w:rFonts w:ascii="Arial" w:cs="Arial" w:eastAsia="Arial" w:hAnsi="Arial"/>
                <w:sz w:val="30"/>
                <w:szCs w:val="30"/>
                <w:color w:val="auto"/>
                <w:vertAlign w:val="superscript"/>
              </w:rPr>
              <w:t>(3)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0"/>
        </w:trPr>
        <w:tc>
          <w:tcPr>
            <w:tcW w:w="9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Priority Equity Value ($) – at Closing</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9940" w:type="dxa"/>
            <w:vAlign w:val="bottom"/>
          </w:tcPr>
          <w:p>
            <w:pPr>
              <w:ind w:left="180"/>
              <w:spacing w:after="0" w:line="250" w:lineRule="exact"/>
              <w:rPr>
                <w:sz w:val="20"/>
                <w:szCs w:val="20"/>
                <w:color w:val="auto"/>
              </w:rPr>
            </w:pPr>
            <w:r>
              <w:rPr>
                <w:rFonts w:ascii="Arial" w:cs="Arial" w:eastAsia="Arial" w:hAnsi="Arial"/>
                <w:sz w:val="17"/>
                <w:szCs w:val="17"/>
                <w:color w:val="auto"/>
              </w:rPr>
              <w:t>Divided by: $10.30/Share</w:t>
            </w:r>
            <w:r>
              <w:rPr>
                <w:rFonts w:ascii="Arial" w:cs="Arial" w:eastAsia="Arial" w:hAnsi="Arial"/>
                <w:sz w:val="28"/>
                <w:szCs w:val="28"/>
                <w:color w:val="auto"/>
                <w:vertAlign w:val="superscript"/>
              </w:rPr>
              <w:t>(1)</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0"/>
        </w:trPr>
        <w:tc>
          <w:tcPr>
            <w:tcW w:w="9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Share Consideration – at Closing</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Values obtained from the amended and restated Purchase Agreement.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derived based on calculation per the amended and restated Purchase Agreement.</w:t>
      </w:r>
    </w:p>
    <w:p>
      <w:pPr>
        <w:spacing w:after="0" w:line="9" w:lineRule="exact"/>
        <w:rPr>
          <w:rFonts w:ascii="Arial" w:cs="Arial" w:eastAsia="Arial" w:hAnsi="Arial"/>
          <w:sz w:val="18"/>
          <w:szCs w:val="18"/>
          <w:color w:val="auto"/>
        </w:rPr>
      </w:pPr>
    </w:p>
    <w:p>
      <w:pPr>
        <w:ind w:left="340" w:right="560" w:hanging="332"/>
        <w:spacing w:after="0" w:line="26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Closing Indebtedness and Closing Cash are estimates of the amounts calculated per the amended and restated Purchase Agreement at the Business Combination consummation date.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60.5 million shares includes 0.5 million shares issued as partial consideration in two business acquisitions consummated on and near the Business Combination closing date and 3.0 million shares issued in connection with the Company’s equity incentive plan.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7"/>
          <w:szCs w:val="17"/>
          <w:color w:val="auto"/>
        </w:rPr>
        <w:t>Subsequent to July 25, 2018, an additional 9.8 million private placement common shares may be issued as earn-out consideration to the sellers of Priority, or at their election, to members of Priority’s management or other service providers, pursuant to the Company’s Earn-Out Incentive Plan. For the first earn-out of up to 4.9 million common shares, Consolidated Adjusted EBITDA (as defined in the Earn-Out Incentive Plan) of the Company must be no less than $82.5 million for the year ending December 31, 2018 and the Company’s stock price must have traded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2018, none of the 9.8 million shares have been earned.</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unaudited pro forma condensed combined financial information has been prepared reflecting adjustments for the consummation of the Business Combination based on currently available information and certain assumptions that the Company believes are reasonable under the circumstances. The unaudited condensed pro forma adjustments may be revised as additional information becomes available. Therefore, it is likely that the actual adjustments will differ from the pro forma adjustments and it is possible the differences may be material. Management believes that its assumptions provide a reasonable basis for presenting all of the significant effects of the Business Combination based on information currently available to management and that the pro forma adjustments give appropriate effect to those assumptions and are properly applied in the unaudited pro forma condensed combined financial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common stock shares outstanding after giving effect to the Business Combination and the related equity commitments: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Nine months ended September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Shares outstanding</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shd w:val="clear" w:color="auto" w:fill="CCEEFF"/>
          </w:tcPr>
          <w:p>
            <w:pPr>
              <w:ind w:left="160"/>
              <w:spacing w:after="0" w:line="236" w:lineRule="exact"/>
              <w:rPr>
                <w:sz w:val="20"/>
                <w:szCs w:val="20"/>
                <w:color w:val="auto"/>
              </w:rPr>
            </w:pPr>
            <w:r>
              <w:rPr>
                <w:rFonts w:ascii="Arial" w:cs="Arial" w:eastAsia="Arial" w:hAnsi="Arial"/>
                <w:sz w:val="17"/>
                <w:szCs w:val="17"/>
                <w:color w:val="auto"/>
              </w:rPr>
              <w:t>MI Merger Consideration shares</w:t>
            </w:r>
            <w:r>
              <w:rPr>
                <w:rFonts w:ascii="Arial" w:cs="Arial" w:eastAsia="Arial" w:hAnsi="Arial"/>
                <w:sz w:val="27"/>
                <w:szCs w:val="27"/>
                <w:color w:val="auto"/>
                <w:vertAlign w:val="superscript"/>
              </w:rPr>
              <w:t>(1)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60,546,395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MI Founder shares held by the Sellers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453,210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 Private Placement shares held by the Sellers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421,107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b w:val="1"/>
                <w:bCs w:val="1"/>
                <w:color w:val="auto"/>
              </w:rPr>
              <w:t>Priority shares</w:t>
            </w:r>
          </w:p>
        </w:tc>
        <w:tc>
          <w:tcPr>
            <w:tcW w:w="11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61,420,712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Shares held by current M I public stockholders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5,310,109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Less: public shares redeemed June 15, 2018</w:t>
            </w:r>
            <w:r>
              <w:rPr>
                <w:rFonts w:ascii="Arial" w:cs="Arial" w:eastAsia="Arial" w:hAnsi="Arial"/>
                <w:sz w:val="29"/>
                <w:szCs w:val="29"/>
                <w:color w:val="auto"/>
                <w:vertAlign w:val="superscript"/>
              </w:rPr>
              <w:t>(2)</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(377,231)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tcPr>
          <w:p>
            <w:pPr>
              <w:ind w:left="160"/>
              <w:spacing w:after="0" w:line="269" w:lineRule="exact"/>
              <w:rPr>
                <w:sz w:val="20"/>
                <w:szCs w:val="20"/>
                <w:color w:val="auto"/>
              </w:rPr>
            </w:pPr>
            <w:r>
              <w:rPr>
                <w:rFonts w:ascii="Arial" w:cs="Arial" w:eastAsia="Arial" w:hAnsi="Arial"/>
                <w:sz w:val="18"/>
                <w:szCs w:val="18"/>
                <w:color w:val="auto"/>
              </w:rPr>
              <w:t>Less: public shares redeemed</w:t>
            </w:r>
            <w:r>
              <w:rPr>
                <w:rFonts w:ascii="Arial" w:cs="Arial" w:eastAsia="Arial" w:hAnsi="Arial"/>
                <w:sz w:val="30"/>
                <w:szCs w:val="30"/>
                <w:color w:val="auto"/>
                <w:vertAlign w:val="superscript"/>
              </w:rPr>
              <w:t>(3)</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MI shares</w:t>
            </w:r>
          </w:p>
        </w:tc>
        <w:tc>
          <w:tcPr>
            <w:tcW w:w="1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4,926,878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Founder shares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Less Founder shares bought by the Sellers</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color w:val="auto"/>
              </w:rPr>
              <w:t>(453,210)</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Founder shares forfeited</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(174,863)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Founders shares</w:t>
            </w:r>
          </w:p>
        </w:tc>
        <w:tc>
          <w:tcPr>
            <w:tcW w:w="11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699,454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Pro Forma Shares Outstanding</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67,047,044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spacing w:after="0" w:line="243" w:lineRule="exact"/>
              <w:rPr>
                <w:sz w:val="20"/>
                <w:szCs w:val="20"/>
                <w:color w:val="auto"/>
              </w:rPr>
            </w:pPr>
            <w:r>
              <w:rPr>
                <w:rFonts w:ascii="Arial" w:cs="Arial" w:eastAsia="Arial" w:hAnsi="Arial"/>
                <w:sz w:val="15"/>
                <w:szCs w:val="15"/>
                <w:b w:val="1"/>
                <w:bCs w:val="1"/>
                <w:color w:val="auto"/>
              </w:rPr>
              <w:t>100</w:t>
            </w:r>
            <w:r>
              <w:rPr>
                <w:rFonts w:ascii="Arial" w:cs="Arial" w:eastAsia="Arial" w:hAnsi="Arial"/>
                <w:sz w:val="28"/>
                <w:szCs w:val="2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 to the Consideration Shares table herein. The merger consideration shares include 0.5 million shares issued as partial consideration in two business acquisitions consummated on and near the Business Combination closing date.</w:t>
      </w:r>
    </w:p>
    <w:p>
      <w:pPr>
        <w:spacing w:after="0" w:line="1" w:lineRule="exact"/>
        <w:rPr>
          <w:rFonts w:ascii="Arial" w:cs="Arial" w:eastAsia="Arial" w:hAnsi="Arial"/>
          <w:sz w:val="18"/>
          <w:szCs w:val="18"/>
          <w:color w:val="auto"/>
        </w:rPr>
      </w:pPr>
    </w:p>
    <w:p>
      <w:pPr>
        <w:ind w:left="340" w:right="40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June 15, 2018, M I public stockholders redeemed 377,231 shares for $3,963,539 ($10.507 per share) after the vote to extend the date to close the transaction to September 17, 2018.</w:t>
      </w: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public shares redeemed at the Closing Date for $10.533 per share.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The following unaudited pro forma condensed combined statements of operations for the nine months ended September 30, 2018 combines the historical unaudited condensed consolidated statement of operations of the Company for the nine months ended September 30, 2018 with financial information of M I for the period from January 1, 2018 to July 25, 2018, the closing date of the Business Combination. The following unaudited pro forma condensed combined statement of operations for the year ended December 31, 2017 are based on the historical financial statements of M I and Priority Technology Holdings, Inc.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rPr>
              <w:t>M I</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8"/>
                <w:szCs w:val="18"/>
                <w:b w:val="1"/>
                <w:bCs w:val="1"/>
                <w:color w:val="auto"/>
              </w:rPr>
              <w:t>Nine months ended September 30, 2018</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Six months</w:t>
            </w: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M I</w:t>
            </w: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Priority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ended June 30,</w:t>
            </w: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(July 1, 2018 –</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Technology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July 25, 2018)</w:t>
            </w:r>
          </w:p>
        </w:tc>
        <w:tc>
          <w:tcPr>
            <w:tcW w:w="10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Holdings, 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Merchant card fees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299,661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299,661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Outsourced services revenue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18,426</w:t>
            </w: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323,949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of merchant card fees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230,276</w:t>
            </w:r>
          </w:p>
        </w:tc>
        <w:tc>
          <w:tcPr>
            <w:tcW w:w="0" w:type="dxa"/>
            <w:vAlign w:val="bottom"/>
          </w:tcPr>
          <w:p>
            <w:pPr>
              <w:spacing w:after="0"/>
              <w:rPr>
                <w:sz w:val="1"/>
                <w:szCs w:val="1"/>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Other costs of services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13,518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Salary and employee benefits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28,406</w:t>
            </w:r>
          </w:p>
        </w:tc>
        <w:tc>
          <w:tcPr>
            <w:tcW w:w="0" w:type="dxa"/>
            <w:vAlign w:val="bottom"/>
          </w:tcPr>
          <w:p>
            <w:pPr>
              <w:spacing w:after="0"/>
              <w:rPr>
                <w:sz w:val="1"/>
                <w:szCs w:val="1"/>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12,679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12,679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(3,599)(CC)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Administration fee - related party</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4"/>
              </w:rPr>
              <w:t>(524)(CC)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10,449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309,306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(4,123</w:t>
            </w:r>
          </w:p>
        </w:tc>
        <w:tc>
          <w:tcPr>
            <w:tcW w:w="560" w:type="dxa"/>
            <w:vAlign w:val="bottom"/>
            <w:tcBorders>
              <w:top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(Loss) income from operations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left="590"/>
              <w:spacing w:after="0"/>
              <w:rPr>
                <w:sz w:val="20"/>
                <w:szCs w:val="20"/>
                <w:color w:val="auto"/>
              </w:rPr>
            </w:pPr>
            <w:r>
              <w:rPr>
                <w:rFonts w:ascii="Arial" w:cs="Arial" w:eastAsia="Arial" w:hAnsi="Arial"/>
                <w:sz w:val="18"/>
                <w:szCs w:val="18"/>
                <w:color w:val="auto"/>
                <w:w w:val="99"/>
              </w:rPr>
              <w:t>(448)(AA)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02"/>
        </w:trPr>
        <w:tc>
          <w:tcPr>
            <w:tcW w:w="3660" w:type="dxa"/>
            <w:vAlign w:val="bottom"/>
          </w:tcPr>
          <w:p>
            <w:pPr>
              <w:ind w:left="340"/>
              <w:spacing w:after="0" w:line="201" w:lineRule="exact"/>
              <w:rPr>
                <w:sz w:val="20"/>
                <w:szCs w:val="20"/>
                <w:color w:val="auto"/>
              </w:rPr>
            </w:pPr>
            <w:r>
              <w:rPr>
                <w:rFonts w:ascii="Arial" w:cs="Arial" w:eastAsia="Arial" w:hAnsi="Arial"/>
                <w:sz w:val="18"/>
                <w:szCs w:val="18"/>
                <w:color w:val="auto"/>
              </w:rPr>
              <w:t>Debt modification and extinguishment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02"/>
        </w:trPr>
        <w:tc>
          <w:tcPr>
            <w:tcW w:w="3660" w:type="dxa"/>
            <w:vAlign w:val="bottom"/>
          </w:tcPr>
          <w:p>
            <w:pPr>
              <w:ind w:left="340"/>
              <w:spacing w:after="0" w:line="201" w:lineRule="exact"/>
              <w:rPr>
                <w:sz w:val="20"/>
                <w:szCs w:val="20"/>
                <w:color w:val="auto"/>
              </w:rPr>
            </w:pPr>
            <w:r>
              <w:rPr>
                <w:rFonts w:ascii="Arial" w:cs="Arial" w:eastAsia="Arial" w:hAnsi="Arial"/>
                <w:sz w:val="18"/>
                <w:szCs w:val="18"/>
                <w:color w:val="auto"/>
              </w:rPr>
              <w:t>Equity in loss and impairment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6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(27,001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560" w:type="dxa"/>
            <w:vAlign w:val="bottom"/>
            <w:tcBorders>
              <w:top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3,675</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)(BB)</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3,048</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40"/>
              <w:spacing w:after="0" w:line="201" w:lineRule="exact"/>
              <w:rPr>
                <w:sz w:val="20"/>
                <w:szCs w:val="20"/>
                <w:color w:val="auto"/>
              </w:rPr>
            </w:pPr>
            <w:r>
              <w:rPr>
                <w:rFonts w:ascii="Arial" w:cs="Arial" w:eastAsia="Arial" w:hAnsi="Arial"/>
                <w:sz w:val="18"/>
                <w:szCs w:val="18"/>
                <w:color w:val="auto"/>
                <w:w w:val="92"/>
              </w:rPr>
              <w:t>Net loss per shares of common stock – basic</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Weighted average shares of common stock</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 basic and diluted</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2,352,922</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60,339,344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60,339,344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 YEAR ENDED DECEMBER 31, 2017</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w w:val="89"/>
              </w:rPr>
              <w:t>Priority Technology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 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Holdings, 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Pro Forma</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Pro Forma</w:t>
            </w:r>
          </w:p>
        </w:tc>
      </w:tr>
      <w:tr>
        <w:trPr>
          <w:trHeight w:val="234"/>
        </w:trPr>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Combined</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Merchant card fees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398,988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398,988</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Outsourced services revenue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23,308</w:t>
            </w: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3,323</w:t>
            </w:r>
          </w:p>
        </w:tc>
      </w:tr>
      <w:tr>
        <w:trPr>
          <w:trHeight w:val="210"/>
        </w:trPr>
        <w:tc>
          <w:tcPr>
            <w:tcW w:w="47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revenue,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425,619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425,619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8"/>
                <w:szCs w:val="18"/>
                <w:b w:val="1"/>
                <w:bCs w:val="1"/>
                <w:color w:val="auto"/>
              </w:rPr>
              <w:t>Operating expenses (income)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merchant card fees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305,461</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Other costs of services</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15,743</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Salary and employee benefits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32,357</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14,674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14,674</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9,088</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Administration fee - related party</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13,457</w:t>
            </w:r>
          </w:p>
        </w:tc>
      </w:tr>
      <w:tr>
        <w:trPr>
          <w:trHeight w:val="210"/>
        </w:trPr>
        <w:tc>
          <w:tcPr>
            <w:tcW w:w="478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391,322</w:t>
            </w:r>
          </w:p>
        </w:tc>
        <w:tc>
          <w:tcPr>
            <w:tcW w:w="10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income from operations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34,297</w:t>
            </w:r>
          </w:p>
        </w:tc>
        <w:tc>
          <w:tcPr>
            <w:tcW w:w="100" w:type="dxa"/>
            <w:vAlign w:val="bottom"/>
            <w:shd w:val="clear" w:color="auto" w:fill="CCEEFF"/>
          </w:tcPr>
          <w:p>
            <w:pPr>
              <w:spacing w:after="0"/>
              <w:rPr>
                <w:sz w:val="18"/>
                <w:szCs w:val="18"/>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(399)(AA)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(31,159)</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 of unconsolidated entities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Settlement income</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r>
      <w:tr>
        <w:trPr>
          <w:trHeight w:val="210"/>
        </w:trPr>
        <w:tc>
          <w:tcPr>
            <w:tcW w:w="47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(expense)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(Loss) income before taxes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w:t>
            </w:r>
          </w:p>
        </w:tc>
        <w:tc>
          <w:tcPr>
            <w:tcW w:w="10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63"/>
        </w:trPr>
        <w:tc>
          <w:tcPr>
            <w:tcW w:w="478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(1,929</w:t>
            </w:r>
          </w:p>
        </w:tc>
        <w:tc>
          <w:tcPr>
            <w:tcW w:w="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2,540</w:t>
            </w:r>
          </w:p>
        </w:tc>
        <w:tc>
          <w:tcPr>
            <w:tcW w:w="100" w:type="dxa"/>
            <w:vAlign w:val="bottom"/>
            <w:tcBorders>
              <w:bottom w:val="single" w:sz="8" w:color="CCEEFF"/>
            </w:tcBorders>
          </w:tcPr>
          <w:p>
            <w:pPr>
              <w:spacing w:after="0"/>
              <w:rPr>
                <w:sz w:val="22"/>
                <w:szCs w:val="22"/>
                <w:color w:val="auto"/>
              </w:rPr>
            </w:pPr>
          </w:p>
        </w:tc>
      </w:tr>
      <w:tr>
        <w:trPr>
          <w:trHeight w:val="197"/>
        </w:trPr>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780" w:type="dxa"/>
            <w:vAlign w:val="bottom"/>
          </w:tcPr>
          <w:p>
            <w:pPr>
              <w:ind w:left="360"/>
              <w:spacing w:after="0" w:line="201" w:lineRule="exact"/>
              <w:rPr>
                <w:sz w:val="20"/>
                <w:szCs w:val="20"/>
                <w:color w:val="auto"/>
              </w:rPr>
            </w:pPr>
            <w:r>
              <w:rPr>
                <w:rFonts w:ascii="Arial" w:cs="Arial" w:eastAsia="Arial" w:hAnsi="Arial"/>
                <w:sz w:val="18"/>
                <w:szCs w:val="18"/>
                <w:color w:val="auto"/>
                <w:w w:val="91"/>
              </w:rPr>
              <w:t>Net (loss) earnings per shares of common stock – basic and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202"/>
        </w:trPr>
        <w:tc>
          <w:tcPr>
            <w:tcW w:w="4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Weighted average shares of common stock outstanding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2,330,884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67,143,823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67,047,044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COMBINED FINANCIAL INFORMATION</w:t>
      </w:r>
    </w:p>
    <w:p>
      <w:pPr>
        <w:spacing w:after="0" w:line="20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Business Combination is accounted for as a reverse merger, with no goodwill or other intangible assets recorded, in accordance with GAAP. Under this method of accounting, M I is treated as the “acquired” company for financial reporting purposes. This determination was primarily based on Priority Holdings, LLC comprising the ongoing operations of the combined company, Priority Holdings, LLC’s senior management comprising the senior management of the combined company, and Priority Holdings, LLC’s stockholders having a majority of the voting power of the combined company. Accordingly, for accounting purposes, the Business Combination was treated as the equivalent of Priority Holdings, LLC issuing stock for the net assets of M I, accompanied by a recapitalization. The net assets of M I are stated at historical cost, with no goodwill or other intangible assets recorded. Operations prior to the Business Combination are those of Priority Holdings, LLC.</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unaudited pro forma condensed combined statements of operations for the nine months ended September 30, 2018 and the year ended December 31, 2017 present pro forma effects to the Business Combination and the related proposed equity commitments as if they had been completed on January 1, 2017. These periods are presented on the basis of Priority Holdings, LLC as the accounting acquirer.</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2018 has been prepared using and should be read in conjunction with the following: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 I’s unaudited statement of operations for the six months ended June 30, 2018 and the related notes; and</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Priority’s unaudited condensed consolidated statement of operations for the nine months ended September 30, 2018 and the related notes included elsewhere in this Prospectus/Offer to Exchange.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has been prepared using and should be read in conjunction with the following:</w:t>
      </w:r>
    </w:p>
    <w:p>
      <w:pPr>
        <w:spacing w:after="0" w:line="170" w:lineRule="exact"/>
        <w:rPr>
          <w:sz w:val="20"/>
          <w:szCs w:val="20"/>
          <w:color w:val="auto"/>
        </w:rPr>
      </w:pPr>
    </w:p>
    <w:p>
      <w:pPr>
        <w:ind w:left="660" w:right="2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 I’s audited statement of operations for the year ended December 31, 2017 and the related notes, included elsewhere in this Prospectus/Offer to Exchange; and</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Priority’s audited consolidated statement of operations for the year ended December 31, 2017 and the related notes included elsewhere in this Prospectus/Offer to Exchange.</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64" w:name="page65"/>
    <w:bookmarkEnd w:id="64"/>
    <w:p>
      <w:pPr>
        <w:ind w:right="20"/>
        <w:spacing w:after="0" w:line="257"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earn-out of 9.8 million shares that may be associated with the Business Combination as the Company is currently evaluating the valuation of the earn-out and other terms to determine the accounting treatment following the consummation of the Business Combination.</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pro forma adjustments reflecting the consummation of the Business Combination and the completion of related proposed equity commitments are based on certain currently available information and certain assumptions and methodologies that the Company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the Company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M I and Priority Technology Holdings, Inc.</w:t>
      </w:r>
    </w:p>
    <w:p>
      <w:pPr>
        <w:spacing w:after="0" w:line="18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After consummation of the Business Combination, Priority Technology Holdings, Inc. performed a comprehensive review of its accounting policies. Since M I had substantially no business operations as a SPAC, its limited accounting policies were not in conflict with those of the Company. Accordingly, the combined company uses the accounting policies of the Company as described in Note 1 to Priority Technology Holdings, Inc.’s audited consolidated financial statements as of and for the year ended December 31, 2017 included elsewhere in this Prospectus/Offer to Exchange. There have been no material changes to these accounting policies, except as noted in the unaudited condensed consolidated financial statements for the nine months ended September 30, 2018 and the related notes included elsewhere in this Prospectus/Offer to Exchange for the: (1) new accounting pronouncement adopted in the nine months ended September 30, 2018, (2) adoption of an accounting policy for income taxes during the third quarter of 2018, (3) updated accounting policy for (loss) earnings per share, and (4) updated fair value accounting policy for contingent consideration associated with business combinations. As a result, the unaudited pro forma condensed combined financial information does not assume any differences in accounting policies.</w:t>
      </w:r>
    </w:p>
    <w:p>
      <w:pPr>
        <w:spacing w:after="0" w:line="16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unaudited pro forma condensed combined statements of operations have been prepared to illustrate the effect of the Business Combination and has been prepared for informational purposes only.</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historical financial statements have been adjusted in the unaudited pro forma condensed combined statements of operations to give pro forma effect to events that are (1) directly attributable to the Business Combination, (2) factually supportable, and (3) expected to have a continuing impact on the results of the Company. Priority Technology Holdings, Inc. and M I had no historical relationships prior to the Business Combination. Accordingly, no pro forma adjustments were required to eliminate activities between the companies.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pro forma combined consolidated provision for income taxes does not necessarily reflect the amounts that would have resulted had the Company filed consolidated income tax returns during the periods presented.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65" w:name="page66"/>
    <w:bookmarkEnd w:id="65"/>
    <w:p>
      <w:pPr>
        <w:jc w:val="both"/>
        <w:ind w:right="440"/>
        <w:spacing w:after="0" w:line="264" w:lineRule="auto"/>
        <w:rPr>
          <w:sz w:val="20"/>
          <w:szCs w:val="20"/>
          <w:color w:val="auto"/>
        </w:rPr>
      </w:pPr>
      <w:r>
        <w:rPr>
          <w:rFonts w:ascii="Arial" w:cs="Arial" w:eastAsia="Arial" w:hAnsi="Arial"/>
          <w:sz w:val="18"/>
          <w:szCs w:val="18"/>
          <w:color w:val="auto"/>
        </w:rPr>
        <w:t>The pro forma basic and diluted (loss) earnings per share amounts presented in the unaudited pro forma condensed combined consolidated statements of operations are based upon the number of Priority Technology Holdings, Inc.’s shares outstanding, assuming the Business Combination had occurred on January 1, 2017 and related proposed equity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statements of operations for the nine months ended September 30, 2018 and year ended December 31, 2017 are as follows:</w:t>
      </w:r>
    </w:p>
    <w:p>
      <w:pPr>
        <w:spacing w:after="0" w:line="170"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Elimination of interest income on the trust account</w:t>
      </w:r>
    </w:p>
    <w:p>
      <w:pPr>
        <w:spacing w:after="0" w:line="225" w:lineRule="exact"/>
        <w:rPr>
          <w:rFonts w:ascii="Arial" w:cs="Arial" w:eastAsia="Arial" w:hAnsi="Arial"/>
          <w:sz w:val="18"/>
          <w:szCs w:val="18"/>
          <w:color w:val="auto"/>
        </w:rPr>
      </w:pPr>
    </w:p>
    <w:p>
      <w:pPr>
        <w:jc w:val="both"/>
        <w:ind w:left="1300" w:right="220" w:hanging="644"/>
        <w:spacing w:after="0" w:line="279"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Reflects an income tax expense at 18% effective rate on the combined pro forma net loss for the nine months ended September 30, 2018 and provision on the combined pro forma income at 38% effective tax rate for the year ended December 31, 2017. The tax impacts of the Business Combination were estimated based on the applicable law in effect on September 30, 2018 and December 31, 2017, respectively, inclusive of the effects of the Tax Act which was signed into law on December 22, 2017.</w:t>
      </w:r>
    </w:p>
    <w:p>
      <w:pPr>
        <w:spacing w:after="0" w:line="171"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elimination of approximately $4.1 million in nonrecurring transaction costs incurred for the nine months ended September 30, 2018 that are directly related to the Business Combination.</w:t>
      </w:r>
    </w:p>
    <w:p>
      <w:pPr>
        <w:spacing w:after="0" w:line="19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Represents the (loss) earnings per share calculated using the historical weighted average Priority shares and the issuance of additional shares in connection with the Business Combination, assuming the shares were outstanding since January 1, 2017. As the Business Combination and related equity transactions are being reflected as if they had occurred at the beginning of the periods presented, the calculation of weighted average shares outstanding for basic and diluted net earnings (loss) per share assumes that the shares issuable relating to the Business Combination have been outstanding for the entire periods presented. On a pro forma basis, no potentially dilutive shares were outstanding during the nine months ended September 30, 2018 or the year ended December 31, 2017. Therefore, basic and diluted weighted average shares were the same for the period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Pro Forma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5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Nine months ended</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Pro Forma Basic and Diluted Loss Per Share</w:t>
            </w:r>
          </w:p>
        </w:tc>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 Forma Net Loss Attributable to Common Stockholders</w:t>
            </w:r>
          </w:p>
        </w:tc>
        <w:tc>
          <w:tcPr>
            <w:tcW w:w="4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Basic and Diluted Weighted Average Shares Outstanding</w:t>
            </w: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60,339,344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Pro Forma Basic and Diluted Loss Per Share</w:t>
            </w:r>
          </w:p>
        </w:tc>
        <w:tc>
          <w:tcPr>
            <w:tcW w:w="488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441"/>
        </w:trPr>
        <w:tc>
          <w:tcPr>
            <w:tcW w:w="5120" w:type="dxa"/>
            <w:vAlign w:val="bottom"/>
            <w:gridSpan w:val="2"/>
          </w:tcPr>
          <w:p>
            <w:pPr>
              <w:spacing w:after="0"/>
              <w:rPr>
                <w:sz w:val="20"/>
                <w:szCs w:val="20"/>
                <w:color w:val="auto"/>
              </w:rPr>
            </w:pPr>
            <w:r>
              <w:rPr>
                <w:rFonts w:ascii="Arial" w:cs="Arial" w:eastAsia="Arial" w:hAnsi="Arial"/>
                <w:sz w:val="18"/>
                <w:szCs w:val="18"/>
                <w:color w:val="auto"/>
              </w:rPr>
              <w:t>(in thousands except share and per share data)</w:t>
            </w:r>
          </w:p>
        </w:tc>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Pro Forma Basic and Diluted Earnings Per Share</w:t>
            </w:r>
          </w:p>
        </w:tc>
        <w:tc>
          <w:tcPr>
            <w:tcW w:w="47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 Forma Net Income Attributable to Common Stockholders</w:t>
            </w:r>
          </w:p>
        </w:tc>
        <w:tc>
          <w:tcPr>
            <w:tcW w:w="4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Basic and Diluted Weighted Average Shares Outstanding</w:t>
            </w: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67,047,044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Pro Forma Basic and Diluted Earnings Per Share</w:t>
            </w:r>
          </w:p>
        </w:tc>
        <w:tc>
          <w:tcPr>
            <w:tcW w:w="488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4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MI Merger Consideration Shares</w:t>
            </w: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60,546,395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 Founder Shares Held by the Sellers</w:t>
            </w:r>
          </w:p>
        </w:tc>
        <w:tc>
          <w:tcPr>
            <w:tcW w:w="4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MI Private Placement Shares Held by the Sellers</w:t>
            </w: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Founders Shares</w:t>
            </w:r>
          </w:p>
        </w:tc>
        <w:tc>
          <w:tcPr>
            <w:tcW w:w="4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Shares Held by Former M I Stockholders</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4,926,878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47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67,047,044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720" w:type="dxa"/>
            <w:vAlign w:val="bottom"/>
            <w:vMerge w:val="restart"/>
          </w:tcPr>
          <w:p>
            <w:pPr>
              <w:jc w:val="right"/>
              <w:ind w:right="3950"/>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66" w:name="page67"/>
    <w:bookmarkEnd w:id="66"/>
    <w:p>
      <w:pPr>
        <w:spacing w:after="0" w:line="286" w:lineRule="auto"/>
        <w:rPr>
          <w:sz w:val="20"/>
          <w:szCs w:val="20"/>
          <w:color w:val="auto"/>
        </w:rPr>
      </w:pPr>
      <w:r>
        <w:rPr>
          <w:rFonts w:ascii="Arial" w:cs="Arial" w:eastAsia="Arial" w:hAnsi="Arial"/>
          <w:sz w:val="16"/>
          <w:szCs w:val="16"/>
          <w:color w:val="auto"/>
        </w:rPr>
        <w:t>M I had 5,731,216 public and private warrants sold during the M I IPO to purchase up to a total of 5,731,216 common shares. The Warrants are exercisable at $11.50 per share amounts which exceeds the current market price of common stock and the approximate per share redemption price. The Warrants are considered anti-dilutive and are excluded from the (loss) earnings per share calculation when the exercise price exceeds the average market value of the common stock price during the applicable period. M I sold to the M I IPO underwriters, Chardan Capital Markets, LLC, for $100, a unit purchase option to purchase up to a total of 300,000 units exercisable at $12.00 per unit (or an aggregate exercise price of $3,600,000) commencing on the later of the consummation of a Business Combination and nine months from September 13, 2016. The unit purchase option expires five years from September 13, 2016. The units issuable upon exercise of this option are identical to the units offered in the M I IPO. M I agreed to grant to the holders of the unit purchase option, demand and “piggy back” registration rights for periods of five and seven years, respectively, from September 13, 2016, including securities directly and indirectly issuable upon exercise of the unit purchase option.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(loss) earnings per share calculation when the exercise price exceeds the average market value of the common stock price during the applicable period.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are a leading provider of merchant acquiring and commercial payment solutions, offering unique product capabilities to SMBs, enterprises and distribution partners (Retail ISO’s, Financial Institutions, Wholesale ISO’s and ISV’s) in the United States. The Company, then Priority Holdings, LLC, was founded in 2005 with a mission to build a merchant inspired payments platform that would advance the goals of our SMB and enterprise clients and distribution partners. Since 2013, we have grown from the 38th largest U.S. merchant acquirer to become the 13th largest as of the end of 2017, measured by</w:t>
      </w:r>
    </w:p>
    <w:p>
      <w:pPr>
        <w:spacing w:after="0" w:line="2"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Visa and MasterCard purchase volume according to The Nilson Report. We are currently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non-bank merchant acquirer in the United States. In 2017, we processed over 439 million transactions and over $34 billion in bankcard payment volume across approximately 174,000 merchants. In the nine months ended September 30, 2018, we processed over 389.9 million transactions and over $31.6 billion in bankcard payment volume across approximately the same number of merchants. Headquartered in Alpharetta, GA, we have approximately 553 employees and are led by an experienced group of payments executives.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MX Product line, provides technology-enabled payment acceptance and business management capabilities to merchants, enterprises and our distribution partners. The MX product line includes: Our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consumer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our technology into the critical day-to-day workflows and operations of both merchants and resellers, we have established and maintained “sticky” relationships. Strong retention, coupled with consistent merchant boarding, have resulted in strong processing volume and revenue growth.</w:t>
      </w:r>
    </w:p>
    <w:p>
      <w:pPr>
        <w:spacing w:after="0" w:line="188"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our MX and CPX platforms is the Company’s Vortex.Cloud and Vortex.OS enterprise infrastructure, a curated cloud and application programming interface (“API”) driven operating system built for scale and agility.</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developed an entirely virtual computing infrastructure in 2012. This infrastructure, known as Vortex.Cloud, is a highly-available, redundant, and audited (PCI, HIPAA, NACHA, and SOC) computing platform with centralized security and technical operations. We strive to enable Vortex.Cloud to maintain</w:t>
      </w:r>
    </w:p>
    <w:p>
      <w:pPr>
        <w:ind w:right="20"/>
        <w:spacing w:after="0" w:line="269" w:lineRule="auto"/>
        <w:rPr>
          <w:sz w:val="20"/>
          <w:szCs w:val="20"/>
          <w:color w:val="auto"/>
        </w:rPr>
      </w:pPr>
      <w:r>
        <w:rPr>
          <w:rFonts w:ascii="Arial" w:cs="Arial" w:eastAsia="Arial" w:hAnsi="Arial"/>
          <w:sz w:val="17"/>
          <w:szCs w:val="17"/>
          <w:color w:val="auto"/>
        </w:rPr>
        <w:t>99.999% uptime. All computational and IP assets of our operating companies are hosted and managed on Vortex.Cloud infrastructure. Upon Vortex.Cloud, We have constructed a uniform set of API’s, called Vortex.OS (operating system), that provide critical functionality to our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our operating infrastructure and accelerate achievement of revenue and cost synergies.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68" w:name="page69"/>
    <w:bookmarkEnd w:id="68"/>
    <w:p>
      <w:pPr>
        <w:ind w:right="60"/>
        <w:spacing w:after="0" w:line="286" w:lineRule="auto"/>
        <w:rPr>
          <w:sz w:val="20"/>
          <w:szCs w:val="20"/>
          <w:color w:val="auto"/>
        </w:rPr>
      </w:pPr>
      <w:r>
        <w:rPr>
          <w:rFonts w:ascii="Arial" w:cs="Arial" w:eastAsia="Arial" w:hAnsi="Arial"/>
          <w:sz w:val="16"/>
          <w:szCs w:val="16"/>
          <w:color w:val="auto"/>
        </w:rPr>
        <w:t>We sell our B2C merchant acquiring solutions primarily to SMBs through a growing and diverse reseller network, including ISOs, Financial Institutions (“FIs”), ISVs, Value-Added Resellers (“VARs”) and other referral partners. The Company maintains stable, long-term relationships with our resellers, bolstered by the integration of MX Connect, a powerful customer relationship management (“CRM”) and business operating system. MX Connect is used by our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we offer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that create an integrated merchant experience. MX Merchant’s add-on applications include invoicing, website builder, inventory management and customer engagement and data analytics focused on targeted marketing among others. These proprietary business management tools and add-on applications, coupled with our omni-channel payment solutions, enable us to achieve attrition rates that, we believe, are well below industry average. MX Merchant can be deployed on hardware from a variety of vendors and operated either as a standalone product or integrated with third-party software. Through MX Merchant, we are well-positioned to capitalize on the trend towards integrated payments solutions, new technology adoption, and value-added service utilization in the SMB market. Our broad go-to-market strategy has resulted in a merchant base that is both industry and geographically diversified in the United States, resulting in low industry and merchant concentration.</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our B2C offering, we have diversified our source of revenues through our growing presence in the B2B market. We work with enterprise clients and leading financial institutions seeking to automate their accounts payable processes. We provide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our AP automation solutions provides suppliers with the benefits of cash acceleration, buyers with valuable rebate/discount revenue, and the Company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us.</w:t>
      </w:r>
    </w:p>
    <w:p>
      <w:pPr>
        <w:spacing w:after="0" w:line="17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generate revenue primarily from fees charged for processing payment transactions, and to a lesser extent, from monthly subscription services and other solutions provided to merchants. Processing fees are generated from the ongoing sales of our merchants under multi-year merchant contracts, and thus are highly recurring in nature. Due to the nature of our strong reseller-centric distribution model and differentiated technology offering, we can drive efficient scale and operating leverage, generating robust margins and profitability.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year ended December 31, 2017, we generated revenue of $425.6 million, net income of $4.6 million and Adjusted EBITDA of $58 million, compared to revenue of $344.1 million, net income of $20.2 million and Adjusted EBITDA of $46.7 million for the year ended December 31, 2016, an increase of 24%, a decrease of 77%, and an increase of 24% for revenue, net income and Adjusted EBITDA, respectively. For the nine months ended September 30, 2018, we generated revenue of $323.9 million, a net loss of $11.4 million and Adjusted EBITDA of $40.4 million, compared to revenue of $305.6 million, net income of $2.7 million and Adjusted EBITDA of $40.8 million for the nine months ended September 30, 2017, an increase of 6.0% for revenue, a decline of $14.1 million for net income and a decrease of 1.0% for Adjusted EBITDA. For a discussion of Adjusted EBITDA and a reconciliation of net income, the most directly comparable measure under GAAP, to Adjusted EBITDA, please see the section entitled “Management’s Discussion and Analysis of Financial Conditions and Results—Certain Non-GAAP Measures” elsewhere in this Prospectus/Offer to Exchange.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SMB merchants increasingly recognize the need for value-added services wrapped around omni-channel payment solutions that are tailored to their specific business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Industry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trends we believe are impacting the merchant acquiring / payment processing industry:</w:t>
      </w:r>
    </w:p>
    <w:p>
      <w:pPr>
        <w:spacing w:after="0" w:line="225" w:lineRule="exact"/>
        <w:rPr>
          <w:sz w:val="20"/>
          <w:szCs w:val="20"/>
          <w:color w:val="auto"/>
        </w:rPr>
      </w:pPr>
    </w:p>
    <w:p>
      <w:pPr>
        <w:ind w:left="66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Trend Toward Electronic Transactions</w:t>
      </w:r>
      <w:r>
        <w:rPr>
          <w:rFonts w:ascii="Arial" w:cs="Arial" w:eastAsia="Arial" w:hAnsi="Arial"/>
          <w:sz w:val="18"/>
          <w:szCs w:val="18"/>
          <w:color w:val="auto"/>
        </w:rPr>
        <w:t>. We believe the continued shift from cash/paper payments toward electronic / card payments will drive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for merchant acquirers and processors as volume continues to grow correspondingly. According to The Nilson Report published in December 2017, card and electronic-based payments will make-up 83% of U.S. consumer payments (dollar volume) by 2021, compared to 64% and 75% in 2011 and 2016, respectively. We believe the continued migration from cash to card and overall market growth will continue to provide tailwinds to the electronic payments industry.</w:t>
      </w:r>
    </w:p>
    <w:p>
      <w:pPr>
        <w:spacing w:after="0" w:line="215" w:lineRule="exact"/>
        <w:rPr>
          <w:rFonts w:ascii="Arial" w:cs="Arial" w:eastAsia="Arial" w:hAnsi="Arial"/>
          <w:sz w:val="18"/>
          <w:szCs w:val="18"/>
          <w:color w:val="auto"/>
        </w:rPr>
      </w:pPr>
    </w:p>
    <w:p>
      <w:pPr>
        <w:ind w:left="660" w:right="260" w:hanging="328"/>
        <w:spacing w:after="0" w:line="272"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Increasing Demand for Integrated Payments. </w:t>
      </w:r>
      <w:r>
        <w:rPr>
          <w:rFonts w:ascii="Arial" w:cs="Arial" w:eastAsia="Arial" w:hAnsi="Arial"/>
          <w:sz w:val="17"/>
          <w:szCs w:val="17"/>
          <w:color w:val="auto"/>
        </w:rPr>
        <w:t>Merchant acquirers are increasingly differentiating themselves from competitors via innovative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204" w:lineRule="exact"/>
        <w:rPr>
          <w:rFonts w:ascii="Arial" w:cs="Arial" w:eastAsia="Arial" w:hAnsi="Arial"/>
          <w:sz w:val="17"/>
          <w:szCs w:val="17"/>
          <w:color w:val="auto"/>
        </w:rPr>
      </w:pPr>
    </w:p>
    <w:p>
      <w:pPr>
        <w:ind w:left="660" w:right="320" w:hanging="328"/>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Mobile Payments. </w:t>
      </w:r>
      <w:r>
        <w:rPr>
          <w:rFonts w:ascii="Arial" w:cs="Arial" w:eastAsia="Arial" w:hAnsi="Arial"/>
          <w:sz w:val="17"/>
          <w:szCs w:val="17"/>
          <w:color w:val="auto"/>
        </w:rPr>
        <w:t>Historically, ecommerce was conducted on a computer via a web browser; however, as mobile technologies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proliferate, 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98" w:lineRule="exact"/>
        <w:rPr>
          <w:rFonts w:ascii="Arial" w:cs="Arial" w:eastAsia="Arial" w:hAnsi="Arial"/>
          <w:sz w:val="17"/>
          <w:szCs w:val="17"/>
          <w:color w:val="auto"/>
        </w:rPr>
      </w:pPr>
    </w:p>
    <w:p>
      <w:pPr>
        <w:ind w:left="660" w:right="100" w:hanging="328"/>
        <w:spacing w:after="0" w:line="31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Migration to EMV. </w:t>
      </w:r>
      <w:r>
        <w:rPr>
          <w:rFonts w:ascii="Arial" w:cs="Arial" w:eastAsia="Arial" w:hAnsi="Arial"/>
          <w:sz w:val="16"/>
          <w:szCs w:val="16"/>
          <w:color w:val="auto"/>
        </w:rPr>
        <w:t>EMV, which stands for Europay, MasterCard and Visa, is the global payments standard that utilizes chip technology on cards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spacing w:after="0" w:line="173" w:lineRule="exact"/>
        <w:rPr>
          <w:rFonts w:ascii="Arial" w:cs="Arial" w:eastAsia="Arial" w:hAnsi="Arial"/>
          <w:sz w:val="16"/>
          <w:szCs w:val="16"/>
          <w:color w:val="auto"/>
        </w:rPr>
      </w:pPr>
    </w:p>
    <w:p>
      <w:pPr>
        <w:ind w:left="980" w:right="40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United States was one of the last countries to adopt EMV technology, leaving a large group of merchants still transitioning to the EMV standards; and</w:t>
      </w:r>
    </w:p>
    <w:p>
      <w:pPr>
        <w:spacing w:after="0" w:line="197" w:lineRule="exact"/>
        <w:rPr>
          <w:rFonts w:ascii="Arial" w:cs="Arial" w:eastAsia="Arial" w:hAnsi="Arial"/>
          <w:sz w:val="18"/>
          <w:szCs w:val="18"/>
          <w:color w:val="auto"/>
        </w:rPr>
      </w:pPr>
    </w:p>
    <w:p>
      <w:pPr>
        <w:ind w:left="980" w:right="22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U.S. merchants are penalized for failing to comply with EMV standards by bearing the chargeback risk when presented with an EMV enabled card when the terminal is non-compliant.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0" w:name="page71"/>
    <w:bookmarkEnd w:id="70"/>
    <w:p>
      <w:pPr>
        <w:ind w:right="360"/>
        <w:spacing w:after="0" w:line="277" w:lineRule="auto"/>
        <w:rPr>
          <w:sz w:val="20"/>
          <w:szCs w:val="20"/>
          <w:color w:val="auto"/>
        </w:rPr>
      </w:pPr>
      <w:r>
        <w:rPr>
          <w:rFonts w:ascii="Arial" w:cs="Arial" w:eastAsia="Arial" w:hAnsi="Arial"/>
          <w:sz w:val="18"/>
          <w:szCs w:val="18"/>
          <w:color w:val="auto"/>
        </w:rPr>
        <w:t>The large majority of our third-party products are EMV enabled, and we expect that most new hardware sales will be EMV enabled devices, although all hardware sales constitute only a small portion of our total revenue.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Business Insider estimates that over 51% of B2B volume was paid via check in 2016, mainly due to the complex and cumbersome process associated with B2B payments, including invoicing, delayed payment terms and use of multiple banks.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Electronics Payments Overview</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According to The Nilson Report, purchase volume on credit, debit and prepaid cards in the United States was approximately $6.2 trillion in 2016 and is estimated to reach nearly $8.5 trillion by 2021, a CAGR of 6.6%.</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are five key participants in the payment processing value chain: (i) card issuing banks, (ii) merchant acquirers, (iii) payment networks and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166" w:lineRule="exact"/>
        <w:rPr>
          <w:sz w:val="20"/>
          <w:szCs w:val="20"/>
          <w:color w:val="auto"/>
        </w:rPr>
      </w:pPr>
    </w:p>
    <w:p>
      <w:pPr>
        <w:ind w:left="660" w:right="18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Card Issuing Banks </w:t>
      </w:r>
      <w:r>
        <w:rPr>
          <w:rFonts w:ascii="Arial" w:cs="Arial" w:eastAsia="Arial" w:hAnsi="Arial"/>
          <w:sz w:val="17"/>
          <w:szCs w:val="17"/>
          <w:color w:val="auto"/>
        </w:rPr>
        <w:t>– Typically financial institutions that issue credit/debit cards to consumers (also underwrite the risk associated the cards),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 (check for fraud and sufficient funds) transactions and transfer funds through the payment networks for settlement. Some card issuers do not have the ability to process transactions in-house, in which case the issuer may engage a card processor.</w:t>
      </w:r>
    </w:p>
    <w:p>
      <w:pPr>
        <w:spacing w:after="0" w:line="192" w:lineRule="exact"/>
        <w:rPr>
          <w:rFonts w:ascii="Arial" w:cs="Arial" w:eastAsia="Arial" w:hAnsi="Arial"/>
          <w:sz w:val="17"/>
          <w:szCs w:val="17"/>
          <w:color w:val="auto"/>
        </w:rPr>
      </w:pPr>
    </w:p>
    <w:p>
      <w:pPr>
        <w:ind w:left="660" w:right="8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Merchant Acquirers </w:t>
      </w:r>
      <w:r>
        <w:rPr>
          <w:rFonts w:ascii="Arial" w:cs="Arial" w:eastAsia="Arial" w:hAnsi="Arial"/>
          <w:sz w:val="18"/>
          <w:szCs w:val="18"/>
          <w:color w:val="auto"/>
        </w:rPr>
        <w:t>– Firms that sign up merchants to their platform through a variety of sales channels, enabling them to accept, process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payments. Additionally, merchant acquirers provide other value-added services to help merchants run their businesses more efficiently, such as helping to select POS hardware and providing customer support and services.</w:t>
      </w:r>
    </w:p>
    <w:p>
      <w:pPr>
        <w:spacing w:after="0" w:line="208"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Payment Networks </w:t>
      </w:r>
      <w:r>
        <w:rPr>
          <w:rFonts w:ascii="Arial" w:cs="Arial" w:eastAsia="Arial" w:hAnsi="Arial"/>
          <w:sz w:val="17"/>
          <w:szCs w:val="17"/>
          <w:color w:val="auto"/>
        </w:rPr>
        <w:t>– Card brand companies, such as MasterCard or Visa, that set rules and provide the rails to route transactions and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card issuers, merchant acquirers and payments processors in real-time over vast communication networks.</w:t>
      </w:r>
    </w:p>
    <w:p>
      <w:pPr>
        <w:spacing w:after="0" w:line="173"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Merchant Processors </w:t>
      </w:r>
      <w:r>
        <w:rPr>
          <w:rFonts w:ascii="Arial" w:cs="Arial" w:eastAsia="Arial" w:hAnsi="Arial"/>
          <w:sz w:val="18"/>
          <w:szCs w:val="18"/>
          <w:color w:val="auto"/>
        </w:rPr>
        <w:t>– Firms that provide the technology needed to allow for payment authorization, data transmission, data security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Oftentimes the term merchant acquirer and processor are used synonymously; however, they perform two distinct functions (sometimes provided by the same entity).</w:t>
      </w:r>
    </w:p>
    <w:p>
      <w:pPr>
        <w:spacing w:after="0" w:line="208" w:lineRule="exact"/>
        <w:rPr>
          <w:rFonts w:ascii="Arial" w:cs="Arial" w:eastAsia="Arial" w:hAnsi="Arial"/>
          <w:sz w:val="18"/>
          <w:szCs w:val="18"/>
          <w:color w:val="auto"/>
        </w:rPr>
      </w:pPr>
    </w:p>
    <w:p>
      <w:pPr>
        <w:ind w:left="660" w:right="68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Sponsor Banks </w:t>
      </w:r>
      <w:r>
        <w:rPr>
          <w:rFonts w:ascii="Arial" w:cs="Arial" w:eastAsia="Arial" w:hAnsi="Arial"/>
          <w:sz w:val="16"/>
          <w:szCs w:val="16"/>
          <w:color w:val="auto"/>
        </w:rPr>
        <w:t>– Financial Institutions that are acquiring members of Visa and MasterCard and provide sponsorship access to acquirers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processors to the card networks. Sponsor banks provide merchants the ultimate access to the card networks for their processing activity.</w:t>
      </w:r>
    </w:p>
    <w:p>
      <w:pPr>
        <w:spacing w:after="0" w:line="12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electronic payments transactions consists of two key steps: the front-end authorization and back end settlement.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71" w:name="page72"/>
    <w:bookmarkEnd w:id="71"/>
    <w:p>
      <w:pPr>
        <w:ind w:left="660" w:right="2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Front End Authorization – The original request for payment authorization that occurs when the card is swiped or inserted at the POS or the data is entered into an online gateway.</w:t>
      </w:r>
    </w:p>
    <w:p>
      <w:pPr>
        <w:spacing w:after="0" w:line="19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Back End Settlement – The settlement and clearing process consists of settling outstanding payables and receivables between the card issuing bank &amp; merchant bank. This process is facilitated by a back-end processor that utilizes the network’s platform to send outstanding payable information and funds between the two parties.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(“PINs”) consist of a single message, whereby the authorization and clearing occurs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128905</wp:posOffset>
            </wp:positionV>
            <wp:extent cx="5231130" cy="3687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3113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possess certain attributes that differentiate us as a leading provider of merchant acquiring and commercial payment solutions in the United States. Our key competitive strengths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Purpose-Built Proprietary Technology</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strategically built our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our operating infrastructure and accelerates achievement of revenue and of cost synergies.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Diverse Reseller Community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strong reseller relationships with more than 800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We believe that our ability to service our reseller partners through a comprehensive offering provides a competitive advantage that has allowed the company to build a large, diverse merchant base characterized by high retention. The strength of our technology offering is manifest in the fact that we maintain ownership of merchant contracts, with most reseller contracts including strong non-solicit and portability restrictions.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Suite of Payment Solutions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MX Merchant offers a comprehensive and differentiated suite of traditional and emerging payment products and services that enables SMBs to address their payment needs through one provider. We provide a payment processing platform that allows merchants to accept electronic payments (e.g. credit cards, debit cards, and ACH) at the point of sale (“POS”), online, and via mobile payment technologies. In addition, through MX Merchant, we deliver innovative business management products and add-on features that meet the needs of SMBs across different vertical markets. Through our MX Merchant platform,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Scalable Business Model with Operating Leverage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result of thoughtful investments in our technology, we have developed robust and differentiated infrastructure that has enabled us to scale in a cost-efficient manner. Our purpose-built proprietary technology platforms, MX and CPX, each serve a unique purpose within consumer and commercial payments, enabling the company to realize significant operating leverage within each business segment. Furthermore, the agility of our Vortex.Cloud and Vortex.OS enterprise infrastructure enables us to quickly and cost efficiently consolidate acquisitions to drive revenue and cost synergies. Our operating efficiency supports a low capital expenditure environment to develop product enhancements that drive organic growth across our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 Led by Industry Veterans</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executive management team has a record of execution in the merchant acquiring and technology-enabled payments industry. Our team has continued to develop and enhance the Company’s proprietary and innovative technology platforms that differentiate us with merchants and resellers in the industry. Since founding the Company, our leadership team has built strong, long-term relationships with reseller and enterprise partners by leveraging the MX and CPX product platforms to meet the needs of businesses in specific vertical markets. We invest to attract and retain executive leadership that align with the opportunities in the market and our strategic focus. Our proven execution track record is reflected in substantial revenue growth and strong profitability.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execute a multi-pronged growth strategy, with diverse organic initiatives supplemented by acquisitions. Growth strategies include: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 our Consumer Reseller and Merchant Base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expect to grow through our existing reseller network and merchant base, capitalizing on the inherent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continues to exhibit strong merchant adoption and volume growth trends. Through our resellers, we provide merchants with full-service acquiring solutions, as well as value-added services and tools to streamline their business processes and enables them to focus on driving same store sales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our Network of Distribution Partners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have established and maintains a strong position within the reseller community, with approximately 800 partners. We intend to continue to expand our distribution network to reach new partners, particularly with ISVs and VARs to expand technology and integrated partnerships. We believe that our MX Connect technology offering enables us to attract, and retain, high quality resellers focused on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Margin per Merchant with Complementary Products and Services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intend to drive the adoption of our value-added services and tools with our merchant base. Currently, approximately 133,000 merchants, representing approximately 71% of our consumer processing volume, are considered integrated (i.e., MX Merchant, eCommerce or ISV). MX Merchant allows merchants to add proprietary Priority applications as well as other third-party applications from the MX Merchant Marketplace to build customized payment solutions that are tailored to a merchant’s business needs. As we continue to board new merchants and promote our MX Merchant solution, we can cross-sell these add-on applications. By increasing attachment rates, along with continued benefit from economies of scale, we expect to see improved margins per merchant. Merchants utilizing MX Merchant exhibit somewhat higher retention, contributing to our improving overall retention rates. We believe we are well-positioned to capitalize on the secular trend towards integrated payments solutions, new technology adoption and value-add service utilization in the SMB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 Industry Specific Payment Technology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intend to continue to enhance and deploy our technology-enabled payment solutions in attractive industries. Through MX Merchant, we have developed proprietary applications and added third-party tools that address the specific needs of merchants in certain verticals, including retail, healthcare and hospitality. We continue to identify and evaluate new and attractive industries where we can deliver differentiated technology-enabled payment solutions that meet merchants’ industry-specific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Electronic Payments Share of B2B Transactions with CPX</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growing presence in the commercial payments market where we provide curated managed services and AP automation solutions to industry leading financial institutions and card networks such as Citibank, MasterCard, Visa and American Express. Commercial payments is the largest and one of the fastest growing payments market in the United States by volume. We are well positioned to capitalize on the secular shift from check to electronic payments, which currently lags the consumer payments markets, by eliminating the friction between buyers and suppliers through our industry leading offering, and driving strong growth and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Accretive Acquisitions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intend to selectively pursue strategic and tactical acquisitions that meet certain criteria, with a consistent long-term goal of maximizing stockholder value. We actively seek potential acquisition candidates that exhibit certain attractive attributes including, predictable and recurring revenue, scalable operating model, low capital intensity complementary technology offerings and strong cultural fit. Our Vortex.Cloud operating infrastructure is purpose-built to rapidly and seamlessly consolidate complementary businesses into our ecosystem, optimizing revenue and cost synergies.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Technology Infrastructure and Product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Vortex.Cloud</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Vortex.Cloud is a highly-available, redundant, and audited (PCI, HIPAA, NACHA, and SOC) computing platform with centralized security and technical operations. We strive to enable Vortex.Cloud to maintain 99.999% uptime. All computational and IP assets of our payment operating divisions are hosted and managed on Vortex.Cloud infrastructure. Vortex.Cloud enables the rapid inclusion of data and systems of acquisition targets for smooth consolidation to our operating infrastructure and accelerates achievement of revenue and cost synergies.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Vortex.OS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Vortex.OS provides critical technological functionality to our payment operating divisions. The Vortex.OS APIs include: electronic payments, security/crypto, data persistence, time series data (events), and artificial intelligence (AI). Our purpose built payments engine facilitates industry leading organic growth and efficient consolidation of acquisitions resulting in strong profit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152400</wp:posOffset>
            </wp:positionV>
            <wp:extent cx="4364990" cy="4124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6499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Reseller Tools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Connect</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objective is to empower our resellers to grow their businesses and improve their merchant portfolios. To do so, we provide our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7" w:right="259" w:bottom="1440" w:gutter="0" w:footer="0" w:header="0"/>
        </w:sectPr>
      </w:pPr>
    </w:p>
    <w:bookmarkStart w:id="75" w:name="page76"/>
    <w:bookmarkEnd w:id="75"/>
    <w:p>
      <w:pPr>
        <w:ind w:right="20"/>
        <w:spacing w:after="0" w:line="279" w:lineRule="auto"/>
        <w:rPr>
          <w:sz w:val="20"/>
          <w:szCs w:val="20"/>
          <w:color w:val="auto"/>
        </w:rPr>
      </w:pPr>
      <w:r>
        <w:rPr>
          <w:rFonts w:ascii="Arial" w:cs="Arial" w:eastAsia="Arial" w:hAnsi="Arial"/>
          <w:sz w:val="17"/>
          <w:szCs w:val="17"/>
          <w:color w:val="auto"/>
        </w:rPr>
        <w:t>In addition, we offer our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our website, we maintain a live reseller support phone line to provide resellers with real time assistance.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Finally, we offer our resellers Brand Licensing and Wholesale Development Programs which allow resellers to leverage the strength of the Priority brand for immediate and meaningful marketing impact.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Products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core payment processing technology allows merchants to accept electronic payments via multiple integrated POS technologies. However, our payment processing platform goes beyond traditional electronic payments acceptance with a fully integrated platform called MX Merchant. Our proprietary product maximizes the lifetime value of merchant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Merchant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MX Merchant platform also allows customers to add applications from the MX Merchant Marketplace to build a payment platform customized to that merchant’s business, including:</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MX Invoice – Invoice and recurring billing app which speeds up the payment process and creates automatic, trustworthy, and easy to use invoices.</w:t>
      </w:r>
    </w:p>
    <w:p>
      <w:pPr>
        <w:spacing w:after="0" w:line="275" w:lineRule="exact"/>
        <w:rPr>
          <w:rFonts w:ascii="Arial" w:cs="Arial" w:eastAsia="Arial" w:hAnsi="Arial"/>
          <w:sz w:val="16"/>
          <w:szCs w:val="16"/>
          <w:color w:val="auto"/>
        </w:rPr>
      </w:pPr>
    </w:p>
    <w:p>
      <w:pPr>
        <w:ind w:left="660" w:right="4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MX Retail – Inventory and stock control app utilizing both MX Merchant and MX Retail applications to handle all point-of-sale needs, rewards program and inventory management with an iPhone application.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MX B2B – Ensures merchants receive lower rates for Level II / III processing by setting up user level permissions based on job function.</w:t>
      </w:r>
    </w:p>
    <w:p>
      <w:pPr>
        <w:spacing w:after="0" w:line="263"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MX Insights – Customer engagement and data analytics tool focused on marketing campaigns with intelligent customer targeting through use of big data.</w:t>
      </w:r>
    </w:p>
    <w:p>
      <w:pPr>
        <w:spacing w:after="0" w:line="19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MX Storefront – Allows merchants to quickly and easily create a professional, comprehensive, entirely customizable website, complete with full payment integration.</w:t>
      </w:r>
    </w:p>
    <w:p>
      <w:pPr>
        <w:spacing w:after="0" w:line="197"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ACH.com – Integrated ACH payment processing platform.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offer several third-party products and services to our merchants including:</w:t>
      </w:r>
    </w:p>
    <w:p>
      <w:pPr>
        <w:spacing w:after="0" w:line="225" w:lineRule="exact"/>
        <w:rPr>
          <w:sz w:val="20"/>
          <w:szCs w:val="20"/>
          <w:color w:val="auto"/>
        </w:rPr>
      </w:pPr>
    </w:p>
    <w:p>
      <w:pPr>
        <w:ind w:left="5620" w:right="3100" w:hanging="5288"/>
        <w:spacing w:after="0" w:line="684"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ControlScan – On demand tools merchants can utilize to analyze, remediate, and validate PCI compliance.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e-Tab – Provides a mobile restaurant / hospitality ordering and payment platform.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Terminals – we offer several EMV ready terminals and mobile card readers from manufacturers such as Ingenico, Verifone, and Magtek.</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Merchant Financing – we are a reseller of several merchant financing solutions provided by American Express.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Offering: Managed Services and CPX</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curated managed services and AP automation solutions (CPX) on behalf of industry leading financial institutions and card networks such as Citibank, MasterCard, Visa and AMEX. Our turnkey merchant development, business process outsourcing and refined supplier enablement program, allow commercial partners to leverage our long-standing customer relationships. Established in 2008, our commercial payments offering has allowed us to profit from the large and growing commercial payments market. Priority CPX offers solutions to key pain points such as scalability of expanding supplier onboarding while decreasing costs through automation. Successful implementation of our AP automation strategies provides vendors with the benefits of cash acceleration, buyers with valuable rebate/discount revenue, and the Company with stable sources of merchant acquiring, credit card interchange and discount fee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Managed Services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provide business process outsourcing services to American Express that offer Amex’s merchants access to several programs, including AMEX Buyer Initiated Payments (“BIP”) and AMEX Merchant Financing loans. Acting as an outsourced sales force, we utilize approximately 180 employees to originate BIP or Merchant Financing loans for AMEX, earning a fee for each origination. Additionally, AMEX compensates us for personnel fees incurred for the employees who sell these outsourced services. We do not take any credit risk associated with the aforementioned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151765</wp:posOffset>
            </wp:positionV>
            <wp:extent cx="5428615" cy="33020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2861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Priority CPX is a turnkey commercial payments platform that automates the AP payment process between buyers and suppliers to maximize financial rebates and ensure timely, automated payment of vendor payments.</w:t>
      </w:r>
    </w:p>
    <w:p>
      <w:pPr>
        <w:spacing w:after="0" w:line="170" w:lineRule="exact"/>
        <w:rPr>
          <w:sz w:val="20"/>
          <w:szCs w:val="20"/>
          <w:color w:val="auto"/>
        </w:rPr>
      </w:pPr>
    </w:p>
    <w:p>
      <w:pPr>
        <w:ind w:left="5620" w:right="1520" w:hanging="5288"/>
        <w:spacing w:after="0" w:line="684"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CPX Access - Interactive portals connecting Buyers and Suppliers to promote the payment and data exchange between partners.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77" w:name="page78"/>
    <w:bookmarkEnd w:id="77"/>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CPX Gateway - Seamless integration with ERP systems that produce a single payment file for the entire CPX solutions suite.</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CPX Commercial Acceptance - Optimize payment programs with a full suite of targeted solutions and powerful outreach campaign management and automated electronic quick-start application.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CPX Payments - Leveraging a complete suite of traditional and transitional payment solutions to completely automate AP files.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reach our consumer payment merchants through three primary sales channels: 1) Retail ISOs/Agents and Financial Institutions (Community Banks), 2) Wholesale ISOs, and 3) Independent Software Vendors and Value-Added Resellers. MX Connect allows resellers to engage merchants for processing services and a host of value added features designed to enhance their customer relationship.</w:t>
      </w:r>
    </w:p>
    <w:p>
      <w:pPr>
        <w:spacing w:after="0" w:line="181" w:lineRule="exact"/>
        <w:rPr>
          <w:sz w:val="20"/>
          <w:szCs w:val="20"/>
          <w:color w:val="auto"/>
        </w:rPr>
      </w:pPr>
    </w:p>
    <w:p>
      <w:pPr>
        <w:ind w:left="660" w:right="2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Retail ISOs/Agents and Financial Institutions (Community Banks) – A non-risk bearing independent company of sales agents, individual sales agent, or financial institution that operates as a sales force on behalf of the Company. Retail resellers are not employed by us but rather are independently contracted to acquire merchants to utilize our payment processing and product offerings. While the reseller serves as the merchant’s key contact, the processing contract is between us and the merchant and agreements with resellers include non-solicitation rights. We manage the transaction risk on behalf of retail resellers. Merchants utilize our diverse product suite to manage their business, increasing our ability to retain the merchant if the ISO were to leave the Company.</w:t>
      </w:r>
    </w:p>
    <w:p>
      <w:pPr>
        <w:spacing w:after="0" w:line="220"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Wholesale ISO – A risk bearing independent company of sales agents that operates as a sales force on behalf of the Company. Wholesale ISOs are not employed by us but rather are independently contracted to acquire merchants to utilize our payment processing and product offerings. While the ISO serves as the merchant’s key contact, the processing contract is between us and the merchant, and agreements with ISOs include non-solicitation rights. Wholesale ISOs are responsible and bear all transaction risk on their merchant portfolios. We underwrite all such merchants even though wholesale ISOs bear the risk. Merchants utilize our diverse product suite to manage their business, increasing our ability to retain the merchant if the ISO were to leave the Company.</w:t>
      </w:r>
    </w:p>
    <w:p>
      <w:pPr>
        <w:spacing w:after="0" w:line="22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ISVs and VARs - ISVs develop and sell business management software solutions while VARs sell third-party software solutions to merchants as part of a bundled package that includes the computer systems which operates the software. We partner with ISVs &amp; VARs that can integrate our capabilities into a variety of software applications (e.g. medical billing software). These integrated payment solutions create an extremely “sticky” customer relationship.</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Priority Commercial Payments obtains its “buyer” clients through direct sales initiative and referral and business partnerships with integrated software partners, the card networks (MasterCard, Visa, American Express) and large US banking institutions. We support a direct vendor sales model that provides turnkey merchant development, product sales, and supplier enablement programs. By establishing a seamless bridge for buyer-to-supplier (payor-to-provider) payments that is integrated directly to “buyers” payment instruction file to facilitate payments to their vendors via all payment types (virtual card, purchase card, ACH +, dynamic discounting), we have established ourselves as an emerging force in Commercial Payments.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market strategy has resulted in a merchant base that we believe is diversified across both industries and geographies resulting in, what we believe, is more stable average profitability per merchant. No single reseller relationship contributes more than 11% of total bankcard processing volume. The top 10 consumer payment reseller relationships represent 37% of total bankcard processing volume as of September 30, 2018, and 100% of these relationships have grown since 2016. On a standalone basis the Priority CPX product would represent the 52nd largest merchant acquirer in the US and among its fastest growing.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Security, Disaster Recovery and Back-up Systems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a result of normal business operations, we store information relating to our merchants and their transactions. Because this information is considered sensitive in nature, we maintain a high level of security to attempt to protect it. Our computational systems are continually updated and audited to the latest security standards as defined by PCI DSS, SOC, and HIPAA audits. As such, we have a dedicated team responsible for security incident response. This team develops, maintains, tests and verifies our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our information systems. In addition to handling security incidents, the incident response team continually educates themselves and us on information security matters.</w:t>
      </w:r>
    </w:p>
    <w:p>
      <w:pPr>
        <w:spacing w:after="0" w:line="17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High-availability and disaster recovery are provided through a combination of redundant hardware and software running at two geographically distinct datacenters. Each datacenter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Processors and Sponsor Banks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partner with various vendors in the payments value chain to process payments for our merchant clients, most notably processors and sponsor banks, which sit between us (the merchant acquirer) and the card networks. Processing is a scale driven business in which many acquirers outsource the processing function to a small number of large processors. In these partnerships, we serve as a merchant acquirer and enters into processing agreements with payment processors, such as First Data or TSYS, to serve as our front-end and back-end transaction processor for which they are paid processing fees. These processors in turn have agreements with card networks such as Visa and MasterCard, through which the transaction information is routed in exchange for network fees.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provide processing services, acquirers such as we must be registered with the card networks (e.g. Visa and MasterCard). To register with a card network in the United States, acquirers must maintain relationships with banks willing to sponsor the acquirer’s adherence to the rules and standards of the card networks, or a Sponsor Bank. we maintain Sponsor Bank relationships with Citizens Bank, Wells Fargo, and Synovus Bank. For ACH payments, the Company’s ACH network (ACH.com) is sponsored by Atlantic Capital Bank, BB&amp;T Bank and MB Financial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thoughtful merchant and reseller underwriting policies combined with our forward-looking transaction management capabilities have enabled the company to maintain low credit loss performance. Our risk management strategies are informed by a team with decades of experience managing merchant acquiring risk operations that are augmented by our modern systems designed to manage risk at the transaction level.</w:t>
      </w:r>
    </w:p>
    <w:p>
      <w:pPr>
        <w:spacing w:after="0" w:line="16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Initial Underwriting</w:t>
      </w:r>
      <w:r>
        <w:rPr>
          <w:rFonts w:ascii="Arial" w:cs="Arial" w:eastAsia="Arial" w:hAnsi="Arial"/>
          <w:sz w:val="17"/>
          <w:szCs w:val="17"/>
          <w:color w:val="auto"/>
        </w:rPr>
        <w:t>- Central to our risk management process is our front line underwriting policies that vet all resellers and merchants prior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contracting with us. Our automated risk systems pull credit bureau reports, corporate ownership details, as well as anti-money laundering, Office of Foreign Assets Control (“OFAC”) and Financial Crimes Enforcement Network (“FinCEN”) information from a variety of integrated data bases. This information is put into the hands of a tenured team of underwriters who conduct any necessary industry checks, financial performance analysis or owner back ground checks, consistent with our policies. Based upon these results the underwriting department rejects or approves and sets appropriate merchant and reseller reserve requirements which are held by our bank sponsors on our behalf. Resellers are subject to quarterly and/or annual assessments for financial strength compliance with our policies and adjustments to reserve levels.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9" w:name="page80"/>
    <w:bookmarkEnd w:id="79"/>
    <w:p>
      <w:pPr>
        <w:ind w:right="80"/>
        <w:spacing w:after="0" w:line="302" w:lineRule="auto"/>
        <w:rPr>
          <w:sz w:val="20"/>
          <w:szCs w:val="20"/>
          <w:color w:val="auto"/>
        </w:rPr>
      </w:pPr>
      <w:r>
        <w:rPr>
          <w:rFonts w:ascii="Arial" w:cs="Arial" w:eastAsia="Arial" w:hAnsi="Arial"/>
          <w:sz w:val="16"/>
          <w:szCs w:val="16"/>
          <w:color w:val="auto"/>
        </w:rPr>
        <w:t>The results of our initial merchant underwriting inform the transaction level risk limits for volume, average ticket, transaction types and authorization codes among other items that are captured by the Company’s CYRIS risk module—a proprietary risk system that monitors and reports transaction risk activity to our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Real-Time Risk Monitoring</w:t>
      </w:r>
      <w:r>
        <w:rPr>
          <w:rFonts w:ascii="Arial" w:cs="Arial" w:eastAsia="Arial" w:hAnsi="Arial"/>
          <w:sz w:val="18"/>
          <w:szCs w:val="18"/>
          <w:color w:val="auto"/>
        </w:rPr>
        <w:t>- Merchant transactions are monitored on a transactional basis to proactively enforce risk controls. Our risk systems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Risk Audit</w:t>
      </w:r>
      <w:r>
        <w:rPr>
          <w:rFonts w:ascii="Arial" w:cs="Arial" w:eastAsia="Arial" w:hAnsi="Arial"/>
          <w:sz w:val="16"/>
          <w:szCs w:val="16"/>
          <w:color w:val="auto"/>
        </w:rPr>
        <w:t>- Transactions flagged by our risk monitoring systems or that demonstrate suspicious activity traits that have been flagged for review can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funds 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5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Loss Mitigation</w:t>
      </w:r>
      <w:r>
        <w:rPr>
          <w:rFonts w:ascii="Arial" w:cs="Arial" w:eastAsia="Arial" w:hAnsi="Arial"/>
          <w:sz w:val="17"/>
          <w:szCs w:val="17"/>
          <w:color w:val="auto"/>
        </w:rPr>
        <w:t>- In instances where particular transactions and/or individual merchants are flagged for fraud, where transaction activity is resulting in</w:t>
      </w:r>
      <w:r>
        <w:rPr>
          <w:rFonts w:ascii="Arial" w:cs="Arial" w:eastAsia="Arial" w:hAnsi="Arial"/>
          <w:sz w:val="17"/>
          <w:szCs w:val="17"/>
          <w:i w:val="1"/>
          <w:iCs w:val="1"/>
          <w:color w:val="auto"/>
        </w:rPr>
        <w:t xml:space="preserve"> </w:t>
      </w:r>
      <w:r>
        <w:rPr>
          <w:rFonts w:ascii="Arial" w:cs="Arial" w:eastAsia="Arial" w:hAnsi="Arial"/>
          <w:sz w:val="17"/>
          <w:szCs w:val="17"/>
          <w:color w:val="auto"/>
        </w:rPr>
        <w:t>excessive charge-backs, several loss mitigation actions may be taken. These include charge-back dispute resolution, merchant and reseller funds (reserves or processed batches) withheld, inclusion on Network Match List to notify the industry of a “bad actor”, and even legal action.</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ensure that our Risk and Underwriting activities are coordinated with our bank sponsors (Wells Fargo, Citizens Bank and Synovus) and authorization and settlement partners (First Data and TSYS).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June 19, 2015, we entered into a definitive agreement to purchase substantially all merchant acquiring related assets, except those identified as excluded, of American Credit Card Processing Corp., American Credit Card Processing Corp. II, American Credit Card Processing Corp. III and their affiliates. The total purchase price consideration was approximately $27.6 million, consisting of cash paid and a contingent earnout payment.</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more information regarding our acquisitions, see Note 2 to our annual consolidated financial statements included elsewhere in this Prospectus/Offer to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U.S. acquiring industry is highly competitive, with several large processors accounting for the majority of processing volume; when excluding banks, we rank 6th among U.S. merchant acquiring as of 2017, according to the Nilson Report. When comparing top non-bank U.S. merchant acquirers by volume, Worldpay holds the leadership position followed by Global Payments, First Data and TSYS. While the scale of these companies is large, we believe there is still ample opportunity for companies like us to continue to grow given the vast amount of growth in MasterCard/Visa purchasing volume which increased in 2017 given the utility of card-based payments by U.S. consumers.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concentration at the top of the industry partly reflects consolidation; however, we believe that consolidation has also resulted in many large processors having multiple, inflexible legacy IT systems that are not well equipped to adjust to changing market requirements. We believe that the large merchant acquirers whose innovation has been hindered by these redundant, legacy systems risk losing market share to acquirers with more agile and dynamic IT systems, such as Priority.</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80" w:name="page81"/>
    <w:bookmarkEnd w:id="80"/>
    <w:p>
      <w:pPr>
        <w:ind w:right="80"/>
        <w:spacing w:after="0" w:line="273" w:lineRule="auto"/>
        <w:rPr>
          <w:sz w:val="20"/>
          <w:szCs w:val="20"/>
          <w:color w:val="auto"/>
        </w:rPr>
      </w:pPr>
      <w:r>
        <w:rPr>
          <w:rFonts w:ascii="Arial" w:cs="Arial" w:eastAsia="Arial" w:hAnsi="Arial"/>
          <w:sz w:val="17"/>
          <w:szCs w:val="17"/>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largest opportunity for acquirers to expand is within the small to medium-sized merchant market. According to First Annapolis, there are approximately 7.2 million small to mid-sized merchants generating over $800 billion in credit/debit dollar volume annually, which equates to approximately $6 billion in acquirer net revenue. Volume per merchant is lower for acquirers with high penetration rates amongst small businesses; however, this is largely offset by the aggregate processing fee potential and market size.</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According to the SMB group, a markets insight firm for small and medium-sized businesses, the majority of small (approximately 67%) and medium-sized businesses (approximately 81%)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our MX Merchant platform, we are well-positioned to capitalize on the trend towards integrated solutions, new technology adoption and value added-service utilization in the SMB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Payment Network Rules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Dodd-Frank Act, which was signed into law in the United States in 2010, resulted in significant structural and other changes to the regulation of the financial services industry. The Dodd-Frank Act directed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Dodd-Frank Act also created the Financial Stability Oversight Council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we may be subject to additional systemic risk-related oversight.</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Payment Network Rules and Standards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Furthermore, payment networks establish their own rules and standards that allocate responsibilities among the payment networks and their participants. These rules and standards, including the PCI DSS, govern a variety of areas including how consumers and merchants may use their cards,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 example of a standard is EMV, which is mandated by Visa, MasterCard, American Express and Discover. This mandate sets new requirements and technical standards, including requiring integrated POS systems to be capable of accepting the more secure “chip” cards that utilize the EMV standard and set new rules for data handling and security. Processors and merchants that do not comply with the mandate or do not use systems that are EMV compliant risk fines and liability for fraud-related losses. We have invested significant resources to ensure our systems’ compliance with the mandate, and to assist our merchants in becoming compliant by the applicable deadlines.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provide our electronic payments services, we must be registered either indirectly or directly as service providers with the payment networks that we utilize. Because we are not a bank, we are not eligible for membership in certain payment networks, including Visa and MasterCard, we are therefore unable to directly access these networks. The operating regulations of certain payment networks, including Visa and MasterCard, require us to be sponsored by a member bank as a service provider. We are registered with certain payment networks, including Visa and MasterCard, through Wells Fargo, Citizens Bank and Synovus Bank. The agreements with our bank sponsors give them substantial discretion in approving certain aspects of our business practices including our solicitation, application and qualification procedures for merchants and the terms of our agreements with merchants. We are registered directly as service providers with Discover, American Express and certain other networks. We are also subject to network operating rules promulgated by NACHA—the Electronic Payments Associations relating to payment transaction processed by us using the Automated Clearing House Network. For ACH payments, our ACH network (ACH.com) is sponsored by Atlantic Capital Bank, BB&amp;T Bank and MB Financial Bank.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Laws and Regulations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Federal Financial Institutions Examination Council (the “FFIEC”) is an interagency body comprised of federal bank and credit union regulators such as the Federal Reserve Board, the Federal Deposit Insurance Corporation,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Privacy and Information Security Laws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provide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including gaming business. We are also subject to a variety of foreign data protection and privacy laws, including, without limitation, Directive 95/46/EC, as implemented in each member state of the European Union and its successor, the General Data Protection Regulation, which became effective in May 2018.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Counter-Terrorism Regulation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United States federal anti-money laundering laws and regulations, including the Bank Secrecy Act of 1970, as amended by the USA PATRIOT Act of 2001 (collectively, the “BSA”), and the “BSA” implementing regulations administered by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w:t>
      </w:r>
    </w:p>
    <w:p>
      <w:pPr>
        <w:spacing w:after="0" w:line="2" w:lineRule="exact"/>
        <w:rPr>
          <w:sz w:val="20"/>
          <w:szCs w:val="20"/>
          <w:color w:val="auto"/>
        </w:rPr>
      </w:pPr>
    </w:p>
    <w:p>
      <w:pPr>
        <w:ind w:right="260"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 transaction records. Given that a number of our clients are financial institutions that are directly subject to U.S. federal anti-money laundering laws and regulations, we have developed an anti-money laundering compliance program to best assist our clients in meeting such legal and regulatory requirements.</w:t>
      </w:r>
    </w:p>
    <w:p>
      <w:pPr>
        <w:spacing w:after="0" w:line="1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subject to certain economic and trade sanctions programs that are administered by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and continue to enhance such programs and policies to ensure that our customers do not engage in prohibited transactions with designated countries, individuals or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Collection and Credit Reporting Laws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Portions of our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We have procedures in place to comply with the requirements of these laws.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Unfair or Deceptive Acts or Practices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or UDAP. In addition, the UDAP and other laws, rules and or regulations, including the Telemarketing Sales Act, may directly impact the activities of certain of our merchants, and in some cases may subject us, as the merchant’s payment processor or provider of certain services, to investigations, fees, fines and disgorgement of funds if we were deemed to have aided and abetted or otherwise provided the means and instrumentalities to facilitate the illegal or improper activities of the merchant through our services. Various federal and state regulatory enforcement agencies including the Federal Trade Commission and the states attorneys general have authority to take action against non-banks that engage in UDAP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Indirect Regulatory Requirements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number of our clients are financial institutions that are directly subject to various regulations and compliance obligations issued by the CFPB, the Office of the Comptroller of the Currency and other agencies responsible for regulating financial institutions. While these regulatory requirements and compliance obligations do not apply directly to us, many of these requirements materially affect the services we provide to our clients. The banking agencies, including the Office of the Comptroller of the Currency,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Accommodating these requirements applicable to our clients imposes additional costs and risks in connection with our financial institution relationships. We expect to expend resources on an ongoing basis in an effort to assist our clients in responding to any regulatory inquiries on behalf of merchants and resellers.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Regulations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considered by the Federal Financial Institutions Examination Council to be a technology service provider (“TSP”) based on the services we provide to financial institutions. As a TSP, we are subject to audits by an interagency group consisting of the Federal Reserve System, FDIC, and the Office of the Comptroller of the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are subject to the Federal Telephone Consumer Protection Act and various state laws to the extent we place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subject to U.S. federal and state unclaimed or abandoned property (escheat) laws which require us to turn over to certain government authorities the property of others we hold that has been unclaimed for a specified period of time such as account balances that are due to a distribution partner or merchant following discontinuation of our relationship with them.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foregoing is not an exhaustive list of the laws, rules and regulations to which we are subject to and the regulatory framework governing our business is changing continuously.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developed a payments platform that includes many instances of proprietary software, code sets, work flows and algorithms. It is our practice to enter into confidentiality, non-disclosure, and invention assignment agreements with our employees and contractors, and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4" w:name="page85"/>
    <w:bookmarkEnd w:id="84"/>
    <w:p>
      <w:pPr>
        <w:jc w:val="both"/>
        <w:ind w:right="120"/>
        <w:spacing w:after="0" w:line="264" w:lineRule="auto"/>
        <w:rPr>
          <w:sz w:val="20"/>
          <w:szCs w:val="20"/>
          <w:color w:val="auto"/>
        </w:rPr>
      </w:pPr>
      <w:r>
        <w:rPr>
          <w:rFonts w:ascii="Arial" w:cs="Arial" w:eastAsia="Arial" w:hAnsi="Arial"/>
          <w:sz w:val="18"/>
          <w:szCs w:val="18"/>
          <w:color w:val="auto"/>
        </w:rPr>
        <w:t>As of September 30, 2018, we have approximately 30 active trademarks that pertain to company, product names, and logos. We may file patent applications as we innovate through research and development efforts, and to pursue additional patent protection to the extent we deems it beneficial and cost-effective. We also own a number of domain names necessary for business operations and brand protection.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September 30, 2018, we employed 553 employees. None of our employees are represented by a labor union and we have experienced no work stoppages. We consider our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maintain several offices across the United States, all of which we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office locations include:</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headquarters in Alpharetta, Georgia with approximately 95,000 leased square feet;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Data management in Atlanta, Georgia with approximately 130 leased square feet;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Data management in Austin, Texas with approximately 260 leased square feet; and</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Telesales office in our Alpharetta, Georgia location with approximately 33,000 leased square feet which is part of our corporate headquarters’ total leased space.</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lease several small facilities for sales and operations. Our current facilities meet our employee base and can accommodate our currently contemplated growth. We believe that we will be able to obtain suitable additional facilities on commercially reasonable term to meet any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if we should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 During such time that the SEC bar remains in effect, the combined company will be required to monitor if any future offerings of our stock might be considered an offering of “penny stock” which would be prohibited under the bar.</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OPERATIONS</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You should read the following management’s discussion and analysis together with “Selected Consolidated Financial and Other Data” and our audited financial statements and the related notes included elsewhere in this Prospectus/Offer to Exchange. This discussion contains forward-looking statements about our business, operations and industry that involve risks and uncertainties, such as statements regarding our plans, objectives, expectations and intentions. Our future results and financial condition may differ materially from those currently anticipated by us as a result of the factors described in the sections entitled “Risk Factors” and “Cautionary Note Regarding Forward Looking Statements.” Certain amounts in this section may not foot due to rounding.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Headquartered near Atlanta in Alpharetta, Georgia, we began operations in 2005 with a mission to build a merchant inspired payments platform that would advance the goals of our customers and partners. Today, we are a leading provider of merchant acquiring and commercial payment solutions, offering unique product capabilities to primarily small and medium size businesses (“SMBs”) and enterprises and distribution partners in the United States. We operate from a purpose-built business platform that includes tailored customer service offerings and bespoke technology development, allowing the Company to provide end-to-end solutions for payment and payment-adjacent needs. We have grown from the 38th largest U.S. merchant acquirer to become the 13th largest as of the end of 2017, measured by Visa and MasterCard purchase volume provided by The Nilson Report. As of the end of 2017, we were also the 6th largest non-bank merchant acquirer in the United States. In 2017, we processed over 439.0 million bankcard transactions and over $34.0 billion in bankcard processing dollar value across approximately 174,000 merchants. For the nine months ended September 30, 2018, we processed over 351.3 million bankcard transactions and over $28.5 billion in bankcard processing dollar value across 178,000 merchants. We are headquartered near Atlanta in Alpharetta, GA. As of September 30, 2018, we had 553 employees led by an experienced group of payments executives.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through two reportable segments: (1) Consumer Payments and (2) Commercial Payments and Managed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Consumer Payments segment provides full-service merchant acquiring and payment processing solutions mainly to SMBs. Our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primarily on targeted marketing, website development, inventory management, and customer engagement. MX Merchant can be deployed on hardware from a variety of vendors and can operate either as a standalone product or integrated with third-party software. Our Consumer Payments segment partners with a diverse reseller community, including independent service organizations (“ISO”), financial institutions, independent software vendors (“ISV”), value-added resellers, and other referral partners. Through our MX Connect platform, we leverage and provide resellers with value-added tools and resources, including marketing resources, automated onboarding, merchant underwriting, and merchant activity monitoring and reporting. We believe MX Connect enables resellers to manage their merchant base and accelerate the growth of their businesses. We offer ISVs and value-added resellers a technology “agnostic” and feature-rich application processing interface (“API”) that provides developers with the ability to integrate electronic payment acceptance into their software and improve onboarding efficiency for their merchant base.</w:t>
      </w:r>
    </w:p>
    <w:p>
      <w:pPr>
        <w:spacing w:after="0" w:line="18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Through resellers and acquisition of merchant portfolios, we become a party to arrangements with merchants and sponsoring banks for the processing of merchant card transactions. Pursuant to each arrangement and with respect to each card transaction, the sponsoring bank receives payment from card associations (e.g., Visa, MasterCard) and we earn transaction fee revenue from the processing and related services that we provide to merchants. We receive these revenues net of interchange fees due to the issuing bank, card association fees and assessments, and processing and related fees due to payment processers (e.g., First Data, Total System Services). Our transaction fee revenues are based primarily on the number and a percentage of the dollar volume of payment transactions processed by a merchant customer and, to a lesser extent, from MX Merchant monthly subscription costs. Our Consumer Payments segment accounted for $302.5 million in revenue and $15.1 million of operating income for the nine months ended September 30, 2018. All of our shared corporate services expenses, including executive compensation and technology support services, have been allocated to our Consumer Payments segment.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Commercial Payments and Managed Services segment provides curated managed services and a robust suite of integrated automated payment solutions to leading financial institutions and card networks, including Citibank, MasterCard, Visa and American Express (“AMEX”). This segment supports a direct sales model that provides turnkey merchant development, product sales and supplier enablement programs. Through our Commercial Payments Exchange (“CPX”) platform, we provide our clients a seamless bridge for supplier payments by integrating a single payment instruction file to resolve account payables via virtual card, purchase card, ACH +, dynamic discounting, or check.</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segment’s revenues are generated primarily through outsourced arrangements provided by our in-house sales force to financial institution customers on a cost-plus fee basis. As a partner to these financial institutions, we originate merchant financing arrangements, including AMEX buyer initiated payments (“BIP”) and AMEX merchant financing loans with the financial institutions’ merchant customers. Revenue is recognized primarily based on billable rates and hours worked, plus material and other billable items. In addition, through our CPX platform, we generate revenue from interchange fees based on a variable percentage of dollars transacted at on-boarded merchant locations, as well as subscription fees. Although CPX was only recently rolled out to customers, we believe it represents a high-growth opportunity for us since the commercial payments volume in the United States is over twice the size of consumer payments and has substantial additional opportunities for growth using electronic payments. Our Commercial Payments and Managed Services segment accounted for $21.4 million in revenue and incurred $0.4 million of operating loss for the nine months ended September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Ownership Structure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July 25, 2018, M I consummated the Business Combination which provided for the acquisition of 100% of the issued and outstanding equity securities of Priority by M I, which resulted in Priority becoming a wholly-owned subsidiary of M I. M I was originally incorporated as a special purpose acquisition company (“SPAC”) formed for the purpose of entering into a merger, share exchange, asset acquisition, stock purchase, recapitalization, reorganization or other similar business combination. Simultaneously with the Business Combination and Recapitalization (as defined below), we changed our name to “Priority Technology Holdings, Inc.”</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SPAC, M I had substantially no business operations prior to July 25, 2018. For financial accounting and reporting purposes under U.S. GAAP, the acquisition was accounted for as a “reverse merger,” with no recognition of goodwill or other intangible assets. Under this method of accounting, M I was treated as the acquired entity whereby Priority was deemed to have issued common stock for the net assets and equity of M I consisting mainly of cash of $49.4 million, accompanied by a simultaneous equity recapitalization of Priority (the “Recapitalization”). The net assets of M I are stated at historical cost, and accordingly the equity and net assets of the combined Company have not been adjusted to fair value. As of July 25, 2018, the consolidated financial statements of the Company include the combined operations, cash flows, and financial positions of both M I and Priority. Prior to July 25, 2018, the results of operations, cash flows, and financial positions are those of Priority.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Factors Affecting the Comparability of Our Results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comparability of our results for the periods discussed in this Prospectus/Offer to Exchange has been impacted and may, for future periods, be further impacted by the following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 and Upsizing</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January 3, 2017, we restructured our long-term debt by extinguishing then-existing debt with Goldman Sachs of $88.7 million and acquiring new debt of $280 million, consisting of an $80 million subordinated secured term loan with Goldman Sachs (the “Subordinated Term Loan”) and a syndicated senior secured $200 million credit facility with SunTrust Bank (as administrative agent) (the “Senior Secured Credit Facility”). We also entered into a $25 million revolver with SunTrust (the “Revolver”), which remained undrawn as of September 30, 2018 and December 31, 2017, respectively. As a result of the increase in debt, we recognized $23.8 million of interest expense in 2017 compared to $4.1 million in 2016. In addition, in 2017, we recognized $1.8 million in other expense attributable to a write-off of unamortized deferred financing fees and original issue discount (OID) associated with the debt extinguishment.</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Approximately $200 million of the additional debt proceeds were used to redeem then-outstanding Class A Common units from one of our investors. In addition, in connection with the debt restructuring, we cancelled an outstanding Goldman Sachs warrant to purchase 1.0% of our outstanding Class A Common units and issued a new warrant to Goldman Sachs to purchase 1.8% of our outstanding Class A Common units. The warrant has a term of 7 years, an exercise price of $0 and may be exercised at any time prior to termination date. The warrant, which must be settled with a number of Class A Common units that is variable, is accounted for as a liability, adjusted for changes in fair value in each reporting period until the earlier of its exercise or expiration. The fair value of the warrant was $8.7 million at December 31, 2017, reflecting a $4.3 million increase in fair value from December 31, 2016, which has been recorded as interest and other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recorded $31.2 million in interest and other expense in 2017 compared to $6.0 million in 2016 and $5.5 million in 2015.</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Priority Holdings, LLC redeemed 411,585 Class A Common units for $31.0 million on January 17, 2018, 445,410 Class A Common Units for $39.0 million on January 19, 2018 and redeemed an additional 96,999 Class A Common Units for $4.2 million on February 23, 2018. As a result of these redemptions, Priority Holdings, LLC was 100% owned by PIH.</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January 11, 2018, we upsized our Senior Secured Credit Facility to $267.5 million, resulting in an additional $67.5 million in debt and the 1.8% warrant was amended to provide Goldman Sachs with warrants to purchase 2.2% of our outstanding Class A Common units. The warrants have a term of 7 years, an exercise price of $0 and may be exercised at any time prior to expiration date. The additional debt proceeds were used for redemption of Class A Common units held by certain investors. In addition, on July 25, 2018, we and Goldman Sachs agreed to redeem the warrant in exchange for $12.7 million. The fair value of the warrant immediately prior to the redemption was $12.8 million, which resulted in a gain of $0.1 million. See “—Liquidity and Capital Resources —Long-term Debt” below and Note 6 to our unaudited interim condensed consolidated financial statements included elsewhere in this Prospectus/Offer to Exchange.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Merchant Portfolios, Residuals and Business Acquisitions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ordinary course of our business, we acquire new businesses and merchant relationships through contracts and relationships with ISOs and other resellers, as well as residual rights to commissions payable to such resellers.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in June 2015, we agreed to purchase substantially all merchant acquiring related assets of American Credit Card Processing Corp. and certain subsidiaries and affiliates for approximately $27.6 million, including a contingent earnout payment. The acquisition was debt financed and contributed approximately $4 million in revenue in 2015, following the date of acquisition.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April 2018, we purchased the majority of the operating assets and certain operating liabilities of PayRight, in which we previously owned a non-controlling interest and accounted for using the equity method. As a result, our consolidated financial statements now includes the financial position, results of operations, and cash flows of PayRight (within our Commercial Payments and Managed Services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consummated three business acquisitions in the third quarter of 2018, as follows:</w:t>
      </w:r>
    </w:p>
    <w:p>
      <w:pPr>
        <w:spacing w:after="0" w:line="225" w:lineRule="exact"/>
        <w:rPr>
          <w:sz w:val="20"/>
          <w:szCs w:val="20"/>
          <w:color w:val="auto"/>
        </w:rPr>
      </w:pPr>
    </w:p>
    <w:p>
      <w:pPr>
        <w:ind w:left="1300" w:right="60" w:hanging="320"/>
        <w:spacing w:after="0" w:line="30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July 2018, we acquired, in related asset purchase transactions, through our newly formed subsidiary, Priority Real Estate Technology, LLC (“PRET”), two businesses (RadPad and Landlord) that will operate under the “RadPad” name, providing a holistic marketplace model for the rental real estate industry, including lead generation and conversion, facilitation of tenant screening and other value added services such as rent payment processing. PRET is reported in our Commercial Payments and Managed Services segment.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8" w:name="page89"/>
    <w:bookmarkEnd w:id="88"/>
    <w:p>
      <w:pPr>
        <w:jc w:val="both"/>
        <w:ind w:left="1300" w:right="340" w:hanging="320"/>
        <w:spacing w:after="0" w:line="279"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July 2018, we acquired, in an asset purchase transaction, Priority Payment Systems Northeast, Inc. (“PPS Northeast”), previously an independent brand-licensed office of the Company that provided expertise in software-integrated payment services designed to manage turnkey installations of point-of-sale and supporting systems and marketing programs emphasizing online ordering systems and digital marketing campaigns. PPS Northeast is reported in our Consumer Payments segment.</w:t>
      </w:r>
    </w:p>
    <w:p>
      <w:pPr>
        <w:spacing w:after="0" w:line="171" w:lineRule="exact"/>
        <w:rPr>
          <w:rFonts w:ascii="Arial" w:cs="Arial" w:eastAsia="Arial" w:hAnsi="Arial"/>
          <w:sz w:val="17"/>
          <w:szCs w:val="17"/>
          <w:color w:val="auto"/>
        </w:rPr>
      </w:pPr>
    </w:p>
    <w:p>
      <w:pPr>
        <w:ind w:left="1300" w:hanging="320"/>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August 2018, we acquired, in an asset purchase transaction, M.Y. Capital, Inc. and Payments In Kind, Inc., collectively doing business as Priority Payment Systems Tech Partners (“PPS Tech”), previously an independent brand-licensed office of the Company that developed a track record and extensive network in the integrated payments and B2B marketplaces. PPS Tech is also reported in our Consumer Payments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We expect to experience, seasonal fluctuations in our revenues as a result of consumer spending patterns and the recognition of non-transaction based fees. We expect revenues to be lower in our first quarter and higher in our fourth quarter, primarily due to the seasonal shopping and buying patterns experienced by our merchant customers. Some variability may also result from seasonal events (such as retail sales events) and the number of processing days in a month or quarter. Our quarterly operating expenses, other than cost of services (which trend in the direction of revenues), should not fluctuate seasonally.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 and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number of factors impact our business, results of operations and financial condition including:</w:t>
      </w:r>
    </w:p>
    <w:p>
      <w:pPr>
        <w:spacing w:after="0" w:line="225" w:lineRule="exact"/>
        <w:rPr>
          <w:sz w:val="20"/>
          <w:szCs w:val="20"/>
          <w:color w:val="auto"/>
        </w:rPr>
      </w:pPr>
    </w:p>
    <w:p>
      <w:pPr>
        <w:ind w:left="580" w:hanging="221"/>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dollar amount and number of transactions that are processed by our merchants and merchant mix;</w:t>
      </w:r>
    </w:p>
    <w:p>
      <w:pPr>
        <w:spacing w:after="0" w:line="225" w:lineRule="exact"/>
        <w:rPr>
          <w:rFonts w:ascii="Arial" w:cs="Arial" w:eastAsia="Arial" w:hAnsi="Arial"/>
          <w:sz w:val="18"/>
          <w:szCs w:val="18"/>
          <w:color w:val="auto"/>
        </w:rPr>
      </w:pPr>
    </w:p>
    <w:p>
      <w:pPr>
        <w:ind w:left="580" w:hanging="221"/>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consolidation in our industry;</w:t>
      </w:r>
    </w:p>
    <w:p>
      <w:pPr>
        <w:spacing w:after="0" w:line="225" w:lineRule="exact"/>
        <w:rPr>
          <w:rFonts w:ascii="Arial" w:cs="Arial" w:eastAsia="Arial" w:hAnsi="Arial"/>
          <w:sz w:val="18"/>
          <w:szCs w:val="18"/>
          <w:color w:val="auto"/>
        </w:rPr>
      </w:pPr>
    </w:p>
    <w:p>
      <w:pPr>
        <w:ind w:left="580" w:hanging="221"/>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consolidation among our resellers, which may result in price compression;</w:t>
      </w:r>
    </w:p>
    <w:p>
      <w:pPr>
        <w:spacing w:after="0" w:line="225" w:lineRule="exact"/>
        <w:rPr>
          <w:rFonts w:ascii="Arial" w:cs="Arial" w:eastAsia="Arial" w:hAnsi="Arial"/>
          <w:sz w:val="18"/>
          <w:szCs w:val="18"/>
          <w:color w:val="auto"/>
        </w:rPr>
      </w:pPr>
    </w:p>
    <w:p>
      <w:pPr>
        <w:ind w:left="580" w:hanging="221"/>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acquire new merchant customers and retain distribution partners and merchant customers on reasonable terms;</w:t>
      </w:r>
    </w:p>
    <w:p>
      <w:pPr>
        <w:spacing w:after="0" w:line="225" w:lineRule="exact"/>
        <w:rPr>
          <w:rFonts w:ascii="Arial" w:cs="Arial" w:eastAsia="Arial" w:hAnsi="Arial"/>
          <w:sz w:val="18"/>
          <w:szCs w:val="18"/>
          <w:color w:val="auto"/>
        </w:rPr>
      </w:pPr>
    </w:p>
    <w:p>
      <w:pPr>
        <w:ind w:left="580" w:hanging="221"/>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emergence of new payment technologies and types and the resulting demand for our products and services;</w:t>
      </w:r>
    </w:p>
    <w:p>
      <w:pPr>
        <w:spacing w:after="0" w:line="225" w:lineRule="exact"/>
        <w:rPr>
          <w:rFonts w:ascii="Arial" w:cs="Arial" w:eastAsia="Arial" w:hAnsi="Arial"/>
          <w:sz w:val="18"/>
          <w:szCs w:val="18"/>
          <w:color w:val="auto"/>
        </w:rPr>
      </w:pPr>
    </w:p>
    <w:p>
      <w:pPr>
        <w:ind w:left="580" w:hanging="221"/>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integrate and capitalize on recent acquisitions and identify and complete future acquisitions; and</w:t>
      </w:r>
    </w:p>
    <w:p>
      <w:pPr>
        <w:spacing w:after="0" w:line="225" w:lineRule="exact"/>
        <w:rPr>
          <w:rFonts w:ascii="Arial" w:cs="Arial" w:eastAsia="Arial" w:hAnsi="Arial"/>
          <w:sz w:val="18"/>
          <w:szCs w:val="18"/>
          <w:color w:val="auto"/>
        </w:rPr>
      </w:pPr>
    </w:p>
    <w:p>
      <w:pPr>
        <w:ind w:left="580" w:hanging="221"/>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conditions and consumer spending trends.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results are driven primarily by the dollar volume and number of bankcard transactions processed by its merchant customers. Our total bankcard processing dollar volume for the years ended December 31, 2017, 2016 and 2015 was $34.7 billion, $30.4 billion and $27.2 billion, respectively, representing a compound annual growth rate of approximately 13.0% over the period. Our total number of bankcard transactions for the years ended December 31, 2017, 2016 and 2015 was 439.2 million, 398.6 million and 357.1 million, respectively. Our total bankcard processing dollar volume in the nine months ended September 30, 2018 and 2017 was $31.6 billion and $28.4 billion, respectively, and its total number of bankcard transactions in the same periods was 389.8 million and 363.0 million, respectively. Bankcard dollar volumes and numbers of transactions are driven primarily by the number of active merchants, number of bankcard transactions processed per merchant and sale amount per transaction. We had approximately 174 thousand merchants as of December 31, 2017.</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89" w:name="page90"/>
    <w:bookmarkEnd w:id="89"/>
    <w:p>
      <w:pPr>
        <w:ind w:right="160"/>
        <w:spacing w:after="0" w:line="257" w:lineRule="auto"/>
        <w:rPr>
          <w:sz w:val="20"/>
          <w:szCs w:val="20"/>
          <w:color w:val="auto"/>
        </w:rPr>
      </w:pPr>
      <w:r>
        <w:rPr>
          <w:rFonts w:ascii="Arial" w:cs="Arial" w:eastAsia="Arial" w:hAnsi="Arial"/>
          <w:sz w:val="18"/>
          <w:szCs w:val="18"/>
          <w:color w:val="auto"/>
        </w:rPr>
        <w:t>We grow the number of merchants primarily through the various reseller distribution channels described above in the section entitled “Sales and Distribution,” mainly ISOs and agents, as well as through acquisitions of merchant portfolios and complementary businesses. We periodically review our merchant portfolio for inactive merchants, which we may close from time to time. We generally consider merchants to be “inactive” if they have not processed a transaction in three months and are not considered seasonal merchants. In addition, We routinely close merchant accounts deemed to be a credit risk.</w:t>
      </w:r>
    </w:p>
    <w:p>
      <w:pPr>
        <w:spacing w:after="0" w:line="188"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payment processing revenue is recurring in nature, as we typically enter into multi-year service contracts with its merchants. Merchant attrition is expected in the merchant acquiring industry in the ordinary course of business. Our experiences attrition as a result of several factors, including business closures, transfers of merchants’ accounts to our competitors and account closures that we initiate due to heightened credit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Revenue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Merchant card fees revenue.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Merchant card fees revenue consists mainly of fees for processing electronic payments, including credit, debit and electronic benefit transaction card processing (authorized and captured through third-party networks integrated into our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Outsourced services revenue</w:t>
      </w:r>
      <w:r>
        <w:rPr>
          <w:rFonts w:ascii="Arial" w:cs="Arial" w:eastAsia="Arial" w:hAnsi="Arial"/>
          <w:sz w:val="18"/>
          <w:szCs w:val="18"/>
          <w:color w:val="auto"/>
        </w:rPr>
        <w: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Outsourced services revenue consists mainly of cost-plus fees related to B2B services, merchant financing and buyer initiated payment programs sold on behalf of certain enterprise customers, originated through our in-house sales force, including incentives for meeting sales targets. Outsourced services revenue are attributable primarily to our Commercial Payments and Managed Services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revenue is comprised of fees for products and services not specifically described above, mainly revenue from the sale of equipment (primarily point of sale terminals) and processing of ACH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of merchant card fees</w:t>
      </w:r>
      <w:r>
        <w:rPr>
          <w:rFonts w:ascii="Arial" w:cs="Arial" w:eastAsia="Arial" w:hAnsi="Arial"/>
          <w:sz w:val="18"/>
          <w:szCs w:val="18"/>
          <w:color w:val="auto"/>
        </w:rPr>
        <w: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Costs of merchant card fees is comprised mainly of residual payments to agents and ISOs and processing fees paid to third parties attributable to merchant acquisition and providing transaction processing and related services to our merchants.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costs of services</w:t>
      </w:r>
      <w:r>
        <w:rPr>
          <w:rFonts w:ascii="Arial" w:cs="Arial" w:eastAsia="Arial" w:hAnsi="Arial"/>
          <w:sz w:val="18"/>
          <w:szCs w:val="18"/>
          <w:color w:val="auto"/>
        </w:rPr>
        <w: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costs of services consist of salaries directly related to outsourced services revenue, the cost of equipment (point of sale terminals) sold and third-party fees and commissions related to our ACH processing activities.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90" w:name="page91"/>
    <w:bookmarkEnd w:id="90"/>
    <w:p>
      <w:pPr>
        <w:ind w:left="340"/>
        <w:spacing w:after="0"/>
        <w:rPr>
          <w:sz w:val="20"/>
          <w:szCs w:val="20"/>
          <w:color w:val="auto"/>
        </w:rPr>
      </w:pPr>
      <w:r>
        <w:rPr>
          <w:rFonts w:ascii="Arial" w:cs="Arial" w:eastAsia="Arial" w:hAnsi="Arial"/>
          <w:sz w:val="18"/>
          <w:szCs w:val="18"/>
          <w:i w:val="1"/>
          <w:iCs w:val="1"/>
          <w:color w:val="auto"/>
        </w:rPr>
        <w:t>Salary and employee benefits</w:t>
      </w:r>
      <w:r>
        <w:rPr>
          <w:rFonts w:ascii="Arial" w:cs="Arial" w:eastAsia="Arial" w:hAnsi="Arial"/>
          <w:sz w:val="18"/>
          <w:szCs w:val="18"/>
          <w:color w:val="auto"/>
        </w:rPr>
        <w: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Salary and employee benefits includes expenses for salaries, wages, commissions and bonuses, as well as expenses related to equity-based compensation rewards using the estimated grant date fair value. We amortize equity-based compensation for awards granted on a straight line basis over the requisite service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Depreciation and amortization consists primarily of amortization of intangible assets, mainly including merchant portfolios, customer relationships and internally developed technology (software), and to a lesser extent depreciation on our investments in property, equipment and software, mainly computer software. Merchant portfolios are amortized over their estimated useful lives, which had a weighted average of 7.2 years at December 31, 2017, 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which had weighted averages of 14.9 and 6 years, respectively, at December 31, 2017. Property, equipment and software depreciation expense is recognized on a straight-line basis over the estimated useful life of the asset, which ranged between 2 and 10 years at December 31, 2017.</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(SG&amp;A)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include mainly professional services, advertising, rent and expenses related to the Business Combination.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consists mainly of interest received pursuant to notes receivable from independent sales agents.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other expense consists mainly of interest on outstanding debt, changes in fair value of the Goldman Sachs warrant, amortization of deferred financing fees and original issue discounts and certain expenses related to debt extinguishment including the write-off of unamortized deferred financing fees and original issue discount relating to the extinguished debt.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in loss and impairment of unconsolidated entities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Equity in loss and impairment of unconsolidated entities consists of the Company’s share of the income or loss of its equity method investment as well as any impairment charges related to such investments.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Certain Non-GAAP Measures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regularly review the following key non-GAAP measures to evaluate our business and trends, measure our performance, prepare financial projections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Earnout Adjusted EBITDA</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Included in this presentation are discussions and reconciliations of earnings before interest, income tax and depreciation and amortization (“EBITDA”) and EBITDA adjusted for certain non-cash, non-recurring or non-core expenses (“Adjusted EBITDA”) to net income in accordance with GAAP. Adjusted EBITDA excludes certain non-cash and other expenses, litigation settlement costs, certain legal services costs, professional and consulting fees and expenses, severance, separation and employee settlements, share-based compensation and one-time Business Combination expenses and certain adjustments. 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our financial covenants under our debt agreements and the earnout incentive plan pursuant to the Business Combination, are based on a measure similar to Adjusted EBITDA (“Earnout Adjusted EBITDA”). The calculations of Earnout Adjusted EBITDA under our debt agreements and the earnout incentive plan include adjustments for, among other things, pro forma effects related to acquired merchant portfolios and residual streams and run rate adjustments for certain contracted savings on an annualized basis, which are not included as adjustments to Adjusted EBITDA.</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and Earnout Adjusted EBITDA may differ from the methods used by other companies to calculate their non-GAAP measures.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reconciliations of EBITDA, Adjusted EBITDA and Earnout Adjusted EBITDA to net (loss) income, the most directly comparable financial measure calculated and presented in accordance with GAAP, are shown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ind w:left="100"/>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(11,367)</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2,719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20,186</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Adjusted for: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Interest expense, net (1)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Depreciation and amortization</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Income tax benefit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b w:val="1"/>
                <w:bCs w:val="1"/>
                <w:color w:val="auto"/>
              </w:rPr>
              <w:t>EBITDA (non-GAAP)</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Further adjusted for: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Non-cash and certain other expense(2)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Litigation settlement costs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Certain legal services(3)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Professional and consulting fees and expenses(4)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Severance, separation and employee settlements</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Share-based compensation</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One-time transaction-related expenses and adjustments(5)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40,802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58,033</w:t>
            </w: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46,735</w:t>
            </w: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36,518</w:t>
            </w: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160"/>
              <w:spacing w:after="0"/>
              <w:rPr>
                <w:sz w:val="20"/>
                <w:szCs w:val="20"/>
                <w:color w:val="auto"/>
              </w:rPr>
            </w:pPr>
            <w:r>
              <w:rPr>
                <w:rFonts w:ascii="Arial" w:cs="Arial" w:eastAsia="Arial" w:hAnsi="Arial"/>
                <w:sz w:val="18"/>
                <w:szCs w:val="18"/>
                <w:color w:val="auto"/>
              </w:rPr>
              <w:t>Further adjusted for:</w:t>
            </w: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Pro forma impacts for acquisitions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Contracted revenue and savings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Other tax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Earnout Adjusted EBITDA (non-GAAP)(6)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92" w:name="page93"/>
    <w:bookmarkEnd w:id="92"/>
    <w:p>
      <w:pPr>
        <w:ind w:left="580" w:hanging="342"/>
        <w:spacing w:after="0" w:line="27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expense, net does not include expense related to the change in the fair value of the warrants. This item is included as add-backs to Adjusted EBITDA under the caption “Non-cash and certain other expense,” below.</w:t>
      </w:r>
    </w:p>
    <w:p>
      <w:pPr>
        <w:spacing w:after="0" w:line="170" w:lineRule="exact"/>
        <w:rPr>
          <w:rFonts w:ascii="Arial" w:cs="Arial" w:eastAsia="Arial" w:hAnsi="Arial"/>
          <w:sz w:val="18"/>
          <w:szCs w:val="18"/>
          <w:color w:val="auto"/>
        </w:rPr>
      </w:pPr>
    </w:p>
    <w:p>
      <w:pPr>
        <w:ind w:left="580" w:hanging="342"/>
        <w:spacing w:after="0" w:line="34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Primarily non-cash fair value and other adjustments, including changes in fair value of warrants, equity in loss and impairment of unconsolidated entities, change in fair value of earnout obligations, and, to a lesser extent, certain non-recurring business combination and integration-related costs.</w:t>
      </w:r>
    </w:p>
    <w:p>
      <w:pPr>
        <w:spacing w:after="0" w:line="123" w:lineRule="exact"/>
        <w:rPr>
          <w:rFonts w:ascii="Arial" w:cs="Arial" w:eastAsia="Arial" w:hAnsi="Arial"/>
          <w:sz w:val="16"/>
          <w:szCs w:val="16"/>
          <w:color w:val="auto"/>
        </w:rPr>
      </w:pPr>
    </w:p>
    <w:p>
      <w:pPr>
        <w:ind w:left="580" w:hanging="34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expenses related to acquisitions, legal settlements, and other litigation expenses.</w:t>
      </w:r>
    </w:p>
    <w:p>
      <w:pPr>
        <w:spacing w:after="0" w:line="225" w:lineRule="exact"/>
        <w:rPr>
          <w:rFonts w:ascii="Arial" w:cs="Arial" w:eastAsia="Arial" w:hAnsi="Arial"/>
          <w:sz w:val="18"/>
          <w:szCs w:val="18"/>
          <w:color w:val="auto"/>
        </w:rPr>
      </w:pPr>
    </w:p>
    <w:p>
      <w:pPr>
        <w:ind w:left="580" w:right="20" w:hanging="342"/>
        <w:spacing w:after="0" w:line="27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Primarily business combination related, capital markets, accounting advisory, IT consulting and sponsor management fees and expenses, as well as a consulting arrangement with a non-independent director.</w:t>
      </w:r>
    </w:p>
    <w:p>
      <w:pPr>
        <w:spacing w:after="0" w:line="170" w:lineRule="exact"/>
        <w:rPr>
          <w:rFonts w:ascii="Arial" w:cs="Arial" w:eastAsia="Arial" w:hAnsi="Arial"/>
          <w:sz w:val="18"/>
          <w:szCs w:val="18"/>
          <w:color w:val="auto"/>
        </w:rPr>
      </w:pPr>
    </w:p>
    <w:p>
      <w:pPr>
        <w:ind w:left="580" w:right="40" w:hanging="342"/>
        <w:spacing w:after="0" w:line="27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Primarily items related to write-offs of pre-acquisition receivables, settlement of pre-acquisition payables, settlement of a minimum payment shortfall related to a contract assumed in an acquisition and contract termination fees.</w:t>
      </w:r>
    </w:p>
    <w:p>
      <w:pPr>
        <w:spacing w:after="0" w:line="170" w:lineRule="exact"/>
        <w:rPr>
          <w:rFonts w:ascii="Arial" w:cs="Arial" w:eastAsia="Arial" w:hAnsi="Arial"/>
          <w:sz w:val="18"/>
          <w:szCs w:val="18"/>
          <w:color w:val="auto"/>
        </w:rPr>
      </w:pPr>
    </w:p>
    <w:p>
      <w:pPr>
        <w:ind w:left="580" w:right="200" w:hanging="342"/>
        <w:spacing w:after="0" w:line="27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Presented only for the nine-month periods ended September 30, 2018 and 2017 and the year ended December 31, 2017, reflecting definition in debt agreements entered into in connection with the January 2017 debt restructuring.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section includes a brief summary of our results of operations for the periods presented followed by a detailed discussion of our results for (i) the nine months ended September 30, 2018 compared to the nine months ended September 30, 2017, (ii) the year ended December 31, 2017 compared to the year ended December 31, 2016, and (iii) the year ended December 31, 2016 compared to the year ended December 31, 2015. We have derived this data from our unaudited interim condensed consolidated financial statements and audited consolidated financial statements included elsewhere in this Prospectus/Offer to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Compared to Nine Months Ended September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920" w:type="dxa"/>
            <w:vAlign w:val="bottom"/>
            <w:gridSpan w:val="8"/>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2018</w:t>
            </w:r>
          </w:p>
        </w:tc>
        <w:tc>
          <w:tcPr>
            <w:tcW w:w="7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87"/>
              </w:rPr>
              <w:t>Change</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1"/>
              </w:rPr>
              <w:t>% Change</w:t>
            </w:r>
          </w:p>
        </w:tc>
      </w:tr>
      <w:tr>
        <w:trPr>
          <w:trHeight w:val="210"/>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w:t>
            </w: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299,661</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286,208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13,453</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18,426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30"/>
        </w:trPr>
        <w:tc>
          <w:tcPr>
            <w:tcW w:w="55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5,862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3,556</w:t>
            </w: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154.2%</w:t>
            </w:r>
          </w:p>
        </w:tc>
      </w:tr>
      <w:tr>
        <w:trPr>
          <w:trHeight w:val="210"/>
        </w:trPr>
        <w:tc>
          <w:tcPr>
            <w:tcW w:w="558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230,276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219,507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13,518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28,406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12,679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30"/>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10,449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r>
      <w:tr>
        <w:trPr>
          <w:trHeight w:val="210"/>
        </w:trPr>
        <w:tc>
          <w:tcPr>
            <w:tcW w:w="5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281,349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0"/>
        </w:trPr>
        <w:tc>
          <w:tcPr>
            <w:tcW w:w="55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(26,674)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(21,808)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(4,866)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230"/>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and impairment of unconsolidated entities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287.8%</w:t>
            </w:r>
          </w:p>
        </w:tc>
      </w:tr>
      <w:tr>
        <w:trPr>
          <w:trHeight w:val="210"/>
        </w:trPr>
        <w:tc>
          <w:tcPr>
            <w:tcW w:w="5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10"/>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(11,367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(14,086</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(518.1)%</w:t>
            </w: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following table shows our segment income statement data and selected performance measures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02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 September 30,</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2018</w:t>
            </w: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4"/>
              </w:rPr>
              <w:t>2017</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760" w:type="dxa"/>
            <w:vAlign w:val="bottom"/>
            <w:tcBorders>
              <w:top w:val="single" w:sz="8" w:color="auto"/>
            </w:tcBorders>
            <w:gridSpan w:val="8"/>
          </w:tcPr>
          <w:p>
            <w:pPr>
              <w:spacing w:after="0"/>
              <w:rPr>
                <w:sz w:val="20"/>
                <w:szCs w:val="20"/>
                <w:color w:val="auto"/>
              </w:rPr>
            </w:pPr>
            <w:r>
              <w:rPr>
                <w:rFonts w:ascii="Arial" w:cs="Arial" w:eastAsia="Arial" w:hAnsi="Arial"/>
                <w:sz w:val="18"/>
                <w:szCs w:val="18"/>
                <w:b w:val="1"/>
                <w:bCs w:val="1"/>
                <w:i w:val="1"/>
                <w:iCs w:val="1"/>
                <w:color w:val="auto"/>
                <w:w w:val="96"/>
              </w:rPr>
              <w:t>(in thousands of dollars, except transaction volume and percentages)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Segment revenue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302,514</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287,129</w:t>
            </w:r>
          </w:p>
        </w:tc>
        <w:tc>
          <w:tcPr>
            <w:tcW w:w="22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15,385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expense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(287,444)</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(264,672)</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Segment operating income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15,070</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22,457</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(7,387)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margin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Key Indicators: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0"/>
              </w:rPr>
              <w:t>28,548,000</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25,632,000</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2,916,000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Merchant bankcard transaction volume(1)</w:t>
            </w:r>
          </w:p>
        </w:tc>
        <w:tc>
          <w:tcPr>
            <w:tcW w:w="4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331,305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327,015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4,290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revenue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21,435</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Segment operating expense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(21,862)</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(16,677)</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(5,185)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 (loss)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(427)</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Segment operating margin</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our Commercial Payments and Managed Services segment, related mainly to the CPX business.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nine months ended September 30, 2018, our consolidated revenue increased by $18.3 million, or 6.0%, from the corresponding prior year period, to $323.9 million. This increase was driven primarily by a $15.4 million, or 5.4%, increase in revenue from our Consumer Payments segment to $302.5 million. Commercial Payments and Managed Services segment revenue increased by $2.9 million, or 15.7%.</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4" w:name="page95"/>
    <w:bookmarkEnd w:id="94"/>
    <w:p>
      <w:pPr>
        <w:ind w:right="80"/>
        <w:spacing w:after="0" w:line="259" w:lineRule="auto"/>
        <w:rPr>
          <w:sz w:val="20"/>
          <w:szCs w:val="20"/>
          <w:color w:val="auto"/>
        </w:rPr>
      </w:pPr>
      <w:r>
        <w:rPr>
          <w:rFonts w:ascii="Arial" w:cs="Arial" w:eastAsia="Arial" w:hAnsi="Arial"/>
          <w:sz w:val="18"/>
          <w:szCs w:val="18"/>
          <w:color w:val="auto"/>
        </w:rPr>
        <w:t>For the nine months ended September 30, 2018, the increase in Consumer Payments revenue was primarily attributable to an increase in merchant bankcard processing dollar value and merchant bankcard transactions of 11.4% and 7.4%, respectively, compared to the corresponding prior year period, mainly due to the continuation of higher consumer spending trends in 2018 and positive net onboarding of new merchants. The average merchant processing transaction dollar value was substantially unchanged between periods.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increase in Commercial Payments and Managed Services revenue for the nine months ended September 30, 2018 was attributable primarily to an increase in headcount in our in-house sales force dedicated to selling merchant financing products on behalf of our financial institution partners, for which we record revenue on a cost-plus basis. CPX merchant bankcard processing dollar value and the number of merchant bankcard transactions increased 125.0% and 64.8%, respectively, for the nine months ended September 30, 2018, compared to the corresponding prior year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consolidated operating expenses increased $28.0 million, or 9.9%, from $281.3 million for the nine months ended September 30, 2017 to $309.3 million for the nine months ended September 30, 2018, driven primarily by a $10.8 million, or 4.9%, increase in costs of merchant card fees, attributable primarily to growth in processing volume. Costs of merchant card fees as a percentage of merchant card fee revenue changed little from 76.8% for the nine months ended September 30, 2018 to 76.7% for the nine months ended September 30, 2017. Salary and employee benefits increased $4.1 million, or 16.6%, related to the aforementioned increases in corporate headcount and increases in headcount from business acquisitions in 2018. SG&amp;A expenses increased by $6.8 million, or 93.8%, primarily due to overall growth in our business operations and $3.6 million (and none for the corresponding prior year period) due to legal, accounting and other advisory and consulting expenses related to the Business Combination. Other operating expenses increased by $2.3 million due mainly to the aforementioned legal settlement. Other costs of services increased by $2.2 million due to the aforementioned in-house sales force expansion. Depreciation and amortization increased $1.4 million, or 12.7%, attributable to the internally developed software for the MX Connect and CPX platform and acquired merchant portfolios.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Consolidated income from operations decreased $9.7 million, or 39.7%, for the nine months ended September 30, 2018, compared to the corresponding prior year period. Our consolidated operating margin for the nine months ended September 30, 2018 was 4.5%, compared to 8.0%, for the corresponding prior year period. The margin decrease was due mainly to the change in merchant mix, increases in Business Combination expenses and other non-recurring operating expenses, and continued CPX business ramp up, each as described above.</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Consumer Payments segment contributed $15.1 million in segment operating income for the nine months ended September 30, 2018, a decrease of $7.4 million from $22.5 million segment operating income for the nine months ended September 30, 2017, reflecting the change in merchant mix and increases in Business Combination expenses and other non-recurring operating expenses described above.</w:t>
      </w:r>
    </w:p>
    <w:p>
      <w:pPr>
        <w:spacing w:after="0" w:line="181"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Our Commercial Payments and Managed Services segment incurred a $0.4 million segment operating loss for nine months ended September 30, 2018, compared to $1.8 million in segment operating income for the nine months ended September 30, 2017. The swing to loss was principally the result of increased headcount related to the CPX ramp up, as we commenced hiring management and staff for that segment in the middle of 2017.</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(expenses) income</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Other expenses increased $5.4 million, or 25.1%, from $21.6 million for the nine months ended September 30, 2017 to $27.0 million for the nine months ended September 30, 2018. The primary component of our other expenses is interest expense. Interest expense on outstanding debt increased by $3.3 million for the nine months ended September 30, 2018 compared to the corresponding prior year period, primarily due to higher outstanding borrowings attributable to the January 2018 debt upsizing. The change in fair value of the Goldman Sachs warrant increased other expenses by $3.5 million and $1.5 million, respectively, for the nine months ended September 30, 2018 and September 30, 2017, respectively.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became part of a “C-corporation” reporting tax group on July 25, 2018 in connection with the Business Combination. As a result, periods after July 25, 2018 reflect applicable federal and state income tax rates for all of our operations. On July 25, 2018, we recognized a net deferred income tax asset of $47.5 million, which also resulted in a credit to our additional paid-in capital within our consolidated equity. The net deferred tax asset is the result of the difference between the initial tax bases in the assets and liabilities, generally substituted tax basis, and their respective carrying amounts for financial statement purposes. For 2018, we estimate that our effective income tax rate will be approximately 8.0%. This anticipated effective income tax rate for 2018 may not be indicative of our effective tax rates for future periods.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consolidated net loss for the nine months ended September 30, 2018 was $11.4 million compared to net income of $2.7 million for the nine months ended September 30, 2017 for the aforementioned reasons.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consolidated income statement data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2"/>
              </w:rPr>
              <w:t>Year Ended December 31,</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7"/>
              </w:rPr>
              <w:t>Change</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580" w:type="dxa"/>
            <w:vAlign w:val="bottom"/>
          </w:tcPr>
          <w:p>
            <w:pPr>
              <w:spacing w:after="0"/>
              <w:rPr>
                <w:sz w:val="18"/>
                <w:szCs w:val="18"/>
                <w:color w:val="auto"/>
              </w:rPr>
            </w:pPr>
          </w:p>
        </w:tc>
        <w:tc>
          <w:tcPr>
            <w:tcW w:w="4300" w:type="dxa"/>
            <w:vAlign w:val="bottom"/>
            <w:tcBorders>
              <w:top w:val="single" w:sz="8" w:color="auto"/>
            </w:tcBorders>
            <w:gridSpan w:val="1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percentages</w:t>
            </w:r>
            <w:r>
              <w:rPr>
                <w:rFonts w:ascii="Arial" w:cs="Arial" w:eastAsia="Arial" w:hAnsi="Arial"/>
                <w:sz w:val="18"/>
                <w:szCs w:val="18"/>
                <w:b w:val="1"/>
                <w:bCs w:val="1"/>
                <w:color w:val="auto"/>
              </w:rPr>
              <w:t>)</w:t>
            </w: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Merchant card fees revenue</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398,988</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321,091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77,897</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Outsourced services revenue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23,308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3,247</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3,323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210"/>
        </w:trPr>
        <w:tc>
          <w:tcPr>
            <w:tcW w:w="55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344,114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81,505</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305,461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243,049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62,412</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Other costs of services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15,743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1,772</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32,357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14,674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4,391</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r>
      <w:tr>
        <w:trPr>
          <w:trHeight w:val="210"/>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318,274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72,096</w:t>
            </w:r>
          </w:p>
        </w:tc>
        <w:tc>
          <w:tcPr>
            <w:tcW w:w="1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10"/>
        </w:trPr>
        <w:tc>
          <w:tcPr>
            <w:tcW w:w="55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Interest and other expense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(31,159)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(25,179)</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421.1%</w:t>
            </w: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 of unconsolidated entities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0"/>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expenses</w:t>
            </w: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5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442.2%</w:t>
            </w:r>
          </w:p>
        </w:tc>
      </w:tr>
      <w:tr>
        <w:trPr>
          <w:trHeight w:val="22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41"/>
        </w:trPr>
        <w:tc>
          <w:tcPr>
            <w:tcW w:w="5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87</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table shows our segment income statement data and selected performance measures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96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2017</w:t>
            </w:r>
          </w:p>
        </w:tc>
        <w:tc>
          <w:tcPr>
            <w:tcW w:w="10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9"/>
              </w:rPr>
              <w:t>2016</w:t>
            </w: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720" w:type="dxa"/>
            <w:vAlign w:val="bottom"/>
            <w:tcBorders>
              <w:top w:val="single" w:sz="8" w:color="auto"/>
            </w:tcBorders>
            <w:gridSpan w:val="8"/>
          </w:tcPr>
          <w:p>
            <w:pPr>
              <w:spacing w:after="0"/>
              <w:rPr>
                <w:sz w:val="20"/>
                <w:szCs w:val="20"/>
                <w:color w:val="auto"/>
              </w:rPr>
            </w:pPr>
            <w:r>
              <w:rPr>
                <w:rFonts w:ascii="Arial" w:cs="Arial" w:eastAsia="Arial" w:hAnsi="Arial"/>
                <w:sz w:val="18"/>
                <w:szCs w:val="18"/>
                <w:b w:val="1"/>
                <w:bCs w:val="1"/>
                <w:i w:val="1"/>
                <w:iCs w:val="1"/>
                <w:color w:val="auto"/>
                <w:w w:val="95"/>
              </w:rPr>
              <w:t>(in thousands of dollars, except transaction volume and percentages)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400,320</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322,666</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77,654</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33,363</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10,175</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4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34,465,600</w:t>
            </w:r>
          </w:p>
        </w:tc>
        <w:tc>
          <w:tcPr>
            <w:tcW w:w="4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30,335,776</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4,129,824</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439,055</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398,498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40,557</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25,299</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21,448</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3,851</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1,886</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our Commercial Payments and Managed Services segment, related mainly to the CPX business.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increased $81.5 million, or 23.7%, from $344.1 million in 2016 to $425.6 million in 2017. This increase was driven primarily by a $77.7 million, or 24.1%, increase in revenue from our Consumer Payments segment and a $3.9 million, or 18.0%, increase in revenue from our Commercial Payments and Managed Services segment.</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Consumer Payments revenue was attributable primarily to a 13.6% increase in merchant bankcard processing dollar value and a 10.2% increase in the number of merchant bankcard transactions, attributable mainly to higher consumer spending trends in 2017, positive net boarding of new active merchants,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Operating expenses increased $72.1 million, or 22.7%, from $318.3 million in 2016 to $390.4 million in 2017. This increase was driven primarily by a $62.4 million, or 25.7%, increase in costs of merchant card fees, attributable to growth in processing volume discussed above, a $4.4 million, or 48.4%, increase in other operating expenses attributable mainly to 2017 litigation settlements and related expenses and higher state and local taxes, and a $1.8 million, or 12.7%, increase in other costs of services. Selling, general and administrative expenses increased $1.3 million as a result of growth in business volume.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from operations increased $9.4 million, or 36.4%, from $25.8 million in 2016 to $35.2 million in 2017, for the reasons described above. Consumer Payments contributed $33.4 million in segment operating income in 2017, a $10.2 million, or 43.9%, increase from $23.2 million in 2016 due the increase in processing volume discussed above and a 1.1 percentage point improvement in segment operating margin due mainly to merchant mix. Commercial Payments and Managed Services contributed $1.9 million in segment operating income in 2017, a $0.8 million, or 28.9%, decrease from $2.7 million in 2016. The decrease in Commercial Payments and Managed Services operating income was principally the result of ramp up in headcount ahead of the rollout of the CPX platform in September 2017.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Other expenses increased $25.0 million, or 442.2%, from $5.7 million in 2016 to $30.7 million in 2017, due primarily to a $25.2 million increase in interest and other expense attributable mainly to our increased debt following the January 2017 debt restructuring, including an increase in interest expense of $19.7 million, a $4.2 million increase in fair value of the Goldman Sachs warrant and a $1.8 million loss on debt extinguishment.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income decreased $15.6 million, or 77.2%, from $20.2 million in 2016 to $4.6 million in 2017, due to the increase in interest and other expense that was offset partially by the increase in income from operations,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Compared to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consolidated income statement data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2"/>
              </w:rPr>
              <w:t>Year Ended December 31,</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percentages)</w:t>
            </w:r>
          </w:p>
        </w:tc>
        <w:tc>
          <w:tcPr>
            <w:tcW w:w="10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7"/>
              </w:rPr>
              <w:t>Change</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1"/>
              </w:rPr>
              <w:t>% Change</w:t>
            </w: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Merchant card fees revenue</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321,091</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268,221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52,870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Outsourced services revenue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54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243,049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199,067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43,982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Other costs of services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(2,090)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5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271,685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46,589</w:t>
            </w:r>
          </w:p>
        </w:tc>
        <w:tc>
          <w:tcPr>
            <w:tcW w:w="2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10"/>
        </w:trPr>
        <w:tc>
          <w:tcPr>
            <w:tcW w:w="54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r>
      <w:tr>
        <w:trPr>
          <w:trHeight w:val="210"/>
        </w:trPr>
        <w:tc>
          <w:tcPr>
            <w:tcW w:w="54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(490)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 of unconsolidated entities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131.4%</w:t>
            </w:r>
          </w:p>
        </w:tc>
      </w:tr>
      <w:tr>
        <w:trPr>
          <w:trHeight w:val="210"/>
        </w:trPr>
        <w:tc>
          <w:tcPr>
            <w:tcW w:w="5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expenses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segment income statement data and selected performance measures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96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9"/>
              </w:rPr>
              <w:t>2016</w:t>
            </w:r>
          </w:p>
        </w:tc>
        <w:tc>
          <w:tcPr>
            <w:tcW w:w="10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4"/>
              </w:rPr>
              <w:t>2015</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720" w:type="dxa"/>
            <w:vAlign w:val="bottom"/>
            <w:tcBorders>
              <w:top w:val="single" w:sz="8" w:color="auto"/>
            </w:tcBorders>
            <w:gridSpan w:val="8"/>
          </w:tcPr>
          <w:p>
            <w:pPr>
              <w:spacing w:after="0"/>
              <w:rPr>
                <w:sz w:val="20"/>
                <w:szCs w:val="20"/>
                <w:color w:val="auto"/>
              </w:rPr>
            </w:pPr>
            <w:r>
              <w:rPr>
                <w:rFonts w:ascii="Arial" w:cs="Arial" w:eastAsia="Arial" w:hAnsi="Arial"/>
                <w:sz w:val="18"/>
                <w:szCs w:val="18"/>
                <w:b w:val="1"/>
                <w:bCs w:val="1"/>
                <w:i w:val="1"/>
                <w:iCs w:val="1"/>
                <w:color w:val="auto"/>
                <w:w w:val="95"/>
              </w:rPr>
              <w:t>(in thousands of dollars, except transaction volume and percentages)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322,666</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270,610</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52,056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23,188</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3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3"/>
              </w:rPr>
              <w:t>30,335,776</w:t>
            </w:r>
          </w:p>
        </w:tc>
        <w:tc>
          <w:tcPr>
            <w:tcW w:w="4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27,109,700</w:t>
            </w:r>
          </w:p>
        </w:tc>
        <w:tc>
          <w:tcPr>
            <w:tcW w:w="3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3,226,076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398,498</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357,049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41,449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21,448</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15,634</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5,814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2,652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our Commercial Payments and Managed Services segment, related mainly to the CPX business.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8" w:name="page99"/>
    <w:bookmarkEnd w:id="98"/>
    <w:p>
      <w:pPr>
        <w:ind w:left="3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increased $57.9 million, or 20.2%, from $286.2 million in 2015 to $344.1 million in 2016. This increase was driven primarily by a $52.1 million, or 19.2%, increase in revenue from our Consumer Payments segment and a $5.8 million, or 37.2%, increase in revenue from our Commercial Payments and Managed Services segment.</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increase in Consumer Payments revenue was attributable primarily to an 11.9% increase in bankcard merchant processing dollar value and an 11.6% increase in the number of merchant bankcard transactions. Growth in the number of merchant customers and an improvement in merchant mix contributed to these increases. A slight increase in average processing fees, driven by merchant mix and value-added product initiatives, also contributed to the increase.</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Operating expenses increased $46.6 million, or 17.1%, from $271.7 million in 2015 to $318.3 million in 2016. This increase was driven primarily by a $44.0 million, or 22.1%, increase in costs of merchant card fees attributable to the growth in processing volume discussed above and a $5.1 million, or 18.6%, increase in salary and employee benefits, attributable to growth in headcount driven by an increase in our-house sales force related to our Commercial Payments and Managed Services business and growth in overall business volume. Other operating expenses decreased by $0.8 million and other costs of services increased $0.8 million, while selling, general and administrative expenses remained relatively stable between periods.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from operations increased $11.3 million, or 77.5%, from $14.6 million in 2015 to $25.8 million in 2016, for the reasons described above, namely merchant count growth, merchant mix and increase in value-added services. Consumer Payments contributed $23.2 million in segment operating income in 2016, a $9.4 million, or 68.2%, increase from $13.8 million in 2015. Commercial Payments and Managed Services contributed $2.7 million in segment operating income in 2016, a $1.9 million, or 244.9%, increase from $0.8 million in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expenses increased $0.4 million, or 6.8%, from $5.3 million in 2015 to $5.7 million in 2016, mainly due to an increase in interest expense that was partially offset by an increase in interest income.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$10.9 million, or 117.8%, from $9.3 million in 2015 to $20.2 million in 2016, for the reasons described above.</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uses of cash are to pay commissions to our distribution partners and internal sales staff, merchant portfolio, other asset and business acquisitions and distribution partner advances, operating expenses, interest expense and investments in technology infrastructure.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defined as current assets less current liabilities, was $24.0 million at September 30, 2018 and $39.5 million at December 31, 2017. As of September 30, 2018, we had cash totaling $17.2 million compared to $28.0 million at December 31, 2017. These balances do not include restricted cash, which reflects cash accounts holding reserves for potential losses and customer settlement funds, of $18.3 million at September 30, 2018 and $16.2 million at December 31,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The following tables and narrative reflect our changes in cash flows for the comparative interim and annual periods.</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i w:val="1"/>
                <w:iCs w:val="1"/>
                <w:color w:val="auto"/>
              </w:rPr>
              <w:t>Nine Months Ended September 30, 2018 Compared to Nine Months Ended September 30, 2017</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40" w:type="dxa"/>
            <w:vAlign w:val="bottom"/>
            <w:gridSpan w:val="8"/>
          </w:tcPr>
          <w:p>
            <w:pPr>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rPr>
              <w:t>(dollar amounts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24,836</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(42,345)</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8,827</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restricted cash</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$24.8 million and $29.0 million for the nine months ended September 30, 2018 and 2017, respectively. The</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$4.1 million, or 14.3%, decrease was principally the result of our swing to a net loss, reflecting a $14.1 million change in net (loss) income, partially offset by changes in operating working capital. Changes in operating working capital increased by $7.4 million for the nine months ended September 30, 2018 compared to the same period in 2017, mainly reflecting decreases in accounts receivable and notes receivable compared to the corresponding prior year period, partially offset by a substantially lower increase in accounts payable compared to the corresponding prior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Net cash used in investing activities was $42.3 million and $7.4 million for the nine months ended September 30, 2018 and 2017, respectively. Cash flow used in investing activities includes the acquisitions of merchant portfolios, purchases of property, equipment and software and current period acquisitions. For the nine months ended September 30, 2018, we invested $26.4 million in merchant portfolio acquisitions, a $23.9 million increase from the nine months ended September 30, 2017. We used $7.5 million for business acquisitions in the nine months ended September 30, 2018, compared to zero in the corresponding prior year period. Cash used for purchases of property, plant and equipment for the nine months ended September 30, 2018 was $8.4 million, an increase of $3.5 million from the nine months ended September 30, 2017. The increase in purchases was driven primarily by equipment purchases for MX Connect and CPX, capitalization of internally developed software and improvements to the legal and CPX office space.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cash from financing activities was $8.8 million in the nine months ended September 30, 2018 compared to net cash used in financing activities of $24.9 million in the corresponding prior year period. Cash flow from financing activities for the nine months ended September 30, 2018 reflected primarily proceeds from the January 2018 debt upsizing and proceeds from the Recapitalization, offset in part by cash used in equity redemptions, the redemption of the Goldman Sachs warrant, and distributions to members prior to July 25, 2018. Cash flows used in financing activities for the nine months ended September 30, 2017 reflected primarily equity redemptions partially offset by a net increase in long term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Year Ended December 31, 2016 and Year Ended December 31, 2015</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 increase in cash and restricted cash</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2383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spacing w:after="0"/>
        <w:tabs>
          <w:tab w:leader="none" w:pos="1280" w:val="left"/>
          <w:tab w:leader="none" w:pos="25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151765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22383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36,869</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22,275</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(31,888)</w:t>
            </w:r>
          </w:p>
        </w:tc>
      </w:tr>
      <w:tr>
        <w:trPr>
          <w:trHeight w:val="244"/>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(10,548)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18,714</w:t>
            </w: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80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provided by operating activities was $36.9 million in 2017, a $14.6 million, or 65.5%, increase from $22.3 million in 2016, which in turn decreased $3.0 million, or 12.0%, from $25.3 million in 2015. The $14.6 million increase from 2016 to 2017 was principally the result of the $9.4 million increase in income from operations as well as changes in working capital. The $3.0 million decrease from 2015 to 2016 was driven mainly by changes in working capital, as decreases in payables and settlement obligations in 2016 outpaced decreases in receivables and settlement assets, more than offsetting the $11.3 million increase in income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Net cash used in investing activities was $9.0 million for 2017, $6.4 million for 2016 and $31.9 million for 2015. Cash flows used in investing activities in 2017 and 2016 reflect the purchases of property, plant, equipment and software, which increased by $2.5 million from 2016 to 2017, driven primarily by leasehold improvements related to an increase in office space to support the rollout of new business lines, and additions to merchant portfolios. Cash flows used in investing activities in 2015 reflect primarily the acquisition, net of cash acquired, of ACCPC,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Net cash used in financing activities was $25.4 million in 2017 and $10.5 million in 2016, compared to net cash from financing activities of $18.7 million in 2015. Cash flows used in financing activities in 2017 primarily reflect $203 million in membership unit redemptions and $90.7 million in repayments of the long-term debt, which more than offset new debt proceeds of $276.3 million. Cash flows used in financing activities in 2016 primarily include $10 million in member distributions. Cash flows provided by financing activities in 2015 primarily include debt proceeds of $22.7 million, partially offset by $3.7 million in member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September 30, 2018, we had outstanding long-term debt of $352.2 million (compared to $283.1 million at December 31, 2017), an increase of $69.1 million, consisting of outstanding debt of $263.5 million under the Senior Secured Credit Facility (including $2.7 million in current portion of long-term debt) and $88.7 million under the Subordinated Term Loan (including accrued payment-in-kind (“PIK”) interest through September 30, 2018). We have a $25.0 million revolving credit facility with SunTrust Bank, which was undrawn as of September 30, 2018 and December 31, 2017. We drew $8.0 million on our revolving credit facility in October 2018 to partially finance a merchant portfolio acquisition.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24, 2018, the Senior Secured Credit Facility was amended to immediately increase the amount of the term loan by $60.0 million and to allow us to borrow an additional $70.0 million on a delayed basis. Until the additional $70.0 million is drawn, we will pay a fee on the undrawn amounts at a rate of 2.50% per annum from the 31st day after the date of the amendment to the 60th day and 5.00% per annum thereafter for so long as the amounts remain committed and undrawn. Once drawn, we will no longer owe such fees. In addition, we will be required to pay a fee at a rate of 0.50% of any of the additional $70.0 million that we draw. On December 24, 2018, we also amended the Subordinated Term Loan to permit the additional $130.0 million of borrowings under the Senior Secured Credit Facility.</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initial $60.0 million was used on December 24, 2018 to fund the acquisition of merchant portfolio assets from Direct Connect Merchant Services, LLC and Blue Parasol Group, LLC. We intend to use the additional $70.0 million to acquire additional merchant portfolio assets.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101" w:name="page102"/>
    <w:bookmarkEnd w:id="101"/>
    <w:p>
      <w:pPr>
        <w:ind w:right="60"/>
        <w:spacing w:after="0" w:line="269" w:lineRule="auto"/>
        <w:rPr>
          <w:sz w:val="20"/>
          <w:szCs w:val="20"/>
          <w:color w:val="auto"/>
        </w:rPr>
      </w:pPr>
      <w:r>
        <w:rPr>
          <w:rFonts w:ascii="Arial" w:cs="Arial" w:eastAsia="Arial" w:hAnsi="Arial"/>
          <w:sz w:val="17"/>
          <w:szCs w:val="17"/>
          <w:color w:val="auto"/>
        </w:rPr>
        <w:t>Outstanding borrowings under the Senior Secured Credit Facility bear interest at the London Interbank Offered Rate (LIBOR) with a floor of 1.0%, plus an applicable margin. The margin stood at 5.0% as of September 30, 2018, which was a reduction from 6% as of December 31, 2017, due to amendments made in connection with the January 2018 debt upsizing. The Senior Secured Credit Facility is secured by a pledge of substantially all of our assets, all of the capital stock of our subsidiaries, and 65% of our outstanding voting equity interests and all of our outstanding non-voting equity interests in the Company. The Subordinated Term Loan provides for cash and PIK interest components. Cash interest is payable at an annual rate of 5.0% while PIK interest resets on a quarterly basis based on our Total Net Leverage Ratio, as defined in the credit agreement relating to the Subordinated Term Loan, with a floor of 5.0%. The Subordinated Term Loan is secured by a subordinate pledge of substantially all of our assets. As of September 30, 2018, the outstanding amount on the Subordinated Term Loan totaled $88.7 million, a $3.6 million increase from December 31, 2017 attributable to the accrual of PIK interest. The outstanding principal amounts under the Senior Secured Credit Facility and the Subordinated Term Loan mature in January 2023 and July 2023, respectively. The $25 million revolving credit facility expires in January 2022. The PIK interest payable on the Subordinated Term Loan decreased from 6.25% as of December 31, 2017 to 5.5% in January 2018 (which remained the applicable PIK rate as of September 30, 2018) due to our improved Total Net Leverage Ratio, as defined in the credit agreement.</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Senior Secured Credit Facility and the Subordinated Term Loan contain representations and warranties, financial and collateral requirements, mandatory payment events, and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w:t>
      </w:r>
    </w:p>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of September 30, 2018, financial covenants under the Senior Secured Credit Facility required the Total Net Leverage Ratio, as defined in the agreement, not to exceed 6.25:1.00 and a First Lien Net Leverage Ratio, as defined in the agreement, not to exceed 4.25:1.00. The Net Leverage Ratios are determined using the outstanding debt balance and Earnout Adjusted EBITDA, as defined above. For a reconciliation of Earnout Adjusted EBITDA to net income, see above under “—Certain Non-GAAP Measures.” We are required to make quarterly principal payments under the Senior Secured Credit Facility as well as additional mandatory prepayments based on Excess Cash Flow, as determined and defined in the credit agreement. The Subordinated Term Loan contains financial covenants similar to the Senior Secured Credit Facility. As of September 30, 2018, we were in compliance with our financial covenants.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contractual obligations and commitments for the periods indicated as of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9"/>
          </w:tcPr>
          <w:p>
            <w:pPr>
              <w:spacing w:after="0"/>
              <w:rPr>
                <w:sz w:val="20"/>
                <w:szCs w:val="20"/>
                <w:color w:val="auto"/>
              </w:rPr>
            </w:pPr>
            <w:r>
              <w:rPr>
                <w:rFonts w:ascii="Arial" w:cs="Arial" w:eastAsia="Arial" w:hAnsi="Arial"/>
                <w:sz w:val="18"/>
                <w:szCs w:val="18"/>
                <w:b w:val="1"/>
                <w:bCs w:val="1"/>
                <w:color w:val="auto"/>
                <w:w w:val="90"/>
              </w:rPr>
              <w:t>Payments Due by Period (in thousands)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w:t>
            </w: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rPr>
              <w:t>More than</w:t>
            </w:r>
          </w:p>
        </w:tc>
        <w:tc>
          <w:tcPr>
            <w:tcW w:w="100" w:type="dxa"/>
            <w:vAlign w:val="bottom"/>
          </w:tcPr>
          <w:p>
            <w:pPr>
              <w:spacing w:after="0"/>
              <w:rPr>
                <w:sz w:val="16"/>
                <w:szCs w:val="16"/>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400" w:type="dxa"/>
            <w:vAlign w:val="bottom"/>
            <w:gridSpan w:val="2"/>
          </w:tcPr>
          <w:p>
            <w:pPr>
              <w:spacing w:after="0"/>
              <w:rPr>
                <w:sz w:val="20"/>
                <w:szCs w:val="20"/>
                <w:color w:val="auto"/>
              </w:rPr>
            </w:pPr>
            <w:r>
              <w:rPr>
                <w:rFonts w:ascii="Arial" w:cs="Arial" w:eastAsia="Arial" w:hAnsi="Arial"/>
                <w:sz w:val="18"/>
                <w:szCs w:val="18"/>
                <w:b w:val="1"/>
                <w:bCs w:val="1"/>
                <w:color w:val="auto"/>
                <w:w w:val="88"/>
              </w:rPr>
              <w:t>Total</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w w:val="92"/>
              </w:rPr>
              <w:t>1 year</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rPr>
              <w:t>1 to 3 years</w:t>
            </w:r>
          </w:p>
        </w:tc>
        <w:tc>
          <w:tcPr>
            <w:tcW w:w="12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6"/>
              </w:rPr>
              <w:t>3 to 5 Years</w:t>
            </w: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5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i w:val="1"/>
                <w:iCs w:val="1"/>
                <w:color w:val="auto"/>
                <w:w w:val="95"/>
              </w:rPr>
              <w:t>(dollars in thousands)</w:t>
            </w: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and other leases(a)</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10,027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1,476</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Debt(b)</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283,118</w:t>
            </w:r>
          </w:p>
        </w:tc>
        <w:tc>
          <w:tcPr>
            <w:tcW w:w="5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7,582(c)</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267,536</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debt(d)</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114,138(e)</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16,545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33,472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30,290</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Processing minimums(f)</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13,400</w:t>
            </w:r>
          </w:p>
        </w:tc>
        <w:tc>
          <w:tcPr>
            <w:tcW w:w="5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6,700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420,683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32,303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entered into, or assumed via acquisitions, several operating leases for office space in the states of Georgia, New York, Tennessee, Texas and Florida, as well as equipment leases.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02" w:name="page103"/>
    <w:bookmarkEnd w:id="102"/>
    <w:p>
      <w:pPr>
        <w:ind w:left="340" w:right="20" w:hanging="332"/>
        <w:spacing w:after="0" w:line="286"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Reflects contractual principal payments. As a result of the January 2018 debt upsizing, total outstanding long-term debt increased to $350.6 million. Does not include Goldman Sachs warrant amended in connection with the 2017 debt restructuring, which had a fair value of $8.7 million as of December 31, 2017 and is classified as a long-term liability. See “—Liquidity and Capital Resources—Long-term Debt” above.</w:t>
      </w:r>
    </w:p>
    <w:p>
      <w:pPr>
        <w:spacing w:after="0" w:line="165" w:lineRule="exact"/>
        <w:rPr>
          <w:rFonts w:ascii="Arial" w:cs="Arial" w:eastAsia="Arial" w:hAnsi="Arial"/>
          <w:sz w:val="17"/>
          <w:szCs w:val="17"/>
          <w:color w:val="auto"/>
        </w:rPr>
      </w:pPr>
    </w:p>
    <w:p>
      <w:pPr>
        <w:ind w:left="340" w:right="1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mandatory principal prepayment obligation of $5.6 million. This prepayment obligation was waived in April 2018 and reclassified to long-term debt as of September 30, 2018.</w:t>
      </w:r>
    </w:p>
    <w:p>
      <w:pPr>
        <w:spacing w:after="0" w:line="197" w:lineRule="exact"/>
        <w:rPr>
          <w:rFonts w:ascii="Arial" w:cs="Arial" w:eastAsia="Arial" w:hAnsi="Arial"/>
          <w:sz w:val="18"/>
          <w:szCs w:val="18"/>
          <w:color w:val="auto"/>
        </w:rPr>
      </w:pPr>
    </w:p>
    <w:p>
      <w:pPr>
        <w:ind w:left="340" w:right="20" w:hanging="332"/>
        <w:spacing w:after="0" w:line="270"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Reflects minimum interest payable under the Senior Secured Credit Facility and the Subordinated Term Loan. In connection with the January 2018 upsizing and as noted above, the interest payable on all outstanding indebtedness under the Senior Secured Credit Facility was reduced to LIBOR (with a floor of 1.0%) plus 5.0% per annum. Due to historical fluctuations in the LIBOR rate, we have assumed the LIBOR floor rate of 1.0% for purposes of calculating interest payable on the Senior Secured Credit Facility. The $25.0 million revolving credit facility, which was undrawn at September 30, 2018, is subject to a 0.50% fee on the unutilized amount of the facility, which is included as interest payable. The Subordinated Term Loan has two components of interest, the cash interest, which is based on a fixed 5.0% margin, and the PIK interest. The PIK interest varies between 5.0% and 6.25% per annum from period to period based on our leverage ratio calculated pursuant to the credit agreement. We have assumed the minimum rate of 5.0% for purposes of calculating the PIK interest payable accrual of $27.4 million over the remaining duration of the Subordinated Term Loan, which is payable on the maturity date of the Subordinated Term Loan.</w:t>
      </w:r>
    </w:p>
    <w:p>
      <w:pPr>
        <w:spacing w:after="0" w:line="208"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result of the January 2018 debt upsizing, we are committed to pay an additional approximately $18.5 million in interest over the remaining duration of the Senior Secured Credit Facility.</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minimum annual spend commitments with third-party processor partners. In the event we fail to meet the minimum annual spend commitment, we are required to pay the difference between the minimum and the actual dollar amount spent in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accounting principles followed by us and the methods of applying these principles are in accordance with GAAP, which often require the judgment of management in the selection and application of certain accounting principles and methods. We consider the following accounting policies to be critical to understanding our audited consolidated financial statements because the application of these policies requires significant judgment on the part of management. The following accounting policies include estimates that require management’s subjective or complex judgments about the effects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Income Taxes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connection with the Business Combination and Recapitalization, we prospectively adopted the provisions of ASU No. 2015-17, </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during the third quarter of 2018. ASU 2015-17 requires a balance sheet presentation of deferred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reports the net amount of deferred tax assets and liabilities for each tax-paying jurisdiction as non-current on the balance sheet. Our prospective adoption of ASU 2015-17 impacts the classification of deferred tax assets and liabilities on any balance sheet that reports our financial position for any date after June 30, 2018. Balance sheets for prior periods have not been adjusted. The adoption of ASU 2015-17 had no impact on our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the years ended December 31, 2017 and 2016, we capitalized software development costs of $3.1 million and $3.1 million, respectively. As of December 31, 2017 and 2016, capitalized software development costs, net of accumulated amortization, totaled $6.7 million and $5.1 million, respectively, and was included in property and equipment, net on the consolidated balance sheets. Amortization expense for capitalized computer software costs for the years ended December 31, 2017, 2016 and 2015 was $1.6 million, $1.0 million and $0.8 million, respectively.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test goodwill for impairment for each of our reporting units on an annual basis, or when events occur or circumstances indicate the fair value of a reporting unit is below our carrying value. If the fair value of a reporting unit is less than its carrying value, an impairment loss is recorded to the extent that implied fair value of the goodwill within the reporting unit is less than its carrying value. We performed our most recent annual goodwill impairment test as of November 30, 2017 using market data and discounted cash flow analyses. Based on this analysis, it was determined that the fair value exceeded the carrying value of each of our reporting units. We have concluded there have been no indicators impairment for the years ended December 31, 2017, 2016 and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prior to business combination) and customer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r>
        <w:rPr>
          <w:rFonts w:ascii="Arial" w:cs="Arial" w:eastAsia="Arial" w:hAnsi="Arial"/>
          <w:sz w:val="18"/>
          <w:szCs w:val="18"/>
          <w:color w:val="auto"/>
        </w:rPr>
        <w: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We amortize the cost of our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w:t>
      </w:r>
    </w:p>
    <w:p>
      <w:pPr>
        <w:spacing w:after="0" w:line="22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3 years to 25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We concluded there were no indications of impairment for the years ended December 31, 2017, 2016 and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measure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We use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4" w:name="page105"/>
    <w:bookmarkEnd w:id="104"/>
    <w:p>
      <w:pPr>
        <w:ind w:left="34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values of our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our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Prior to July 25, 2018, we were defined as a non-public entity for purposes of applying transition guidance related to new or revised accounting standards under U.S. GAAP, and as such were typically required to adopt new or revised accounting standards subsequent to the required adoption dates that applied to public companies. M I was classified as an emerging growth company (EGC). Subsequent to the July 25, 2018 Business Combination, we retain EGC status until no later than December 31, 2021. We will maintain the election available to an EGC to use any extended transition period applicable to non-public companies when complying with a new or revised accounting standards. Therefore, as long as we retain EGC status, before December 31, 2021 we can continue to elect to adopt any new or revised accounting standards on the adoption date (including early adoption) required for a private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Payments to Employees (ASU 2016-09)</w:t>
      </w:r>
    </w:p>
    <w:p>
      <w:pPr>
        <w:spacing w:after="0" w:line="225" w:lineRule="exact"/>
        <w:rPr>
          <w:sz w:val="20"/>
          <w:szCs w:val="20"/>
          <w:color w:val="auto"/>
        </w:rPr>
      </w:pPr>
    </w:p>
    <w:p>
      <w:pPr>
        <w:ind w:right="1400"/>
        <w:spacing w:after="0" w:line="27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which amends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This new ASU has the following effects:</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Additionally, ASU 2016-09 clarifies that:</w:t>
      </w:r>
    </w:p>
    <w:p>
      <w:pPr>
        <w:spacing w:after="0" w:line="225" w:lineRule="exact"/>
        <w:rPr>
          <w:sz w:val="20"/>
          <w:szCs w:val="20"/>
          <w:color w:val="auto"/>
        </w:rPr>
      </w:pPr>
    </w:p>
    <w:p>
      <w:pPr>
        <w:ind w:left="660" w:right="22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cash payments made to taxing authorities on the employees’ behalf for withheld shares at settlement are presented as financing activities on the statement of cash flows. This change must be applied retrospectively.</w:t>
      </w:r>
    </w:p>
    <w:p>
      <w:pPr>
        <w:spacing w:after="0" w:line="170" w:lineRule="exact"/>
        <w:rPr>
          <w:rFonts w:ascii="Arial" w:cs="Arial" w:eastAsia="Arial" w:hAnsi="Arial"/>
          <w:sz w:val="18"/>
          <w:szCs w:val="18"/>
          <w:color w:val="auto"/>
        </w:rPr>
      </w:pPr>
    </w:p>
    <w:p>
      <w:pPr>
        <w:ind w:left="660" w:right="100" w:hanging="652"/>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entities are permitted to make an accounting policy election for the impact of forfeitures on the recognition of expense for share-based payment awards. Forfeitures can be estimated, as required today,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an EGC, this ASU is effective for us for annual reporting periods beginning 2018 and interim periods beginning first quarter 2019. The adoption of the ASU is not expected to have a material effect on our financial position, results of operations, or cash flows. Its impact on periods after adoption will depend on future grants of share-based compensation that we may make under our 2018 Equity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to Non-Employees (ASU 2018-07)</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Share-based Payments to Non-Employees</w:t>
      </w:r>
      <w:r>
        <w:rPr>
          <w:rFonts w:ascii="Arial" w:cs="Arial" w:eastAsia="Arial" w:hAnsi="Arial"/>
          <w:sz w:val="18"/>
          <w:szCs w:val="18"/>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We are evaluating the impact this ASU will have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us for annual reporting periods beginning after December 15, 2020, and interim periods within annual periods beginning after December 15, 2021. The amendments should be applied either retrospectively or prospectively to all implementation costs incurred after the date of adoption. We are evaluating the impact this ASU will have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 (ASU 2017-01)</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This guidance will assist entities in determining if acquired assets constitute the acquisition of a business or the acquisition of assets for accounting and reporting purposes.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 an EGC, this ASU is effective for us for annual reporting periods beginning after December 15, 2018 and interim periods within years beginning after December 15, 2019. The impact that ASU 2017-01 may have on our position, results of operations or cash flows will depend on the nature of any acquisition commencing after our adoption of the ASU.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ASU eliminates, adds and modifies certain disclosure requirements for fair value measurements as part of the FASB’s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For all entities, this ASU is effective for annual and interim reporting periods beginning after December 15, 2019. Certain amendments must be applied prospectively while others are to be applied on a retrospective basis to all periods presented. As disclosure guidance, the adoption of this ASU will not have an effect on our financial position,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(ASU 2016-15)</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us for years beginning after December 15, 2018 and interim periods within years beginning after December 15, 2019. We are evaluating the effect this ASU will have on its consolidated statement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after December 15, 2021 (i.e., for any impairment test performed in 2022). The impact that ASU 2017-04 may have on our financial condition or results of operations will depend on the circumstances of any goodwill impairment event that may occur after adoption.</w:t>
      </w:r>
    </w:p>
    <w:p>
      <w:pPr>
        <w:sectPr>
          <w:pgSz w:w="11900" w:h="16838" w:orient="portrait"/>
          <w:cols w:equalWidth="0" w:num="1">
            <w:col w:w="11420"/>
          </w:cols>
          <w:pgMar w:left="240" w:top="800" w:right="239" w:bottom="69"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color w:val="auto"/>
        </w:rPr>
        <w:t>Revenue Recognition (ASC 606)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since has been codified and amended in ASC</w:t>
      </w:r>
    </w:p>
    <w:p>
      <w:pPr>
        <w:spacing w:after="0" w:line="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our software systems to assist in both internally capturing accounting differences and externally reporting such differences through enhanced disclosure requirements. As an EGC, the standard is effective for our 2019 annual reporting period and for interim periods after 2019. The standard permits the use of either the retrospective or cumulative effect transition method. We have not yet selected a transition method and we are currently evaluating the effect that the standard may have on our consolidated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2016-02)</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February 2016, the FASB issued new lease accounting guidance in ASU No. 2016-02, </w:t>
      </w:r>
      <w:r>
        <w:rPr>
          <w:rFonts w:ascii="Arial" w:cs="Arial" w:eastAsia="Arial" w:hAnsi="Arial"/>
          <w:sz w:val="18"/>
          <w:szCs w:val="18"/>
          <w:i w:val="1"/>
          <w:iCs w:val="1"/>
          <w:color w:val="auto"/>
        </w:rPr>
        <w:t>Leases-Topic 842</w:t>
      </w:r>
      <w:r>
        <w:rPr>
          <w:rFonts w:ascii="Arial" w:cs="Arial" w:eastAsia="Arial" w:hAnsi="Arial"/>
          <w:sz w:val="18"/>
          <w:szCs w:val="18"/>
          <w:color w:val="auto"/>
        </w:rPr>
        <w:t xml:space="preserve">, which has been codified in ASC 842, </w:t>
      </w:r>
      <w:r>
        <w:rPr>
          <w:rFonts w:ascii="Arial" w:cs="Arial" w:eastAsia="Arial" w:hAnsi="Arial"/>
          <w:sz w:val="18"/>
          <w:szCs w:val="18"/>
          <w:i w:val="1"/>
          <w:iCs w:val="1"/>
          <w:color w:val="auto"/>
        </w:rPr>
        <w:t>Leases</w:t>
      </w:r>
      <w:r>
        <w:rPr>
          <w:rFonts w:ascii="Arial" w:cs="Arial" w:eastAsia="Arial" w:hAnsi="Arial"/>
          <w:sz w:val="18"/>
          <w:szCs w:val="18"/>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our annual reporting period beginning in 2020 and interim reporting periods beginning first quarter of 2021. The new standard requires a modified retrospective basis. The adoption of ASC 842 will require us to recognize non-current assets and liabilities for right-of-use assets and operating lease liabilities on our consolidated balance sheet, but is not expected to have a material effect on our results of operations or cash flows. ASC 842 will also require additional footnote disclosures to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new guidance will change how entities account for credit impairment for trade and other receivables, as well as for certain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We are currently evaluating the potential impact that ASU 2016-13 may have on the timing of recognizing future provisions for expected losses on our accounts receivable. As an EGC, the ASU is effective for annual periods beginning after December 15, 2020 and interim periods within annual periods beginning after December 15,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Senior Secured Credit Facility bears interest at a rate based on LIBOR plus a fixed margin. As of December 31, 2017, we had $198 million in outstanding borrowings under our Senior Secured Credit Facility. A hypothetical 1% increase in 2017 in the applicable LIBOR rate on our outstanding indebtedness under the Senior Secured Credit Facility would have increased cash interest expense on our indebtedness by approximately $1.8 million per annum, while a hypothetical 1% decrease in the applicable LIBOR rate would have decreased cash interest expense on our indebtedness by approximately $0.4 million per annum. The discrepancy between the hypothetical increase and decrease is attributable to the 1.0% LIBOR floor under the Senior Secured Credit Facility. The applicable LIBOR rate stood at 1.35% at December 31, 2017.</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2018, we had $263.5 million in outstanding borrowings under our Senior Secured Credit Facility. The applicable LIBOR rate stood at 2.1% at September 30, 2018 and the fixed margin stood at 5%, for an interest rate of 7.1%. A hypothetical 1.0% increase or decrease in the applicable LIBOR rate on our outstanding indebtedness under the Senior Secured Credit Facility for the nine months ended September 30, 2018 would have increased or decreased interest expense by approximately $2.0 million. Per annum, a 1% hypothetical increase or decrease in the applicable LIBOR on this debt rate would increase annual interest expense by approximately $2.6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against interest rate risk.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executive officers of Priority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Age</w:t>
            </w:r>
          </w:p>
        </w:tc>
        <w:tc>
          <w:tcPr>
            <w:tcW w:w="9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1700" w:type="dxa"/>
            <w:vAlign w:val="bottom"/>
          </w:tcPr>
          <w:p>
            <w:pPr>
              <w:spacing w:after="0" w:line="195" w:lineRule="exact"/>
              <w:rPr>
                <w:sz w:val="20"/>
                <w:szCs w:val="20"/>
                <w:color w:val="auto"/>
              </w:rPr>
            </w:pPr>
            <w:r>
              <w:rPr>
                <w:rFonts w:ascii="Arial" w:cs="Arial" w:eastAsia="Arial" w:hAnsi="Arial"/>
                <w:sz w:val="18"/>
                <w:szCs w:val="18"/>
                <w:color w:val="auto"/>
              </w:rPr>
              <w:t>Thomas Priore</w:t>
            </w:r>
          </w:p>
        </w:tc>
        <w:tc>
          <w:tcPr>
            <w:tcW w:w="660" w:type="dxa"/>
            <w:vAlign w:val="bottom"/>
          </w:tcPr>
          <w:p>
            <w:pPr>
              <w:ind w:left="140"/>
              <w:spacing w:after="0" w:line="195" w:lineRule="exact"/>
              <w:rPr>
                <w:sz w:val="20"/>
                <w:szCs w:val="20"/>
                <w:color w:val="auto"/>
              </w:rPr>
            </w:pPr>
            <w:r>
              <w:rPr>
                <w:rFonts w:ascii="Arial" w:cs="Arial" w:eastAsia="Arial" w:hAnsi="Arial"/>
                <w:sz w:val="18"/>
                <w:szCs w:val="18"/>
                <w:color w:val="auto"/>
              </w:rPr>
              <w:t>50</w:t>
            </w:r>
          </w:p>
        </w:tc>
        <w:tc>
          <w:tcPr>
            <w:tcW w:w="9060" w:type="dxa"/>
            <w:vAlign w:val="bottom"/>
          </w:tcPr>
          <w:p>
            <w:pPr>
              <w:ind w:left="200"/>
              <w:spacing w:after="0" w:line="195" w:lineRule="exact"/>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John Priore</w:t>
            </w:r>
          </w:p>
        </w:tc>
        <w:tc>
          <w:tcPr>
            <w:tcW w:w="660" w:type="dxa"/>
            <w:vAlign w:val="bottom"/>
          </w:tcPr>
          <w:p>
            <w:pPr>
              <w:ind w:left="140"/>
              <w:spacing w:after="0"/>
              <w:rPr>
                <w:sz w:val="20"/>
                <w:szCs w:val="20"/>
                <w:color w:val="auto"/>
              </w:rPr>
            </w:pPr>
            <w:r>
              <w:rPr>
                <w:rFonts w:ascii="Arial" w:cs="Arial" w:eastAsia="Arial" w:hAnsi="Arial"/>
                <w:sz w:val="18"/>
                <w:szCs w:val="18"/>
                <w:color w:val="auto"/>
              </w:rPr>
              <w:t>55</w:t>
            </w:r>
          </w:p>
        </w:tc>
        <w:tc>
          <w:tcPr>
            <w:tcW w:w="9060" w:type="dxa"/>
            <w:vAlign w:val="bottom"/>
          </w:tcPr>
          <w:p>
            <w:pPr>
              <w:ind w:left="200"/>
              <w:spacing w:after="0"/>
              <w:rPr>
                <w:sz w:val="20"/>
                <w:szCs w:val="20"/>
                <w:color w:val="auto"/>
              </w:rPr>
            </w:pPr>
            <w:r>
              <w:rPr>
                <w:rFonts w:ascii="Arial" w:cs="Arial" w:eastAsia="Arial" w:hAnsi="Arial"/>
                <w:sz w:val="18"/>
                <w:szCs w:val="18"/>
                <w:color w:val="auto"/>
              </w:rPr>
              <w:t>Vice-Chairman</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Bruce Mattox</w:t>
            </w:r>
          </w:p>
        </w:tc>
        <w:tc>
          <w:tcPr>
            <w:tcW w:w="660" w:type="dxa"/>
            <w:vAlign w:val="bottom"/>
          </w:tcPr>
          <w:p>
            <w:pPr>
              <w:ind w:left="140"/>
              <w:spacing w:after="0"/>
              <w:rPr>
                <w:sz w:val="20"/>
                <w:szCs w:val="20"/>
                <w:color w:val="auto"/>
              </w:rPr>
            </w:pPr>
            <w:r>
              <w:rPr>
                <w:rFonts w:ascii="Arial" w:cs="Arial" w:eastAsia="Arial" w:hAnsi="Arial"/>
                <w:sz w:val="18"/>
                <w:szCs w:val="18"/>
                <w:color w:val="auto"/>
              </w:rPr>
              <w:t>62</w:t>
            </w:r>
          </w:p>
        </w:tc>
        <w:tc>
          <w:tcPr>
            <w:tcW w:w="9060" w:type="dxa"/>
            <w:vAlign w:val="bottom"/>
          </w:tcPr>
          <w:p>
            <w:pPr>
              <w:ind w:left="200"/>
              <w:spacing w:after="0"/>
              <w:rPr>
                <w:sz w:val="20"/>
                <w:szCs w:val="20"/>
                <w:color w:val="auto"/>
              </w:rPr>
            </w:pPr>
            <w:r>
              <w:rPr>
                <w:rFonts w:ascii="Arial" w:cs="Arial" w:eastAsia="Arial" w:hAnsi="Arial"/>
                <w:sz w:val="18"/>
                <w:szCs w:val="18"/>
                <w:color w:val="auto"/>
              </w:rPr>
              <w:t>Chief Accounting Officer</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Michael Vollkommer</w:t>
            </w:r>
          </w:p>
        </w:tc>
        <w:tc>
          <w:tcPr>
            <w:tcW w:w="660" w:type="dxa"/>
            <w:vAlign w:val="bottom"/>
          </w:tcPr>
          <w:p>
            <w:pPr>
              <w:ind w:left="140"/>
              <w:spacing w:after="0"/>
              <w:rPr>
                <w:sz w:val="20"/>
                <w:szCs w:val="20"/>
                <w:color w:val="auto"/>
              </w:rPr>
            </w:pPr>
            <w:r>
              <w:rPr>
                <w:rFonts w:ascii="Arial" w:cs="Arial" w:eastAsia="Arial" w:hAnsi="Arial"/>
                <w:sz w:val="18"/>
                <w:szCs w:val="18"/>
                <w:color w:val="auto"/>
              </w:rPr>
              <w:t>60</w:t>
            </w:r>
          </w:p>
        </w:tc>
        <w:tc>
          <w:tcPr>
            <w:tcW w:w="906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Sean Kiewiet</w:t>
            </w:r>
          </w:p>
        </w:tc>
        <w:tc>
          <w:tcPr>
            <w:tcW w:w="660" w:type="dxa"/>
            <w:vAlign w:val="bottom"/>
          </w:tcPr>
          <w:p>
            <w:pPr>
              <w:ind w:left="140"/>
              <w:spacing w:after="0"/>
              <w:rPr>
                <w:sz w:val="20"/>
                <w:szCs w:val="20"/>
                <w:color w:val="auto"/>
              </w:rPr>
            </w:pPr>
            <w:r>
              <w:rPr>
                <w:rFonts w:ascii="Arial" w:cs="Arial" w:eastAsia="Arial" w:hAnsi="Arial"/>
                <w:sz w:val="18"/>
                <w:szCs w:val="18"/>
                <w:color w:val="auto"/>
              </w:rPr>
              <w:t>46</w:t>
            </w:r>
          </w:p>
        </w:tc>
        <w:tc>
          <w:tcPr>
            <w:tcW w:w="9060" w:type="dxa"/>
            <w:vAlign w:val="bottom"/>
          </w:tcPr>
          <w:p>
            <w:pPr>
              <w:ind w:left="200"/>
              <w:spacing w:after="0"/>
              <w:rPr>
                <w:sz w:val="20"/>
                <w:szCs w:val="20"/>
                <w:color w:val="auto"/>
              </w:rPr>
            </w:pPr>
            <w:r>
              <w:rPr>
                <w:rFonts w:ascii="Arial" w:cs="Arial" w:eastAsia="Arial" w:hAnsi="Arial"/>
                <w:sz w:val="18"/>
                <w:szCs w:val="18"/>
                <w:color w:val="auto"/>
              </w:rPr>
              <w:t>Chief Technology Officer</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Timothy Schneible</w:t>
            </w:r>
          </w:p>
        </w:tc>
        <w:tc>
          <w:tcPr>
            <w:tcW w:w="660" w:type="dxa"/>
            <w:vAlign w:val="bottom"/>
          </w:tcPr>
          <w:p>
            <w:pPr>
              <w:ind w:left="140"/>
              <w:spacing w:after="0"/>
              <w:rPr>
                <w:sz w:val="20"/>
                <w:szCs w:val="20"/>
                <w:color w:val="auto"/>
              </w:rPr>
            </w:pPr>
            <w:r>
              <w:rPr>
                <w:rFonts w:ascii="Arial" w:cs="Arial" w:eastAsia="Arial" w:hAnsi="Arial"/>
                <w:sz w:val="18"/>
                <w:szCs w:val="18"/>
                <w:color w:val="auto"/>
              </w:rPr>
              <w:t>45</w:t>
            </w:r>
          </w:p>
        </w:tc>
        <w:tc>
          <w:tcPr>
            <w:tcW w:w="9060" w:type="dxa"/>
            <w:vAlign w:val="bottom"/>
          </w:tcPr>
          <w:p>
            <w:pPr>
              <w:ind w:left="200"/>
              <w:spacing w:after="0"/>
              <w:rPr>
                <w:sz w:val="20"/>
                <w:szCs w:val="20"/>
                <w:color w:val="auto"/>
              </w:rPr>
            </w:pPr>
            <w:r>
              <w:rPr>
                <w:rFonts w:ascii="Arial" w:cs="Arial" w:eastAsia="Arial" w:hAnsi="Arial"/>
                <w:sz w:val="18"/>
                <w:szCs w:val="18"/>
                <w:color w:val="auto"/>
              </w:rPr>
              <w:t>Chief Operating Officer</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Cindy O’Neill</w:t>
            </w:r>
          </w:p>
        </w:tc>
        <w:tc>
          <w:tcPr>
            <w:tcW w:w="660" w:type="dxa"/>
            <w:vAlign w:val="bottom"/>
          </w:tcPr>
          <w:p>
            <w:pPr>
              <w:ind w:left="140"/>
              <w:spacing w:after="0"/>
              <w:rPr>
                <w:sz w:val="20"/>
                <w:szCs w:val="20"/>
                <w:color w:val="auto"/>
              </w:rPr>
            </w:pPr>
            <w:r>
              <w:rPr>
                <w:rFonts w:ascii="Arial" w:cs="Arial" w:eastAsia="Arial" w:hAnsi="Arial"/>
                <w:sz w:val="18"/>
                <w:szCs w:val="18"/>
                <w:color w:val="auto"/>
              </w:rPr>
              <w:t>50</w:t>
            </w:r>
          </w:p>
        </w:tc>
        <w:tc>
          <w:tcPr>
            <w:tcW w:w="9060" w:type="dxa"/>
            <w:vAlign w:val="bottom"/>
          </w:tcPr>
          <w:p>
            <w:pPr>
              <w:ind w:left="200"/>
              <w:spacing w:after="0"/>
              <w:rPr>
                <w:sz w:val="20"/>
                <w:szCs w:val="20"/>
                <w:color w:val="auto"/>
              </w:rPr>
            </w:pPr>
            <w:r>
              <w:rPr>
                <w:rFonts w:ascii="Arial" w:cs="Arial" w:eastAsia="Arial" w:hAnsi="Arial"/>
                <w:sz w:val="18"/>
                <w:szCs w:val="18"/>
                <w:color w:val="auto"/>
              </w:rPr>
              <w:t>President of Commercial Payments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David McMiller</w:t>
            </w:r>
          </w:p>
        </w:tc>
        <w:tc>
          <w:tcPr>
            <w:tcW w:w="660" w:type="dxa"/>
            <w:vAlign w:val="bottom"/>
          </w:tcPr>
          <w:p>
            <w:pPr>
              <w:ind w:left="140"/>
              <w:spacing w:after="0"/>
              <w:rPr>
                <w:sz w:val="20"/>
                <w:szCs w:val="20"/>
                <w:color w:val="auto"/>
              </w:rPr>
            </w:pPr>
            <w:r>
              <w:rPr>
                <w:rFonts w:ascii="Arial" w:cs="Arial" w:eastAsia="Arial" w:hAnsi="Arial"/>
                <w:sz w:val="18"/>
                <w:szCs w:val="18"/>
                <w:color w:val="auto"/>
              </w:rPr>
              <w:t>63</w:t>
            </w:r>
          </w:p>
        </w:tc>
        <w:tc>
          <w:tcPr>
            <w:tcW w:w="9060" w:type="dxa"/>
            <w:vAlign w:val="bottom"/>
          </w:tcPr>
          <w:p>
            <w:pPr>
              <w:ind w:left="200"/>
              <w:spacing w:after="0"/>
              <w:rPr>
                <w:sz w:val="20"/>
                <w:szCs w:val="20"/>
                <w:color w:val="auto"/>
              </w:rPr>
            </w:pPr>
            <w:r>
              <w:rPr>
                <w:rFonts w:ascii="Arial" w:cs="Arial" w:eastAsia="Arial" w:hAnsi="Arial"/>
                <w:sz w:val="18"/>
                <w:szCs w:val="18"/>
                <w:color w:val="auto"/>
              </w:rPr>
              <w:t>President of Commercial Business Services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Afshin Yazdian</w:t>
            </w:r>
          </w:p>
        </w:tc>
        <w:tc>
          <w:tcPr>
            <w:tcW w:w="660" w:type="dxa"/>
            <w:vAlign w:val="bottom"/>
          </w:tcPr>
          <w:p>
            <w:pPr>
              <w:ind w:left="140"/>
              <w:spacing w:after="0"/>
              <w:rPr>
                <w:sz w:val="20"/>
                <w:szCs w:val="20"/>
                <w:color w:val="auto"/>
              </w:rPr>
            </w:pPr>
            <w:r>
              <w:rPr>
                <w:rFonts w:ascii="Arial" w:cs="Arial" w:eastAsia="Arial" w:hAnsi="Arial"/>
                <w:sz w:val="18"/>
                <w:szCs w:val="18"/>
                <w:color w:val="auto"/>
              </w:rPr>
              <w:t>46</w:t>
            </w:r>
          </w:p>
        </w:tc>
        <w:tc>
          <w:tcPr>
            <w:tcW w:w="9060" w:type="dxa"/>
            <w:vAlign w:val="bottom"/>
          </w:tcPr>
          <w:p>
            <w:pPr>
              <w:ind w:left="200"/>
              <w:spacing w:after="0"/>
              <w:rPr>
                <w:sz w:val="20"/>
                <w:szCs w:val="20"/>
                <w:color w:val="auto"/>
              </w:rPr>
            </w:pPr>
            <w:r>
              <w:rPr>
                <w:rFonts w:ascii="Arial" w:cs="Arial" w:eastAsia="Arial" w:hAnsi="Arial"/>
                <w:sz w:val="18"/>
                <w:szCs w:val="18"/>
                <w:color w:val="auto"/>
              </w:rPr>
              <w:t>President of Core Acquiring</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Chris Prince</w:t>
            </w:r>
          </w:p>
        </w:tc>
        <w:tc>
          <w:tcPr>
            <w:tcW w:w="660" w:type="dxa"/>
            <w:vAlign w:val="bottom"/>
          </w:tcPr>
          <w:p>
            <w:pPr>
              <w:ind w:left="140"/>
              <w:spacing w:after="0"/>
              <w:rPr>
                <w:sz w:val="20"/>
                <w:szCs w:val="20"/>
                <w:color w:val="auto"/>
              </w:rPr>
            </w:pPr>
            <w:r>
              <w:rPr>
                <w:rFonts w:ascii="Arial" w:cs="Arial" w:eastAsia="Arial" w:hAnsi="Arial"/>
                <w:sz w:val="18"/>
                <w:szCs w:val="18"/>
                <w:color w:val="auto"/>
              </w:rPr>
              <w:t>45</w:t>
            </w:r>
          </w:p>
        </w:tc>
        <w:tc>
          <w:tcPr>
            <w:tcW w:w="9060" w:type="dxa"/>
            <w:vAlign w:val="bottom"/>
          </w:tcPr>
          <w:p>
            <w:pPr>
              <w:ind w:left="200"/>
              <w:spacing w:after="0"/>
              <w:rPr>
                <w:sz w:val="20"/>
                <w:szCs w:val="20"/>
                <w:color w:val="auto"/>
              </w:rPr>
            </w:pPr>
            <w:r>
              <w:rPr>
                <w:rFonts w:ascii="Arial" w:cs="Arial" w:eastAsia="Arial" w:hAnsi="Arial"/>
                <w:sz w:val="18"/>
                <w:szCs w:val="18"/>
                <w:color w:val="auto"/>
              </w:rPr>
              <w:t>General Counsel</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Marc Manuel</w:t>
            </w:r>
          </w:p>
        </w:tc>
        <w:tc>
          <w:tcPr>
            <w:tcW w:w="660" w:type="dxa"/>
            <w:vAlign w:val="bottom"/>
          </w:tcPr>
          <w:p>
            <w:pPr>
              <w:ind w:left="140"/>
              <w:spacing w:after="0"/>
              <w:rPr>
                <w:sz w:val="20"/>
                <w:szCs w:val="20"/>
                <w:color w:val="auto"/>
              </w:rPr>
            </w:pPr>
            <w:r>
              <w:rPr>
                <w:rFonts w:ascii="Arial" w:cs="Arial" w:eastAsia="Arial" w:hAnsi="Arial"/>
                <w:sz w:val="18"/>
                <w:szCs w:val="18"/>
                <w:color w:val="auto"/>
              </w:rPr>
              <w:t>49</w:t>
            </w:r>
          </w:p>
        </w:tc>
        <w:tc>
          <w:tcPr>
            <w:tcW w:w="906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William Gahan</w:t>
            </w:r>
          </w:p>
        </w:tc>
        <w:tc>
          <w:tcPr>
            <w:tcW w:w="660" w:type="dxa"/>
            <w:vAlign w:val="bottom"/>
          </w:tcPr>
          <w:p>
            <w:pPr>
              <w:ind w:left="140"/>
              <w:spacing w:after="0"/>
              <w:rPr>
                <w:sz w:val="20"/>
                <w:szCs w:val="20"/>
                <w:color w:val="auto"/>
              </w:rPr>
            </w:pPr>
            <w:r>
              <w:rPr>
                <w:rFonts w:ascii="Arial" w:cs="Arial" w:eastAsia="Arial" w:hAnsi="Arial"/>
                <w:sz w:val="18"/>
                <w:szCs w:val="18"/>
                <w:color w:val="auto"/>
              </w:rPr>
              <w:t>52</w:t>
            </w:r>
          </w:p>
        </w:tc>
        <w:tc>
          <w:tcPr>
            <w:tcW w:w="906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Matthew Kearney</w:t>
            </w:r>
          </w:p>
        </w:tc>
        <w:tc>
          <w:tcPr>
            <w:tcW w:w="660" w:type="dxa"/>
            <w:vAlign w:val="bottom"/>
          </w:tcPr>
          <w:p>
            <w:pPr>
              <w:ind w:left="140"/>
              <w:spacing w:after="0"/>
              <w:rPr>
                <w:sz w:val="20"/>
                <w:szCs w:val="20"/>
                <w:color w:val="auto"/>
              </w:rPr>
            </w:pPr>
            <w:r>
              <w:rPr>
                <w:rFonts w:ascii="Arial" w:cs="Arial" w:eastAsia="Arial" w:hAnsi="Arial"/>
                <w:sz w:val="18"/>
                <w:szCs w:val="18"/>
                <w:color w:val="auto"/>
              </w:rPr>
              <w:t>57</w:t>
            </w:r>
          </w:p>
        </w:tc>
        <w:tc>
          <w:tcPr>
            <w:tcW w:w="906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Thomas Priore </w:t>
      </w:r>
      <w:r>
        <w:rPr>
          <w:rFonts w:ascii="Arial" w:cs="Arial" w:eastAsia="Arial" w:hAnsi="Arial"/>
          <w:sz w:val="18"/>
          <w:szCs w:val="18"/>
          <w:color w:val="auto"/>
        </w:rPr>
        <w:t>has served as President and Chief Executive Officer since December 2018 and as Executive Chairman and founding member of Priority since</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2005. Under Mr. Priore’s strategic direction, Priority has 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18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John Priore </w:t>
      </w:r>
      <w:r>
        <w:rPr>
          <w:rFonts w:ascii="Arial" w:cs="Arial" w:eastAsia="Arial" w:hAnsi="Arial"/>
          <w:sz w:val="16"/>
          <w:szCs w:val="16"/>
          <w:color w:val="auto"/>
        </w:rPr>
        <w:t>is the co-founder of Priority and has served as Vice-Chairman of Priority since December 2018. Prior to that, John Priore served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Bruce Mattox </w:t>
      </w:r>
      <w:r>
        <w:rPr>
          <w:rFonts w:ascii="Arial" w:cs="Arial" w:eastAsia="Arial" w:hAnsi="Arial"/>
          <w:sz w:val="18"/>
          <w:szCs w:val="18"/>
          <w:color w:val="auto"/>
        </w:rPr>
        <w:t>has served as Chief Accounting Officer of Priority since December 2018. Prior to that, Mr. Mattox served as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Priority since April 2011. Mr. Mattox has over 30 years of experience in the payments industry and is a Certified Public Accountant. Prior to joining Priority, Mr. Mattox was a Senior Finance Manager with General Electric Corporation in the Consumer Finance Division and has also held the position of Vice President &amp; Divisional Controller for Wachovia Bank of Georgia. He is certified in Six Sigma Process Management and a member of various CPA associations. Mr. Mattox leverages his experience to keep up with today’s business environment, helping Priority realize the opportunities associated with business mergers, acquisitions, product initiatives and fiscal guidance.</w:t>
      </w:r>
    </w:p>
    <w:p>
      <w:pPr>
        <w:spacing w:after="0" w:line="1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Michael Vollkommer </w:t>
      </w:r>
      <w:r>
        <w:rPr>
          <w:rFonts w:ascii="Arial" w:cs="Arial" w:eastAsia="Arial" w:hAnsi="Arial"/>
          <w:sz w:val="18"/>
          <w:szCs w:val="18"/>
          <w:color w:val="auto"/>
        </w:rPr>
        <w:t>has served as Chief Financial Officer of Priority since December 2018. Mr. Vollkommer is a CPA who has over 30 years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a variety of industries, serving in executive-level positions within several global corporations. Prior to joining Priority, Mr. Vollkommer most recently served as the Chief Financial Officer of Vesta Corporation, a worldwide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w:t>
      </w:r>
    </w:p>
    <w:p>
      <w:pPr>
        <w:spacing w:after="0" w:line="1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Mr. Kiewiet has served as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Priority since August 2005.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9" w:name="page110"/>
    <w:bookmarkEnd w:id="109"/>
    <w:p>
      <w:pPr>
        <w:ind w:right="120"/>
        <w:spacing w:after="0" w:line="258" w:lineRule="auto"/>
        <w:rPr>
          <w:sz w:val="20"/>
          <w:szCs w:val="20"/>
          <w:color w:val="auto"/>
        </w:rPr>
      </w:pPr>
      <w:r>
        <w:rPr>
          <w:rFonts w:ascii="Arial" w:cs="Arial" w:eastAsia="Arial" w:hAnsi="Arial"/>
          <w:sz w:val="18"/>
          <w:szCs w:val="18"/>
          <w:b w:val="1"/>
          <w:bCs w:val="1"/>
          <w:color w:val="auto"/>
        </w:rPr>
        <w:t xml:space="preserve">Timothy Schneible </w:t>
      </w:r>
      <w:r>
        <w:rPr>
          <w:rFonts w:ascii="Arial" w:cs="Arial" w:eastAsia="Arial" w:hAnsi="Arial"/>
          <w:sz w:val="18"/>
          <w:szCs w:val="18"/>
          <w:color w:val="auto"/>
        </w:rPr>
        <w:t>has served as Priority’s Chief Operating Officer since October 2018. Prior to joining Priority, Mr. Schneible spent 18 years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and leadership positions in risk management, fraud and credit operations, call center management, and executive officer roles in payment operations for organizations including Bank One Corp., Barclaycard U.S., Worldpay, Inc., and Merchant e-Solutions, Inc. Between March 2015 and October 2018, Mr. Schneible served as Executive Vice President of Operations at Merchant e-Solutions, Inc. He previously served as a Senior Vice President at WorldPay, Inc. since June 2010.</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Cindy O’Neill </w:t>
      </w:r>
      <w:r>
        <w:rPr>
          <w:rFonts w:ascii="Arial" w:cs="Arial" w:eastAsia="Arial" w:hAnsi="Arial"/>
          <w:sz w:val="17"/>
          <w:szCs w:val="17"/>
          <w:color w:val="auto"/>
        </w:rPr>
        <w:t>has served as Priority’s President of Commercial Payments since March 2017. From July 2016 to March 2017, Ms. O’Neill worked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Ms. O’Neill served as Managing Director, Group Head of Cash Management Product, at Bank of the West. From June 2010 to February 2015, Ms. O’Neill served as the Head of Global Product Management and Region Head of U.S. Commercial Business at Visa. Prior to assuming those positions, Ms. O’Neill spent 17 years in treasury management, holding leadership positions at Wells Fargo (February 2007 to June 2010) and Bank of America (October 1994 to February 2007).</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David McMiller </w:t>
      </w:r>
      <w:r>
        <w:rPr>
          <w:rFonts w:ascii="Arial" w:cs="Arial" w:eastAsia="Arial" w:hAnsi="Arial"/>
          <w:sz w:val="18"/>
          <w:szCs w:val="18"/>
          <w:color w:val="auto"/>
        </w:rPr>
        <w:t>has served as Priority’s President of Commercial Business Services since January 2015. Mr. McMiller previously served as VP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and Franchise at Priority since October 2008. Mr. McMiller brings over thirty-five years of executive development experience after serving as the Executive Vice President for NOVA and development roles for Uptons and Kohl’s.</w:t>
      </w:r>
    </w:p>
    <w:p>
      <w:pPr>
        <w:spacing w:after="0" w:line="176"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Mr. Yazdian was previously President &amp; CEO of Cynergy Data from</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2013 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51"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Chris Prince </w:t>
      </w:r>
      <w:r>
        <w:rPr>
          <w:rFonts w:ascii="Arial" w:cs="Arial" w:eastAsia="Arial" w:hAnsi="Arial"/>
          <w:sz w:val="18"/>
          <w:szCs w:val="18"/>
          <w:color w:val="auto"/>
        </w:rPr>
        <w:t>has served as Priority’s General Counsel since August 2010. Prior to joining Priority, Mr. Prince was Counsel at the international law firm of</w:t>
      </w:r>
      <w:r>
        <w:rPr>
          <w:rFonts w:ascii="Arial" w:cs="Arial" w:eastAsia="Arial" w:hAnsi="Arial"/>
          <w:sz w:val="18"/>
          <w:szCs w:val="18"/>
          <w:b w:val="1"/>
          <w:bCs w:val="1"/>
          <w:color w:val="auto"/>
        </w:rPr>
        <w:t xml:space="preserve"> </w:t>
      </w:r>
      <w:r>
        <w:rPr>
          <w:rFonts w:ascii="Arial" w:cs="Arial" w:eastAsia="Arial" w:hAnsi="Arial"/>
          <w:sz w:val="18"/>
          <w:szCs w:val="18"/>
          <w:color w:val="auto"/>
        </w:rPr>
        <w:t>King &amp; Spalding LLP, where he was a member of the Corporate, Technology and Global Transactions practice groups, focusing on M&amp;A, joint venture and strategic alliances for domestic and international licensing of intellectual property and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Marc Manuel </w:t>
      </w:r>
      <w:r>
        <w:rPr>
          <w:rFonts w:ascii="Arial" w:cs="Arial" w:eastAsia="Arial" w:hAnsi="Arial"/>
          <w:sz w:val="16"/>
          <w:szCs w:val="16"/>
          <w:color w:val="auto"/>
        </w:rPr>
        <w:t>served as Chief Financial Officer and Director of M I from July 12, 2016 until the Business Combination. Mr. Manuel served as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for Magna Management from 2012 until 2017. During his time with Magna Management, Mr. Manuel was responsible for helping to build out the Magna Management’s Equities division, structuring the Equities division’s investments both as lead investor in syndicated transactions and as a sole investor. Prior to joining Magna Management,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5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William Gahan </w:t>
      </w:r>
      <w:r>
        <w:rPr>
          <w:rFonts w:ascii="Arial" w:cs="Arial" w:eastAsia="Arial" w:hAnsi="Arial"/>
          <w:sz w:val="18"/>
          <w:szCs w:val="18"/>
          <w:color w:val="auto"/>
        </w:rPr>
        <w:t>is a risk management specialist focused on institutional fixed income asset management and debt capital markets. Most recently, from 2011</w:t>
      </w:r>
      <w:r>
        <w:rPr>
          <w:rFonts w:ascii="Arial" w:cs="Arial" w:eastAsia="Arial" w:hAnsi="Arial"/>
          <w:sz w:val="18"/>
          <w:szCs w:val="18"/>
          <w:b w:val="1"/>
          <w:bCs w:val="1"/>
          <w:color w:val="auto"/>
        </w:rPr>
        <w:t xml:space="preserve"> </w:t>
      </w:r>
      <w:r>
        <w:rPr>
          <w:rFonts w:ascii="Arial" w:cs="Arial" w:eastAsia="Arial" w:hAnsi="Arial"/>
          <w:sz w:val="18"/>
          <w:szCs w:val="18"/>
          <w:color w:val="auto"/>
        </w:rPr>
        <w:t>until 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10" w:name="page111"/>
    <w:bookmarkEnd w:id="110"/>
    <w:p>
      <w:pPr>
        <w:ind w:right="120"/>
        <w:spacing w:after="0" w:line="254" w:lineRule="auto"/>
        <w:rPr>
          <w:sz w:val="20"/>
          <w:szCs w:val="20"/>
          <w:color w:val="auto"/>
        </w:rPr>
      </w:pPr>
      <w:r>
        <w:rPr>
          <w:rFonts w:ascii="Arial" w:cs="Arial" w:eastAsia="Arial" w:hAnsi="Arial"/>
          <w:sz w:val="18"/>
          <w:szCs w:val="18"/>
          <w:b w:val="1"/>
          <w:bCs w:val="1"/>
          <w:color w:val="auto"/>
        </w:rPr>
        <w:t xml:space="preserve">Matthew Kearney </w:t>
      </w:r>
      <w:r>
        <w:rPr>
          <w:rFonts w:ascii="Arial" w:cs="Arial" w:eastAsia="Arial" w:hAnsi="Arial"/>
          <w:sz w:val="18"/>
          <w:szCs w:val="18"/>
          <w:color w:val="auto"/>
        </w:rPr>
        <w:t>has been an Operating Partner at Rockbridge Growth Equity, LLC since March 2015. Mr. Kearney is responsible for driving a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and operational improvement and initiatives across the firm while also overseeing Rockbridge’s media portfolio and advising on new media investments. During his time at Rockbridge, Mr. Kearney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TEL) and had served as an advisor to the board of directors of M I. Mr. Kearney previously served as CEO of Screenvision, a cinema advertising and media distribution company. Mr. Kearney holds a B.S. degree in Aeronautical Engineering from the University of Manchester and an MBA from London Business School.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Thomas Priore, our President, Chief Executive Officer and Chairman, and John Priore, our Vice-Chairman, are brothers.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our Common Stock being listed on NASDAQ, Priority adheres to the rules of such exchange in determining whether a director is independent. The board of directors has consulted, and will consult, with its counsel to ensure that the board’s determinations are consistent with those rules and all relevant securities and other laws and regulations regarding the independence of directors. The NASDAQ listing standards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 The parties have determined that Messrs. Manuel, Gahan and Kearney will be considered independent directors. Our independent directors will have regularly scheduled meetings at which only independent directors are present.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Thomas Priore continues to control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4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 with a written charter addressing the Committee’s purpose and responsibilities;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utilize and intend to continue to utilize these exemptions. As a result, we do not currently have a majority of independent directors and our Compensation Committee and Nominating/Corporate Governance Committee does not consist entirely of independent directors. Accordingly, you will not have the same protections afforded to stockholders of companies that are subject to all of the corporate governance requirements of NASDAQ.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oversees the risk management activities designed and implemented by our management. Our board of directors executes its oversight responsibility both directly and through its committees. Our board of directors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of directors and the audit committee. Our board of directors delegates to the audit committee oversight of its risk management process, and our other committees also consider risk as they perform their respective committee responsibilities. All committees report to the board of directors as appropriate, including when a matter rises to the level of material or enterprise risk.</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Priority has established a separately standing audit committee, corporate governance and nominating committee and compensation committee.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Information</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Priority has established an audit committee comprised of independent directors. The audit committee consists of Marc Manuel, William Gahan and Matthew Kearney. Each of the member of the audit committee is independent under the applicable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Mr. Manuel serves as a financial expert on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Nominating Committee Information</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Priority has established a corporate governance and nominating committee of the board of directors comprised of Thomas Priore, John Priore and William Gahan, with Thomas Priore as the chairman of the corporate governance and nominating committee. Each member of the corporate governance and nominating committee is independent under the applicable listing standards. The corporate governance and nominating committee has a written charter. The corporate governance and nominating committee is responsible for overseeing the selection of persons to be nominated to serve on our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corporate governance and nominating committee considers persons identified by its members, management, stockholders, investment bankers and others. The guidelines for selecting nominees, which are specified in the corporate governance and nominating committee charter, generally provide that persons to be nominated:</w:t>
      </w:r>
    </w:p>
    <w:p>
      <w:pPr>
        <w:spacing w:after="0" w:line="18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24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corporate governance and nominating committee considers a number of qualifications relating to management and leadership experience, background and integrity and professionalism in evaluating a person’s candidacy for membership on the board of directors. The corporate governance and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corporate governance and nominating committee does not distinguish among nominees recommended by stockholders and other persons.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Compensation Committee Information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of directors of Priority has established a compensation committee consisting of Thomas Priore, John Priore and William Gahan, with Thomas Priore as the chairman of the compensation committee. The compensation committee has a written charter. The purpose of the compensation committee is to review and approve compensation paid to our officers and directors and to administer incentive compensation plans, including authority to make and modify awards under such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Priority has adopted a Code of Ethics that applies to all of its employees, officers and directors. This includes our principal executive officer, principal financial officer, and principal accounting officer or controller, or persons performing similar functions. The full text of the Code of Ethics is posted on its website at </w:t>
      </w:r>
      <w:r>
        <w:rPr>
          <w:rFonts w:ascii="Arial" w:cs="Arial" w:eastAsia="Arial" w:hAnsi="Arial"/>
          <w:sz w:val="18"/>
          <w:szCs w:val="18"/>
          <w:i w:val="1"/>
          <w:iCs w:val="1"/>
          <w:color w:val="auto"/>
        </w:rPr>
        <w:t>www.prth.com</w:t>
      </w:r>
      <w:r>
        <w:rPr>
          <w:rFonts w:ascii="Arial" w:cs="Arial" w:eastAsia="Arial" w:hAnsi="Arial"/>
          <w:sz w:val="18"/>
          <w:szCs w:val="18"/>
          <w:color w:val="auto"/>
        </w:rPr>
        <w:t>.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and Interested Party Communications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Priority’s board of directors does not provide a process for stockholders or other interested parties to send communications to the board of directors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following section provides compensation information pursuant to the scaled disclosure rules applicable to “emerging growth companies” under the rules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as such term is under the rules promulgated under Securities Act. These rules require compensation disclosure for Priority’s principal executive officer and its two most highly compensated executive officers other than its principal executive officer. These officers are referred to as the “Named Executive Officers” or “NEOs.” The NEOs for Priority’s fiscal year ended December 31, 2018 were:</w:t>
      </w:r>
    </w:p>
    <w:p>
      <w:pPr>
        <w:spacing w:after="0" w:line="18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Thomas Priore, its Executive Chairman in 2017 and, as of December 1, 2018, its President, Chief Executive Officer and Chairman,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John Priore, its President and Chief Executive Officer in 2017 and, as of December 1, 2018, its Vice-Chairman,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Afshin Yazdian, its President of Core Acquiring,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Michael Vollkommer, its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fiscal years ended December 31, 2017 and 2018 for the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Nonequity</w:t>
            </w:r>
          </w:p>
        </w:tc>
        <w:tc>
          <w:tcPr>
            <w:tcW w:w="128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rPr>
              <w:t>Stock</w:t>
            </w:r>
          </w:p>
        </w:tc>
        <w:tc>
          <w:tcPr>
            <w:tcW w:w="920" w:type="dxa"/>
            <w:vAlign w:val="bottom"/>
          </w:tcPr>
          <w:p>
            <w:pPr>
              <w:ind w:left="100"/>
              <w:spacing w:after="0"/>
              <w:rPr>
                <w:sz w:val="20"/>
                <w:szCs w:val="20"/>
                <w:color w:val="auto"/>
              </w:rPr>
            </w:pPr>
            <w:r>
              <w:rPr>
                <w:rFonts w:ascii="Arial" w:cs="Arial" w:eastAsia="Arial" w:hAnsi="Arial"/>
                <w:sz w:val="18"/>
                <w:szCs w:val="18"/>
                <w:b w:val="1"/>
                <w:bCs w:val="1"/>
                <w:color w:val="auto"/>
              </w:rPr>
              <w:t>Option</w:t>
            </w: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w w:val="99"/>
              </w:rPr>
              <w:t>Incentive Plan</w:t>
            </w:r>
          </w:p>
        </w:tc>
        <w:tc>
          <w:tcPr>
            <w:tcW w:w="1280" w:type="dxa"/>
            <w:vAlign w:val="bottom"/>
          </w:tcPr>
          <w:p>
            <w:pPr>
              <w:ind w:left="80"/>
              <w:spacing w:after="0"/>
              <w:rPr>
                <w:sz w:val="20"/>
                <w:szCs w:val="20"/>
                <w:color w:val="auto"/>
              </w:rPr>
            </w:pPr>
            <w:r>
              <w:rPr>
                <w:rFonts w:ascii="Arial" w:cs="Arial" w:eastAsia="Arial" w:hAnsi="Arial"/>
                <w:sz w:val="18"/>
                <w:szCs w:val="18"/>
                <w:b w:val="1"/>
                <w:bCs w:val="1"/>
                <w:color w:val="auto"/>
                <w:w w:val="94"/>
              </w:rPr>
              <w:t>Compensation</w:t>
            </w:r>
          </w:p>
        </w:tc>
        <w:tc>
          <w:tcPr>
            <w:tcW w:w="1460" w:type="dxa"/>
            <w:vAlign w:val="bottom"/>
          </w:tcPr>
          <w:p>
            <w:pPr>
              <w:ind w:left="100"/>
              <w:spacing w:after="0"/>
              <w:rPr>
                <w:sz w:val="20"/>
                <w:szCs w:val="20"/>
                <w:color w:val="auto"/>
              </w:rPr>
            </w:pPr>
            <w:r>
              <w:rPr>
                <w:rFonts w:ascii="Arial" w:cs="Arial" w:eastAsia="Arial" w:hAnsi="Arial"/>
                <w:sz w:val="18"/>
                <w:szCs w:val="18"/>
                <w:b w:val="1"/>
                <w:bCs w:val="1"/>
                <w:color w:val="auto"/>
              </w:rPr>
              <w:t>All Other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w w:val="94"/>
              </w:rPr>
              <w:t>Name and Principal</w:t>
            </w:r>
          </w:p>
        </w:tc>
        <w:tc>
          <w:tcPr>
            <w:tcW w:w="7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Salary</w:t>
            </w: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Bonus</w:t>
            </w: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rPr>
              <w:t>Awards</w:t>
            </w:r>
          </w:p>
        </w:tc>
        <w:tc>
          <w:tcPr>
            <w:tcW w:w="920" w:type="dxa"/>
            <w:vAlign w:val="bottom"/>
          </w:tcPr>
          <w:p>
            <w:pPr>
              <w:ind w:left="100"/>
              <w:spacing w:after="0"/>
              <w:rPr>
                <w:sz w:val="20"/>
                <w:szCs w:val="20"/>
                <w:color w:val="auto"/>
              </w:rPr>
            </w:pPr>
            <w:r>
              <w:rPr>
                <w:rFonts w:ascii="Arial" w:cs="Arial" w:eastAsia="Arial" w:hAnsi="Arial"/>
                <w:sz w:val="18"/>
                <w:szCs w:val="18"/>
                <w:b w:val="1"/>
                <w:bCs w:val="1"/>
                <w:color w:val="auto"/>
              </w:rPr>
              <w:t>Awards</w:t>
            </w: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w w:val="95"/>
              </w:rPr>
              <w:t>Compensation</w:t>
            </w:r>
          </w:p>
        </w:tc>
        <w:tc>
          <w:tcPr>
            <w:tcW w:w="1280" w:type="dxa"/>
            <w:vAlign w:val="bottom"/>
          </w:tcPr>
          <w:p>
            <w:pPr>
              <w:ind w:left="80"/>
              <w:spacing w:after="0"/>
              <w:rPr>
                <w:sz w:val="20"/>
                <w:szCs w:val="20"/>
                <w:color w:val="auto"/>
              </w:rPr>
            </w:pPr>
            <w:r>
              <w:rPr>
                <w:rFonts w:ascii="Arial" w:cs="Arial" w:eastAsia="Arial" w:hAnsi="Arial"/>
                <w:sz w:val="18"/>
                <w:szCs w:val="18"/>
                <w:b w:val="1"/>
                <w:bCs w:val="1"/>
                <w:color w:val="auto"/>
              </w:rPr>
              <w:t>Earnings</w:t>
            </w:r>
          </w:p>
        </w:tc>
        <w:tc>
          <w:tcPr>
            <w:tcW w:w="1460" w:type="dxa"/>
            <w:vAlign w:val="bottom"/>
          </w:tcPr>
          <w:p>
            <w:pPr>
              <w:ind w:left="100"/>
              <w:spacing w:after="0"/>
              <w:rPr>
                <w:sz w:val="20"/>
                <w:szCs w:val="20"/>
                <w:color w:val="auto"/>
              </w:rPr>
            </w:pPr>
            <w:r>
              <w:rPr>
                <w:rFonts w:ascii="Arial" w:cs="Arial" w:eastAsia="Arial" w:hAnsi="Arial"/>
                <w:sz w:val="18"/>
                <w:szCs w:val="18"/>
                <w:b w:val="1"/>
                <w:bCs w:val="1"/>
                <w:color w:val="auto"/>
              </w:rPr>
              <w:t>Compensation</w:t>
            </w:r>
          </w:p>
        </w:tc>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Thomas Priore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500,000</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Executive Chairman*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500,000(1)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John Priore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467,200</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20,533(2)</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837,733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President and CEO**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513,583(3)</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22,143(4)</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585,726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Afshin Yazdian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381,923</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232,500</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20,730(5)</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635,153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President of Core</w:t>
            </w: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Acquiring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400,000</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180,000</w:t>
            </w:r>
          </w:p>
        </w:tc>
        <w:tc>
          <w:tcPr>
            <w:tcW w:w="1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21,713(6)</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601,713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6"/>
              </w:rPr>
              <w:t>Michael Vollkommer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16,346</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766,346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Chief Financial</w:t>
            </w: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7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0" w:firstLine="8"/>
        <w:spacing w:after="0" w:line="300" w:lineRule="auto"/>
        <w:tabs>
          <w:tab w:leader="none" w:pos="1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Executive Chairman in 2017 and, as of December 1, 2018, its President, Chief Executive Officer and Chairman. </w:t>
      </w:r>
      <w:r>
        <w:rPr>
          <w:rFonts w:ascii="Arial" w:cs="Arial" w:eastAsia="Arial" w:hAnsi="Arial"/>
          <w:sz w:val="20"/>
          <w:szCs w:val="20"/>
          <w:color w:val="auto"/>
        </w:rPr>
        <w:t xml:space="preserve">** </w:t>
      </w:r>
      <w:r>
        <w:rPr>
          <w:rFonts w:ascii="Arial" w:cs="Arial" w:eastAsia="Arial" w:hAnsi="Arial"/>
          <w:sz w:val="17"/>
          <w:szCs w:val="17"/>
          <w:color w:val="auto"/>
        </w:rPr>
        <w:t>President and Chief Executive Officer in 2017 and, as of December 1, 2018, its Vice-Chairman.</w:t>
      </w:r>
    </w:p>
    <w:p>
      <w:pPr>
        <w:sectPr>
          <w:pgSz w:w="11900" w:h="16838" w:orient="portrait"/>
          <w:cols w:equalWidth="0" w:num="1">
            <w:col w:w="11420"/>
          </w:cols>
          <w:pgMar w:left="240" w:top="796" w:right="239" w:bottom="0" w:gutter="0" w:footer="0" w:header="0"/>
        </w:sectPr>
      </w:pPr>
    </w:p>
    <w:bookmarkStart w:id="113" w:name="page114"/>
    <w:bookmarkEnd w:id="113"/>
    <w:p>
      <w:pPr>
        <w:ind w:left="340" w:right="260" w:hanging="332"/>
        <w:spacing w:after="0" w:line="342"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Discretionary bonuses are not calculable as of the date of this prospectus. Discretionary bonuses, if any, are expected to be determined in March 2019. Once determined, such amounts (including an updated total of compensation paid for 2018) will be filed with the SEC on Form 8-K.</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(i) Priority’s payment of Mr. John Priore’s health insurance premiums in the amount of $9,933 and (ii) a 401(k) plan matching contribution in the amount of $10,600.</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Salary includes $20,833 in director fees paid to Mr. John Priore in his capacity as Vice-Chairman.</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(i) Priority’s payment of Mr. John Priore’s health insurance premiums in the amount of $9,653 and (ii) a 401(k) plan matching contribution in the amount of $11,000.</w:t>
      </w:r>
    </w:p>
    <w:p>
      <w:pPr>
        <w:spacing w:after="0" w:line="19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(i) Priority’s payment of Mr. Yazdian’s health insurance premiums in the amount of $10,130 and (ii) a 401(k) plan matching contribution in the amount of $10,600.</w:t>
      </w:r>
    </w:p>
    <w:p>
      <w:pPr>
        <w:spacing w:after="0" w:line="19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(i) Priority’s payment of Mr. Yazdian’s health insurance premiums in the amount of $10,137 and (ii) a 401(k) plan matching contribution in the amount of $11,000.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Narrative Disclosure to Summary Compensation Table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Mr. Thomas Priore is not employed by the Employers. In 2017, he served as Executive Chairman of Priority as an independent contractor. He is currently our President and Chief Executive Officer. He is eligible to receive a monthly fee in the amount of $41,666.67 and a discretionary annual fee in an amount up to $250,000.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Thomas Priore Director Agreement may be terminated at any time by mutual written agreement of the parties or by any party for cause in the event the other party materially breaches its duties and obligations or is in default of any obligation. Upon any termination of the Thomas Priore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John Priore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Until November 30, 2018, Mr. John Priore served as our President and Chief Executive Officer. Effective as of December 1, 2018, Mr. John Priore was appointed as our Vice-Chairman.</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Mr. John Priore has been a party to an employment agreement among the Employers, and Priority, dated May 21, 2014 (which we refer to as the “John Priore Employment Agreement”). In connection with the change in Mr. John Priore’s position with us, Mr. John Priore entered into an amendment to the John Priore Employment Agreement, dated November 13, 2018 (which we refer to as the “Priore Amendment”) as well as a new Director Agreement with the Company, dated December 1, 2018 (which we refer to as the “John Priore Director Agreement”).</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Pursuant to the John Priore Director Agreement and the John Priore Employment Agreement, as amended by the Priore Amendment, Mr. John Priore will receive a monthly fee of $20,833.34 ($250,000 per year) as Vice-Chairman. He is also eligible to receive a performance fee of up to $12,500 per quarter (up to $50,000 per year) and an additional annual fee of up to $50,000, each in the discretion of our board of directors. Payment of the monthly fee is subject to applicable restrictions under the debt and equity financing agreements of the Company and its subsidiaries. If such restrictions prohibit payment of the monthly fee such amount will accrue interest at a rate of 6% per annum until such amount is permitted to be paid. The John Priore Director Agreement may be terminated at any time by mutual written agreement of the parties or by any party for cause in the event the other party materially breaches its duties and obligations or is in default of any obligation. If Mr. John Priore ceases to be a director of the Company for any reason other than a reason that would constitute a removal for Cause (as provided under the John Priore Employment Agreement) prior to November 30, 2020, Mr. John Priore will receive a lump sum equal to the monthly fee that he would have been entitled to receive through November 30, 2020, subject to his compliance with restrictive covenants included in the John Priore Employment Agreement.</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John Priore Employment Agreement, as amended by the Priore Amendment, with respect to equity securities of the Company held by Mr. John Priore, in any year following a termination of Mr. John Priore’s service, either (1) the Company may repurchase up to $2.0 million of equity securities of the Company held by Mr. John Priore unless Mr. John Priore beneficially owns less than 5% of the Company’s outstanding equity, or (2) Mr. John Priore may require the Company purchase up to $2.0 million of equity securities of the Company held by him unless Mr. John Priore beneficially owns less than 5% of the Company’s outstanding equity or the Company files a resale registration statement allowing him to sell at least $2.0 million of equity securities on NASDAQ.</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John Priore Employment Agreement, Mr. John Priore had received an annual base salary ($467,200 per year in 2017 and $492,750 per year in 2018) and was eligible for an annual bonus prior to Mr. John Priore’s appointment as our Vice-Chairman on December 1, 2018. Mr. John Priore’s annual bonus had a target payment of at least 70% of his base salary based on the achievement of performance criteria, which could be increased to 100% of his base salary in the discretion of our board of directors if such performance criteria are achieved. For 2017, the performance criteria for Mr. John Priore’s annual bonus was achievement of a total company recurring operating margin greater than or equal to $56,265,000. The actual amount achieved was $59,206,617, resulting in a bonus in the amount of $327,040, and our board of directors exercised its discretion to increase the total amount of Mr. John Priore’s 2017 annual bonus to $350,000.</w:t>
      </w:r>
    </w:p>
    <w:p>
      <w:pPr>
        <w:spacing w:after="0" w:line="182"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The John Priore Employment Agreement also provided that, in the event of Mr. John Priore’s termination of employment by the Employers without Cause or if he resigned for Good Reason, then subject to his execution of a release and compliance with restrictive covenants set forth in the John Priore Employment Agreement, he would have been entitled to:</w:t>
      </w:r>
    </w:p>
    <w:p>
      <w:pPr>
        <w:spacing w:after="0" w:line="141" w:lineRule="exact"/>
        <w:rPr>
          <w:sz w:val="20"/>
          <w:szCs w:val="20"/>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and dental coverage for a period of 24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John Priore Employment Agreement, “Cause” generally means Mr. John Priore’s: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115" w:name="page116"/>
    <w:bookmarkEnd w:id="115"/>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material breach of the John Priore Employment Agreement;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fraud;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gross negligence, willful misconduct, or material dishonesty;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to follow the reasonable direction of any individual or board to which he reports;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final conviction of a felony or crime involving moral turpitude.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John Priore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reduction in his then current authority, title, duties, or responsibilities;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reduction in his then current base salary or benefits that he was entitled to on May 21, 2014;</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requirement that he report to any person or entity other than our board of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breach of the John Priore Employment Agreement by the Employers;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change in geographic location at which he must perform services for the Employers;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Employers, with the actual knowledge of our board of directors, provide processing services with respect to adult entertainment merchant accounts;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successor’s failure to assume the John Priore Employment Agreement in writing.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Afshin Yazdian</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Yazdian Employment Agreement, Mr. Yazdian receives an annual base salary (currently $410,010 per year) and the Employers pay 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our board of directors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our board of directors exercised its discretion to increase the total amount of Mr. Yazdian’s 2017 annual bonus to $232,500.</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the Yazdian Employment Agreement, in the event of his termination of employment by the Employers without Cause or due to a notice by the Employers of non-renewal of the Yazdian Employment Agreement, or by Mr. Yazdian for Good Reason, subject to his execution of a release, he will be entitled to:</w:t>
      </w:r>
    </w:p>
    <w:p>
      <w:pPr>
        <w:spacing w:after="0" w:line="18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severance payments equal to 12 months of his base salary payable for a period of 12 months;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pro-rata portion of any earned but unpaid annual bonus for the year of termination; and</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116" w:name="page117"/>
    <w:bookmarkEnd w:id="116"/>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coverage for a period of 12 months.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Yazdian Employment Agreement, “Cause” generally means Mr. Yazdian’s:</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commission of or being charged with the commission of a felony, or any crime involving theft, fraud, dishonesty or moral turpitude;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negligence or any intentional act of fraud or misconduct;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material breach of the Yazdian Employment Agreement, or any other agreement with the Employers;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breach of fiduciary duties owed to the Employers;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willful and continued disregard of the lawful and reasonable directives of our board of directors clearly communicated to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Yazdian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reduction in his base salary, or 50% bonus target below those existing on May 21, 2014;</w:t>
      </w:r>
    </w:p>
    <w:p>
      <w:pPr>
        <w:spacing w:after="0" w:line="252"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change in his title or reporting responsibilities such that he no longer reports to our board of directors or the chief executive officer of the Employers;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material breach of the Yazdian Employment Agreement by the Employers;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successor’s failure to assume and agree to perform the obligations in the Yazdian Employment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Michael Vollkommer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Mr. Michael Vollkommer was appointed as our Chief Financial Officer, effective as of December 3, 2018. On December 21, 2018, Priority and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Vollkommer entered into an Executive Employment Agreement (the “Vollkommer Employment Agreement”) dated as of December 20, 2018.</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Vollkommer Employment Agreement, Mr. Vollkommer’s receives an annual base salary ($425,000 in 2018) and, commencing in 2019, is eligible for an annual discretionary bonus ranging from 25%-50% of Mr. Vollkommer’s annual base salary. Mr. Vollkommer is also eligible to receive an annual award of Restricted Stock Units with a value of up to $750,000, commencing on December 20, 2018 and on each subsequent four anniversary dates of his hiring as our Chief Financial Officer, with each such grant subject to a two-year vesting schedule.</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“Cause” generally means Mr. Vollkommer’s:</w:t>
      </w:r>
    </w:p>
    <w:p>
      <w:pPr>
        <w:spacing w:after="0" w:line="225" w:lineRule="exact"/>
        <w:rPr>
          <w:sz w:val="20"/>
          <w:szCs w:val="20"/>
          <w:color w:val="auto"/>
        </w:rPr>
      </w:pPr>
    </w:p>
    <w:p>
      <w:pPr>
        <w:ind w:left="660" w:right="72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arbitrary, unreasonable or willful failure to perform, in any material respect, the duties and responsibilities required under the Vollkommer Employment Agreement and assigned by the Executive Chairman from time to time (including, without limitation, continuous constructive collaboration with the Executive Chairman and other members of the management team);</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Mr. Vollkommer’s duties under the Vollkommer Employment Agreement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commission of an act constituting fraud, embezzlement, breach of any fiduciary duty owed to Priority or its shareholders or other material dishonesty with respect to Priority;</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conviction of, or the filing of a plea of nolo contendere or its equivalent, with respect to a felony or any other crime involving dishonesty or moral turpitude; or</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substance abuse (for the purposes of the Vollkommer Employment Agreemennt substance abuse is the use of alcohol or illegal substances including misuse of otherwise legally obtained medications that otherwise interferes with Mr. Vollkommer’s ability to perform the functions of the position) that is materially injurious to Priority (whether from a monetary perspective or otherwise); or</w:t>
      </w:r>
    </w:p>
    <w:p>
      <w:pPr>
        <w:spacing w:after="0" w:line="18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material breach of Mr. Vollkommer’s obligations under the Vollkommer Employment Agreement or Employee Confidentiality, Assignment of Inventions, and Non-Solicitation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“Good Reason” generally means:</w:t>
      </w:r>
    </w:p>
    <w:p>
      <w:pPr>
        <w:spacing w:after="0" w:line="225" w:lineRule="exact"/>
        <w:rPr>
          <w:sz w:val="20"/>
          <w:szCs w:val="20"/>
          <w:color w:val="auto"/>
        </w:rPr>
      </w:pPr>
    </w:p>
    <w:p>
      <w:pPr>
        <w:ind w:left="660" w:right="20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Priority reduces Mr. Vollkommer’s base salary or benefits (other than in connection with a proportional reduction of the base salaries or benefits in excess of twenty percent (20%) of all executive employees of Priority); or</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Priority materially breaches any of compensation provisions in the Vollkommer Employment Agreement, or otherwise requires Mr. Vollkommer to report to a senior executive other than the Chairman of the Board or the Chief Executive Officer.</w:t>
      </w:r>
    </w:p>
    <w:p>
      <w:pPr>
        <w:sectPr>
          <w:pgSz w:w="11900" w:h="16838" w:orient="portrait"/>
          <w:cols w:equalWidth="0" w:num="1">
            <w:col w:w="11420"/>
          </w:cols>
          <w:pgMar w:left="240" w:top="827" w:right="239" w:bottom="0" w:gutter="0" w:footer="0" w:header="0"/>
        </w:sectPr>
      </w:pPr>
    </w:p>
    <w:bookmarkStart w:id="117" w:name="page118"/>
    <w:bookmarkEnd w:id="117"/>
    <w:p>
      <w:pPr>
        <w:ind w:left="340"/>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Priority maintains a tax-qualified 401(k) defined contribution plan available to substantially all of our employees. The 401(k) plan is available on the same terms to all of its U.S. employees, including Mr. Yazdian and Mr. Vollkommer and, prior to becoming an independent contractor on December 1, 2018, Mr. John Priore. Mr. Thomas Priore serves Priority as an independent contractor and is therefore not eligible to participate in the 401(k) plan. Each participant may elect to make a voluntary contribution of an amount between 0% to 100% of his or her base salary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Grants of Plan Based Awards in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 Future Payouts</w:t>
            </w:r>
          </w:p>
        </w:tc>
        <w:tc>
          <w:tcPr>
            <w:tcW w:w="266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 Future Payouts</w:t>
            </w: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vMerge w:val="continue"/>
          </w:tcPr>
          <w:p>
            <w:pPr>
              <w:spacing w:after="0"/>
              <w:rPr>
                <w:sz w:val="12"/>
                <w:szCs w:val="12"/>
                <w:color w:val="auto"/>
              </w:rPr>
            </w:pPr>
          </w:p>
        </w:tc>
        <w:tc>
          <w:tcPr>
            <w:tcW w:w="2660" w:type="dxa"/>
            <w:vAlign w:val="bottom"/>
            <w:gridSpan w:val="6"/>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26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or Base</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23"/>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Shares</w:t>
            </w: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 of</w:t>
            </w: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06"/>
        </w:trPr>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2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or Units</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154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/Share)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Michael Vollkommer</w:t>
            </w: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12/20/2018</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107,143</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right="260" w:firstLine="98"/>
        <w:spacing w:after="0" w:line="261" w:lineRule="auto"/>
        <w:tabs>
          <w:tab w:leader="none" w:pos="3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a grant of Restricted Stock Units to Mr. Vollkommer. The Restricted Stock Units vest 50% on December 3, 2019 and 50% on December 3,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ectPr>
          <w:pgSz w:w="11900" w:h="16838" w:orient="portrait"/>
          <w:cols w:equalWidth="0" w:num="1">
            <w:col w:w="11420"/>
          </w:cols>
          <w:pgMar w:left="240" w:top="796" w:right="2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w w:val="96"/>
              </w:rPr>
              <w:t>Option Awards</w:t>
            </w: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Equity</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w w:val="88"/>
              </w:rPr>
              <w:t>Stock Awards</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Incentive</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Securities</w:t>
            </w: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Plan Awards:</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Securities</w:t>
            </w:r>
          </w:p>
        </w:tc>
        <w:tc>
          <w:tcPr>
            <w:tcW w:w="1120" w:type="dxa"/>
            <w:vAlign w:val="bottom"/>
            <w:vMerge w:val="continue"/>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 Securities</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Shares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Underlying</w:t>
            </w: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Underlying</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Unexercised</w:t>
            </w: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Unexercised</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w:t>
            </w: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 Units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Unexercised</w:t>
            </w:r>
          </w:p>
        </w:tc>
        <w:tc>
          <w:tcPr>
            <w:tcW w:w="11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Options (#)</w:t>
            </w: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Unearned</w:t>
            </w:r>
          </w:p>
        </w:tc>
        <w:tc>
          <w:tcPr>
            <w:tcW w:w="88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4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Grant Date</w:t>
            </w: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Options (#)</w:t>
            </w:r>
          </w:p>
        </w:tc>
        <w:tc>
          <w:tcPr>
            <w:tcW w:w="11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Unexercisable</w:t>
            </w: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Options</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Exercise</w:t>
            </w:r>
          </w:p>
        </w:tc>
        <w:tc>
          <w:tcPr>
            <w:tcW w:w="1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Expiration</w:t>
            </w:r>
          </w:p>
        </w:tc>
        <w:tc>
          <w:tcPr>
            <w:tcW w:w="9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86"/>
        </w:trPr>
        <w:tc>
          <w:tcPr>
            <w:tcW w:w="1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(1)</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 ($)</w:t>
            </w: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w w:val="90"/>
              </w:rPr>
              <w:t>not vested (#)</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14"/>
                <w:szCs w:val="14"/>
                <w:color w:val="auto"/>
              </w:rPr>
              <w:t>Afshin Yazdian</w:t>
            </w:r>
          </w:p>
        </w:tc>
        <w:tc>
          <w:tcPr>
            <w:tcW w:w="1060" w:type="dxa"/>
            <w:vAlign w:val="bottom"/>
          </w:tcPr>
          <w:p>
            <w:pPr>
              <w:jc w:val="right"/>
              <w:spacing w:after="0"/>
              <w:rPr>
                <w:sz w:val="20"/>
                <w:szCs w:val="20"/>
                <w:color w:val="auto"/>
              </w:rPr>
            </w:pPr>
            <w:r>
              <w:rPr>
                <w:rFonts w:ascii="Arial" w:cs="Arial" w:eastAsia="Arial" w:hAnsi="Arial"/>
                <w:sz w:val="14"/>
                <w:szCs w:val="14"/>
                <w:color w:val="auto"/>
              </w:rPr>
              <w:t>9/21/2016</w:t>
            </w:r>
          </w:p>
        </w:tc>
        <w:tc>
          <w:tcPr>
            <w:tcW w:w="940" w:type="dxa"/>
            <w:vAlign w:val="bottom"/>
          </w:tcPr>
          <w:p>
            <w:pPr>
              <w:ind w:left="7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33,504</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20"/>
                <w:szCs w:val="20"/>
                <w:color w:val="auto"/>
              </w:rPr>
            </w:pPr>
            <w:r>
              <w:rPr>
                <w:rFonts w:ascii="Arial" w:cs="Arial" w:eastAsia="Arial" w:hAnsi="Arial"/>
                <w:sz w:val="14"/>
                <w:szCs w:val="14"/>
                <w:color w:val="auto"/>
              </w:rPr>
              <w:t>Michael Vollkommer</w:t>
            </w:r>
          </w:p>
        </w:tc>
        <w:tc>
          <w:tcPr>
            <w:tcW w:w="1060" w:type="dxa"/>
            <w:vAlign w:val="bottom"/>
          </w:tcPr>
          <w:p>
            <w:pPr>
              <w:jc w:val="right"/>
              <w:spacing w:after="0"/>
              <w:rPr>
                <w:sz w:val="20"/>
                <w:szCs w:val="20"/>
                <w:color w:val="auto"/>
              </w:rPr>
            </w:pPr>
            <w:r>
              <w:rPr>
                <w:rFonts w:ascii="Arial" w:cs="Arial" w:eastAsia="Arial" w:hAnsi="Arial"/>
                <w:sz w:val="14"/>
                <w:szCs w:val="14"/>
                <w:color w:val="auto"/>
              </w:rPr>
              <w:t>12/20/18</w:t>
            </w:r>
          </w:p>
        </w:tc>
        <w:tc>
          <w:tcPr>
            <w:tcW w:w="940" w:type="dxa"/>
            <w:vAlign w:val="bottom"/>
          </w:tcPr>
          <w:p>
            <w:pPr>
              <w:ind w:left="7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107,143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275" w:lineRule="auto"/>
        <w:rPr>
          <w:sz w:val="20"/>
          <w:szCs w:val="20"/>
          <w:color w:val="auto"/>
        </w:rPr>
      </w:pPr>
      <w:r>
        <w:rPr>
          <w:rFonts w:ascii="Arial" w:cs="Arial" w:eastAsia="Arial" w:hAnsi="Arial"/>
          <w:sz w:val="12"/>
          <w:szCs w:val="12"/>
          <w:b w:val="1"/>
          <w:bCs w:val="1"/>
          <w:color w:val="auto"/>
        </w:rPr>
        <w:t>Market Value # Share or Units of Stock that have not vested ($)</w:t>
      </w:r>
      <w:r>
        <w:rPr>
          <w:rFonts w:ascii="Arial" w:cs="Arial" w:eastAsia="Arial" w:hAnsi="Arial"/>
          <w:sz w:val="15"/>
          <w:szCs w:val="15"/>
          <w:color w:val="auto"/>
        </w:rPr>
        <w:t>(2)</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857,144</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Payout</w:t>
      </w:r>
    </w:p>
    <w:p>
      <w:pPr>
        <w:ind w:left="1000" w:hanging="991"/>
        <w:spacing w:after="0" w:line="226" w:lineRule="auto"/>
        <w:tabs>
          <w:tab w:leader="none" w:pos="100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Value of</w:t>
      </w: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Unearned</w:t>
      </w:r>
      <w:r>
        <w:rPr>
          <w:rFonts w:ascii="Arial" w:cs="Arial" w:eastAsia="Arial" w:hAnsi="Arial"/>
          <w:sz w:val="13"/>
          <w:szCs w:val="13"/>
          <w:b w:val="1"/>
          <w:bCs w:val="1"/>
          <w:color w:val="auto"/>
        </w:rPr>
        <w:t>Unearned</w:t>
      </w: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Shares,</w:t>
      </w:r>
    </w:p>
    <w:p>
      <w:pPr>
        <w:spacing w:after="0"/>
        <w:tabs>
          <w:tab w:leader="none" w:pos="980" w:val="left"/>
        </w:tabs>
        <w:rPr>
          <w:sz w:val="20"/>
          <w:szCs w:val="20"/>
          <w:color w:val="auto"/>
        </w:rPr>
      </w:pPr>
      <w:r>
        <w:rPr>
          <w:rFonts w:ascii="Arial" w:cs="Arial" w:eastAsia="Arial" w:hAnsi="Arial"/>
          <w:sz w:val="14"/>
          <w:szCs w:val="14"/>
          <w:b w:val="1"/>
          <w:bCs w:val="1"/>
          <w:color w:val="auto"/>
        </w:rPr>
        <w:t>Units or</w:t>
      </w:r>
      <w:r>
        <w:rPr>
          <w:sz w:val="20"/>
          <w:szCs w:val="20"/>
          <w:color w:val="auto"/>
        </w:rPr>
        <w:tab/>
      </w:r>
      <w:r>
        <w:rPr>
          <w:rFonts w:ascii="Arial" w:cs="Arial" w:eastAsia="Arial" w:hAnsi="Arial"/>
          <w:sz w:val="13"/>
          <w:szCs w:val="13"/>
          <w:b w:val="1"/>
          <w:bCs w:val="1"/>
          <w:color w:val="auto"/>
        </w:rPr>
        <w:t>Units or</w:t>
      </w:r>
    </w:p>
    <w:p>
      <w:pPr>
        <w:spacing w:after="0" w:line="221" w:lineRule="auto"/>
        <w:tabs>
          <w:tab w:leader="none" w:pos="980" w:val="left"/>
        </w:tabs>
        <w:rPr>
          <w:sz w:val="20"/>
          <w:szCs w:val="20"/>
          <w:color w:val="auto"/>
        </w:rPr>
      </w:pPr>
      <w:r>
        <w:rPr>
          <w:rFonts w:ascii="Arial" w:cs="Arial" w:eastAsia="Arial" w:hAnsi="Arial"/>
          <w:sz w:val="14"/>
          <w:szCs w:val="14"/>
          <w:b w:val="1"/>
          <w:bCs w:val="1"/>
          <w:color w:val="auto"/>
        </w:rPr>
        <w:t>Other</w:t>
      </w:r>
      <w:r>
        <w:rPr>
          <w:sz w:val="20"/>
          <w:szCs w:val="20"/>
          <w:color w:val="auto"/>
        </w:rPr>
        <w:tab/>
      </w:r>
      <w:r>
        <w:rPr>
          <w:rFonts w:ascii="Arial" w:cs="Arial" w:eastAsia="Arial" w:hAnsi="Arial"/>
          <w:sz w:val="14"/>
          <w:szCs w:val="14"/>
          <w:b w:val="1"/>
          <w:bCs w:val="1"/>
          <w:color w:val="auto"/>
        </w:rPr>
        <w:t>other</w:t>
      </w:r>
    </w:p>
    <w:p>
      <w:pPr>
        <w:spacing w:after="0"/>
        <w:tabs>
          <w:tab w:leader="none" w:pos="980" w:val="left"/>
        </w:tabs>
        <w:rPr>
          <w:sz w:val="20"/>
          <w:szCs w:val="20"/>
          <w:color w:val="auto"/>
        </w:rPr>
      </w:pPr>
      <w:r>
        <w:rPr>
          <w:rFonts w:ascii="Arial" w:cs="Arial" w:eastAsia="Arial" w:hAnsi="Arial"/>
          <w:sz w:val="14"/>
          <w:szCs w:val="14"/>
          <w:b w:val="1"/>
          <w:bCs w:val="1"/>
          <w:color w:val="auto"/>
        </w:rPr>
        <w:t>Rights that</w:t>
      </w:r>
      <w:r>
        <w:rPr>
          <w:sz w:val="20"/>
          <w:szCs w:val="20"/>
          <w:color w:val="auto"/>
        </w:rPr>
        <w:tab/>
      </w:r>
      <w:r>
        <w:rPr>
          <w:rFonts w:ascii="Arial" w:cs="Arial" w:eastAsia="Arial" w:hAnsi="Arial"/>
          <w:sz w:val="13"/>
          <w:szCs w:val="13"/>
          <w:b w:val="1"/>
          <w:bCs w:val="1"/>
          <w:color w:val="auto"/>
        </w:rPr>
        <w:t>Rights that</w:t>
      </w:r>
    </w:p>
    <w:p>
      <w:pPr>
        <w:spacing w:after="0"/>
        <w:tabs>
          <w:tab w:leader="none" w:pos="980" w:val="left"/>
        </w:tabs>
        <w:rPr>
          <w:sz w:val="20"/>
          <w:szCs w:val="20"/>
          <w:color w:val="auto"/>
        </w:rPr>
      </w:pPr>
      <w:r>
        <w:rPr>
          <w:rFonts w:ascii="Arial" w:cs="Arial" w:eastAsia="Arial" w:hAnsi="Arial"/>
          <w:sz w:val="14"/>
          <w:szCs w:val="14"/>
          <w:b w:val="1"/>
          <w:bCs w:val="1"/>
          <w:color w:val="auto"/>
        </w:rPr>
        <w:t>have not</w:t>
      </w:r>
      <w:r>
        <w:rPr>
          <w:sz w:val="20"/>
          <w:szCs w:val="20"/>
          <w:color w:val="auto"/>
        </w:rPr>
        <w:tab/>
      </w:r>
      <w:r>
        <w:rPr>
          <w:rFonts w:ascii="Arial" w:cs="Arial" w:eastAsia="Arial" w:hAnsi="Arial"/>
          <w:sz w:val="13"/>
          <w:szCs w:val="13"/>
          <w:b w:val="1"/>
          <w:bCs w:val="1"/>
          <w:color w:val="auto"/>
        </w:rPr>
        <w:t>have not</w:t>
      </w:r>
    </w:p>
    <w:p>
      <w:pPr>
        <w:spacing w:after="0"/>
        <w:tabs>
          <w:tab w:leader="none" w:pos="980" w:val="left"/>
        </w:tabs>
        <w:rPr>
          <w:sz w:val="20"/>
          <w:szCs w:val="20"/>
          <w:color w:val="auto"/>
        </w:rPr>
      </w:pPr>
      <w:r>
        <w:rPr>
          <w:rFonts w:ascii="Arial" w:cs="Arial" w:eastAsia="Arial" w:hAnsi="Arial"/>
          <w:sz w:val="14"/>
          <w:szCs w:val="14"/>
          <w:b w:val="1"/>
          <w:bCs w:val="1"/>
          <w:color w:val="auto"/>
        </w:rPr>
        <w:t>vested (#)</w:t>
      </w:r>
      <w:r>
        <w:rPr>
          <w:sz w:val="20"/>
          <w:szCs w:val="20"/>
          <w:color w:val="auto"/>
        </w:rPr>
        <w:tab/>
      </w:r>
      <w:r>
        <w:rPr>
          <w:rFonts w:ascii="Arial" w:cs="Arial" w:eastAsia="Arial" w:hAnsi="Arial"/>
          <w:sz w:val="12"/>
          <w:szCs w:val="12"/>
          <w:b w:val="1"/>
          <w:bCs w:val="1"/>
          <w:color w:val="auto"/>
        </w:rPr>
        <w:t>vested ($)</w:t>
      </w:r>
    </w:p>
    <w:p>
      <w:pPr>
        <w:spacing w:after="0" w:line="124" w:lineRule="exact"/>
        <w:rPr>
          <w:sz w:val="20"/>
          <w:szCs w:val="20"/>
          <w:color w:val="auto"/>
        </w:rPr>
      </w:pPr>
    </w:p>
    <w:p>
      <w:pPr>
        <w:jc w:val="both"/>
        <w:ind w:left="640"/>
        <w:spacing w:after="0"/>
        <w:tabs>
          <w:tab w:leader="none" w:pos="1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383" w:lineRule="exact"/>
        <w:rPr>
          <w:sz w:val="20"/>
          <w:szCs w:val="20"/>
          <w:color w:val="auto"/>
        </w:rPr>
      </w:pPr>
    </w:p>
    <w:p>
      <w:pPr>
        <w:sectPr>
          <w:pgSz w:w="11900" w:h="16838" w:orient="portrait"/>
          <w:cols w:equalWidth="0" w:num="3">
            <w:col w:w="8340" w:space="180"/>
            <w:col w:w="800" w:space="200"/>
            <w:col w:w="1900"/>
          </w:cols>
          <w:pgMar w:left="240" w:top="796" w:right="239" w:bottom="1440" w:gutter="0" w:footer="0" w:header="0"/>
          <w:type w:val="continuous"/>
        </w:sectPr>
      </w:pPr>
    </w:p>
    <w:p>
      <w:pPr>
        <w:ind w:right="20" w:firstLine="8"/>
        <w:spacing w:after="0" w:line="284"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Reflects Class B Common Units (which we refer to as the “Class B Units”) in Priority Incentive Equity Holdings, LLC (“PIEH”), which are subject to terms of the Limited Liability Company Agreement of PIEH. The Class B Units were initially granted by Priority, and were contributed to, and the obligations thereunder were assumed by, PIEH on July 30, 2017. Priority believes that, despite the fact that the Class B Units reflect profits interest in PIEH that do not require the payment of an exercise price, they are most similar economically to stock options, and as such, they are properly classified as “options” under the definition provided in Item 402(a)(6)(i) of Regulation S-K as an instrument with an “option-like feature.” Mr. Yazdian became vested in 50% of the Class B Units on May 21, 2018, and will become vested in 50% of the Class B Units on May 21, 2019, subject to his continued service through such date. Mr. Yazdian will become vested in any unvested Class B Units upon a change in control of Priority, subject to his continued service through such date.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are valued based on the $8.00 closing price of our common stock on December 31, 2018, as reported by the Nasdaq.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than the compensation received by Mr. Thomas Priore and Mr. John Priore as described above, no director of Priority received compensation for his or her services to Priority for the year ended December 31, 2017. The following table presents summary information regarding the total compensation for Priority’s fiscal year ended December 31, 2018 for our non-employee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Change in</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w w:val="97"/>
              </w:rPr>
              <w:t>Pension Value</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and non-</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060" w:type="dxa"/>
            <w:vAlign w:val="bottom"/>
          </w:tcPr>
          <w:p>
            <w:pPr>
              <w:ind w:left="1160"/>
              <w:spacing w:after="0"/>
              <w:rPr>
                <w:sz w:val="20"/>
                <w:szCs w:val="20"/>
                <w:color w:val="auto"/>
              </w:rPr>
            </w:pPr>
            <w:r>
              <w:rPr>
                <w:rFonts w:ascii="Arial" w:cs="Arial" w:eastAsia="Arial" w:hAnsi="Arial"/>
                <w:sz w:val="18"/>
                <w:szCs w:val="18"/>
                <w:b w:val="1"/>
                <w:bCs w:val="1"/>
                <w:color w:val="auto"/>
              </w:rPr>
              <w:t>Fees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qualified</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060" w:type="dxa"/>
            <w:vAlign w:val="bottom"/>
          </w:tcPr>
          <w:p>
            <w:pPr>
              <w:ind w:left="1160"/>
              <w:spacing w:after="0"/>
              <w:rPr>
                <w:sz w:val="20"/>
                <w:szCs w:val="20"/>
                <w:color w:val="auto"/>
              </w:rPr>
            </w:pPr>
            <w:r>
              <w:rPr>
                <w:rFonts w:ascii="Arial" w:cs="Arial" w:eastAsia="Arial" w:hAnsi="Arial"/>
                <w:sz w:val="18"/>
                <w:szCs w:val="18"/>
                <w:b w:val="1"/>
                <w:bCs w:val="1"/>
                <w:color w:val="auto"/>
              </w:rPr>
              <w:t>Earned or</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Non-Equity</w:t>
            </w: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Deferred</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060" w:type="dxa"/>
            <w:vAlign w:val="bottom"/>
          </w:tcPr>
          <w:p>
            <w:pPr>
              <w:ind w:left="1160"/>
              <w:spacing w:after="0"/>
              <w:rPr>
                <w:sz w:val="20"/>
                <w:szCs w:val="20"/>
                <w:color w:val="auto"/>
              </w:rPr>
            </w:pPr>
            <w:r>
              <w:rPr>
                <w:rFonts w:ascii="Arial" w:cs="Arial" w:eastAsia="Arial" w:hAnsi="Arial"/>
                <w:sz w:val="18"/>
                <w:szCs w:val="18"/>
                <w:b w:val="1"/>
                <w:bCs w:val="1"/>
                <w:color w:val="auto"/>
              </w:rPr>
              <w:t>Paid in</w:t>
            </w: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Stock</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Option</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Incentive Plan</w:t>
            </w: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w w:val="95"/>
              </w:rPr>
              <w:t>Compensation</w:t>
            </w:r>
          </w:p>
        </w:tc>
        <w:tc>
          <w:tcPr>
            <w:tcW w:w="1320" w:type="dxa"/>
            <w:vAlign w:val="bottom"/>
          </w:tcPr>
          <w:p>
            <w:pPr>
              <w:ind w:left="120"/>
              <w:spacing w:after="0"/>
              <w:rPr>
                <w:sz w:val="20"/>
                <w:szCs w:val="20"/>
                <w:color w:val="auto"/>
              </w:rPr>
            </w:pPr>
            <w:r>
              <w:rPr>
                <w:rFonts w:ascii="Arial" w:cs="Arial" w:eastAsia="Arial" w:hAnsi="Arial"/>
                <w:sz w:val="18"/>
                <w:szCs w:val="18"/>
                <w:b w:val="1"/>
                <w:bCs w:val="1"/>
                <w:color w:val="auto"/>
              </w:rPr>
              <w:t>All Other</w:t>
            </w:r>
          </w:p>
        </w:tc>
        <w:tc>
          <w:tcPr>
            <w:tcW w:w="98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(in dollars)</w:t>
            </w:r>
          </w:p>
        </w:tc>
        <w:tc>
          <w:tcPr>
            <w:tcW w:w="2060" w:type="dxa"/>
            <w:vAlign w:val="bottom"/>
          </w:tcPr>
          <w:p>
            <w:pPr>
              <w:ind w:left="1160"/>
              <w:spacing w:after="0"/>
              <w:rPr>
                <w:sz w:val="20"/>
                <w:szCs w:val="20"/>
                <w:color w:val="auto"/>
              </w:rPr>
            </w:pPr>
            <w:r>
              <w:rPr>
                <w:rFonts w:ascii="Arial" w:cs="Arial" w:eastAsia="Arial" w:hAnsi="Arial"/>
                <w:sz w:val="18"/>
                <w:szCs w:val="18"/>
                <w:b w:val="1"/>
                <w:bCs w:val="1"/>
                <w:color w:val="auto"/>
              </w:rPr>
              <w:t>Cash</w:t>
            </w: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Awards</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Awards</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Compensation</w:t>
            </w: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Earnings</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Compensation</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60" w:type="dxa"/>
            <w:vAlign w:val="bottom"/>
          </w:tcPr>
          <w:p>
            <w:pPr>
              <w:ind w:left="1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Marc Manuel</w:t>
            </w:r>
          </w:p>
        </w:tc>
        <w:tc>
          <w:tcPr>
            <w:tcW w:w="2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21,625</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21,625</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William Gahan</w:t>
            </w:r>
          </w:p>
        </w:tc>
        <w:tc>
          <w:tcPr>
            <w:tcW w:w="2060" w:type="dxa"/>
            <w:vAlign w:val="bottom"/>
          </w:tcPr>
          <w:p>
            <w:pPr>
              <w:ind w:left="1440"/>
              <w:spacing w:after="0"/>
              <w:rPr>
                <w:sz w:val="20"/>
                <w:szCs w:val="20"/>
                <w:color w:val="auto"/>
              </w:rPr>
            </w:pPr>
            <w:r>
              <w:rPr>
                <w:rFonts w:ascii="Arial" w:cs="Arial" w:eastAsia="Arial" w:hAnsi="Arial"/>
                <w:sz w:val="18"/>
                <w:szCs w:val="18"/>
                <w:color w:val="auto"/>
              </w:rPr>
              <w:t>21,625</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21,625</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Matthew Kearney</w:t>
            </w:r>
          </w:p>
        </w:tc>
        <w:tc>
          <w:tcPr>
            <w:tcW w:w="2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32,987</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32,987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Narrative Disclosure to Director Compensation Table</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On December 19, 2018, we entered into agreements with each of our independent directors – Marc Manuel, William Gahan, and Matthew Kearney – pursuant to which, commencing as of July 25, 2018, they receive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In addition, pursuant to Mr. Kearney's agreement, Mr. Kearney will receive an additional $25,000 per year, payable in monthly cash installments, for serving as chair of our Audit Committee. Each of our independent directors are also reimbursed for reasonable and documented out-of-pocket expenses incurred by them in the performance of their duties.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description of the material terms of the share capital of Priority includes a summary of specified provisions of the charter documents of Priority in effect. This description is qualified by reference to Priority’s charter documents as currently in effect, copies of which are attached to the registration statement of which this Prospectus/Offer to Exchange constitutes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authorized capital stock consists of 1,000,000,000 shares of Common Stock, par value $0.001, and 100,000,000 shares of preferred stock, par value $0.001. As of February 8, 2019, 67,047,043 shares of Common Stock are outstanding, held by 34 stockholders of record. No shares of preferred stock are currently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DGCL.</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Second Amended and Restated Certificate of Incorporation authorizes the issuance of 100,000,000 shares of preferred stock with such designation, rights and preferences as may be determined from time to time by our board of directors. There are no shares of preferred stock outstanding.</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has not paid any cash dividends on its Common Stock to date. The payment of cash dividends in the future will be dependent upon our revenues and earnings, if any, capital requirements and general financial condition. The payment of any dividends will be within the discretion of its then board of directors. It is the present intention of our board of directors to retain all earnings, if any, for use in its business operations and, accordingly, our board does not anticipate declaring any dividends in the foreseeable future.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Second Amended and Restated Certificate of Incorporation contains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Policy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Related parties are defined as: (a) each director or officer; (b) any nominee for election as a director; (c) any security holder who is known to own of record or beneficially more than five percent (5%) of any class of voting securities; and (d) any “Immediate Family Member” (as defined in Regulation S-K Item 404(a)) of any of the foregoing persons. A “related party transaction” means a transaction, arrangement or relationship (or any series of similar transactions, arrangements or relationships) in which Priority was, is or will be a participant and the amount involved will or may be expected to exceed $120,000 in any fiscal year, and in which any Related Party had, has or will have a direct or indirect material interest (including any transactions requiring disclosure under Item 404 of Regulation S-K promulgated under the Exchange Act). It is the job of the audit committee to establish and implement policies and procedures for their review and approval or disapproval of proposed transactions or courses of dealings with respect to which executive officers or directors or members of their immediate families have an interest (including all transactions required to be disclosed by Item 404(a)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Agreements</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Priority has a management services agreement and an annual bonus payout with PSD Partners LP, whose Managing Member is Thomas Priore, who is the President, Chief Executive Officer and Chairman and majority owner of the Company. For the years ended December 31, 2017, 2016 and 2015, Priority incurred a total of $850,600, $838,758 and $835,811, respectively, for costs related to management services fees, annual bonus payout and occupancy fees.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23" w:name="page124"/>
    <w:bookmarkEnd w:id="123"/>
    <w:p>
      <w:pPr>
        <w:ind w:left="21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February 8, 2019 regarding the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director and each named executive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and</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Nature of</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8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(1)</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70"/>
        </w:trPr>
        <w:tc>
          <w:tcPr>
            <w:tcW w:w="8100" w:type="dxa"/>
            <w:vAlign w:val="bottom"/>
            <w:gridSpan w:val="4"/>
            <w:vMerge w:val="continue"/>
          </w:tcPr>
          <w:p>
            <w:pPr>
              <w:spacing w:after="0"/>
              <w:rPr>
                <w:sz w:val="23"/>
                <w:szCs w:val="23"/>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Ownership</w:t>
            </w:r>
          </w:p>
        </w:tc>
        <w:tc>
          <w:tcPr>
            <w:tcW w:w="1640" w:type="dxa"/>
            <w:vAlign w:val="bottom"/>
            <w:gridSpan w:val="2"/>
          </w:tcPr>
          <w:p>
            <w:pPr>
              <w:jc w:val="center"/>
              <w:ind w:right="160"/>
              <w:spacing w:after="0" w:line="269" w:lineRule="exact"/>
              <w:rPr>
                <w:sz w:val="20"/>
                <w:szCs w:val="20"/>
                <w:color w:val="auto"/>
              </w:rPr>
            </w:pPr>
            <w:r>
              <w:rPr>
                <w:rFonts w:ascii="Arial" w:cs="Arial" w:eastAsia="Arial" w:hAnsi="Arial"/>
                <w:sz w:val="18"/>
                <w:szCs w:val="18"/>
                <w:b w:val="1"/>
                <w:bCs w:val="1"/>
                <w:color w:val="auto"/>
                <w:w w:val="86"/>
              </w:rPr>
              <w:t>Common Stock</w:t>
            </w:r>
            <w:r>
              <w:rPr>
                <w:rFonts w:ascii="Arial" w:cs="Arial" w:eastAsia="Arial" w:hAnsi="Arial"/>
                <w:sz w:val="30"/>
                <w:szCs w:val="30"/>
                <w:b w:val="1"/>
                <w:bCs w:val="1"/>
                <w:color w:val="auto"/>
                <w:w w:val="86"/>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Thomas Priore (3)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49,434,170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Priore (4)</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9,347,591</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Afshin Yazdian</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Vollkommer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Marc Manuel</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59,190</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Gahan</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Matthew Kearney</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12,457</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(13 individuals)</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61,247,941</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8100" w:type="dxa"/>
            <w:vAlign w:val="bottom"/>
            <w:gridSpan w:val="4"/>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Less than 1%</w:t>
            </w:r>
          </w:p>
        </w:tc>
        <w:tc>
          <w:tcPr>
            <w:tcW w:w="5800" w:type="dxa"/>
            <w:vAlign w:val="bottom"/>
            <w:gridSpan w:val="2"/>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right="56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70"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percentage of beneficial ownership of Priority is calculated based on 67,047,043 shares of Common Stock outstanding. The amount of beneficial ownership for each individual or entity includes shares of Common Stock issuable in respect of Private Warrants. Unless otherwise indicated, we believes that all persons named in the table have sole voting and investment power with respect to all shares of Common Stock beneficially owned by them as of the date indicated.</w:t>
      </w:r>
    </w:p>
    <w:p>
      <w:pPr>
        <w:spacing w:after="0" w:line="186" w:lineRule="exact"/>
        <w:rPr>
          <w:rFonts w:ascii="Arial" w:cs="Arial" w:eastAsia="Arial" w:hAnsi="Arial"/>
          <w:sz w:val="18"/>
          <w:szCs w:val="18"/>
          <w:color w:val="auto"/>
        </w:rPr>
      </w:pPr>
    </w:p>
    <w:p>
      <w:pPr>
        <w:ind w:left="660" w:right="100" w:hanging="652"/>
        <w:spacing w:after="0" w:line="25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3,063,097 shares of the Company’s Common Stock and warrants directly held by Priority Incentive Equity Holdings, LLC. Following the Business Combination, Thomas Priore became the managing member of Priority Investment Holdings LLC, which is the non-member manager of Priority Incentive Equity Holdings, LLC. Thomas Priore may be deemed to beneficially own such shares and warrants directly or indirectly controlled by him. The address of Thomas Priore and each of the other entities listed in this footnote is c/o Priority Technology Holdings, Inc., 2001 Westside Parkway, Alpharetta, GA 30004.</w:t>
      </w:r>
    </w:p>
    <w:p>
      <w:pPr>
        <w:spacing w:after="0" w:line="188"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9,347,591 shares of the Company’s Common Stock directly held by AESV Credit Card Consulting LLC, which is controlled by John Priore. John Priore may be deemed to beneficially own such shares directly or indirectly controlled by him.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validity of the Common Stock covered by this Prospectus/Offer to Exchange has been passed upon for us by Schulte Roth &amp; Zabel LLP, New York, New York. Certain legal matters relating to the securities offered hereby will be passed upon for the dealer manager by Ellenoff Grossman &amp; Schole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financial statements of M I Acquisitions, Inc. as of December 31, 2017 and 2016 and for each of the years in the two-year period ended December 31, 2017 have been included in this registration statement, in reliance upon the report of Marcum LLP, independent registered public accounting firm, appearing elsewhere herein, and upon the authority of said firm as experts in accounting and auditing.</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consolidated financial statements of Priority Technology Holdings, Inc. and Subsidiaries as of December 31, 2017 and 2016 and for each of the years in the three-year period ended December 31, 2017 have been audited by RSM US LLP, an independent registered public accounting firm, as stated in their report thereon and included in this Prospectus/Offer to Exchange and registration statement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This Prospectus/Offer to Exchange is part of a registration statement, but does not contain all of the information included in the registration statement or the exhibits. You may read and copy the registration statement and any other document that we file with the SEC at the SEC’s Public Reference Room at 100 F Street, N.E., Washington, D.C. 20549. Please call the SEC at 1-800-SEC-0330 for further information on the Public Reference Room. Our SEC filings are also available to the public on the internet at a website maintained by the SEC located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will provide, without charge, upon written request or oral request, a copy of any or all of the documents that are exhibits to the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requests should be directed to Priority Technology Holdings, Inc., 2001 Westside Parkway, Alpharetta, GA 30004 or (800) 935-5961.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0" w:type="dxa"/>
            <w:vAlign w:val="bottom"/>
            <w:gridSpan w:val="8"/>
          </w:tcPr>
          <w:p>
            <w:pPr>
              <w:jc w:val="center"/>
              <w:ind w:right="2180"/>
              <w:spacing w:after="0"/>
              <w:rPr>
                <w:sz w:val="20"/>
                <w:szCs w:val="20"/>
                <w:color w:val="auto"/>
              </w:rPr>
            </w:pPr>
            <w:r>
              <w:rPr>
                <w:rFonts w:ascii="Arial" w:cs="Arial" w:eastAsia="Arial" w:hAnsi="Arial"/>
                <w:sz w:val="18"/>
                <w:szCs w:val="18"/>
                <w:b w:val="1"/>
                <w:bCs w:val="1"/>
                <w:color w:val="auto"/>
              </w:rPr>
              <w:t>INDEX TO FINANCIAL STATEMENTS</w:t>
            </w:r>
          </w:p>
        </w:tc>
        <w:tc>
          <w:tcPr>
            <w:tcW w:w="18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80" w:type="dxa"/>
            <w:vAlign w:val="bottom"/>
            <w:gridSpan w:val="9"/>
          </w:tcPr>
          <w:p>
            <w:pPr>
              <w:jc w:val="center"/>
              <w:ind w:right="1880"/>
              <w:spacing w:after="0"/>
              <w:rPr>
                <w:sz w:val="20"/>
                <w:szCs w:val="20"/>
                <w:color w:val="auto"/>
              </w:rPr>
            </w:pPr>
            <w:r>
              <w:rPr>
                <w:rFonts w:ascii="Arial" w:cs="Arial" w:eastAsia="Arial" w:hAnsi="Arial"/>
                <w:sz w:val="18"/>
                <w:szCs w:val="18"/>
                <w:color w:val="auto"/>
                <w:w w:val="97"/>
              </w:rPr>
              <w:t>PRIORITY TECHNOLOGY HOLDINGS, INC.</w:t>
            </w:r>
          </w:p>
        </w:tc>
        <w:tc>
          <w:tcPr>
            <w:tcW w:w="1820" w:type="dxa"/>
            <w:vAlign w:val="bottom"/>
          </w:tcPr>
          <w:p>
            <w:pPr>
              <w:spacing w:after="0"/>
              <w:rPr>
                <w:sz w:val="24"/>
                <w:szCs w:val="24"/>
                <w:color w:val="auto"/>
              </w:rPr>
            </w:pPr>
          </w:p>
        </w:tc>
      </w:tr>
      <w:tr>
        <w:trPr>
          <w:trHeight w:val="418"/>
        </w:trPr>
        <w:tc>
          <w:tcPr>
            <w:tcW w:w="9600" w:type="dxa"/>
            <w:vAlign w:val="bottom"/>
            <w:gridSpan w:val="18"/>
          </w:tcPr>
          <w:p>
            <w:pPr>
              <w:spacing w:after="0"/>
              <w:rPr>
                <w:sz w:val="20"/>
                <w:szCs w:val="20"/>
                <w:color w:val="auto"/>
              </w:rPr>
            </w:pPr>
            <w:r>
              <w:rPr>
                <w:rFonts w:ascii="Arial" w:cs="Arial" w:eastAsia="Arial" w:hAnsi="Arial"/>
                <w:sz w:val="18"/>
                <w:szCs w:val="18"/>
                <w:color w:val="auto"/>
              </w:rPr>
              <w:t>For the nine months ended September 30, 2018 and September 30, 2017 (Unaudited):</w:t>
            </w:r>
          </w:p>
        </w:tc>
        <w:tc>
          <w:tcPr>
            <w:tcW w:w="1820" w:type="dxa"/>
            <w:vAlign w:val="bottom"/>
          </w:tcPr>
          <w:p>
            <w:pPr>
              <w:spacing w:after="0"/>
              <w:rPr>
                <w:sz w:val="24"/>
                <w:szCs w:val="24"/>
                <w:color w:val="auto"/>
              </w:rPr>
            </w:pPr>
          </w:p>
        </w:tc>
      </w:tr>
      <w:tr>
        <w:trPr>
          <w:trHeight w:val="190"/>
        </w:trPr>
        <w:tc>
          <w:tcPr>
            <w:tcW w:w="9600" w:type="dxa"/>
            <w:vAlign w:val="bottom"/>
            <w:gridSpan w:val="18"/>
          </w:tcPr>
          <w:p>
            <w:pPr>
              <w:spacing w:after="0" w:line="190" w:lineRule="exact"/>
              <w:rPr>
                <w:rFonts w:ascii="Arial" w:cs="Arial" w:eastAsia="Arial" w:hAnsi="Arial"/>
                <w:sz w:val="18"/>
                <w:szCs w:val="18"/>
                <w:color w:val="0000EE"/>
              </w:rPr>
            </w:pPr>
            <w:hyperlink w:anchor="page127">
              <w:r>
                <w:rPr>
                  <w:rFonts w:ascii="Arial" w:cs="Arial" w:eastAsia="Arial" w:hAnsi="Arial"/>
                  <w:sz w:val="18"/>
                  <w:szCs w:val="18"/>
                  <w:color w:val="0000EE"/>
                </w:rPr>
                <w:t>Condensed Consolidated Balance Sheets</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Condensed Consolidated Statements of Operations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Condensed Consolidated Statements of Stockholders’ Equity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4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Condensed Consolidated Statements of Cash Flows</w:t>
              </w:r>
            </w:hyperlink>
          </w:p>
        </w:tc>
        <w:tc>
          <w:tcPr>
            <w:tcW w:w="520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Notes to Condensed Consolidated Financial Statements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38"/>
        </w:trPr>
        <w:tc>
          <w:tcPr>
            <w:tcW w:w="9600" w:type="dxa"/>
            <w:vAlign w:val="bottom"/>
            <w:gridSpan w:val="18"/>
          </w:tcPr>
          <w:p>
            <w:pPr>
              <w:spacing w:after="0"/>
              <w:rPr>
                <w:sz w:val="20"/>
                <w:szCs w:val="20"/>
                <w:color w:val="auto"/>
              </w:rPr>
            </w:pPr>
            <w:r>
              <w:rPr>
                <w:rFonts w:ascii="Arial" w:cs="Arial" w:eastAsia="Arial" w:hAnsi="Arial"/>
                <w:sz w:val="18"/>
                <w:szCs w:val="18"/>
                <w:color w:val="auto"/>
              </w:rPr>
              <w:t>For the years ended December 31, 2017, 2016 and 2015 (formerly Priority Holdings, LLC):</w:t>
            </w:r>
          </w:p>
        </w:tc>
        <w:tc>
          <w:tcPr>
            <w:tcW w:w="1820" w:type="dxa"/>
            <w:vAlign w:val="bottom"/>
          </w:tcPr>
          <w:p>
            <w:pPr>
              <w:spacing w:after="0"/>
              <w:rPr>
                <w:sz w:val="24"/>
                <w:szCs w:val="24"/>
                <w:color w:val="auto"/>
              </w:rPr>
            </w:pPr>
          </w:p>
        </w:tc>
      </w:tr>
      <w:tr>
        <w:trPr>
          <w:trHeight w:val="190"/>
        </w:trPr>
        <w:tc>
          <w:tcPr>
            <w:tcW w:w="4240" w:type="dxa"/>
            <w:vAlign w:val="bottom"/>
            <w:tcBorders>
              <w:bottom w:val="single" w:sz="8" w:color="0000EE"/>
            </w:tcBorders>
            <w:gridSpan w:val="12"/>
          </w:tcPr>
          <w:p>
            <w:pPr>
              <w:spacing w:after="0" w:line="190" w:lineRule="exact"/>
              <w:rPr>
                <w:rFonts w:ascii="Arial" w:cs="Arial" w:eastAsia="Arial" w:hAnsi="Arial"/>
                <w:sz w:val="18"/>
                <w:szCs w:val="18"/>
                <w:color w:val="0000EE"/>
                <w:w w:val="91"/>
              </w:rPr>
            </w:pPr>
            <w:hyperlink w:anchor="page155">
              <w:r>
                <w:rPr>
                  <w:rFonts w:ascii="Arial" w:cs="Arial" w:eastAsia="Arial" w:hAnsi="Arial"/>
                  <w:sz w:val="18"/>
                  <w:szCs w:val="18"/>
                  <w:color w:val="0000EE"/>
                  <w:w w:val="91"/>
                </w:rPr>
                <w:t>Report of Independent Registered Public Accounting Firm</w:t>
              </w:r>
            </w:hyperlink>
          </w:p>
        </w:tc>
        <w:tc>
          <w:tcPr>
            <w:tcW w:w="5360" w:type="dxa"/>
            <w:vAlign w:val="bottom"/>
            <w:gridSpan w:val="6"/>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F-30</w:t>
            </w:r>
          </w:p>
        </w:tc>
      </w:tr>
      <w:tr>
        <w:trPr>
          <w:trHeight w:val="196"/>
        </w:trPr>
        <w:tc>
          <w:tcPr>
            <w:tcW w:w="46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Consolidated Balance Sheets as of December 31, 2017 and 2016</w:t>
              </w:r>
            </w:hyperlink>
          </w:p>
        </w:tc>
        <w:tc>
          <w:tcPr>
            <w:tcW w:w="494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Operations for the years ended December 31, 2017, 2016, and 2015</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81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Consolidated Statements of Changes in Equity (Deficit) for the years ended December 31, 2017, 2016 and 2015</w:t>
              </w:r>
            </w:hyperlink>
          </w:p>
        </w:tc>
        <w:tc>
          <w:tcPr>
            <w:tcW w:w="148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Cash Flows for the years ended December 31, 2017, 2016, and 2015</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196"/>
        </w:trPr>
        <w:tc>
          <w:tcPr>
            <w:tcW w:w="6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Consolidated Financial Statements</w:t>
              </w:r>
            </w:hyperlink>
          </w:p>
        </w:tc>
        <w:tc>
          <w:tcPr>
            <w:tcW w:w="26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F-35</w:t>
            </w:r>
          </w:p>
        </w:tc>
      </w:tr>
      <w:tr>
        <w:trPr>
          <w:trHeight w:val="453"/>
        </w:trPr>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gridSpan w:val="4"/>
          </w:tcPr>
          <w:p>
            <w:pPr>
              <w:jc w:val="center"/>
              <w:ind w:right="2840"/>
              <w:spacing w:after="0"/>
              <w:rPr>
                <w:sz w:val="20"/>
                <w:szCs w:val="20"/>
                <w:color w:val="auto"/>
              </w:rPr>
            </w:pPr>
            <w:r>
              <w:rPr>
                <w:rFonts w:ascii="Arial" w:cs="Arial" w:eastAsia="Arial" w:hAnsi="Arial"/>
                <w:sz w:val="18"/>
                <w:szCs w:val="18"/>
                <w:color w:val="auto"/>
                <w:w w:val="98"/>
              </w:rPr>
              <w:t>M I ACQUISITIONS, INC.</w:t>
            </w:r>
          </w:p>
        </w:tc>
        <w:tc>
          <w:tcPr>
            <w:tcW w:w="1820" w:type="dxa"/>
            <w:vAlign w:val="bottom"/>
          </w:tcPr>
          <w:p>
            <w:pPr>
              <w:spacing w:after="0"/>
              <w:rPr>
                <w:sz w:val="24"/>
                <w:szCs w:val="24"/>
                <w:color w:val="auto"/>
              </w:rPr>
            </w:pPr>
          </w:p>
        </w:tc>
      </w:tr>
      <w:tr>
        <w:trPr>
          <w:trHeight w:val="432"/>
        </w:trPr>
        <w:tc>
          <w:tcPr>
            <w:tcW w:w="9600" w:type="dxa"/>
            <w:vAlign w:val="bottom"/>
            <w:gridSpan w:val="18"/>
          </w:tcPr>
          <w:p>
            <w:pPr>
              <w:spacing w:after="0"/>
              <w:rPr>
                <w:sz w:val="20"/>
                <w:szCs w:val="20"/>
                <w:color w:val="auto"/>
              </w:rPr>
            </w:pPr>
            <w:r>
              <w:rPr>
                <w:rFonts w:ascii="Arial" w:cs="Arial" w:eastAsia="Arial" w:hAnsi="Arial"/>
                <w:sz w:val="18"/>
                <w:szCs w:val="18"/>
                <w:color w:val="auto"/>
              </w:rPr>
              <w:t>For the years ended December 31, 2017 and 2016</w:t>
            </w:r>
          </w:p>
        </w:tc>
        <w:tc>
          <w:tcPr>
            <w:tcW w:w="1820" w:type="dxa"/>
            <w:vAlign w:val="bottom"/>
          </w:tcPr>
          <w:p>
            <w:pPr>
              <w:spacing w:after="0"/>
              <w:rPr>
                <w:sz w:val="24"/>
                <w:szCs w:val="24"/>
                <w:color w:val="auto"/>
              </w:rPr>
            </w:pPr>
          </w:p>
        </w:tc>
      </w:tr>
      <w:tr>
        <w:trPr>
          <w:trHeight w:val="392"/>
        </w:trPr>
        <w:tc>
          <w:tcPr>
            <w:tcW w:w="9600" w:type="dxa"/>
            <w:vAlign w:val="bottom"/>
            <w:gridSpan w:val="1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F-62</w:t>
            </w:r>
          </w:p>
        </w:tc>
      </w:tr>
      <w:tr>
        <w:trPr>
          <w:trHeight w:val="196"/>
        </w:trPr>
        <w:tc>
          <w:tcPr>
            <w:tcW w:w="4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Balance Sheets</w:t>
              </w:r>
            </w:hyperlink>
          </w:p>
        </w:tc>
        <w:tc>
          <w:tcPr>
            <w:tcW w:w="538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F-63</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4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Statements of Operations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F-64</w:t>
            </w:r>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4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Statements of Stockholders’ Equity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F-65</w:t>
            </w:r>
          </w:p>
        </w:tc>
      </w:tr>
      <w:tr>
        <w:trPr>
          <w:trHeight w:val="196"/>
        </w:trPr>
        <w:tc>
          <w:tcPr>
            <w:tcW w:w="25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Statements of Cash Flows</w:t>
              </w:r>
            </w:hyperlink>
          </w:p>
        </w:tc>
        <w:tc>
          <w:tcPr>
            <w:tcW w:w="704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F-66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40" w:type="dxa"/>
            <w:vAlign w:val="bottom"/>
            <w:gridSpan w:val="1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600" w:type="dxa"/>
            <w:vAlign w:val="bottom"/>
            <w:gridSpan w:val="18"/>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Notes to Financial Statements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r>
      <w:tr>
        <w:trPr>
          <w:trHeight w:val="581"/>
        </w:trPr>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4"/>
          </w:tcPr>
          <w:p>
            <w:pPr>
              <w:jc w:val="center"/>
              <w:ind w:right="2880"/>
              <w:spacing w:after="0"/>
              <w:rPr>
                <w:sz w:val="20"/>
                <w:szCs w:val="20"/>
                <w:color w:val="auto"/>
              </w:rPr>
            </w:pPr>
            <w:r>
              <w:rPr>
                <w:rFonts w:ascii="Arial" w:cs="Arial" w:eastAsia="Arial" w:hAnsi="Arial"/>
                <w:sz w:val="18"/>
                <w:szCs w:val="18"/>
                <w:color w:val="auto"/>
                <w:w w:val="96"/>
              </w:rPr>
              <w:t>F-1</w:t>
            </w: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Priority Technology Holdings, Inc.</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2018 and December 31, 2017</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320" w:type="dxa"/>
            <w:vAlign w:val="bottom"/>
            <w:gridSpan w:val="4"/>
          </w:tcPr>
          <w:p>
            <w:pPr>
              <w:ind w:left="680"/>
              <w:spacing w:after="0"/>
              <w:rPr>
                <w:sz w:val="20"/>
                <w:szCs w:val="20"/>
                <w:color w:val="auto"/>
              </w:rPr>
            </w:pPr>
            <w:r>
              <w:rPr>
                <w:rFonts w:ascii="Arial" w:cs="Arial" w:eastAsia="Arial" w:hAnsi="Arial"/>
                <w:sz w:val="18"/>
                <w:szCs w:val="18"/>
                <w:b w:val="1"/>
                <w:bCs w:val="1"/>
                <w:color w:val="auto"/>
                <w:w w:val="96"/>
              </w:rPr>
              <w:t>September 30, 2018</w:t>
            </w:r>
          </w:p>
        </w:tc>
        <w:tc>
          <w:tcPr>
            <w:tcW w:w="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17,203</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18,274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$295 and $484, respectively</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Due from related parties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Current portion of notes receivable</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2,247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assets</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109,366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65,579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48,469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327,306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EQUITY (DEFICIT)</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26,614</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residual commissions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Settlement obligations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common unit repurchase obligation</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 net of discounts and deferred financing costs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342,293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long term liabilities</w:t>
            </w:r>
          </w:p>
        </w:tc>
        <w:tc>
          <w:tcPr>
            <w:tcW w:w="6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349,333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409,698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356,862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(82,392)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equity (deficit)</w:t>
            </w:r>
          </w:p>
        </w:tc>
        <w:tc>
          <w:tcPr>
            <w:tcW w:w="68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40" w:type="dxa"/>
            <w:vAlign w:val="bottom"/>
            <w:gridSpan w:val="3"/>
          </w:tcPr>
          <w:p>
            <w:pPr>
              <w:ind w:left="3140"/>
              <w:spacing w:after="0"/>
              <w:rPr>
                <w:sz w:val="20"/>
                <w:szCs w:val="20"/>
                <w:color w:val="auto"/>
              </w:rPr>
            </w:pPr>
            <w:r>
              <w:rPr>
                <w:rFonts w:ascii="Arial" w:cs="Arial" w:eastAsia="Arial" w:hAnsi="Arial"/>
                <w:sz w:val="18"/>
                <w:szCs w:val="18"/>
                <w:color w:val="auto"/>
                <w:w w:val="95"/>
              </w:rPr>
              <w:t>See Notes to Unaudited Condensed Consolidated Financial Statements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74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F-2</w:t>
            </w: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Priority Technology Holdings, Inc.</w:t>
            </w: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Operations</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For the three quarters ended September 30, 2018 and 2017</w:t>
            </w: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quarters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299,661</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18,426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5,862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revenue</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323,949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Costs of merchant card fees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230,276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costs of services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28,406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13,978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10,449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309,306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Income from operations</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14,643</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Debt modification and extinguishment expenses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Equity in loss and impairment of unconsolidated entities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expenses</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before income taxes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per common share: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(C-corporation basis) (Note 8):</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(1,618)</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2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(Loss) income per common share: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Priority Technology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Changes in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quarters ended September 30, 2018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Total</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color w:val="auto"/>
                <w:w w:val="97"/>
              </w:rPr>
              <w:t>Members’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gridSpan w:val="5"/>
          </w:tcPr>
          <w:p>
            <w:pPr>
              <w:ind w:left="260"/>
              <w:spacing w:after="0"/>
              <w:rPr>
                <w:sz w:val="20"/>
                <w:szCs w:val="20"/>
                <w:color w:val="auto"/>
              </w:rPr>
            </w:pPr>
            <w:r>
              <w:rPr>
                <w:rFonts w:ascii="Arial" w:cs="Arial" w:eastAsia="Arial" w:hAnsi="Arial"/>
                <w:sz w:val="14"/>
                <w:szCs w:val="14"/>
                <w:color w:val="auto"/>
              </w:rPr>
              <w:t>Common Units</w:t>
            </w:r>
          </w:p>
        </w:tc>
        <w:tc>
          <w:tcPr>
            <w:tcW w:w="10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Equity</w:t>
            </w: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200"/>
              <w:spacing w:after="0"/>
              <w:rPr>
                <w:sz w:val="20"/>
                <w:szCs w:val="20"/>
                <w:color w:val="auto"/>
              </w:rPr>
            </w:pPr>
            <w:r>
              <w:rPr>
                <w:rFonts w:ascii="Arial" w:cs="Arial" w:eastAsia="Arial" w:hAnsi="Arial"/>
                <w:sz w:val="14"/>
                <w:szCs w:val="14"/>
                <w:color w:val="auto"/>
                <w:w w:val="94"/>
              </w:rPr>
              <w:t>Preferred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color w:val="auto"/>
              </w:rPr>
              <w:t>Units</w:t>
            </w: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840" w:type="dxa"/>
            <w:vAlign w:val="bottom"/>
            <w:gridSpan w:val="3"/>
          </w:tcPr>
          <w:p>
            <w:pPr>
              <w:jc w:val="center"/>
              <w:ind w:right="240"/>
              <w:spacing w:after="0" w:line="155" w:lineRule="exact"/>
              <w:rPr>
                <w:sz w:val="20"/>
                <w:szCs w:val="20"/>
                <w:color w:val="auto"/>
              </w:rPr>
            </w:pPr>
            <w:r>
              <w:rPr>
                <w:rFonts w:ascii="Arial" w:cs="Arial" w:eastAsia="Arial" w:hAnsi="Arial"/>
                <w:sz w:val="14"/>
                <w:szCs w:val="14"/>
                <w:color w:val="auto"/>
                <w:w w:val="99"/>
              </w:rPr>
              <w:t>(Deficit)</w:t>
            </w:r>
          </w:p>
        </w:tc>
        <w:tc>
          <w:tcPr>
            <w:tcW w:w="72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76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color w:val="auto"/>
              </w:rPr>
              <w:t>Shares</w:t>
            </w:r>
          </w:p>
        </w:tc>
        <w:tc>
          <w:tcPr>
            <w:tcW w:w="56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740" w:type="dxa"/>
            <w:vAlign w:val="bottom"/>
            <w:gridSpan w:val="3"/>
          </w:tcPr>
          <w:p>
            <w:pPr>
              <w:jc w:val="center"/>
              <w:ind w:right="140"/>
              <w:spacing w:after="0" w:line="155" w:lineRule="exact"/>
              <w:rPr>
                <w:sz w:val="20"/>
                <w:szCs w:val="20"/>
                <w:color w:val="auto"/>
              </w:rPr>
            </w:pPr>
            <w:r>
              <w:rPr>
                <w:rFonts w:ascii="Arial" w:cs="Arial" w:eastAsia="Arial" w:hAnsi="Arial"/>
                <w:sz w:val="14"/>
                <w:szCs w:val="14"/>
                <w:color w:val="auto"/>
                <w:w w:val="99"/>
              </w:rPr>
              <w:t>(Deficit)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48"/>
              <w:spacing w:after="0" w:line="155"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3"/>
                <w:szCs w:val="13"/>
                <w:color w:val="auto"/>
              </w:rPr>
            </w:pPr>
          </w:p>
        </w:tc>
        <w:tc>
          <w:tcPr>
            <w:tcW w:w="660" w:type="dxa"/>
            <w:vAlign w:val="bottom"/>
            <w:gridSpan w:val="3"/>
          </w:tcPr>
          <w:p>
            <w:pPr>
              <w:jc w:val="right"/>
              <w:ind w:right="99"/>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December 31, 2017, as originally reported</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5,551</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(90,155)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(90,155)</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Conversion of units to common stock and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5"/>
              </w:rPr>
              <w:t>(90,155)</w:t>
            </w:r>
          </w:p>
        </w:tc>
        <w:tc>
          <w:tcPr>
            <w:tcW w:w="0" w:type="dxa"/>
            <w:vAlign w:val="bottom"/>
          </w:tcPr>
          <w:p>
            <w:pPr>
              <w:spacing w:after="0"/>
              <w:rPr>
                <w:sz w:val="1"/>
                <w:szCs w:val="1"/>
                <w:color w:val="auto"/>
              </w:rPr>
            </w:pP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reclassification of members’ equity (deficit)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90,155</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90,155</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73,110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73</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(90,228)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December 31, 2017, as recasted</w:t>
            </w: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73,110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w:t>
            </w: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22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(90,228)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b w:val="1"/>
                <w:bCs w:val="1"/>
                <w:color w:val="auto"/>
                <w:w w:val="95"/>
              </w:rPr>
              <w:t>(90,155)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Cash distributions to members in 2018 prior to July 25</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b w:val="1"/>
                <w:bCs w:val="1"/>
                <w:color w:val="auto"/>
              </w:rPr>
              <w:t>(7,075)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Member redemptions in 2018 prior to July 25</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(12,565)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8"/>
              </w:rPr>
              <w:t>(13)</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(36,548)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(28,342)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5"/>
              </w:rPr>
              <w:t>(64,903)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MI Acquisitions shares</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6,676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49,382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49,389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Pro-rata adjustment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Effects of Founders’ Share Agreement</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b w:val="1"/>
                <w:bCs w:val="1"/>
                <w:color w:val="auto"/>
              </w:rPr>
              <w:t>(2,118)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Equity-based compensation arrangements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1,063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Recapitalization costs</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b w:val="1"/>
                <w:bCs w:val="1"/>
                <w:color w:val="auto"/>
              </w:rPr>
              <w:t>(9,704)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w w:val="95"/>
              </w:rPr>
              <w:t>Net deferred income taxes related to loss of partnership</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47,478</w:t>
            </w: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status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47,478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business acquisitions</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(a)</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Net loss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(11,367)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5"/>
              </w:rPr>
              <w:t>(11,367)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September 30, 2018</w:t>
            </w:r>
          </w:p>
        </w:tc>
        <w:tc>
          <w:tcPr>
            <w:tcW w:w="5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84"/>
              </w:rPr>
              <w:t>)</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67,047</w:t>
            </w:r>
          </w:p>
        </w:tc>
        <w:tc>
          <w:tcPr>
            <w:tcW w:w="44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67</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(82,459</w:t>
            </w:r>
          </w:p>
        </w:tc>
        <w:tc>
          <w:tcPr>
            <w:tcW w:w="140" w:type="dxa"/>
            <w:vAlign w:val="bottom"/>
            <w:vMerge w:val="continue"/>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(82,392</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160" w:right="2540" w:hanging="613"/>
        <w:spacing w:after="0" w:line="624" w:lineRule="auto"/>
        <w:tabs>
          <w:tab w:leader="none" w:pos="27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Par value of 475,195 common shares issued rounds to less than one thousand dollars See Notes to Unaudited Condensed Consolidated Financial Statements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Priority Technology Holdings, Inc.</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For the three quarters ended September 30, 2018 and 2017</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quarters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(11,367)</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income to net cash provided by operating activities: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12,679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Equity-based compensation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discount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Equity in loss and impairment of unconsolidated entities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deferred income taxes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Change in fair value of warrant liability</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3,458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contingent consideration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Loss on debt extinguishment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in kind interest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 net of business acquisitions: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Settlement assets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4,434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Notes receivable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3,661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expenses and accrued residual commissions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Settlement obligations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1,330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deposits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Other assets and liabilities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Acquisition of businesses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(7,508)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Acquisitions of merchant portfolios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(26,431)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67,113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Redemption of membership interest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(74,093)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Recapitalization proceeds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49,389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Founders shares redemptions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(2,118)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warrants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Recapitalization costs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(9,355)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783" w:right="239" w:bottom="19" w:gutter="0" w:footer="0" w:header="0"/>
        </w:sectPr>
      </w:pPr>
    </w:p>
    <w:p>
      <w:pPr>
        <w:spacing w:after="0"/>
        <w:rPr>
          <w:sz w:val="20"/>
          <w:szCs w:val="20"/>
          <w:color w:val="auto"/>
        </w:rPr>
      </w:pPr>
      <w:r>
        <w:rPr>
          <w:rFonts w:ascii="Arial" w:cs="Arial" w:eastAsia="Arial" w:hAnsi="Arial"/>
          <w:sz w:val="18"/>
          <w:szCs w:val="18"/>
          <w:b w:val="1"/>
          <w:bCs w:val="1"/>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decrease in cash and restricted 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and restricted cash at the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restricted cash at September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(8,682)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(3,246)</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44,159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41,702</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783" w:right="239" w:bottom="19"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16,537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Recognition of initial net deferred income tax asset</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47,478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receivable from sellers used as partial consideration for business acquisitions</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consideration payable for business acquisition</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Recapitalization costs remaining in accounts payable</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as partial consideration in business acquisitions</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Common unit repurchase obligation</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19"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right="6880" w:firstLine="8"/>
        <w:spacing w:after="0" w:line="503" w:lineRule="auto"/>
        <w:tabs>
          <w:tab w:leader="none" w:pos="447"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BASIS OF PRESENTATION Nature of Business</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(the “Company”)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Priority provides: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Consumer payments processing solutions for business-to-consumer (“B2C”) transactions through independent sales organizations (“ISOs”), financial institutions, independent software vendors (“ISVs”), and other referral partners. Priority’s proprietary MX platform for B2C payments provides merchants a fully customizable suite of business management solutions.</w:t>
      </w:r>
    </w:p>
    <w:p>
      <w:pPr>
        <w:jc w:val="both"/>
        <w:ind w:left="660" w:hanging="328"/>
        <w:spacing w:after="0" w:line="250"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Institutional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Integrated partners solutions for ISVs and other third-parties that allow them to leverage the Company’s core payments engine via robust application program interfaces (“APIs”) resources and high-utility embeddable code.</w:t>
      </w:r>
    </w:p>
    <w:p>
      <w:pPr>
        <w:ind w:left="660" w:hanging="328"/>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Recapitalization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Inc. (“MI” or “MI Acquisitions”)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shares began trading then on Nasdaq Stock Market, LLC (“Nasdaq”) under the symbol MACQ. In addition, MI Acquisitions completed a private placement to certain initial stockholders of MI. MI Acquisitions received gross proceeds of approximately $54.0 million from the IPO and private placement.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25, 2018, MI Acquisitions acquired all of the outstanding member equity interests of Priority Holdings, LLC (“Priority”) in exchange for the issuance of MI Acquisitions’ common shares (the “Business Combination”) from a private placement. As a result, Priority, which was previously a privately owned company, became a wholly-owned subsidiary of MI Acquisitions. Simultaneously with the Business Combination, MI Acquisitions changed its name to Priority Technology Holdings, Inc. and the symbol for its common stock on Nasdaq became PRTH.</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 </w:t>
      </w:r>
      <w:r>
        <w:rPr>
          <w:rFonts w:ascii="Arial" w:cs="Arial" w:eastAsia="Arial" w:hAnsi="Arial"/>
          <w:sz w:val="17"/>
          <w:szCs w:val="17"/>
          <w:color w:val="222222"/>
        </w:rPr>
        <w:t>The units and corresponding capital amounts and earnings per unit of Priority prior to the Recapitalization have been</w:t>
      </w:r>
      <w:r>
        <w:rPr>
          <w:rFonts w:ascii="Arial" w:cs="Arial" w:eastAsia="Arial" w:hAnsi="Arial"/>
          <w:sz w:val="17"/>
          <w:szCs w:val="17"/>
          <w:color w:val="auto"/>
        </w:rPr>
        <w:t xml:space="preserve"> </w:t>
      </w:r>
      <w:r>
        <w:rPr>
          <w:rFonts w:ascii="Arial" w:cs="Arial" w:eastAsia="Arial" w:hAnsi="Arial"/>
          <w:sz w:val="17"/>
          <w:szCs w:val="17"/>
          <w:color w:val="222222"/>
        </w:rPr>
        <w:t>retroactively restated as shares reflecting the exchange ratio established in the Recapitalization.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common shares issued in the private placement, including the common shares issued to the sellers of Priority, are restricted shares, meaning that there are certain regulatory restrictions on the holders’ abilities to sell, transfer, pledge or otherwise dispose of the private placement shares. Common shares of the Company issued to certain non-affiliates in the private placement may become unrestricted common shares in the future due to the lapse of certain regulatory restrictions on the holders’ ability to sell, transfer, pledge, or dispose of the unregistered shares.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Executive Chairman controls a majority of the voting power of the Company’s outstanding common stock. As a result, the Company is a “controlled company” within the meaning of Nasdaq’s corporate governance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the Company’s equity structure, see Note 11, </w:t>
      </w:r>
      <w:r>
        <w:rPr>
          <w:rFonts w:ascii="Arial" w:cs="Arial" w:eastAsia="Arial" w:hAnsi="Arial"/>
          <w:sz w:val="18"/>
          <w:szCs w:val="18"/>
          <w:i w:val="1"/>
          <w:iCs w:val="1"/>
          <w:color w:val="auto"/>
        </w:rPr>
        <w:t>Equity</w:t>
      </w:r>
      <w:r>
        <w:rPr>
          <w:rFonts w:ascii="Arial" w:cs="Arial" w:eastAsia="Arial" w:hAnsi="Arial"/>
          <w:sz w:val="18"/>
          <w:szCs w:val="18"/>
          <w:color w:val="auto"/>
        </w:rPr>
        <w:t>, to these unaudited condensed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July 25, 2018, Priority was a “pass-through” entity for income tax purposes and had no material income tax accounting reflected in its financial statements for financial reporting purposes since taxable income and deductions were “passed through” to Priority’s unconsolidated owners. MI Acquisitions is a taxable “C Corp” for income tax purposes. As a result of Priority’s acquisition by MI Acquisitions, the combined Company is now a taxable “C Corp” that reports all of Priority’s income and deductions for income tax purposes. Accordingly, the consolidated financial statements of the Company now account for income taxes in accordance with Accounting Standards Codification (“ASC”) 740, Income Taxes (“ASC 740”). See Note 8, </w:t>
      </w:r>
      <w:r>
        <w:rPr>
          <w:rFonts w:ascii="Arial" w:cs="Arial" w:eastAsia="Arial" w:hAnsi="Arial"/>
          <w:sz w:val="18"/>
          <w:szCs w:val="18"/>
          <w:i w:val="1"/>
          <w:iCs w:val="1"/>
          <w:color w:val="auto"/>
        </w:rPr>
        <w:t>Income Taxes</w:t>
      </w:r>
      <w:r>
        <w:rPr>
          <w:rFonts w:ascii="Arial" w:cs="Arial" w:eastAsia="Arial" w:hAnsi="Arial"/>
          <w:sz w:val="18"/>
          <w:szCs w:val="18"/>
          <w:color w:val="auto"/>
        </w:rPr>
        <w:t>, to these unaudited condensed consolidated financial statements.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operates in two reportable segments, Consumer Payments and Commercial Payments and Managed Services. For more information about the Company’s segments, refer to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to these unaudited condensed consolidated financial statements. The Business Combination did not impact the Company’s reportable segments as MI was a SPAC with substantially no business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assets” in the accompanying unaudited condensed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unaudited condensed consolidated financial statements: 1) have been prepared in accordance with U.S. GAAP for interim financial information and the rules and regulations of the U.S. Securities and Exchange Commission (the “SEC”) and 2) should be read in connection with Priority’s audited consolidated financial statements and related notes as of and for the year ended December 31, 2017 included as Exhibit 99.2 to the Company’s Current Report on Form 8-K filed July 31, 2018 (the “Form 8-K”). 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The accompanying unaudited condensed consolidated balance sheet and related footnote disclosures as of December 31, 2017 were derived from Priority’s audited consolidated financial statements and accompanying footnotes as of and for the year ended December 31, 2017 included in the Form 8-K.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The Company may remain an EGC until December 31, 2021. However, if the Company’s non-convertible debt issued within a rolling three-year period exceeds $1.0 billion, the Company would cease to be an EGC immediately, or if its revenues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represents the sum of net income (loss) and other amounts that are not included in the unaudited condensed consolidated statement of operations as the amounts have not been realized. For the three quarters ended September 30, 2018 and 2017, there were no differences between the Company’s net income (loss) and comprehensive income (loss). Therefore, no separate Statement of Other Comprehensive Income (Loss) is included in the financial statements for the reporting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MI Acquisitions had substantially no business operations as a SPAC, its limited accounting policies were not in conflict with those of Priority. Accordingly, the combined Company uses the accounting policies of Priority as described in Note 1 to Priority’s audited consolidated financial statements as of and for the year ended December 31, 2017 included in the Form 8-K. There have been no material changes to these accounting policies, except as noted below for the: 1) new accounting pronouncement adopted in the first three quarters of 2018; 2) adoption of an accounting policy for income taxes for the Company during the first three quarters of 2018; 3) updated accounting policy for earnings per share; and 4) updated fair value accounting policy for contingent consideration associated with business combinations. Accounting policies, as previously disclosed in Note 1 to Priority’s audited consolidated financial statements as of and for the year ended December 31, 2017 contained in the Form 8-K, are presented below for revenue recognition and cost of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to Priority’s audited consolidated financial statements as of and for the year ended December 31, 2017 for further discussion of the Company’s reportable segments.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Consumer Payments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Commercial Payments and Managed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Merchant Card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the two class method when computing net income (loss) per common share due to the existence of contingent share arrangements that meet the definition of participating securities. The two-class method determines net income (loss) per common share for each class of common shares and participating securities according to dividends declared or accumulated and participation rights in undistributed earnings. The two class method requires income available to common shareholders for the period to be allocated between common shares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Company’s common shares.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 in Business Acquisitions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Company’s contingent consideration in business acquisitions are primarily based on Level 3 inputs and are generally estimated based on discounted cash flow analysis from the Company’s most recent cash flow projections and growth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and Pending Adoption)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July 25, 2018, Priority was defined as a non-public entity for purposes of applying transition guidance related to new or revised accounting standards under U.S. GAAP, and as such was typically required to adopt new or revised accounting standards subsequent to the required adoption dates that applied to public companies. MI Acquisitions is classified as an EGC. Subsequent to the July 25, 2018 Business Combination, the Company retains EGC status until no later than December 31, 2021. The Company will maintain the election available to an EGC to use any extended transition period applicable to non-public companies when complying with a new or revised accounting standards. Therefore, as long as the Company retains EGC status, before December 31, 2021 the Company can continue to elect to adopt any new or revised accounting standards on the adoption date (including early adoption) required for a private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Adopted in the First Three Quarters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to Share-Based Compensation Awards (ASU 2017-09)</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January 1, 2018, the Company adopted Accounting Standards Update (“ASU”) No. 2017-09, </w:t>
      </w:r>
      <w:r>
        <w:rPr>
          <w:rFonts w:ascii="Arial" w:cs="Arial" w:eastAsia="Arial" w:hAnsi="Arial"/>
          <w:sz w:val="18"/>
          <w:szCs w:val="18"/>
          <w:i w:val="1"/>
          <w:iCs w:val="1"/>
          <w:color w:val="auto"/>
        </w:rPr>
        <w:t>Compensation-Stock Compensation Topic 718 -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Modification Accounting </w:t>
      </w:r>
      <w:r>
        <w:rPr>
          <w:rFonts w:ascii="Arial" w:cs="Arial" w:eastAsia="Arial" w:hAnsi="Arial"/>
          <w:sz w:val="18"/>
          <w:szCs w:val="18"/>
          <w:color w:val="auto"/>
        </w:rPr>
        <w:t>(“ASU 2017-09”). ASU 2017-09 clarifies when changes to the terms and conditions of share-based payment awards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modifications. Entities apply the modification accounting guidance if the value, vesting conditions, or classification of an award changes. The Company has not modified any share-based payment awards since the adoption of ASU 2017-09. Should the Company modify share-based payment awards in the future, it will apply the provisions of ASU 2017-09.</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Income Taxes (ASU 2015-17)</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connection with the Business Combination and Recapitalization, the Company prospectively adopted the provisions of ASU No. 2015-17,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Classification of Deferred Taxes </w:t>
      </w:r>
      <w:r>
        <w:rPr>
          <w:rFonts w:ascii="Arial" w:cs="Arial" w:eastAsia="Arial" w:hAnsi="Arial"/>
          <w:sz w:val="17"/>
          <w:szCs w:val="17"/>
          <w:color w:val="auto"/>
        </w:rPr>
        <w:t>(“ASU 2015-17”), during the first three quarters of 2018. ASU 2015-17 simplifies the balance sheet presentation of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June 30, 2018. Balance sheets for prior periods have not been adjusted. The adoption of ASU 2015-17 had no impact on the Company’s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Payments to Employees (ASU 2016-09)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amends ASC Topic 718,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This new ASU has the following effects: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Additionally, ASU 2016-09 clarifies that:</w:t>
      </w:r>
    </w:p>
    <w:p>
      <w:pPr>
        <w:spacing w:after="0" w:line="225" w:lineRule="exact"/>
        <w:rPr>
          <w:sz w:val="20"/>
          <w:szCs w:val="20"/>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cash payments made to taxing authorities on the employees’ behalf for withheld shares at settlement are presented as financing activities on the statement of cash flows. This change must be applied retrospectively.</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entities are permitted to make an accounting policy election for the impact of forfeitures on the recognition of expense for share-based payment awards. Forfeitures can be estimated, as required today,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an EGC, this ASU is effective for the Company for annual reporting periods beginning 2018 and interim periods beginning first quarter 2019. The adoption of the ASU is not expected to have a material effect on the Company’s financial position, results of operations, or cash flows. Its impact on periods after adoption will depend on future grants of share-based compensation that the Company may make under its 2018 Equity Incentive Plan. See Note 12, </w:t>
      </w:r>
      <w:r>
        <w:rPr>
          <w:rFonts w:ascii="Arial" w:cs="Arial" w:eastAsia="Arial" w:hAnsi="Arial"/>
          <w:sz w:val="18"/>
          <w:szCs w:val="18"/>
          <w:i w:val="1"/>
          <w:iCs w:val="1"/>
          <w:color w:val="auto"/>
        </w:rPr>
        <w:t>Equity-Based Compensation</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to Non-Employees (ASU 2018-07)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Share-based Payments to Non-Employees</w:t>
      </w:r>
      <w:r>
        <w:rPr>
          <w:rFonts w:ascii="Arial" w:cs="Arial" w:eastAsia="Arial" w:hAnsi="Arial"/>
          <w:sz w:val="18"/>
          <w:szCs w:val="18"/>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The Company is evaluating the impact this ASU will have on its consolidated financial statements.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after December 15, 2020, and interim periods within annual periods beginning after December 15, 2021. The amendments should be applied either retrospectively or prospectively to all implementation costs incurred after the date of adoption. The Company is evaluating the impact this ASU will have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 (ASU 2017-01)</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This guidance will assist entities in determining if acquired assets constitute the acquisition of a business or the acquisition of assets for accounting and reporting purposes.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 an EGC, this ASU is effective for the Company for annual reporting periods beginning after December 15, 2018 and interim periods within years beginning after December 15, 2019. The impact that ASU 2017-01 may have on the Company’s financial position, results of operations or cash flows will depend on the nature of any acquisition commencing after the Company’s adoption of the ASU.</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ASU eliminates, adds and modifies certain disclosure requirements for fair value measurements as part of the FASB’s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For all entities, this ASU is effective for annual and interim reporting periods beginning after December 15, 2019.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(ASU 2016-15)</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after December 15, 2018 and interim periods within years beginning after December 15, 2019. The Company is evaluating the effect this ASU will have on its consolidated statement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after December 15, 2021 (i.e., for any impairment test performed in 2022). The impact that ASU 2017-04 may have on the Company’s financial condition or results of operations will depend on the circumstances of any goodwill impairment event that may occur after adoption.</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(ASC 606)</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since has been codified and amended in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clarifies the principles for recognizing revenue and will be applicable to all contracts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 use of either the retrospective or cumulative effect transition method. The Company has not yet selected a transition method and is currently evaluating the effect that the standard may have on its consolidated financial statements and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2016-02)</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Leases-Topic 842</w:t>
      </w:r>
      <w:r>
        <w:rPr>
          <w:rFonts w:ascii="Arial" w:cs="Arial" w:eastAsia="Arial" w:hAnsi="Arial"/>
          <w:sz w:val="17"/>
          <w:szCs w:val="17"/>
          <w:color w:val="auto"/>
        </w:rPr>
        <w:t xml:space="preserve">, which has been codified in ASC 842, </w:t>
      </w:r>
      <w:r>
        <w:rPr>
          <w:rFonts w:ascii="Arial" w:cs="Arial" w:eastAsia="Arial" w:hAnsi="Arial"/>
          <w:sz w:val="17"/>
          <w:szCs w:val="17"/>
          <w:i w:val="1"/>
          <w:iCs w:val="1"/>
          <w:color w:val="auto"/>
        </w:rPr>
        <w:t>Leases</w:t>
      </w:r>
      <w:r>
        <w:rPr>
          <w:rFonts w:ascii="Arial" w:cs="Arial" w:eastAsia="Arial" w:hAnsi="Arial"/>
          <w:sz w:val="17"/>
          <w:szCs w:val="17"/>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2020 and interim reporting periods beginning first quarter of 2021. The new standard requires a modified retrospective basis. The adoption of ASC 842 will require the Company to recognize non-current assets and liabilities for right-of-use assets and operating lease liabilities on its consolidated balance sheet, but is not expected to have a material effect on the Company’s results of operations or cash flows. ASC 842 will also require additional footnote disclosures to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an EGC, the ASU is effective for annual periods beginning after December 15, 2020 and interim periods within annual periods beginning after December 15, 2021.</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primarily by third-party payment processors.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Certain prior year amounts in these unaudited condensed consolidated financial statements have been reclassified to conform to the current year presentation, with no net effect on the Company’s equity or net income (loss) for any period. For additional information about the Company’s Recapitalization in July 2018, see Note 11, </w:t>
      </w:r>
      <w:r>
        <w:rPr>
          <w:rFonts w:ascii="Arial" w:cs="Arial" w:eastAsia="Arial" w:hAnsi="Arial"/>
          <w:sz w:val="18"/>
          <w:szCs w:val="18"/>
          <w:i w:val="1"/>
          <w:iCs w:val="1"/>
          <w:color w:val="auto"/>
        </w:rPr>
        <w:t>Equity</w:t>
      </w:r>
      <w:r>
        <w:rPr>
          <w:rFonts w:ascii="Arial" w:cs="Arial" w:eastAsia="Arial" w:hAnsi="Arial"/>
          <w:sz w:val="18"/>
          <w:szCs w:val="18"/>
          <w:color w:val="auto"/>
        </w:rPr>
        <w:t xml:space="preserve">, to these unaudited condensed consolidated financial statements. For information about the Company’s conversion from a “pass-through” LLC to a taxable “C Corporation” for income tax purposes, see Note 8, </w:t>
      </w:r>
      <w:r>
        <w:rPr>
          <w:rFonts w:ascii="Arial" w:cs="Arial" w:eastAsia="Arial" w:hAnsi="Arial"/>
          <w:sz w:val="18"/>
          <w:szCs w:val="18"/>
          <w:i w:val="1"/>
          <w:iCs w:val="1"/>
          <w:color w:val="auto"/>
        </w:rPr>
        <w:t>Income Taxes</w:t>
      </w:r>
      <w:r>
        <w:rPr>
          <w:rFonts w:ascii="Arial" w:cs="Arial" w:eastAsia="Arial" w:hAnsi="Arial"/>
          <w:sz w:val="18"/>
          <w:szCs w:val="18"/>
          <w:color w:val="auto"/>
        </w:rPr>
        <w:t>, to these unaudited condensed consolidated financial statements.</w:t>
      </w:r>
    </w:p>
    <w:p>
      <w:pPr>
        <w:spacing w:after="0" w:line="184" w:lineRule="exact"/>
        <w:rPr>
          <w:sz w:val="20"/>
          <w:szCs w:val="20"/>
          <w:color w:val="auto"/>
        </w:rPr>
      </w:pPr>
    </w:p>
    <w:p>
      <w:pPr>
        <w:ind w:left="440" w:hanging="432"/>
        <w:spacing w:after="0"/>
        <w:tabs>
          <w:tab w:leader="none" w:pos="4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OF BUSINESSES BY PRIORITY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consummate any business acquisitions during 2017.</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Based on their purchase prices and pre-acquisition operating results and assets, none of the businesses acquired by the Company in the first three quarters of 2018, as described below, met the materiality requirements for pro forma disclosures. The measurement periods, as defined by ASC 805, are still open for all of these business acquisitions since the Company is awaiting information to determine the acquisition-date fair values of certain acquired assets and assumed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 in the First Three Quarters of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PayRight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April 2018, Priority PayRight Health Solutions, LLC (“PPRHS”), a subsidiary of the Company, purchased the majority of the operating assets and certain operating liabilities of PayRight Health Solutions (“PayRight”). This purchase allowed PPRHS to gain control over the PayRight business and therefore the Company’s consolidated financial statements include the financial position, results of operations, and cash flows of PayRight from the date of acquisition. PayRight utilizes technology assets to deliver customized payment solutions to the healthcare industry. The results of the acquired business and goodwill of $0.3 million from the transaction are being reported by the Company as part of the Commercial Payments and Managed Services reportable segment. Additionally, the acquisition resulted in the recognition of intangible and net tangible assets with a fair value of $0.6 million. The Company transferred total consideration with a fair value of $0.9 million consisting of: $0.5 million in cash and forgiveness of amounts owed to the Company by PayRight; $0.3 million fair value of the Company’s previous equity method investment described in the following paragraph; and non-controlling equity interests in the form of profit and distribution rights that were deemed to have minimal fair value as equity instruments at time of acquisition due to the nature of the profit-sharing and liquidations provisions contained in the LLC agreement for PPRHS. However, due to other contractual rights, the profit and distributions rights were assigned a value of $0.1 million, which was recorded as a liability. The measurement period, as defined by ASC 805,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(“ASC 805”), is still open for the PayRight purchase since the Company is awaiting information to determine the acquisition-date fair value of certain acquired assets and assumed liabilities.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Previously, in October 2015, the Company purchased a non-controlling interest in the equity of PayRight, and prior to April 2018 the Company accounted for this investment using the equity method of accounting. Immediately prior to PPRHS’s April 2018 purchase of substantially all of PayRight’s business assets, the Company’s existing non-controlling investment in PayRight had a carrying value of approximately $1.1 million with an estimated fair value on the acquisition date of approximately $0.3 million. The Company recorded an impairment loss of $0.8 million during the first three quarters of 2018 for the difference between the carrying value and the fair value of the non-controlling equity method investment in PayRight. The loss is reported as equity in loss and impairment of unconsolidated entities in the Company’s unaudited condensed consolidated statement of operations for the three quarters ended September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RadPad and Landlord Station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2018, the Company acquired substantially all of the net operating assets of RadPad Holdings, Inc. (“RadPad”) and Landlord Station, LLC (“Landlord Station”). These related asset purchases were deemed to be a business under ASC 805, and the Company formed a new entity, Priority Real Estate Technology, LLC (“PRET”), to acquire and operate these businesses. Due to the related nature of the two sets of business assets, same acquisition dates, and how the Company intends to operate them under the “RadPad” name and operating platform within PRET, the Company deemed them to be one business for accounting and reporting purposes. PRET is reported within the Company’s Commercial Payments and Managed Services reportable segment.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RadPad is a marketplace for the rental real estate market. Landlord Station offers a complementary toolset that focuses on facilitation of tenant screening and other services to the fast-growing independent landlord market. The Company’s existing proprietary payments platform, combined with consumer and commercial payments expertise, allow RadPad and Landlord Station, operating primarily on the merged RadPad platform, to monetize core business and other ancillary revenue stream.</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consideration paid for RadPad and Landlord Station was $4.3 million consisting of $3.9 million plus forgiveness of pre-existing debt owed by the sellers to the Company of $0.4 million. Additionally, the Company paid and expensed $0.1 million for transaction costs. Net tangible and separately-identifiable intangible assets with an initial fair value of $2.1 million were acquired along with goodwill with an initial value of $2.2 million. Non-controlling equity interests in PRET were issued to certain sellers in the form of residual profit interests and distribution rights, however the fair value of these non-controlling interests were deemed to be immaterial at time of acquisition due to the nature of the profit-sharing and liquidations provisions contained in the LLC agreement for PRET.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Payment Systems Northeast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the Company acquired substantially all of the net operating assets of Priority Payment Systems Northeast, Inc. (“PPS Northeast”). This purchase of these net assets was deemed to be a business under ASC 805. Prior to this acquisition, PPS Northeast was an independent brand-licensed office of the Company where it developed expertise in software-integrated payment services designed to manage turnkey installations of point-of-sale and supporting systems, as well as marketing programs that place emphasis on online ordering systems and digital marketing campaigns. PPS Northeast is reported within the Company’s Consumer Payments reportable segment.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Initial consideration of $3.5 million consisted of $500,000 plus 285,117 common shares of the Company with a fair value of approximately of $3.0 million. In addition, contingent consideration in an amount up to $0.5 million was deemed to have a fair value of $0.4 million at acquisition date. If earned, the seller can receive this contingent consideration in either cash or additional shares of the Company’s common stock, as mutually agreed by the Company and seller. Net tangible and separately-identifiable intangible assets with an initial fair value of $2.0 million were acquired along with goodwill with an initial value of $1.9 million, including the $0.4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$0.4 million fair value assigned on date of acquisition.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Payment Systems Tech Partners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2018, the Company acquired substantially all of the net operating assets of M.Y. Capital, Inc. and Payments In Kind, Inc., collectively doing business as Priority Payment Systems Tech Partners (“PPS Tech”). These related asset purchases were deemed to be a business under ASC 805. Due to the related nature of the two sets of business assets and how the Company intends to operate them, the Company deemed them to be one business for accounting and reporting purposes. Prior to this acquisition, PPS Tech was an independent brand-licensed office of the Company where it developed a track record and extensive network in the integrated payments and B2B marketplaces. PPS Tech is reported within the Company’s Consumer Payments reportable segment.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Initial consideration of $5.0 million consisted of $3.0 million plus 190,078 common shares of the Company with a fair value of approximately $2.0 million. In addition, contingent consideration in an amount up to $1.0 million was deemed to have a fair value of $0.6 million at acquisition date. If earned, the seller will receive half of any contingent consideration in cash and the other half in a number of common shares of the Company equal to the portion of the earned contingent consideration payable in common shares of the Company. Net tangible and separately-identifiable intangible assets with an initial fair value of $2.2 million were acquired along with goodwill with an initial value of $3.4 million, including the $0.6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$0.6 million fair value assigned on date of acquisition.</w:t>
      </w:r>
    </w:p>
    <w:p>
      <w:pPr>
        <w:spacing w:after="0" w:line="17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the Company’s settlement assets and obligations at September 30, 2018 and December 31, 2017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Settlement Assets:</w:t>
            </w:r>
          </w:p>
        </w:tc>
        <w:tc>
          <w:tcPr>
            <w:tcW w:w="4560" w:type="dxa"/>
            <w:vAlign w:val="bottom"/>
            <w:gridSpan w:val="4"/>
          </w:tcPr>
          <w:p>
            <w:pPr>
              <w:ind w:left="2840"/>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2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2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2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11,805</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80" w:type="dxa"/>
            <w:vAlign w:val="bottom"/>
            <w:shd w:val="clear" w:color="auto" w:fill="CCEEFF"/>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settlement obligations, net</w:t>
            </w:r>
          </w:p>
        </w:tc>
        <w:tc>
          <w:tcPr>
            <w:tcW w:w="284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ACH payees are offset by restricted cash.</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tangible and intangible assets acquired and the liabilities assumed. The Company’s goodwill is allocated to reporting units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120" w:type="dxa"/>
            <w:vAlign w:val="bottom"/>
            <w:gridSpan w:val="4"/>
          </w:tcPr>
          <w:p>
            <w:pPr>
              <w:ind w:left="2400"/>
              <w:spacing w:after="0"/>
              <w:rPr>
                <w:sz w:val="20"/>
                <w:szCs w:val="20"/>
                <w:color w:val="auto"/>
              </w:rPr>
            </w:pPr>
            <w:r>
              <w:rPr>
                <w:rFonts w:ascii="Arial" w:cs="Arial" w:eastAsia="Arial" w:hAnsi="Arial"/>
                <w:sz w:val="18"/>
                <w:szCs w:val="18"/>
                <w:b w:val="1"/>
                <w:bCs w:val="1"/>
                <w:color w:val="auto"/>
              </w:rPr>
              <w:t>September 30, 2018</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Payments</w:t>
            </w:r>
          </w:p>
        </w:tc>
        <w:tc>
          <w:tcPr>
            <w:tcW w:w="2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Commercial Payments and Managed Services</w:t>
            </w:r>
          </w:p>
        </w:tc>
        <w:tc>
          <w:tcPr>
            <w:tcW w:w="2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2,534</w:t>
            </w: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for the three quarters ended September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Goodwill acquired from business combinations:</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PayRight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RadPad/Landlord Station</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PPS Northeast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PPS Tech</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3"/>
        </w:trPr>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w w:val="98"/>
              </w:rPr>
              <w:t>As of September 30, 2018 and December 31, 2017 intangible assets consisted of the following:</w:t>
            </w: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60" w:type="dxa"/>
            <w:vAlign w:val="bottom"/>
            <w:gridSpan w:val="4"/>
          </w:tcPr>
          <w:p>
            <w:pPr>
              <w:ind w:left="620"/>
              <w:spacing w:after="0"/>
              <w:rPr>
                <w:sz w:val="20"/>
                <w:szCs w:val="20"/>
                <w:color w:val="auto"/>
              </w:rPr>
            </w:pPr>
            <w:r>
              <w:rPr>
                <w:rFonts w:ascii="Arial" w:cs="Arial" w:eastAsia="Arial" w:hAnsi="Arial"/>
                <w:sz w:val="18"/>
                <w:szCs w:val="18"/>
                <w:b w:val="1"/>
                <w:bCs w:val="1"/>
                <w:color w:val="auto"/>
                <w:w w:val="96"/>
              </w:rPr>
              <w:t>September 30, 2018</w:t>
            </w:r>
          </w:p>
        </w:tc>
        <w:tc>
          <w:tcPr>
            <w:tcW w:w="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Merchant portfolios</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77,998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46,716</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Non-compete agreements</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Acquired technology</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30"/>
        </w:trPr>
        <w:tc>
          <w:tcPr>
            <w:tcW w:w="750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51,090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51,090</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Merchant portfolios</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Non-compete agreements</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Acquired technology</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(74,914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finite-lived intangible assets was $9.3 million and $8.0 million for the three quarters ended September 30, 2018 and 2017, respectively. Actual amortization expense to be reported in future periods could differ from these estimates as a result of new intangible asset acquisitions, changes in useful lives, and other relevant events or circumstances.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The Company will perform its annual goodwill impairment test as of November 30, 2018 using market data and discounted cash flow analysis. The Company concluded there were no indicators of impairment as of September 30, 2018 or December 31, 2017. As such, there was no accumulated impairment loss as of September 30, 2018 and December 31, 2017.</w:t>
      </w:r>
    </w:p>
    <w:p>
      <w:pPr>
        <w:spacing w:after="0" w:line="18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September 30, 2018 and December 31, 2017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2018</w:t>
            </w: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2017</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 years</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Equipment</w:t>
            </w:r>
          </w:p>
        </w:tc>
        <w:tc>
          <w:tcPr>
            <w:tcW w:w="5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8,107</w:t>
            </w:r>
          </w:p>
        </w:tc>
        <w:tc>
          <w:tcPr>
            <w:tcW w:w="5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6,256</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3-7 years</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25,922</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 years</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5,880</w:t>
            </w:r>
          </w:p>
        </w:tc>
        <w:tc>
          <w:tcPr>
            <w:tcW w:w="5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4,965</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42,001</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(24,990)</w:t>
            </w:r>
          </w:p>
        </w:tc>
        <w:tc>
          <w:tcPr>
            <w:tcW w:w="5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(21,592)</w:t>
            </w:r>
          </w:p>
        </w:tc>
        <w:tc>
          <w:tcPr>
            <w:tcW w:w="1360" w:type="dxa"/>
            <w:vAlign w:val="bottom"/>
          </w:tcPr>
          <w:p>
            <w:pPr>
              <w:spacing w:after="0"/>
              <w:rPr>
                <w:sz w:val="19"/>
                <w:szCs w:val="19"/>
                <w:color w:val="auto"/>
              </w:rPr>
            </w:pP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20" w:right="1960" w:hanging="5513"/>
        <w:spacing w:after="0" w:line="653" w:lineRule="auto"/>
        <w:rPr>
          <w:sz w:val="20"/>
          <w:szCs w:val="20"/>
          <w:color w:val="auto"/>
        </w:rPr>
      </w:pPr>
      <w:r>
        <w:rPr>
          <w:rFonts w:ascii="Arial" w:cs="Arial" w:eastAsia="Arial" w:hAnsi="Arial"/>
          <w:sz w:val="18"/>
          <w:szCs w:val="18"/>
          <w:color w:val="auto"/>
        </w:rPr>
        <w:t>Depreciation expense totaled $3.4 million and $3.2 million for the three quarters ended September 30, 2018 and 2017, respectively.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922"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accrues for certain expenses that have been incurred, which are classified within accounts payable and accrued expenses in the accompanying unaudited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as of September 30, 2018 and December 31, 2017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920" w:type="dxa"/>
            <w:vAlign w:val="bottom"/>
            <w:gridSpan w:val="4"/>
          </w:tcPr>
          <w:p>
            <w:pPr>
              <w:ind w:left="3200"/>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Accrued compensation</w:t>
            </w:r>
          </w:p>
        </w:tc>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14,961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80" w:type="dxa"/>
            <w:vAlign w:val="bottom"/>
          </w:tcPr>
          <w:p>
            <w:pPr>
              <w:spacing w:after="0"/>
              <w:rPr>
                <w:sz w:val="18"/>
                <w:szCs w:val="18"/>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1,960</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3,716</w:t>
            </w:r>
          </w:p>
        </w:tc>
        <w:tc>
          <w:tcPr>
            <w:tcW w:w="80" w:type="dxa"/>
            <w:vAlign w:val="bottom"/>
            <w:shd w:val="clear" w:color="auto" w:fill="CCEEFF"/>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7820" w:type="dxa"/>
            <w:vAlign w:val="bottom"/>
          </w:tcPr>
          <w:p>
            <w:pPr>
              <w:ind w:left="300"/>
              <w:spacing w:after="0"/>
              <w:rPr>
                <w:sz w:val="20"/>
                <w:szCs w:val="20"/>
                <w:color w:val="auto"/>
              </w:rPr>
            </w:pPr>
            <w:r>
              <w:rPr>
                <w:rFonts w:ascii="Arial" w:cs="Arial" w:eastAsia="Arial" w:hAnsi="Arial"/>
                <w:sz w:val="18"/>
                <w:szCs w:val="18"/>
                <w:b w:val="1"/>
                <w:bCs w:val="1"/>
                <w:color w:val="auto"/>
              </w:rPr>
              <w:t>LONG-TERM DEBT AND WARRANT LIABILITY</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Long-term debt as of September 30, 2018 and December 31, 2017 consisted of the following:</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gridSpan w:val="4"/>
          </w:tcPr>
          <w:p>
            <w:pPr>
              <w:ind w:left="140"/>
              <w:spacing w:after="0"/>
              <w:rPr>
                <w:sz w:val="20"/>
                <w:szCs w:val="20"/>
                <w:color w:val="auto"/>
              </w:rPr>
            </w:pPr>
            <w:r>
              <w:rPr>
                <w:rFonts w:ascii="Arial" w:cs="Arial" w:eastAsia="Arial" w:hAnsi="Arial"/>
                <w:sz w:val="18"/>
                <w:szCs w:val="18"/>
                <w:b w:val="1"/>
                <w:bCs w:val="1"/>
                <w:color w:val="auto"/>
                <w:w w:val="96"/>
              </w:rPr>
              <w:t>September 30, 2018</w:t>
            </w:r>
          </w:p>
        </w:tc>
        <w:tc>
          <w:tcPr>
            <w:tcW w:w="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r>
      <w:tr>
        <w:trPr>
          <w:trHeight w:val="182"/>
        </w:trPr>
        <w:tc>
          <w:tcPr>
            <w:tcW w:w="79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Term Loan - Senior, matures January 3, 2023 and bears interest at LIBOR plus 5.0% for September 30, 2018</w:t>
            </w: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60" w:type="dxa"/>
            <w:vAlign w:val="bottom"/>
            <w:shd w:val="clear" w:color="auto" w:fill="CCEEFF"/>
          </w:tcPr>
          <w:p>
            <w:pPr>
              <w:spacing w:after="0"/>
              <w:rPr>
                <w:sz w:val="18"/>
                <w:szCs w:val="18"/>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and 6.0% for December 31, 2017 (actual rate of 7.1% at September 30, 2018 and 7.4% at December 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0" w:type="dxa"/>
            <w:vAlign w:val="bottom"/>
            <w:shd w:val="clear" w:color="auto" w:fill="CCEEFF"/>
          </w:tcPr>
          <w:p>
            <w:pPr>
              <w:spacing w:after="0"/>
              <w:rPr>
                <w:sz w:val="20"/>
                <w:szCs w:val="20"/>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263,488</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198,000</w:t>
            </w:r>
          </w:p>
        </w:tc>
      </w:tr>
      <w:tr>
        <w:trPr>
          <w:trHeight w:val="202"/>
        </w:trPr>
        <w:tc>
          <w:tcPr>
            <w:tcW w:w="7980" w:type="dxa"/>
            <w:vAlign w:val="bottom"/>
            <w:gridSpan w:val="2"/>
          </w:tcPr>
          <w:p>
            <w:pPr>
              <w:spacing w:after="0" w:line="201" w:lineRule="exact"/>
              <w:rPr>
                <w:sz w:val="20"/>
                <w:szCs w:val="20"/>
                <w:color w:val="auto"/>
              </w:rPr>
            </w:pPr>
            <w:r>
              <w:rPr>
                <w:rFonts w:ascii="Arial" w:cs="Arial" w:eastAsia="Arial" w:hAnsi="Arial"/>
                <w:sz w:val="18"/>
                <w:szCs w:val="18"/>
                <w:color w:val="auto"/>
                <w:w w:val="95"/>
              </w:rPr>
              <w:t>Term Loan - Subordinated, matures July 3, 2023 and bears interest at 5.0% plus payment-in-kind interest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(actual rate of 10.5% at September 30, 2018 and 11.3% at December 31, 2017)</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88,742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85,118</w:t>
            </w: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7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discounts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(3,212)</w:t>
            </w: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(4,385)</w:t>
            </w: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long-term debt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11, 2018, the Company modified its long-term debt by amending the GS Credit Agreement and the Credit Agreement (collectively, the “2018 Amendment”). 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w:t>
      </w:r>
    </w:p>
    <w:p>
      <w:pPr>
        <w:spacing w:after="0" w:line="5" w:lineRule="exact"/>
        <w:rPr>
          <w:sz w:val="20"/>
          <w:szCs w:val="20"/>
          <w:color w:val="auto"/>
        </w:rPr>
      </w:pPr>
    </w:p>
    <w:p>
      <w:pPr>
        <w:jc w:val="both"/>
        <w:ind w:firstLine="8"/>
        <w:spacing w:after="0" w:line="254" w:lineRule="auto"/>
        <w:tabs>
          <w:tab w:leader="none" w:pos="2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unused commitment fees, 0.50%. As a result of the 2018 Amendment, borrowings under the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During the first three quarters of 2018, the Company incurred $0.8 million in issuance costs related to the 2018 Amendment, which were expensed as incurred and recorded as a component of Debt Modification and Extinguishment Expenses in the accompanying unaudited condensed consolidated statement of operations for the three quarters ended September 30, 2018. In connection with the new lenders to the Credit Agreement as a result of the 2018 Amendment, the Company capitalized incremental deferred financing costs of $0.3 million and fees paid to lenders of $0.4 million during the first three quarters of 2018. The Company is amortizing these amounts to interest and other expense using the effective interest method over the terms of the Credit Agreement.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September 30, 2018 or December 31, 2017. The Company recorded $0.1 million of interest expense for the three quarters ended September 30, 2018 as a penalty for not drawing on the revolving credit facility.</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as amended, contains representations and warranties, financial and collateral requirements, mandatory payment events,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an amended Total Net Leverage Ratio, as defined in the Amended SunTrust Term Loan Agreement and GS Credit Agreement. As of September 30, 2018 and December 31, 2017, the Company was in compliance with the financial covenant.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of the GS Credit Agreement were amended to allow for the increase in borrowings under the Credit Agreement but otherwise the terms of the GS Credit Agreement were not substantively changed by the 2018 Amendment. The borrowing amount under the GS Credit Agreement is $80.0 million and was not changed in the 2018 Amendment. The GS Credit Agreement matures on July 3, 2023.</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30, 2018, the Company entered into a Limited Waiver and Consent and is no longer obligated to make the 2017 mandatory prepayment based on Excess Cash Flow, as defined in the Credit Agreement. As of September 30,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long-term debt at September 30, 2018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Year ending September 30,</w:t>
            </w:r>
          </w:p>
        </w:tc>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Maturities</w:t>
            </w: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6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2020</w:t>
            </w: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2022</w:t>
            </w: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2,682</w:t>
            </w: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341,502</w:t>
            </w:r>
          </w:p>
        </w:tc>
      </w:tr>
      <w:tr>
        <w:trPr>
          <w:trHeight w:val="223"/>
        </w:trPr>
        <w:tc>
          <w:tcPr>
            <w:tcW w:w="38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352,230</w:t>
            </w:r>
          </w:p>
        </w:tc>
        <w:tc>
          <w:tcPr>
            <w:tcW w:w="10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8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3"/>
          </w:tcPr>
          <w:p>
            <w:pPr>
              <w:jc w:val="right"/>
              <w:ind w:right="4270"/>
              <w:spacing w:after="0"/>
              <w:rPr>
                <w:sz w:val="20"/>
                <w:szCs w:val="20"/>
                <w:color w:val="auto"/>
              </w:rPr>
            </w:pPr>
            <w:r>
              <w:rPr>
                <w:rFonts w:ascii="Arial" w:cs="Arial" w:eastAsia="Arial" w:hAnsi="Arial"/>
                <w:sz w:val="18"/>
                <w:szCs w:val="18"/>
                <w:color w:val="auto"/>
              </w:rPr>
              <w:t>F-19</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7"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quarters ended September 30, 2018, the payment-in-kind (PIK) interest added $3.6 million to the principal amount of the subordinated debt, which totaled $88.7 million as of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quarters ended September 30, 2018 and 2017, these amounts were $21.9 million and $18.6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Goldman Sachs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prior GS Credit Agreement, Priority issued a warrant to GS to purchase 1.0% of Priority’s outstanding Class A Common units. As part of the 2017 debt restructuring, the 1.0% warrant with GS was extinguished and Priority issued a new warrant to GS to purchase 1.8% of Priority’s outstanding Class A Common units.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11, 2018, the 1.8% warrant was amended to provide GS with a warrant to purchase 2.2% of Priority’s outstanding Class A Common units. The change in the warrant percentage was the result of anti-dilution provisions in the warrant agreement, which were triggered by the Class A Priority Common unit redemption that occurred during the first three quarters of 2018. The warrant had a term of 7 years, an exercise price of $0 and could be exercised at any time prior to expiration date. Since the obligation was based solely on the fact that the 2.2% interest in equity of Priority was fixed and known at inception as well as the fact that GS could exercise the warrant with a settlement in cash any time prior to the expiration date of December 31, 2023, the warrant was recorded as a liability in the historical financial statements of Priority.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 warrant had a fair value of $8.7 million and is presented as a warrant liability in the accompanying unaudited condensed consolidated balance sheet. On July 25, 2018, Priority and GS agreed to redeem the warrant in exchange for $12.7 million in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deferred financing costs related to the Company’s credit facilities totaled $4.1 million and $4.4 million at September 30, 2018 and December 31, 2017, respectively. Deferred financing costs are being amortized using the effective interest method over the remaining term of the respective debt and are recorded as a component of interest expense. Interest expense related to amortization of deferred finance costs was $0.6 million and $0.5 million for the three quarters ended September 30, 2018 and 2017, respectively. Deferred financing costs are included in long-term debt in the Company’s unaudited condensed consolidated balance sheets.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Business Combination and Recapitalization that occurred on July 25, 2018, the tax partnership status of Priority was terminated. For federal income tax purposes, Priority became a disregarded subsidiary of MI Acquisitions, which simultaneously changed its name to Priority Technology Holdings, Inc. (the “Company”), whereby its operations became subject to federal and state income taxes. For all periods subsequent to July 25, 2018, income tax expense or benefit reflects the taxable status of the Company as a taxable “C-corporation.” The initial deferred tax assets and deferred tax liabilities recognized by the Company on July 25, 2018 were the result of the difference between initial tax basis, generally substituted tax basis, and the respective carrying amounts of the assets and liabilities for financial reporting purposes. The net deferred tax assets as of July 25, 2018 was approximately $47.5 million, which has been recorded as an adjustment to Additional Paid-In Capital in the Company’s consolidated financial statements. The Company’s unaudited condensed consolidated statements of operations also present pro-forma income tax expense or benefit for periods prior to July 25, 2018.</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effective income tax rate was 8.02% for the three quarters ended September 30, 2018. This rate differs from the statutory federal rate of 21% in 2018 primarily due to certain nondeductible permanent items and the partnership status of Priority from January 1, 2018 to July 25,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w w:val="94"/>
              </w:rPr>
              <w:t>The components of the deferred tax assets and liabilities at September 30, 2018 were as follows:</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28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4"/>
                <w:szCs w:val="24"/>
                <w:color w:val="auto"/>
              </w:rPr>
            </w:pPr>
          </w:p>
        </w:tc>
        <w:tc>
          <w:tcPr>
            <w:tcW w:w="17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September 30, 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6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Accruals and reserves</w:t>
            </w:r>
          </w:p>
        </w:tc>
        <w:tc>
          <w:tcPr>
            <w:tcW w:w="56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Business transaction costs</w:t>
            </w: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tcPr>
          <w:p>
            <w:pPr>
              <w:ind w:left="160"/>
              <w:spacing w:after="0"/>
              <w:rPr>
                <w:sz w:val="20"/>
                <w:szCs w:val="20"/>
                <w:color w:val="auto"/>
              </w:rPr>
            </w:pPr>
            <w:r>
              <w:rPr>
                <w:rFonts w:ascii="Arial" w:cs="Arial" w:eastAsia="Arial" w:hAnsi="Arial"/>
                <w:sz w:val="18"/>
                <w:szCs w:val="18"/>
                <w:color w:val="auto"/>
              </w:rPr>
              <w:t>Gross deferred tax assets</w:t>
            </w: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Deferred Tax Liabilities:</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Investment in partnership</w:t>
            </w:r>
          </w:p>
        </w:tc>
        <w:tc>
          <w:tcPr>
            <w:tcW w:w="10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w:t>
            </w:r>
          </w:p>
        </w:tc>
        <w:tc>
          <w:tcPr>
            <w:tcW w:w="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Net deferred tax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48,469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the Company will provide a valuation allowance against deferred tax assets when it is more likely than not that some portion or all of the deferred tax assets will not be realized. The assessment considers all available positive and negative evidence and is measured quarterly. As of September 30, 2018, the Company has recorded a valuation allowance of approximately $0.9 million against certain deferred income tax assets related to business transaction costs, and MI Acquisitions’ net operating loss carryforwards.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transactions involving the MI Acquisitions’ beneficial ownership occurred concurrent with the Business Combination and Recapitalization on July 25, 2018, likely causing a stock ownership change for purposes of Section 382 of the Internal Revenue Code. The Company is still preparing a detailed analysis for MI Acquisitions to determine if the potential ownership change will have any effect on the available federal and state net operating losses.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Tax Cuts and Jobs Act (“Tax Act”) was enacted. The Tax Act includes a number of changes to existing U.S. tax laws that may impact the Company. The most notable provisions of the Tax Act that may impact the Company include a reduction of the U.S. corporate income tax rate from 35% to 21% and the potential limitations on interest deductibility, both effective January 1, 2018, as well as immediate expensing for certain assets placed into service after September 27, 2017. The Company does not anticipate material impacts of the provisions of the Tax Act as of September 30, 2018, other than the impact of the reduction of the U.S. corporate rate from 35% to 21%.</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 staff issued Staff Accounting Bulletin No. 118 (“SAB 118”) on December 22, 2017,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the company is able to determine a reasonable estimate, it must record a provisional estimate in the financial statements. Accordingly, the Company elects to follow the guidance in SAB 118. As of September 30, 2018, the Company has not completed the accounting for the income tax effects of all elements of the Tax Act. Where reasonable estimates of the effects of the Tax Act are not yet complete, the Company recorded provisional adjustments. If the Company is not yet able to make reasonable estimates of the impact of certain elements of the Tax Act, the Company has not made any adjustments related to those elements and has continued accounting for them in accordance with ASC 740 based on the tax laws in effect before the Tax Act.</w:t>
      </w:r>
    </w:p>
    <w:p>
      <w:pPr>
        <w:spacing w:after="0" w:line="163"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except as discussed below for a settlement reached in October 2018.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October 2018, the Company settled a legal matter for $1.6 million, which was recorded as other operating expenses in the accompanying unaudited condensed consolidated statement of operations for the three quarters ended September 30, 2018.</w:t>
      </w:r>
    </w:p>
    <w:p>
      <w:pPr>
        <w:spacing w:after="0" w:line="166"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 Holdings, LLC has a management services agreement and an annual bonus payout with PSD Partners LP, which is owned by a member of Priority Investment Holdings, LLC, which, until July 25, 2018, was a member owner of Priority Holdings, LLC. For the three quarters ended September 30, 2018 and 2017, the Company incurred a total of $0.9 million and $0.6 million, respectively, for costs related to management service fees, annual bonus payout, and occupancy fees, which are recorded in selling, general and administrative expenses in the accompanying unaudited condensed consolidated statement of operations.</w:t>
      </w:r>
    </w:p>
    <w:p>
      <w:pPr>
        <w:spacing w:after="0" w:line="184"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22222"/>
        </w:rPr>
        <w:t xml:space="preserve">As disclosed in Note 1, </w:t>
      </w:r>
      <w:r>
        <w:rPr>
          <w:rFonts w:ascii="Arial" w:cs="Arial" w:eastAsia="Arial" w:hAnsi="Arial"/>
          <w:sz w:val="18"/>
          <w:szCs w:val="18"/>
          <w:i w:val="1"/>
          <w:iCs w:val="1"/>
          <w:color w:val="222222"/>
        </w:rPr>
        <w:t>The Company and Basis of Presentation</w:t>
      </w:r>
      <w:r>
        <w:rPr>
          <w:rFonts w:ascii="Arial" w:cs="Arial" w:eastAsia="Arial" w:hAnsi="Arial"/>
          <w:sz w:val="18"/>
          <w:szCs w:val="18"/>
          <w:color w:val="222222"/>
        </w:rPr>
        <w:t>, on July 25, 2018 the Company accounted for a “reverse merger” between Priority and MI Acquisitions and the resulting Recapitalization.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Common and Preferred Stock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22222"/>
        </w:rPr>
        <w:t>For comparative periods prior to July 25, 2018, equity is presented based on the historical equity of the accounting acquirer (Priority) prior to the Recapitalization, retroactively restated to reflect the number of shares received as a result of the Recapitalization. MI Acquisitions’ equity-related activities are consolidated with Priority beginning on July 25,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The equity structure of the Company is as follows as of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680" w:type="dxa"/>
            <w:vAlign w:val="bottom"/>
            <w:gridSpan w:val="3"/>
          </w:tcPr>
          <w:p>
            <w:pPr>
              <w:ind w:left="840"/>
              <w:spacing w:after="0"/>
              <w:rPr>
                <w:sz w:val="20"/>
                <w:szCs w:val="20"/>
                <w:color w:val="auto"/>
              </w:rPr>
            </w:pPr>
            <w:r>
              <w:rPr>
                <w:rFonts w:ascii="Arial" w:cs="Arial" w:eastAsia="Arial" w:hAnsi="Arial"/>
                <w:sz w:val="18"/>
                <w:szCs w:val="18"/>
                <w:b w:val="1"/>
                <w:bCs w:val="1"/>
                <w:color w:val="auto"/>
              </w:rPr>
              <w:t>September 30, 2018</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4"/>
          </w:tcPr>
          <w:p>
            <w:pPr>
              <w:ind w:left="900"/>
              <w:spacing w:after="0"/>
              <w:rPr>
                <w:sz w:val="20"/>
                <w:szCs w:val="20"/>
                <w:color w:val="auto"/>
              </w:rPr>
            </w:pPr>
            <w:r>
              <w:rPr>
                <w:rFonts w:ascii="Arial" w:cs="Arial" w:eastAsia="Arial" w:hAnsi="Arial"/>
                <w:sz w:val="18"/>
                <w:szCs w:val="18"/>
                <w:b w:val="1"/>
                <w:bCs w:val="1"/>
                <w:color w:val="auto"/>
              </w:rPr>
              <w:t>December 31, 2017</w:t>
            </w:r>
          </w:p>
        </w:tc>
      </w:tr>
      <w:tr>
        <w:trPr>
          <w:trHeight w:val="223"/>
        </w:trPr>
        <w:tc>
          <w:tcPr>
            <w:tcW w:w="4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Authorized</w:t>
            </w:r>
          </w:p>
        </w:tc>
        <w:tc>
          <w:tcPr>
            <w:tcW w:w="10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w w:val="84"/>
              </w:rPr>
              <w:t>Issued</w:t>
            </w: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Authorized</w:t>
            </w:r>
          </w:p>
        </w:tc>
        <w:tc>
          <w:tcPr>
            <w:tcW w:w="15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19"/>
                <w:szCs w:val="19"/>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par value $0.001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67,047</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Preferred Shares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0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22222"/>
        </w:rPr>
        <w:t>In connection with the July 25, 2018 Business Combination and Recapitalization, the following occurred:</w:t>
      </w:r>
    </w:p>
    <w:p>
      <w:pPr>
        <w:spacing w:after="0" w:line="225" w:lineRule="exact"/>
        <w:rPr>
          <w:sz w:val="20"/>
          <w:szCs w:val="20"/>
          <w:color w:val="auto"/>
        </w:rPr>
      </w:pPr>
    </w:p>
    <w:p>
      <w:pPr>
        <w:jc w:val="both"/>
        <w:ind w:left="660" w:hanging="328"/>
        <w:spacing w:after="0" w:line="25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222222"/>
        </w:rPr>
        <w:t xml:space="preserve">In exchange for the 4.6 million common units of Priority, 60.1 million common shares were issued in a private placement that resulted in Priority receiving approximately $49.4 million. The 60.1 million shares excludes 0.5 million shares issued as partial consideration in two business acquisitions (see Note 2, </w:t>
      </w:r>
      <w:r>
        <w:rPr>
          <w:rFonts w:ascii="Arial" w:cs="Arial" w:eastAsia="Arial" w:hAnsi="Arial"/>
          <w:sz w:val="18"/>
          <w:szCs w:val="18"/>
          <w:i w:val="1"/>
          <w:iCs w:val="1"/>
          <w:color w:val="222222"/>
        </w:rPr>
        <w:t>Acquisitions of Businesses</w:t>
      </w:r>
      <w:r>
        <w:rPr>
          <w:rFonts w:ascii="Arial" w:cs="Arial" w:eastAsia="Arial" w:hAnsi="Arial"/>
          <w:sz w:val="18"/>
          <w:szCs w:val="18"/>
          <w:color w:val="222222"/>
        </w:rPr>
        <w:t xml:space="preserve">) and includes 3.0 million shares issued in connection with a Priority equity incentive plan (see Note 12, </w:t>
      </w:r>
      <w:r>
        <w:rPr>
          <w:rFonts w:ascii="Arial" w:cs="Arial" w:eastAsia="Arial" w:hAnsi="Arial"/>
          <w:sz w:val="18"/>
          <w:szCs w:val="18"/>
          <w:i w:val="1"/>
          <w:iCs w:val="1"/>
          <w:color w:val="222222"/>
        </w:rPr>
        <w:t>Equity-Based Compensation</w:t>
      </w:r>
      <w:r>
        <w:rPr>
          <w:rFonts w:ascii="Arial" w:cs="Arial" w:eastAsia="Arial" w:hAnsi="Arial"/>
          <w:sz w:val="18"/>
          <w:szCs w:val="18"/>
          <w:color w:val="222222"/>
        </w:rPr>
        <w:t>).</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5"/>
        </w:numPr>
        <w:rPr>
          <w:rFonts w:ascii="Arial" w:cs="Arial" w:eastAsia="Arial" w:hAnsi="Arial"/>
          <w:sz w:val="18"/>
          <w:szCs w:val="18"/>
          <w:color w:val="222222"/>
        </w:rPr>
      </w:pPr>
      <w:r>
        <w:rPr>
          <w:rFonts w:ascii="Arial" w:cs="Arial" w:eastAsia="Arial" w:hAnsi="Arial"/>
          <w:sz w:val="18"/>
          <w:szCs w:val="18"/>
          <w:color w:val="auto"/>
        </w:rPr>
        <w:t>In exchange for the publicly-traded shares of MI Acquisitions that originated from MI Acquisition’s 2016 IPO, approximately 4.9 million shares of common stock was issued through share conversion.</w:t>
      </w:r>
    </w:p>
    <w:p>
      <w:pPr>
        <w:ind w:left="66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222222"/>
        </w:rPr>
        <w:t>$2.1 million was paid to the MI Acquisition’s founding shareholders (the “MI Founders”) for 421,107 MI Acquisitions’ private placement units and 453,210 MI Acquisitions’ common shares held by MI Founders. Each unit consisted of one share and one warrant.</w:t>
      </w: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222222"/>
        </w:rPr>
        <w:t>MI Founders forfeited 174,863 of the founders’ common shares.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2018, the Company had 67,047,044 shares of common stock outstanding, of which: 1) 60,071,200 shares were issued in the Recapitalization through the private placement; 2) 874,317 shares issued to the sellers of Priority that were purchased from the MI Founders; 3) 4,926,878 shares were issued to holders of common stock of MI Acquisitions originating from MI Acquisitions’ 2016 initial public offering; 4) 699,454 shares were issued to the MI Founders; and 5) 475,195 shares were issued as partial consideration for two business acquisitions. Certain holders of common shares from the private placement may be subject to holding period restrictions under applicable securities laws.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The holders of the Company’s common stock have no conversion, preemptive or other subscription rights and there are no sinking fund or redemption provisions applicable to the common stock.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Company is authorized to issue 100,000,000 shares of preferred stock with such designations, voting and other rights and preferences as may be determined from time to time by the board of directors. As of September 30, 2018, the Company has not issued any shares of preferred stock.</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222222"/>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Earn-Out Consideration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Subsequent to July 25, 2018, an additional 9.8 million private placement common shares may be issued as earn-out consideration to the sellers of Priority, or at their election, to members of Priority’s management or other service providers, pursuant to the Company’s Earn-Out Incentive Plan. For the first earn-out of up to 4.9 million common shares, Consolidated Adjusted EBITDA (as defined in the Earn-Out Incentive Plan) of the Company must be no less than $82.5 million for the year ending December 31, 2018 and the Company’s stock price must have traded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2018, none of the 9.8 million shares have been earned. Any shares issued to management or directors under compensation plans will be expensed under the provisions of ASC 718, </w:t>
      </w:r>
      <w:r>
        <w:rPr>
          <w:rFonts w:ascii="Arial" w:cs="Arial" w:eastAsia="Arial" w:hAnsi="Arial"/>
          <w:sz w:val="17"/>
          <w:szCs w:val="17"/>
          <w:i w:val="1"/>
          <w:iCs w:val="1"/>
          <w:color w:val="222222"/>
        </w:rPr>
        <w:t>Stock Compensation</w:t>
      </w:r>
      <w:r>
        <w:rPr>
          <w:rFonts w:ascii="Arial" w:cs="Arial" w:eastAsia="Arial" w:hAnsi="Arial"/>
          <w:sz w:val="17"/>
          <w:szCs w:val="17"/>
          <w:color w:val="222222"/>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Call Right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22222"/>
        </w:rPr>
        <w:t>The Company’s Executive Chairman was given the right to require any of the MI Founders to sell all or a portion of their Company securities at a call-right purchase price, payable in cash. The call-right purchase price for common shares will be based on the greater of: 1) $10.30; 2) a preceding volume-weighted average closing price (as defined); or 3) a subsequent volume-weighted average closing price (as defined). The call-right purchase price for warrants will be determined by the greater of: 1) a preceding volume-weighted average closing price (as defined) of the called security or 2) a subsequent volume-weighted average closing price of the called security. The call right does not constitute a derivate under GAAP.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MI Acquisitions Warrants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22222"/>
        </w:rPr>
        <w:t>The outstanding MI Acquisitions warrants allow the holders to purchase 5,712,608 shares of the Company’s common stock at an exercise price of $11.50 per share, subject to certain adjustments (5,310,108 of these warrants are designated as “public warrants” and 402,500 are designated as “private warrants”). The warrants may only be exercised during the period commencing on the later to occur of (i) 30 days following the completion of the MI Acquisitions’ initial business combination and (ii) 12 months following the closing of MI Acquisitions’ IPO, and terminating on the earlier to occur of (i) five years following the date the warrants became exercisable, and (ii) the date fixed for redemption upon the Company electing to redeem the warrants. The Company has the option to redeem all (and not less than all) of the outstanding public warrants at any time from and after the warrants become exercisable, and prior to their expiration, at the price of $0.01 per warrant; provided that the last sales price of the Company’s common stock has been equal to or greater than $16.00 per share (subject to adjustment for splits, dividends, recapitalizations and other similar events), for any 20 trading days within a 30 trading day period ending on the third business day prior to the date on which notice of redemption is given and provided further that (i) there is a current registration statement in effect with respect to the shares of common stock underlying the public warrants for each day in the 30-day trading period and continuing each day thereafter until the redemption date or (ii) the cashless exercise is exempt from the registration requirements under the Securities Act of 1933, as amended. The warrants are classified as equity, and therefore, subsequent changes in the fair value of the warrants will not be recognized in earnings.</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222222"/>
        </w:rPr>
        <w:t>The outstanding purchase option that was sold to the underwriters (in addition to the warrants discussed above) for an aggregate purchase price of $100.00, allows the holders to purchase up to a total of 300,000 units (each consisting of a share of common stock and a public warrant) exercisable at $12.00 per unit commencing on the later of the consummation of a business combination and six months from September 13, 2016 (the “Purchase Option”). The Purchase Option expires five years from September 13, 2016. The units issuable upon exercise of the Purchase Option are identical to the units offered in MI Acquisitions’ IPO. The Purchase Option is classified as equity in the accompanying unaudited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Business Combination and Recapitalization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In connection with the July 25, 2018 Business Combination and Recapitalization, the Company incurred $13.3 million of fees and expenses, of which $9.7 million of recapitalization costs were charged to Additional Paid in Capital since these costs were less than the cash received in conjunction with the Recapitalization costs were directly related to the issuance of equity for the Recapitalization. These costs are presented as Recapitalization costs in the accompanying unaudited condensed consolidated statements of changes in equity (deficit). The remaining $3.6 million of expenses were related to the Business Combination and are presented in selling, general, and administrative expenses in the accompanying unaudited condensed consolidated statements of operations for the three quarters ended September 30, 2018.</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222222"/>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Nasdaq</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Company received a notice from Nasdaq stating Nasdaq’s intention to suspend the Company’s common stock and warrants from trading on the exchange based on the Company’s failure to have at least 400 round lot holders of each listed security. Following a hearing in October 2018 at which the Company demonstrated its compliance with the 400 round lot holders rule in respect of the Company’s common stock and presented a plan with respect to the warrants, Nasdaq withdrew its objection to the listing of the Company’s common stock and extended the listing compliance deadline for the Company’s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Events for Priority Holdings, LLC that Occurred Prior to July 25, 2018</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2017, Priority used the proceeds from the 2017 debt restructuring to redeem 4,681,590 Class A Common units for $200.0 million (the “Redemption”). Concurrent with the Redemption, (i) Priority and its members entered into an amended and restated operating agreement that eliminated the Class A Preferred units and the Class C Common units and (ii) the Plan of Merger, dated as of May 21, 2014 between Priority Payment Systems Holdings, LLC and Pipeline Cynergy Holdings, LLC was terminated which resulted in the cancellation of related contingent consideration due to the Preferred A unitholders.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2017, Priority entered into a redemption agreement with one of its minority unitholders to redeem their former Class A common membership units for a total redemption price of $12.2 million. Priority accounted for the Common Unit Repurchase Obligation as a liability because it was required to redeem these former Class A Common units for cash. The liability was recorded at fair value at the date of the redemption agreement, which was equal to the redemption value. Under this agreement, Priority redeemed $3.0 million of 69,470 former Class A Common units in April 2017. As of December 31, 2017, the Common Unit Repurchase Obligation had a redemption value of $9.2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remaining $9.2 million was redeemed through the January 17, 2018 redemption of 115,751 former Class A Common units for $5.0 million and the February 23, 2018 redemption of 96,999 former Class A Common Units for $4.2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aforementioned redemptions, Priority redeemed 295,834 former Class A Common units for $26.0 million on January 17, 2018 and 445,410 former Class A Common Units for $39.0 million on January 19, 2018. As a result of the aforementioned redemptions, Priority was 100% owned by Priority Investment Holdings, LLC and Priority Incentive Equity Holdings, LLC until July 25,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former Class A common units redeemed in January and February 2018 were then canceled by Priority. The redemption transactions and the amended and restated operating agreement resulted in one unitholder gaining control and becoming the majority unitholder of Priority. These changes in the equity structure of Priority were recorded as capital transactions.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Priority had 5,249 voting former Class A common shares authorized and issued, and 335 and 302 non-voting former Class B common shares authorized and issued,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July 25, 2018, Priority recorded distributions of $7.1 million and $3.4 million to its members during the three quarters ended September 30, 2018 and 2017, respectively.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Management Incentive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2014, as part of the merger with Pipeline Cynergy Holdings LLC, Priority established the Priority Holdings Management Incentive Plan (the “Plan”) pursuant to the operating agreement of Priority Holdings, LLC, for which selected Priority employees and contractors may be awarded management incentive units representing a fractional part of the interests in profits, losses and distributions of Priority and having the rights and obligations specified with respect to Class B Priority Common Units or such other class of units as Priority’s board of managers may establish from time to time. Under the Plan, the majority of awards vest over the requisite service period or periods during which an employee is required to provide service. The units vested at a rate of 40% or 20% at September 21, 2016 and then vest evenly over the subsequent three to five years. Simultaneously with the July 25, 2018 Business Combination and Recapitalization, the Plan was assumed by the Company with no modifications to the Plan. The Company will continue to recognize compensation expense as unvested shares are earned by the active Plan participants. Approximately 3.0 million of the private placement common shares were issued on July 25, 2018 to the Plan for vested units and unvested shares of the Plan.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Equity-based compensation expense was $1.1 million and $0.7 million for three quarters ended September 30, 2018 and 2017, respectively, which is included in “Salary and employee benefits” in the accompanying unaudited condensed consolidated statements of operations. As of September 30, 2018, there is approximately $1.1 million of total unrecognized compensation cost related to non-vested share units granted under the Plan. Under the Plan, there is no stated exercise price per unit.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Equity Incentive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July 2018, the Company’s board of directors approved the 2018 Equity Incentive Plan (the “2018 Plan”). The 2018 Plan provides for the issuance of up to 10% of the number of shares of the Company’s common stock outstanding at the close of business on July 25, 2018. Under the 2018 Plan, the compensation committee of the Company’s board of directors may grant awards of non-qualified stock options, incentive stock options, stock appreciation rights, restricted stock awards, restricted stock units, other stock-based awards (including cash bonus awards) or any combination of the foregoing to current or prospective employees, officers, consultants, advisors, or non-employee members of the Company’s board of directors. The Company was not required to recognize any compensation expense under the provisions of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for the 2018 Plan during the three quarters ended September 30,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Earn-Out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221"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description of the valuation methodology used for the warrants and contingent consideration which are recorded and remeasured at fair value at the end of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Warrant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GS warrant was classified as level 3 in the fair value hierarchy. Historically, the fair value of the GS warrant was estimated based on the fair value of Priority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Priority adjusted the carrying value of the warrant to fair value as determined by the valuation model and recognized the change in fair value as an increase or decrease in interest and other expense. On July 25, 2018, the GS warrant was redeemed in exchange for $12.7 million cash, which resulted in a gain of $0.1 million, as the value of the GS warrant immediately prior to the cancellation was $12.8 million. See Note 7, </w:t>
      </w:r>
      <w:r>
        <w:rPr>
          <w:rFonts w:ascii="Arial" w:cs="Arial" w:eastAsia="Arial" w:hAnsi="Arial"/>
          <w:sz w:val="16"/>
          <w:szCs w:val="16"/>
          <w:i w:val="1"/>
          <w:iCs w:val="1"/>
          <w:color w:val="auto"/>
        </w:rPr>
        <w:t>Long-Term Debt and Warrant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warrants were no longer outstanding as of September 30, 2018 and had a fair value of $8.7 million as of December 31, 2017.</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liabilities measured at fair value on a recurring basis using significant unobservable inputs that are classified as Level 3 in the fair value hierarchy for the three quarters ended September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Warrant Liability</w:t>
            </w:r>
          </w:p>
        </w:tc>
      </w:tr>
      <w:tr>
        <w:trPr>
          <w:trHeight w:val="210"/>
        </w:trPr>
        <w:tc>
          <w:tcPr>
            <w:tcW w:w="9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0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Extinguishment of GS 1.8% warrant liability (Note 7)</w:t>
            </w: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(8,701)</w:t>
            </w:r>
          </w:p>
        </w:tc>
      </w:tr>
      <w:tr>
        <w:trPr>
          <w:trHeight w:val="216"/>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GS 2.2% warrant liability (Note 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12,182</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Adjustment to fair value included in earnings</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Extinguishment of GS 2.2% warrant liability (Note 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(12,701)</w:t>
            </w:r>
          </w:p>
        </w:tc>
      </w:tr>
      <w:tr>
        <w:trPr>
          <w:trHeight w:val="230"/>
        </w:trPr>
        <w:tc>
          <w:tcPr>
            <w:tcW w:w="984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23"/>
        </w:trPr>
        <w:tc>
          <w:tcPr>
            <w:tcW w:w="9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50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three quarters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estimated fair values of contingent consideration related to the Priority Payment Systems Tech Partners and Priority Payment Systems Northeast business acquisitions (see Note 2, </w:t>
      </w:r>
      <w:r>
        <w:rPr>
          <w:rFonts w:ascii="Arial" w:cs="Arial" w:eastAsia="Arial" w:hAnsi="Arial"/>
          <w:sz w:val="18"/>
          <w:szCs w:val="18"/>
          <w:i w:val="1"/>
          <w:iCs w:val="1"/>
          <w:color w:val="auto"/>
        </w:rPr>
        <w:t>Acquisitions of Businesses</w:t>
      </w:r>
      <w:r>
        <w:rPr>
          <w:rFonts w:ascii="Arial" w:cs="Arial" w:eastAsia="Arial" w:hAnsi="Arial"/>
          <w:sz w:val="18"/>
          <w:szCs w:val="18"/>
          <w:color w:val="auto"/>
        </w:rPr>
        <w:t>) were based on a weighted payout probability at the measurement date, which falls within Level 3 on the fair value hierarchy. Both of these acquisitions occurred during the first three quarters of 2018, and at September 30, 2018, the total fair value of the contingent consideration for both acquisitions was approximately $1.0 million, which was not materially different than the fair values on their original measurement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outstanding debt obligations (see Note 7, </w:t>
      </w:r>
      <w:r>
        <w:rPr>
          <w:rFonts w:ascii="Arial" w:cs="Arial" w:eastAsia="Arial" w:hAnsi="Arial"/>
          <w:sz w:val="18"/>
          <w:szCs w:val="18"/>
          <w:i w:val="1"/>
          <w:iCs w:val="1"/>
          <w:color w:val="auto"/>
        </w:rPr>
        <w:t>Long-term Debt and Warrant Liability</w:t>
      </w:r>
      <w:r>
        <w:rPr>
          <w:rFonts w:ascii="Arial" w:cs="Arial" w:eastAsia="Arial" w:hAnsi="Arial"/>
          <w:sz w:val="18"/>
          <w:szCs w:val="18"/>
          <w:color w:val="auto"/>
        </w:rPr>
        <w:t>) are reflected in the consolidated balance sheet at carrying value since the Company did not elect to remeasure its debt obligations to fair value at the end of each reporting period. These debt obligations are not remeasured at fair value each reporting period. The carrying values of the Company’s long-term debt approximate fair value due to the mechanisms in the credit agreements that adjust the applicable interest rates.</w:t>
      </w:r>
    </w:p>
    <w:p>
      <w:pPr>
        <w:spacing w:after="0" w:line="183"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To manage the business, the Company’s Executive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See Note 16,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these audited consolidated financial statements as of and for the year ended December 31, 2017.</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90"/>
              </w:rPr>
              <w:t>Three quarters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302,514</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287,129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21,435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18,520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Consolidated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323,949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305,649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15,070</w:t>
            </w:r>
          </w:p>
        </w:tc>
        <w:tc>
          <w:tcPr>
            <w:tcW w:w="28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Consolidated operating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12,268</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Consolidated depreciation and amortization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corporate overhead expense are allocated to the Consumer Payments segment.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results of operations and financial condition are not significantly reliant upon any single customer for the three quarters ended September 30, 2018 and 2017. Substantially all revenues are generated in the United States.</w:t>
      </w:r>
    </w:p>
    <w:p>
      <w:pPr>
        <w:spacing w:after="0" w:line="166" w:lineRule="exact"/>
        <w:rPr>
          <w:sz w:val="20"/>
          <w:szCs w:val="20"/>
          <w:color w:val="auto"/>
        </w:rPr>
      </w:pPr>
    </w:p>
    <w:p>
      <w:pPr>
        <w:ind w:left="600" w:hanging="592"/>
        <w:spacing w:after="0"/>
        <w:tabs>
          <w:tab w:leader="none" w:pos="6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(“EPS”) is computed by dividing net income (loss) available to common stockholders by the weighted average number of shares of common stock outstanding during the period, excluding the effects of any potentially dilutive securities. Diluted EPS gives effect to the potential dilution that could occur if securities or other contracts to issue common stock were exercised or converted into common stock, using the more dilutive of the two-class method or if-converted method. The two-class method allocates earnings and losses between common shares and participating securities. Diluted EPS excludes potential shares of common stock if their effect is anti-dilutive.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Recapitalization, the Company has retrospectively adjusted the weighted average Class A units outstanding prior to July 25, 2018 by multiplying them by the exchange ratio used to determine the number of Class A common shares into which they converted.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earnings (loss) per share: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quarters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(loss) income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(11,367)</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Distributions to participating securities</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available to common stockholders</w:t>
            </w:r>
          </w:p>
        </w:tc>
        <w:tc>
          <w:tcPr>
            <w:tcW w:w="1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(11,412</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Denominator:</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share</w:t>
            </w:r>
          </w:p>
        </w:tc>
        <w:tc>
          <w:tcPr>
            <w:tcW w:w="15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(0.19)</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quarters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(loss) income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(11,367)</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Gain on warrant liability</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Distributions to participating securities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available to common stockholders</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share equivalents</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diluted shares outstanding</w:t>
            </w:r>
          </w:p>
        </w:tc>
        <w:tc>
          <w:tcPr>
            <w:tcW w:w="1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Diluted (loss) earnings per share</w:t>
            </w:r>
          </w:p>
        </w:tc>
        <w:tc>
          <w:tcPr>
            <w:tcW w:w="152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(0.19)</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Anti-dilutive securities that were excluded from EPS that could potentially be dilutive in future periods were as follows:</w:t>
      </w:r>
    </w:p>
    <w:p>
      <w:pPr>
        <w:spacing w:after="0" w:line="221"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quarters ended</w:t>
      </w:r>
    </w:p>
    <w:p>
      <w:pPr>
        <w:spacing w:after="0" w:line="27"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5715</wp:posOffset>
            </wp:positionV>
            <wp:extent cx="17240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7900"/>
        <w:spacing w:after="0"/>
        <w:tabs>
          <w:tab w:leader="none" w:pos="93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7" w:lineRule="exact"/>
        <w:rPr>
          <w:sz w:val="20"/>
          <w:szCs w:val="20"/>
          <w:color w:val="auto"/>
        </w:rPr>
      </w:pPr>
    </w:p>
    <w:p>
      <w:pPr>
        <w:ind w:left="1140"/>
        <w:spacing w:after="0"/>
        <w:tabs>
          <w:tab w:leader="none" w:pos="7960" w:val="left"/>
          <w:tab w:leader="none" w:pos="9980" w:val="left"/>
        </w:tabs>
        <w:rPr>
          <w:sz w:val="20"/>
          <w:szCs w:val="20"/>
          <w:color w:val="auto"/>
        </w:rPr>
      </w:pPr>
      <w:r>
        <w:rPr>
          <w:rFonts w:ascii="Arial" w:cs="Arial" w:eastAsia="Arial" w:hAnsi="Arial"/>
          <w:sz w:val="18"/>
          <w:szCs w:val="18"/>
          <w:color w:val="auto"/>
        </w:rPr>
        <w:t>Warrants on common stock</w:t>
      </w:r>
      <w:r>
        <w:rPr>
          <w:sz w:val="20"/>
          <w:szCs w:val="20"/>
          <w:color w:val="auto"/>
        </w:rPr>
        <w:tab/>
      </w:r>
      <w:r>
        <w:rPr>
          <w:rFonts w:ascii="Arial" w:cs="Arial" w:eastAsia="Arial" w:hAnsi="Arial"/>
          <w:sz w:val="18"/>
          <w:szCs w:val="18"/>
          <w:color w:val="auto"/>
        </w:rPr>
        <w:t>5,731,216</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various contingent share arrangements that were excluded from EPS as they were anti-dilutive for the periods presented.</w:t>
      </w:r>
    </w:p>
    <w:p>
      <w:pPr>
        <w:spacing w:after="0" w:line="233"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events have been evaluated from the balance sheet date thorough November 14, 2018, the date on which the unaudited condensed consolidated financial statements were available to be issued.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October 2018, the Company drew $8.0 million on its revolving credit facility to partially fund a $17.2 million purchase of a merchant portfolio.</w:t>
      </w: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797" w:right="479" w:bottom="1440" w:gutter="0" w:footer="0" w:header="0"/>
        </w:sectPr>
      </w:pPr>
    </w:p>
    <w:bookmarkStart w:id="154" w:name="page155"/>
    <w:bookmarkEnd w:id="15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Board of Directors of Priority Technology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sheets of Priority Technology Holdings, Inc. and Subsidiaries (formerly known as Priority Holdings, LLC and Subsidiaries) (the “Company”) as of December 31, 2017 and 2016, the related consolidated statements of operations, changes in equity (deficit)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 except for the effect of the 2018 Business Combination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Recapitalization disclosures in Notes 1, 12, 14 and 17 as to which the date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27,966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$484 and $727, respectively</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Due from related parties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Current portion of notes receivable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assets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101,532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9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LIABILITIES AND EQUITY (DEFICIT)</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18,603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Accrued residual commissions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Customer deposits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portion of notes payable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portion of common share repurchase obligation</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deferred financing costs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267,939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Warrant liability</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Common share repurchase obligation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long term liabilities</w:t>
            </w:r>
          </w:p>
        </w:tc>
        <w:tc>
          <w:tcPr>
            <w:tcW w:w="9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12, and 14)</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Equity (deficit)</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87,039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equity (deficit)</w:t>
            </w:r>
          </w:p>
        </w:tc>
        <w:tc>
          <w:tcPr>
            <w:tcW w:w="9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equity (deficit)</w:t>
            </w: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18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398,988</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321,091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revenue</w:t>
            </w:r>
          </w:p>
        </w:tc>
        <w:tc>
          <w:tcPr>
            <w:tcW w:w="1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Costs of merchant card fees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305,461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243,049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costs of services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32,357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32,330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13,457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Income from operations</w:t>
            </w:r>
          </w:p>
        </w:tc>
        <w:tc>
          <w:tcPr>
            <w:tcW w:w="1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(31,159)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expenses</w:t>
            </w:r>
          </w:p>
        </w:tc>
        <w:tc>
          <w:tcPr>
            <w:tcW w:w="1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8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(C-corporation basis):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8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1,530</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3,064</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8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8"/>
              </w:rPr>
              <w:t>Additional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3"/>
              </w:rPr>
              <w:t>Members’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4"/>
              </w:rPr>
              <w:t>Paid-In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3"/>
          </w:tcPr>
          <w:p>
            <w:pPr>
              <w:jc w:val="right"/>
              <w:ind w:right="230"/>
              <w:spacing w:after="0"/>
              <w:rPr>
                <w:sz w:val="20"/>
                <w:szCs w:val="20"/>
                <w:color w:val="auto"/>
              </w:rPr>
            </w:pPr>
            <w:r>
              <w:rPr>
                <w:rFonts w:ascii="Arial" w:cs="Arial" w:eastAsia="Arial" w:hAnsi="Arial"/>
                <w:sz w:val="18"/>
                <w:szCs w:val="18"/>
                <w:color w:val="auto"/>
              </w:rPr>
              <w:t>Preferred Units</w:t>
            </w:r>
          </w:p>
        </w:tc>
        <w:tc>
          <w:tcPr>
            <w:tcW w:w="1640" w:type="dxa"/>
            <w:vAlign w:val="bottom"/>
            <w:gridSpan w:val="3"/>
          </w:tcPr>
          <w:p>
            <w:pPr>
              <w:jc w:val="right"/>
              <w:ind w:right="190"/>
              <w:spacing w:after="0"/>
              <w:rPr>
                <w:sz w:val="20"/>
                <w:szCs w:val="20"/>
                <w:color w:val="auto"/>
              </w:rPr>
            </w:pPr>
            <w:r>
              <w:rPr>
                <w:rFonts w:ascii="Arial" w:cs="Arial" w:eastAsia="Arial" w:hAnsi="Arial"/>
                <w:sz w:val="18"/>
                <w:szCs w:val="18"/>
                <w:color w:val="auto"/>
              </w:rPr>
              <w:t>Common Units</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c>
          <w:tcPr>
            <w:tcW w:w="1740" w:type="dxa"/>
            <w:vAlign w:val="bottom"/>
            <w:gridSpan w:val="4"/>
          </w:tcPr>
          <w:p>
            <w:pPr>
              <w:ind w:left="280"/>
              <w:spacing w:after="0"/>
              <w:rPr>
                <w:sz w:val="20"/>
                <w:szCs w:val="20"/>
                <w:color w:val="auto"/>
              </w:rPr>
            </w:pPr>
            <w:r>
              <w:rPr>
                <w:rFonts w:ascii="Arial" w:cs="Arial" w:eastAsia="Arial" w:hAnsi="Arial"/>
                <w:sz w:val="18"/>
                <w:szCs w:val="18"/>
                <w:color w:val="auto"/>
              </w:rPr>
              <w:t>Common Stock</w:t>
            </w:r>
          </w:p>
        </w:tc>
        <w:tc>
          <w:tcPr>
            <w:tcW w:w="1380" w:type="dxa"/>
            <w:vAlign w:val="bottom"/>
            <w:gridSpan w:val="3"/>
          </w:tcPr>
          <w:p>
            <w:pPr>
              <w:ind w:left="140"/>
              <w:spacing w:after="0"/>
              <w:rPr>
                <w:sz w:val="20"/>
                <w:szCs w:val="20"/>
                <w:color w:val="auto"/>
              </w:rPr>
            </w:pPr>
            <w:r>
              <w:rPr>
                <w:rFonts w:ascii="Arial" w:cs="Arial" w:eastAsia="Arial" w:hAnsi="Arial"/>
                <w:sz w:val="18"/>
                <w:szCs w:val="18"/>
                <w:color w:val="auto"/>
                <w:w w:val="97"/>
              </w:rPr>
              <w:t>Preferred Stock</w:t>
            </w:r>
          </w:p>
        </w:tc>
        <w:tc>
          <w:tcPr>
            <w:tcW w:w="16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92"/>
              </w:rPr>
              <w:t>Capital</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2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7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Units</w:t>
            </w:r>
          </w:p>
        </w:tc>
        <w:tc>
          <w:tcPr>
            <w:tcW w:w="9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Amount</w:t>
            </w:r>
          </w:p>
        </w:tc>
        <w:tc>
          <w:tcPr>
            <w:tcW w:w="7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Units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19"/>
                <w:szCs w:val="19"/>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9"/>
              </w:rPr>
              <w:t>(Deficit)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19"/>
                <w:szCs w:val="19"/>
                <w:color w:val="auto"/>
              </w:rPr>
            </w:pP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8"/>
              </w:rPr>
              <w:t>Shares</w:t>
            </w:r>
          </w:p>
        </w:tc>
        <w:tc>
          <w:tcPr>
            <w:tcW w:w="7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3"/>
              </w:rPr>
              <w:t>Amount</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(Deficit)</w:t>
            </w:r>
          </w:p>
        </w:tc>
        <w:tc>
          <w:tcPr>
            <w:tcW w:w="20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(Deficit)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2014, as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originally</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reported</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2,325</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97,941</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units to</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96"/>
              </w:rPr>
              <w:t>common stock</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and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94"/>
              </w:rPr>
              <w:t>reclassification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of members’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Pr>
          <w:p>
            <w:pPr>
              <w:spacing w:after="0"/>
              <w:rPr>
                <w:sz w:val="18"/>
                <w:szCs w:val="18"/>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color w:val="auto"/>
                <w:w w:val="98"/>
              </w:rPr>
              <w:t>(2,325)</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(95,616)</w:t>
            </w: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(97,941)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99"/>
              </w:rPr>
              <w:t>equity (deficit)</w:t>
            </w: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187,036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98,434</w:t>
            </w: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97,941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December 31,</w:t>
            </w: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2014, as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recasted</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98,434</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distributions to</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members</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9,267</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0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2015</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187,036</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94,725</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8,587</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103,526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Cash</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96"/>
              </w:rPr>
              <w:t>distributions to</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members</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(10,019)</w:t>
            </w: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Equity-based</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compensation</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8,403</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20,186</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December 31,</w:t>
            </w: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195,439</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87,039</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28,773</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116,007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Cash</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96"/>
              </w:rPr>
              <w:t>distributions to</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members</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(3,399)</w:t>
            </w: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Equity-based</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compensation</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Member</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redemptions</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(62,574)</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(79,283)</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(123,595)</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Reclass for</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94"/>
              </w:rPr>
              <w:t>common share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repurchase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obligation</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(9,190)</w:t>
            </w: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Release of</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contingent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consideration</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Elimination of</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Class C Units</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(19,756)</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Elimination of</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Units</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(35,574)</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Pro rata</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adjustment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(4,425)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7"/>
              </w:rPr>
              <w:t>and forfeitures</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0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December 31,</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73,110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spacing w:after="0" w:line="399" w:lineRule="exact"/>
              <w:rPr>
                <w:sz w:val="20"/>
                <w:szCs w:val="20"/>
                <w:color w:val="auto"/>
              </w:rPr>
            </w:pPr>
            <w:r>
              <w:rPr>
                <w:rFonts w:ascii="Arial" w:cs="Arial" w:eastAsia="Arial" w:hAnsi="Arial"/>
                <w:sz w:val="18"/>
                <w:szCs w:val="18"/>
                <w:color w:val="auto"/>
              </w:rPr>
              <w:t>(90,228</w:t>
            </w:r>
            <w:r>
              <w:rPr>
                <w:rFonts w:ascii="Arial" w:cs="Arial" w:eastAsia="Arial" w:hAnsi="Arial"/>
                <w:sz w:val="36"/>
                <w:szCs w:val="36"/>
                <w:color w:val="auto"/>
                <w:vertAlign w:val="superscript"/>
              </w:rPr>
              <w:t>)</w:t>
            </w:r>
            <w:r>
              <w:rPr>
                <w:rFonts w:ascii="Arial" w:cs="Arial" w:eastAsia="Arial" w:hAnsi="Arial"/>
                <w:sz w:val="18"/>
                <w:szCs w:val="18"/>
                <w:color w:val="auto"/>
              </w:rPr>
              <w:t xml:space="preserve"> $</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572"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4,594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20,186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9,267</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14,674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14,733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15,633</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Equity in loss of unconsolidated affiliates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Payment in kind interest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change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(5,004)</w:t>
            </w:r>
          </w:p>
        </w:tc>
      </w:tr>
      <w:tr>
        <w:trPr>
          <w:trHeight w:val="216"/>
        </w:trPr>
        <w:tc>
          <w:tcPr>
            <w:tcW w:w="6520" w:type="dxa"/>
            <w:vAlign w:val="bottom"/>
          </w:tcPr>
          <w:p>
            <w:pPr>
              <w:ind w:left="500"/>
              <w:spacing w:after="0"/>
              <w:rPr>
                <w:sz w:val="20"/>
                <w:szCs w:val="20"/>
                <w:color w:val="auto"/>
              </w:rPr>
            </w:pPr>
            <w:r>
              <w:rPr>
                <w:rFonts w:ascii="Arial" w:cs="Arial" w:eastAsia="Arial" w:hAnsi="Arial"/>
                <w:sz w:val="18"/>
                <w:szCs w:val="18"/>
                <w:color w:val="auto"/>
              </w:rPr>
              <w:t>Settlement assets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(6,987)</w:t>
            </w:r>
          </w:p>
        </w:tc>
      </w:tr>
      <w:tr>
        <w:trPr>
          <w:trHeight w:val="216"/>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(3,754)</w:t>
            </w:r>
          </w:p>
        </w:tc>
      </w:tr>
      <w:tr>
        <w:trPr>
          <w:trHeight w:val="216"/>
        </w:trPr>
        <w:tc>
          <w:tcPr>
            <w:tcW w:w="6520" w:type="dxa"/>
            <w:vAlign w:val="bottom"/>
          </w:tcPr>
          <w:p>
            <w:pPr>
              <w:ind w:left="500"/>
              <w:spacing w:after="0"/>
              <w:rPr>
                <w:sz w:val="20"/>
                <w:szCs w:val="20"/>
                <w:color w:val="auto"/>
              </w:rPr>
            </w:pPr>
            <w:r>
              <w:rPr>
                <w:rFonts w:ascii="Arial" w:cs="Arial" w:eastAsia="Arial" w:hAnsi="Arial"/>
                <w:sz w:val="18"/>
                <w:szCs w:val="18"/>
                <w:color w:val="auto"/>
              </w:rPr>
              <w:t>Notes receivable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p>
        </w:tc>
      </w:tr>
      <w:tr>
        <w:trPr>
          <w:trHeight w:val="216"/>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Related parties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500"/>
              <w:spacing w:after="0"/>
              <w:rPr>
                <w:sz w:val="20"/>
                <w:szCs w:val="20"/>
                <w:color w:val="auto"/>
              </w:rPr>
            </w:pPr>
            <w:r>
              <w:rPr>
                <w:rFonts w:ascii="Arial" w:cs="Arial" w:eastAsia="Arial" w:hAnsi="Arial"/>
                <w:sz w:val="18"/>
                <w:szCs w:val="18"/>
                <w:color w:val="auto"/>
              </w:rPr>
              <w:t>Accounts payable, accrued expenses and accrued residual commissions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12,317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8,878</w:t>
            </w:r>
          </w:p>
        </w:tc>
      </w:tr>
      <w:tr>
        <w:trPr>
          <w:trHeight w:val="216"/>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Settlement obligations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5,374</w:t>
            </w:r>
          </w:p>
        </w:tc>
      </w:tr>
      <w:tr>
        <w:trPr>
          <w:trHeight w:val="216"/>
        </w:trPr>
        <w:tc>
          <w:tcPr>
            <w:tcW w:w="6520" w:type="dxa"/>
            <w:vAlign w:val="bottom"/>
          </w:tcPr>
          <w:p>
            <w:pPr>
              <w:ind w:left="500"/>
              <w:spacing w:after="0"/>
              <w:rPr>
                <w:sz w:val="20"/>
                <w:szCs w:val="20"/>
                <w:color w:val="auto"/>
              </w:rPr>
            </w:pPr>
            <w:r>
              <w:rPr>
                <w:rFonts w:ascii="Arial" w:cs="Arial" w:eastAsia="Arial" w:hAnsi="Arial"/>
                <w:sz w:val="18"/>
                <w:szCs w:val="18"/>
                <w:color w:val="auto"/>
              </w:rPr>
              <w:t>Customer deposits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30"/>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r>
      <w:tr>
        <w:trPr>
          <w:trHeight w:val="210"/>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797"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year acquisitions, net of cash acquired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of unconsolidated entity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to property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to intangible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(26,724)</w:t>
            </w:r>
          </w:p>
        </w:tc>
      </w:tr>
      <w:tr>
        <w:trPr>
          <w:trHeight w:val="216"/>
        </w:trPr>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(6,554)</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(2,882)</w:t>
            </w:r>
          </w:p>
        </w:tc>
      </w:tr>
      <w:tr>
        <w:trPr>
          <w:trHeight w:val="244"/>
        </w:trPr>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(2,483)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(1,379)</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-736600</wp:posOffset>
            </wp:positionV>
            <wp:extent cx="72466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-462280</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-179705</wp:posOffset>
            </wp:positionV>
            <wp:extent cx="72466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797"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276,290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restricted cash:</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Net increase in cash and restricted cash</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5,365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restricted cash, at the beginning of year</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36,337</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restricted cash, at the end of year</w:t>
            </w:r>
          </w:p>
        </w:tc>
        <w:tc>
          <w:tcPr>
            <w:tcW w:w="1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44,159</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19,036</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3,716</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15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 repurchase obligation</w:t>
            </w:r>
          </w:p>
        </w:tc>
        <w:tc>
          <w:tcPr>
            <w:tcW w:w="15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9,190</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right="7140" w:firstLine="8"/>
        <w:spacing w:after="0" w:line="503" w:lineRule="auto"/>
        <w:tabs>
          <w:tab w:leader="none" w:pos="177"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BASIS OF PRESENTATION Nature of Business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Headquartered near Atlanta in Alpharetta, Georgia, Priority Technology Holdings, Inc. and subsidiaries (the “Company” or the “Registrant”)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Consumer payments processing solutions for business-to-consumer (“B2C”) transactions through independent sales organizations (“ISOs”), financial institutions, independent software vendors (“ISVs”), and other referral partners. The Company’s proprietary MX platform for B2C payments provides merchants a fully customizable suite of business management solutions.</w:t>
      </w:r>
    </w:p>
    <w:p>
      <w:pPr>
        <w:jc w:val="both"/>
        <w:ind w:left="66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Institutional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Integrated partners solutions for ISVs and other third-parties that allow them to leverage the Company’s core payments engine via robust application program interfaces (“APIs”) resources and high-utility embeddable code.</w:t>
      </w: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Recapitalization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 I Acquisitions, Inc.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shares began trading then on Nasdaq Stock Market, LLC (“Nasdaq”) under the symbol MACQ. In addition, MI Acquisitions completed a private placement to certain initial stockholders of MI. MI Acquisitions received gross proceeds of approximately $54.0 million from the IPO and private placement.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2018, MI Acquisitions acquired all of the outstanding member equity interests of Priority Holdings, LLC (“Priority”) in exchange for the issuance of MI Acquisitions’ common shares (the “Business Combination”) from a private placement. As a result, Priority, which was previously a privately owned company, became a wholly-owned subsidiary of MI Acquisitions.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Simultaneously with the Business Combination, MI Acquisitions changed its name to Priority Technology Holdings, Inc. and the ticker symbol for its common stock on Nasdaq became PRTH.</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 The units and corresponding capital amounts and earnings per unit of Priority prior to the Recapitalization have been retroactively restated as shares reflecting the exchange ratio established in the Recapitalization.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common shares issued in the private placement, including the common shares issued to the sellers of Priority, are restricted shares, meaning that there are certain regulatory restrictions on the holders’ abilities to sell, transfer, pledge or otherwise dispose of the private placement shares. Common shares of the Company issued to certain non-affiliates in the private placement may become unrestricted common shares in the future due to the lapse of certain regulatory restrictions on the holders’ ability to sell, transfer, pledge, or dispose of the unregistered shares.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Executive Chairman controls a majority of the voting power of the Company’s outstanding common stock. As a result, the Company is a “controlled company” within the meaning of Nasdaq’s corporate governance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Company’s equity structure refer to Note 12 – Equity.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July 25, 2018, Priority was a “pass-through” entity for income tax purposes and had no material income tax accounting reflected in its financial statements for financial reporting purposes since taxable income and deductions were “passed through” to Priority’s unconsolidated owners. Unaudited pro forma income tax has been disclosed for the year ended December 31, 2017 on the Company’s Consolidated Statement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in two reportable segments, Consumer Payments and Commercial Payments and Managed Services. For more information about the Company’s segments, refer to Note 16 – Segment Information, to these consolidated financial statements. The Business Combination did not impact the Company’s reportable segments as MI was a SPAC with substantially no business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present our financial position, results of operations and cash flows.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include investments with original maturities of three months or less (when purchased) and cash on hand. Additionally, the Company classifies Company-owned cash accounts holding reserves for potential losses and customer settlement funds as restricted cash. Restricted cash is classified as current in the consolidated balance sheets and held for the purpose of either customer settlement in-process activity or reserves held per contract terms. At December 31, 2017 and 2016, the Company maintained restricted cash of $16.2 million and $9.4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allowance for doubtful accounts at December 31, 2017 and 2016, was $0.5 million and $0.7 million, respectively. 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software, net</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multiple operating leases, all of which are related to office space. As operating leases do not involve transfer of risks and rewards of ownership of the leased asset to the lessee, the Company expenses the costs of its operating leases. The Company will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costs incurred to develop computer software for internal use in accordance with U.S. GAAP. Internal-use software development costs are capitalized once: (1) the preliminary project stage is completed, (2) management authorizes and commits to funding a specific software project, and</w:t>
      </w:r>
    </w:p>
    <w:p>
      <w:pPr>
        <w:jc w:val="both"/>
        <w:ind w:firstLine="8"/>
        <w:spacing w:after="0" w:line="268" w:lineRule="auto"/>
        <w:tabs>
          <w:tab w:leader="none" w:pos="278" w:val="left"/>
        </w:tabs>
        <w:numPr>
          <w:ilvl w:val="0"/>
          <w:numId w:val="93"/>
        </w:numPr>
        <w:rPr>
          <w:rFonts w:ascii="Arial" w:cs="Arial" w:eastAsia="Arial" w:hAnsi="Arial"/>
          <w:sz w:val="17"/>
          <w:szCs w:val="17"/>
          <w:color w:val="auto"/>
        </w:rPr>
      </w:pPr>
      <w:r>
        <w:rPr>
          <w:rFonts w:ascii="Arial" w:cs="Arial" w:eastAsia="Arial" w:hAnsi="Arial"/>
          <w:sz w:val="17"/>
          <w:szCs w:val="17"/>
          <w:color w:val="auto"/>
        </w:rPr>
        <w:t>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each of the years ended December 31, 2017 and 2016, the Company capitalized software development costs of $3.1 million. As of December 31, 2017 and 2016, capitalized software development costs, net of accumulated amortization, totaled $6.7 million and $5.1 million, respectively, and is included in property, equipment, and software, net on the consolidated balance sheets. Amortization expense for capitalized software development costs for the years ended December 31, 2017, 2016, and 2015 was $1.6 million, $1.0 million, and $0.8 million, respectively.</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Settlement processing assets and obligations represent intermediary balances arising in the Company’s settlement process for merchants and other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3—Settlement Assets and Obligations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equity method of accounting for investments when it possesses the ability to exercise significant influence, but not control, over the operating and financial policies of the investee. In applying the equity method, the Company records its investment at cost and subsequently increases or decreases the carrying amount of the investment by its proportionate share of the net earnings or losses and other comprehensive income (loss) of the investee. Dividends or other equity distributions reduce the carrying value of the investment.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and 2016, the Company holds two equity investments. The Company holds a 14.3% and 21.8% ownership interest in two entities with no voting control, but does have the ability to exercise significant influence over the investees. The nature of the Company’s contractual relationships with its unconsolidated entities are such that the Company does not direct, nor participate in, the activities that most significantly impact the unconsolidated entities economic performance, including but not limited to: (i) negotiating prices with the unconsolidated entities’ merchant customers, (ii) determining the commission structure for the unconsolidated entities’ sales force, (iii) developing and approving the unconsolidated entities’ annual operating budget, (iv) hiring and firing the unconsolidated entities’ chief executive, and (v) developing a business strategy, including the target market for the unconsolidated entities’ merchant portfolio. Accordingly, the Company has determined that it does not have a controlling financial interest in, and is therefore not the primary beneficiary of, its unconsolidated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are consumed.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three years to 25 years.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2017, using market data and discounted cash flow analyses. Based on this analysis, it was determined that the fair value exceeded the carrying value of each of its reporting units. The Company concluded that there were no indicators of impairment for the years ended December 31, 2017, 2016 and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that there were no indications of impairment for the years ended December 31, 2017, 2016 and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Residual Commissions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residual commissions consist of amounts due to ISOs and Independent Sales Agents (“ISA”)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 was $249.9 million, $195.4 million and $157.0 million, respectively, for the years ended December 31, 2017, 2016 and 2015, and is included in costs of merchant card fees in the accompanying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ISO Deposit and Loss Reserve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ISOs may partner with the Company in an executive partner program, in which ISOs are given preferential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Equity-Based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equity-based compensation plan, allows for the issuance of the Company’s stock to employees and contractors. The Company measures and recognizes compensation expense for all equity-based awards based on estimated fair values at the time of grant. The Company estimates the fair value of equity-based awards using an option pricing valuation model. The Company expenses, on a straight-line basis, the portion of the award value expected to vest over the requisite service period, net of estimated forfeitures.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for further discussion of the Company’s reportable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and promotion costs as incurred. Advertising and promotion expense was approximately $0.5 million, $0.4 million, and $0.6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reverse merger discussed under Corporate History and Recapitalization in this Note 1, Priority was organized as a Delaware limited liability company. Priority elected to be treated as a limited liability corporation for the purpose of filing income tax returns, and as such, the income and losses of Priority flowed through to the members. Accordingly, no provisions for federal income taxes were provided in the consolidated financial statements.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2017 and 2016, the Company has no material uncertain tax positions. The Company recognizes interest and penalties associated with uncertain tax positions as a component of income tax expense when identified. The accrual for interest and penalties is zero at December 31, 2017 and 2016.</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the U.S. government enacted tax reform legislation (U.S. tax reform) that reduced the corporate income tax rate and included a broad range of complex provisions affecting the taxation of businesses. Certain effects of the new legislation would generally require financial statement recognition to be completed in the period of enactment; however, in response to the complexities of this new legislation, the Securities and Exchange Commission (“SEC”) staff issued Staff Accounting Bulletin No. 118 (SAB 118) to provide companies with transitional relief. Specifically, when the initial accounting for items under the new legislation is incomplete, the guidance allows the recognition of provisional amounts when reasonable estimates can be made or the continued application of the prior tax law if a reasonable estimate of the effect cannot be made. The SEC staff has provided up to one year for companies to finalize the accounting for the effects of this new legislation, and the Company anticipates finalizing its accounting within that period. The Company has not yet quantified the impact; therefore, the Company has not included the amount in the financial statements for the year ended December 31, 2017. The Company is in the process of performing an analysis to determine the impact and will record any necessary adjustment during the year ended December 31,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Comprehensive income represents the sum of net income and other amounts that are not included in the income statement as the amounts have not been realized. During the years ended December 31, 2017, 2016 and 2015, there were no differences between the Company’s net income and comprehensive income. Therefore, no separate Statement of Other Comprehensive Income in included in the financial statements for the reporting periods.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values of the Company’s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further discussed in Note 12 –Equity, in May 2014, the Company issued warrants to purchase Class A common shares representing 1.0% of the outstanding common shares. On January 3, 2017, these warrants were cancelled and replaced by the issuance of warrants to purchase Class A common shares representing 1.8% of the outstanding common shares of the Company. The warrants are accounted for as a liability and recorded at the estimated fair value. See Note 15 – Fair Value of Financial Instruments for further discussion of fair value methodology used to estimate this liability. At the end of each reporting period, the Company records changes in the estimated fair value during the period in interest and other expense. The Company adjusts the warrant liability for changes in fair value until the earlier of: (i) exercise of the warrants or (ii) expiration of the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two class method when computing earnings per common share as the warrants issued meet the definition of participating securities. The two-class method determines earnings (loss) per common share for each class of common shares and participating securities according to dividends declared or accumulated and participation rights in undistributed earnings. The two class method requires income available to common shareholders for the period to be allocated between common shares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Class A common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which eliminates the requirement to retrospectively account for changes to provisional amounts initially recorded in a business combination. ASU 2015-16 requires that an acquirer recognize adjustments to provisional amounts that are identified during the measurement period in the reporting period in which the adjustments are determined, including the effect of the change in provisional amount as if the accounting had been completed at the acquisition date. ASU 2015-16 is effective for reporting periods beginning after December 15, 2016 and is applied prospectively. The adoption of this standard did not have a material impact on the Company’s consolidated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 Emerging Issues Task Force), which provides guidance on the presentation of restricted cash or restricted cash equivalents in the statement of cash flows. For nonpublic entities, ASU 2016-18 will be effective for financial statements issued for fiscal years beginning after December 15, 2018. ASU 2016-18 must be applied using a retrospective transition method with early adoption permitted. The adoption of this standard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ASU 2016-01 will be effective for the Company for fiscal years beginning after December 15, 2018. The Company is currently evaluating the impact of the adoption of this standard on its consolidated financial statements.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The Company is currently evaluating the impact of the adoption of this guidance on its consolidated financial statements.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The Company is currently evaluating the impact of the adoption of this guidance on its statement of cash flows.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or ASU 2017-04. ASU 2017-04 simplifies the subsequent measurement of goodwill by eliminating “Step 2” from the goodwill impairment test. ASU 2017-04 is effective for nonpublic entities annual or interim goodwill impairment tests in fiscal years beginning after December 15, 2021. Early adoption is permitted for annual goodwill impairment tests performed on testing dates after January 1, 2017. The Company does not expect the adoption of this guidance to have a material impact on its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181" w:lineRule="exact"/>
        <w:rPr>
          <w:sz w:val="20"/>
          <w:szCs w:val="20"/>
          <w:color w:val="auto"/>
        </w:rPr>
      </w:pPr>
    </w:p>
    <w:p>
      <w:pPr>
        <w:jc w:val="both"/>
        <w:ind w:left="660" w:hanging="328"/>
        <w:spacing w:after="0" w:line="25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ASU is effective for the Company on January 1, 2018. Early adoption is permitted, The Company does not expect the adoption of this ASU to have a material impact on the Company’s consolidated financial statements.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December 31, 2017, which require, among other things, that the Company abide by the by-laws and regulations of the Card Associations.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primarily by two third-party payment processors.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 with no effect on net income or shareholders’ equity.</w:t>
      </w:r>
    </w:p>
    <w:p>
      <w:pPr>
        <w:spacing w:after="0" w:line="166" w:lineRule="exact"/>
        <w:rPr>
          <w:sz w:val="20"/>
          <w:szCs w:val="20"/>
          <w:color w:val="auto"/>
        </w:rPr>
      </w:pPr>
    </w:p>
    <w:p>
      <w:pPr>
        <w:ind w:left="440" w:hanging="432"/>
        <w:spacing w:after="0"/>
        <w:tabs>
          <w:tab w:leader="none" w:pos="4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OF BUSINESSES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19, 2015, Priority Payment Systems Holdings, LLC (“PPSH”), a subsidiary of the Company, entered into a definitive agreement to purchase substantially all merchant acquiring related assets, except those identified as excluded, of American Credit Card Processing Corporation and their affiliates (collectively “ACCPC”). The Company purchased access to the ACCPC’s merchant portfolio (i.e., all merchant portfolios’ rights, title and interests in and to the residuals owed to expand our merchant footprint in the United States). The results of the acquired business are being reported by the Company as part of the Consumer Payments segment. The acquisition was financed via additional debt proceeds.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transaction was accounted for using the acquisition method. Under the acquisition method, the purchase price was allocated to the underlying tangible and intangible assets acquired and the liabilities assumed based on their respective fair values, with the remainder allocated to goodwill. The goodwill is attributable to the general reputation of the business and the collective experience of the management and employees of the Company. The total amount of goodwill related to this transaction is deductible for tax purposes and included in the Consumer Payments reporting unit.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purchase consideration was approximately $27.6 million and consisted of cash paid and contingent consideration related to an earnout. The earnout period is defined in the purchase agreement as the period beginning as of June 19, 2015, and for each of the three years thereafter. The minimum possible earnout is $0 and the maximum is $10 million. An earnout achieved, as defined in the purchase agreement, is when the annual growth rate of recurring net revenue received by PPSH with respect to an earnout period has increased over the baseline recurring net revenue by various criteria. The contingent consideration was determined by calculating the future value of the three earnout periods based on management’s expectation of performance of recurring net revenue meeting the various criteria. For the years ended December 31, 2017, 2016 and 2015, the Company recorded a change in fair value of contingent consideration related to ACCPC of $0.4 million, $0.4 million and $0.1 million, respectively, which are included in the consolidated change in fair value of contingent consideration included in the accompanying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acquisition-date fair value of the total consideration transferred:</w:t>
      </w:r>
    </w:p>
    <w:p>
      <w:pPr>
        <w:spacing w:after="0" w:line="221"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Purchase consideration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ACCPC</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26,724</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Contingent consideration to ACCPC</w:t>
            </w:r>
          </w:p>
        </w:tc>
        <w:tc>
          <w:tcPr>
            <w:tcW w:w="4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acquisition-date fair value for the assets acquired and liabilities assumed on June 19, 2015 (the acquisition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deposits with sponsor banks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 net assets acquired</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 values assigned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Indicated</w:t>
            </w: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Estimated</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at</w:t>
            </w: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Remaining</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19, 2015</w:t>
            </w: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Life (years)</w:t>
            </w:r>
          </w:p>
        </w:tc>
        <w:tc>
          <w:tcPr>
            <w:tcW w:w="2740" w:type="dxa"/>
            <w:vAlign w:val="bottom"/>
          </w:tcPr>
          <w:p>
            <w:pPr>
              <w:ind w:left="540"/>
              <w:spacing w:after="0"/>
              <w:rPr>
                <w:sz w:val="20"/>
                <w:szCs w:val="20"/>
                <w:color w:val="auto"/>
              </w:rPr>
            </w:pPr>
            <w:r>
              <w:rPr>
                <w:rFonts w:ascii="Arial" w:cs="Arial" w:eastAsia="Arial" w:hAnsi="Arial"/>
                <w:sz w:val="18"/>
                <w:szCs w:val="18"/>
                <w:b w:val="1"/>
                <w:bCs w:val="1"/>
                <w:color w:val="auto"/>
              </w:rPr>
              <w:t>Amortization Method</w:t>
            </w: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3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3.0</w:t>
            </w:r>
          </w:p>
        </w:tc>
        <w:tc>
          <w:tcPr>
            <w:tcW w:w="2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Straight-line</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ISO/Agents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13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11.0</w:t>
            </w:r>
          </w:p>
        </w:tc>
        <w:tc>
          <w:tcPr>
            <w:tcW w:w="2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1"/>
              </w:rPr>
              <w:t>Accelerated - sum-of-the-year’s digits</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Relationships: Merchants</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1"/>
              </w:rPr>
              <w:t>11.0</w:t>
            </w:r>
          </w:p>
        </w:tc>
        <w:tc>
          <w:tcPr>
            <w:tcW w:w="2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Accelerated - sum-of-the-year’s digits</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value of identified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operations of ACCPC have been included in the Company’s results since the acquisition date and are not material to the Company’s consolidated financial results. Supplemental pro forma results of operations of the combined entities for the year ended December 31, 2015 have not been presented as the financial impact to the Company’s consolidated financial statements would be immaterial.</w:t>
      </w:r>
    </w:p>
    <w:p>
      <w:pPr>
        <w:spacing w:after="0" w:line="17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relationships with Member Banks to facilitate payment transactions. These agreements allow the Company to route transactions under the Member Banks’ control and identification numbers to clear card transactions through card networks.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Settlement assets and obligations refer to the process of transferring funds for sales and credits between card issuers and merchants. The standards of the card networks restrict non-members from performing funds settlement or accessing merchant settlement funds, and, instead, require that these funds be in the possession of the Member Bank until the merchant is funded.</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Timing differences, interchange expense, merchant reserves, and exception items cause differences between the amount the Member Bank receives from the card networks and the amount funded to the merchants. Settlement processing assets and obligations represent intermediary balances arising in the settlement process.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merchant agreements, the sponsor bank has the sole control and primary responsibility for merchant reserve accounts held to minimize credit risk associated with disputed merchant charges. The Company records settlement obligations for amounts payable to merchants for funds not yet collected in settlement from the processor. The principal components of the Company’s settlement assets and obligations at December 31, 2017 and 2016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Settlement Assets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Card settlement due from merchants</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Settlement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100" w:type="dxa"/>
            <w:vAlign w:val="bottom"/>
            <w:shd w:val="clear" w:color="auto" w:fill="CCEEFF"/>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Total settlement assets (obligations),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ACH payees are offset by restricted cash.</w:t>
      </w:r>
    </w:p>
    <w:p>
      <w:pPr>
        <w:spacing w:after="0" w:line="22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non-controlling ownership interests in two entities, AME Commerce, Inc. (“AME”) and PayRight Health Solutions, LLC (“PayRight”). AME sells on-demand website services to small sized merchants. PayRight sells online services and point of service offerings to small sized merchants in the healthcare industry. The Company is required to evaluate its unconsolidated affiliates periodically and as circumstances change to determine if an implied controlling interest exists. During the years ended December 31, 2017, 2016, and 2015 the Company evaluated its investments in unconsolidated entities and concluded that the entities are not variable interests and, therefore, are accounted for under the equity method.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4"/>
            <w:vMerge w:val="restart"/>
          </w:tcPr>
          <w:p>
            <w:pPr>
              <w:jc w:val="center"/>
              <w:ind w:left="310"/>
              <w:spacing w:after="0"/>
              <w:rPr>
                <w:sz w:val="20"/>
                <w:szCs w:val="20"/>
                <w:color w:val="auto"/>
              </w:rPr>
            </w:pPr>
            <w:r>
              <w:rPr>
                <w:rFonts w:ascii="Arial" w:cs="Arial" w:eastAsia="Arial" w:hAnsi="Arial"/>
                <w:sz w:val="18"/>
                <w:szCs w:val="18"/>
                <w:b w:val="1"/>
                <w:bCs w:val="1"/>
                <w:color w:val="auto"/>
                <w:w w:val="89"/>
              </w:rPr>
              <w:t>Ownership Percentage</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Total Investment</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i w:val="1"/>
                <w:iCs w:val="1"/>
                <w:color w:val="auto"/>
                <w:w w:val="86"/>
              </w:rPr>
              <w:t>As of December 31,</w:t>
            </w:r>
          </w:p>
        </w:tc>
        <w:tc>
          <w:tcPr>
            <w:tcW w:w="0" w:type="dxa"/>
            <w:vAlign w:val="bottom"/>
          </w:tcPr>
          <w:p>
            <w:pPr>
              <w:spacing w:after="0"/>
              <w:rPr>
                <w:sz w:val="1"/>
                <w:szCs w:val="1"/>
                <w:color w:val="auto"/>
              </w:rPr>
            </w:pPr>
          </w:p>
        </w:tc>
      </w:tr>
      <w:tr>
        <w:trPr>
          <w:trHeight w:val="234"/>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Unconsolidated Entity</w:t>
            </w:r>
          </w:p>
        </w:tc>
        <w:tc>
          <w:tcPr>
            <w:tcW w:w="100" w:type="dxa"/>
            <w:vAlign w:val="bottom"/>
            <w:vMerge w:val="restart"/>
          </w:tcPr>
          <w:p>
            <w:pPr>
              <w:spacing w:after="0"/>
              <w:rPr>
                <w:sz w:val="20"/>
                <w:szCs w:val="20"/>
                <w:color w:val="auto"/>
              </w:rPr>
            </w:pPr>
          </w:p>
        </w:tc>
        <w:tc>
          <w:tcPr>
            <w:tcW w:w="238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8"/>
              </w:rPr>
              <w:t>As of December 31,</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i w:val="1"/>
                <w:iCs w:val="1"/>
                <w:color w:val="auto"/>
                <w:w w:val="91"/>
              </w:rPr>
              <w:t>(in thousands)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AME Commerce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PayRight Health Solutions</w:t>
            </w:r>
          </w:p>
        </w:tc>
        <w:tc>
          <w:tcPr>
            <w:tcW w:w="8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8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1,101</w:t>
            </w: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an equity method investment in AME. On December 23, 2013, the Company purchased 375,000 shares of Series A Preferred Stock at a stock price of $0.50 per share for a total initial investment of $0.2 million. The Company has acquired additional shares of Series A Preferred Stock since its initial investment; (1) in 2014, 200,000 shares at a price of $0.50 per share for a total investment of $0.1 million and (2) in 2015, 175,000 shares at a price of $0.50 per share for a total investment of $0.1 million. At December 31, 2017 and 2016, the Company has invested $0.4 million in exchange for 750,000 shares for a 14.3% interest and is deemed to have significant influence as a Company shareholder also owns an interest in AME. AME experienced a net loss for the years ended December 31, 2017, 2016 and 2015 of which the Company recorded $16,671, $21,280, and $41,492, respectively, as equity loss in unconsolidated entity.</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an equity method investment in PayRight Health Solutions. On September 18, 2015, the Company purchased 3,731,540 units of Class AA Member Units for a total investment of $1.1 million. In addition, $0.3 million in “in-kind” services were provided by Priority to PayRight, and PayRight issued 1,183,171 Units (“Service Units”) to Priority in exchange for these specified IT hosting and infrastructure services. The Service Units were issued and fully vested at closing. As of December 31, 2017 and 2016, the Company has invested $1.4 million in exchange for 3,731,540 shares for a 21.8% interest in PayRight. PayRight experienced a net loss for the years ended December 31, 2017 and 2016, of which the Company recorded $0.1 million and $0.1 million as equity in loss in unconsolidated entity. The net loss of PayRight for the year ended December 31, 2015 was $28,352 and was recorded by the Company as equity in loss of unconsolidated entity.</w:t>
      </w:r>
    </w:p>
    <w:p>
      <w:pPr>
        <w:spacing w:after="0" w:line="18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notes receivable from sales agents of $7.2 million and $5.6 million as of December 31, 2017 and 2016, respectively. These notes bear an average interest rate of 10.5% and 12.2% as of December 31, 2017 and 2016, respectively. Interest and principal payments on the notes are due at various dates through April 2021.</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the terms of the agreements, the Company preserves the right to holdback residual payments due to the applicable sales agents and apply such residuals against future payments due to the Company. Based on the terms of these agreements and historical experience, no reserve has been recorded for uncollectible amounts as of December 31,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notes receivable at December 31, 2017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Maturities</w:t>
            </w: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2,377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1,251</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89877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154305"/>
                    </a:xfrm>
                    <a:prstGeom prst="rect">
                      <a:avLst/>
                    </a:prstGeom>
                    <a:noFill/>
                  </pic:spPr>
                </pic:pic>
              </a:graphicData>
            </a:graphic>
          </wp:anchor>
        </w:drawing>
      </w:r>
    </w:p>
    <w:p>
      <w:pPr>
        <w:ind w:left="4060" w:hanging="865"/>
        <w:spacing w:after="0"/>
        <w:tabs>
          <w:tab w:leader="none" w:pos="40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7,249</w:t>
      </w: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-264795</wp:posOffset>
            </wp:positionV>
            <wp:extent cx="8058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goodwill and 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20" w:type="dxa"/>
            <w:vAlign w:val="bottom"/>
            <w:tcBorders>
              <w:bottom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Merchant portfolios</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46,716</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Non-compete agreements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Tradename</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Acquired technology (developed internally)</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114,493</w:t>
            </w:r>
          </w:p>
        </w:tc>
        <w:tc>
          <w:tcPr>
            <w:tcW w:w="120" w:type="dxa"/>
            <w:vAlign w:val="bottom"/>
            <w:tcBorders>
              <w:bottom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Merchant portfolios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(41,915)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(40,411)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Non-compete agreements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technology (developed internally)</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(21,052)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(64,456)</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50,037</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F-48</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7"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intangible assets at December 31, 2017 and 2016 are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Useful Life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Amortization Method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Weighted Average Life</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Merchant portfolios</w:t>
            </w: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10 years</w:t>
            </w: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Straight-line or double declining</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3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3 years</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12 years</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12 years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6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6 years</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10 – 25 years</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Sum of years digits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14.9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$10.5 million, $11.9 million, and $12.0 million for the years ended December 31, 2017, 2016 and 2015, respectively.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is recorded when an acquisition is made and the purchase price is greater than the fair value assigned to the underlying tangible and intangible assets acquired and the liabilities assumed. In connection with various acquisitions, the Company has recognized $101.5 million of goodwill, all related to the Consumer Payments reporting unit, as of December 31, 2017 and 2016. As the Commercial Payments and Managed Services reporting units have been developed internally and have not been impacted by the addition of goodwill through business combinations, there is no goodwill allocated to these reporting units. There have been no changes to the carrying value of goodwill for years ended December 31, 2017 and 2016. There was no accumulated impairment of goodwill recognized for the years ended December 31, 2017, 2016 or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of intangible assets as of December 31, 2017 for the next five years and thereafter is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Maturities</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8,435</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4,736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9,825</w:t>
            </w:r>
          </w:p>
        </w:tc>
      </w:tr>
      <w:tr>
        <w:trPr>
          <w:trHeight w:val="210"/>
        </w:trPr>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6980" w:type="dxa"/>
            <w:vAlign w:val="bottom"/>
          </w:tcPr>
          <w:p>
            <w:pPr>
              <w:ind w:left="160"/>
              <w:spacing w:after="0"/>
              <w:rPr>
                <w:sz w:val="20"/>
                <w:szCs w:val="20"/>
                <w:color w:val="auto"/>
              </w:rPr>
            </w:pPr>
            <w:r>
              <w:rPr>
                <w:rFonts w:ascii="Arial" w:cs="Arial" w:eastAsia="Arial" w:hAnsi="Arial"/>
                <w:sz w:val="18"/>
                <w:szCs w:val="18"/>
                <w:b w:val="1"/>
                <w:bCs w:val="1"/>
                <w:color w:val="auto"/>
              </w:rPr>
              <w:t>PROPERTY, EQUIPMENT AND SOFTWARE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w w:val="97"/>
              </w:rPr>
              <w:t>A summary of property, equipment, and software as of December 31, 2017 and 2016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5,658</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5-10 years</w:t>
            </w:r>
          </w:p>
        </w:tc>
      </w:tr>
      <w:tr>
        <w:trPr>
          <w:trHeight w:val="210"/>
        </w:trPr>
        <w:tc>
          <w:tcPr>
            <w:tcW w:w="300" w:type="dxa"/>
            <w:vAlign w:val="bottom"/>
            <w:tcBorders>
              <w:top w:val="single" w:sz="8" w:color="CCEEFF"/>
            </w:tcBorders>
            <w:shd w:val="clear" w:color="auto" w:fill="CCEEFF"/>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27,313</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(21,592)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(17,429)</w:t>
            </w:r>
          </w:p>
        </w:tc>
        <w:tc>
          <w:tcPr>
            <w:tcW w:w="1180" w:type="dxa"/>
            <w:vAlign w:val="bottom"/>
          </w:tcPr>
          <w:p>
            <w:pPr>
              <w:spacing w:after="0"/>
              <w:rPr>
                <w:sz w:val="18"/>
                <w:szCs w:val="18"/>
                <w:color w:val="auto"/>
              </w:rPr>
            </w:pPr>
          </w:p>
        </w:tc>
      </w:tr>
      <w:tr>
        <w:trPr>
          <w:trHeight w:val="210"/>
        </w:trPr>
        <w:tc>
          <w:tcPr>
            <w:tcW w:w="7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Computer software represents purchased software and internally developed back office and merchant interfacing systems used to assist the reporting of merchant processing transactions and other related information.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$4.2 million, $2.8 million, and $3.6 million for the years ended December 31, 2017, 2016 and 2015, respectively.</w:t>
      </w:r>
    </w:p>
    <w:p>
      <w:pPr>
        <w:spacing w:after="0" w:line="221" w:lineRule="exact"/>
        <w:rPr>
          <w:sz w:val="20"/>
          <w:szCs w:val="20"/>
          <w:color w:val="auto"/>
        </w:rPr>
      </w:pPr>
    </w:p>
    <w:p>
      <w:pPr>
        <w:ind w:left="440" w:hanging="432"/>
        <w:spacing w:after="0"/>
        <w:tabs>
          <w:tab w:leader="none" w:pos="4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accrues for certain expenses that have been incurred, which are classified within accounts payable and accrued expenses in the accompanying consolidated balance sheets. Accounts payable and accrued expenses as of December 31, 2017 and 2016 consists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Accrued compensation</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5,101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w:t>
            </w:r>
          </w:p>
        </w:tc>
      </w:tr>
      <w:tr>
        <w:trPr>
          <w:trHeight w:val="210"/>
        </w:trPr>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9.</w:t>
            </w:r>
          </w:p>
        </w:tc>
        <w:tc>
          <w:tcPr>
            <w:tcW w:w="8320" w:type="dxa"/>
            <w:vAlign w:val="bottom"/>
          </w:tcPr>
          <w:p>
            <w:pPr>
              <w:ind w:left="300"/>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Long-term debt as of December 31, 2017 and 2016 consists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182"/>
        </w:trPr>
        <w:tc>
          <w:tcPr>
            <w:tcW w:w="8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2"/>
              </w:rPr>
              <w:t>Term Loan - Senior, matures January 3, 2023 and bears interest at LIBOR plus 6% for 2017 (Actual rate of 7.4% at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198,000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gridSpan w:val="2"/>
          </w:tcPr>
          <w:p>
            <w:pPr>
              <w:spacing w:after="0" w:line="201" w:lineRule="exact"/>
              <w:rPr>
                <w:sz w:val="20"/>
                <w:szCs w:val="20"/>
                <w:color w:val="auto"/>
              </w:rPr>
            </w:pPr>
            <w:r>
              <w:rPr>
                <w:rFonts w:ascii="Arial" w:cs="Arial" w:eastAsia="Arial" w:hAnsi="Arial"/>
                <w:sz w:val="18"/>
                <w:szCs w:val="18"/>
                <w:color w:val="auto"/>
                <w:w w:val="94"/>
              </w:rPr>
              <w:t>Term Loan - Subordinated, matures July 3, 2023 and bears interest at 5% plus payment-in-kind interest for 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(Actual rate of 11.3% at December 31, 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85,118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Note payable - Term Loan, matures May 21, 2019 and bears interest at Libor plus 3.8% for 2016 (Actual rate of</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 at December 31, 2016)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r>
      <w:tr>
        <w:trPr>
          <w:trHeight w:val="202"/>
        </w:trPr>
        <w:tc>
          <w:tcPr>
            <w:tcW w:w="8480" w:type="dxa"/>
            <w:vAlign w:val="bottom"/>
            <w:gridSpan w:val="2"/>
          </w:tcPr>
          <w:p>
            <w:pPr>
              <w:spacing w:after="0" w:line="201" w:lineRule="exact"/>
              <w:rPr>
                <w:sz w:val="20"/>
                <w:szCs w:val="20"/>
                <w:color w:val="auto"/>
              </w:rPr>
            </w:pPr>
            <w:r>
              <w:rPr>
                <w:rFonts w:ascii="Arial" w:cs="Arial" w:eastAsia="Arial" w:hAnsi="Arial"/>
                <w:sz w:val="18"/>
                <w:szCs w:val="18"/>
                <w:color w:val="auto"/>
                <w:w w:val="92"/>
              </w:rPr>
              <w:t>Note payable - MDTL, matures May 21, 2019 and bears interest at Libor plus 3.8% for 2016 (Actual rate of 4.4% at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48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33,696</w:t>
            </w: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8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discounts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(4,385)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Debt Restructuring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has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amounts outstanding under the GS Credit Agreement mature on July 3, 2023 and the Credit Agreement matures on January 3, 2023, with the exception of the revolving credit facility which expires on January 2, 2022. There were no amounts outstanding under the revolving credit facility as of December 31, 2017. The 2016 facility, which was refinanced, consisted of a $55.0 million Term Loan, a $45.0 million Multi Draw Term Loan (“MDTL”) and a $5.0 million Revolver, which was due on May 21, 2019.</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Credit Agreement bear interest at a rate equal to, at the Company’s option, either: (i) the Base rate, as defined in the Credit Agreement, plus the applicable margin or (ii) the London Interbank Offered Rate (LIBOR), plus the applicable margin. The Company is required to make quarterly principal payments of $0.5 million. In addition, the Company is obligated to make certain additional mandatory prepayments based on Excess Cash Flow, as defined in the Credit Agreement. As of December 31, 2017, the mandatory prepayment based on Excess Cash Flow was $5.6 million, which has been included in current portion of long-term debt. Interest is payable monthly or quarterly, depending on the type of borrowing.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GS Credit Agreement bear interest at 5% plus the payment-in-kind (PIK) interest rate, as defined in the GS Credit Agreement. All amounts outstanding, under the GS Credit Agreement are due and payable at maturity. Interest is payable quarterly. As of December 31, 2017, the Company was in compliance with the financial covenants. For the year ended December, 31, 2017, the PIK interest added $5.1 million to the principal amount of the subordinated debt, which totaled $85.1 million as of December 31, 2017.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and the GS Credit Agreement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 Total Net Leverage Ratio, as defined in the Credit Agreement and GS Credit Agreement. As of December 31, 2017, the Company was in compliance with the financial covenant.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that the 2017 debt restructuring should be accounted for as a debt extinguishment. The Company recorded an extinguishment loss of approximately $1.8 million, which consisted primarily of certain lender fees incurred in connection with the refinancing, write-offs of unamortized deferred financing fees and original issue discount associated with the extinguishment of the previous debt. Amounts expensed in connection with the refinancing are recorded as a component of interest and other expenses in the accompanying consolidated statement of operations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January 18, 2018, the Company amended the Credit Agreement. Refer to Note 18 -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$23.8 million, $4.1 million and $3.5 million of interest expense for the years ended December 31, 2017, 2016, and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Company’s long-term debt as of December 31, 2017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Maturities</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267,536</w:t>
            </w:r>
          </w:p>
        </w:tc>
      </w:tr>
      <w:tr>
        <w:trPr>
          <w:trHeight w:val="210"/>
        </w:trPr>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prior GS Credit Agreement, the Company issued warrants to GS to purchase 1.0% of the Company’s outstanding Class A Common shares. The warrants had a term of 7 years, an exercise price of $0 and could have been exercised at any time prior to termination date. Since the obligation was based solely on the fact that the 1.0% interest in equity of the Company was fixed and known at inception as well as the fact that GS could exercise the warrants, with a settlement in cash, any time prior to the expiration date of May 21, 2021, the warrants were required to be recorded as a liability.</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2017 debt restructuring, the 1.0% warrant was extinguished and the Company issued new warrants to GS to purchase 1.8% of the Company’s outstanding Class A common shares. The warrants have a term of 7 years, an exercise price of $0 and may be exercised at any time prior to expiration date. Since the obligation is based solely on the fact that the 1.8%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and 2016, the warrants have a fair value of $8.7 million and $4.4 million, respectively, and are presented as a warrant liability of the accompanying consolidated balance sheets. The $4.3 million, $1.2 million and $1.4 million increases in fair value of the warrants for the years ended December 31, 2017, 2016 and 2015, respectively, are included in interest and other expense in the consolidated statements of operations. The interest expense includes $0.5 million, $0.3 million, and $0.3 million of debt discount amortization in 2017,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financing costs consist of fees paid to the lenders, attorneys and third-party costs related to execution of the credit facilities. Capitalized deferred financing costs related to the Company’s credit facilities totaled $5.1 million and $1.9 million at December 31, 2017 and 2016,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$0.7 million, $0.4 million and $ 0.3 million for the years ended December 31, 2017, 2016 and 2015, respectively. Long-term debt is shown net of deferred financing costs in the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various operating leases for office space and equipment. These leases range in terms from 12 months to 16 years and have rates ranging from $36 per month to $25,840 per month and do not include any renewal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with initial or remaining terms in excess of one year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Years ending 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4"/>
              </w:rPr>
              <w:t>Operating Leases</w:t>
            </w:r>
          </w:p>
        </w:tc>
        <w:tc>
          <w:tcPr>
            <w:tcW w:w="0" w:type="dxa"/>
            <w:vAlign w:val="bottom"/>
          </w:tcPr>
          <w:p>
            <w:pPr>
              <w:spacing w:after="0"/>
              <w:rPr>
                <w:sz w:val="1"/>
                <w:szCs w:val="1"/>
                <w:color w:val="auto"/>
              </w:rPr>
            </w:pPr>
          </w:p>
        </w:tc>
      </w:tr>
      <w:tr>
        <w:trPr>
          <w:trHeight w:val="230"/>
        </w:trPr>
        <w:tc>
          <w:tcPr>
            <w:tcW w:w="2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1"/>
              </w:rPr>
              <w:t>(in thousands)</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rent expense for the years ended December 31, 2017, 2016 and 2015 was $1.5 million, $1.3 million and $1.3 million, respectively, which is included in selling, general, and administrative expenses in the accompanying consolidated statements of operations.</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Tigrent Group, Inc. et.al. (“Plaintiffs”), filed a complaint against both Cynergy Holdings, LLC et.al. (a subsidiary of the Company) and Bank of America (collectively “Defendants”). The state court complaint alleges, among other things, that the Defendants knowingly or negligently allowed non-party Process America, Inc. (“PA”) to misappropriate funds from Plaintiffs’ bank account. Plaintiffs also allege that the Defendants failed to fulfill their contractual obligations to Plaintiffs under written credit card processing agreements and Defendants willfully, fraudulently or negligently covered up such breaches. Defendants successfully obtained a partial dismissal of Plaintiffs’ claim for vicarious liability and portions of the claim for breach of contract. Remaining causes of action include breach of contract, common law fraud, and negligent misrepresentation. This matter has been settled and resulted in a loss to the Company of $2.2 million, which was recorded as other operating expenses in the accompanying consolidated statement of operations for the year ended December 31,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January 3, 2017, the Company had a management services agreement and an annual bonus payout with one of its member owners, Comvest. For the years ended December 31, 2016 and 2015, the Company incurred a total of $0.3 million and $0.4 million, respectively, for the management service fees and annual bonus payout, which are recorded in selling, general and administrative expenses in the accompanying consolidated statement of operations.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 management services agreement and an annual bonus payout with PSD Partners, which is owned by a member of Priority Investment Holdings, LLC, which, until July 25, 2018, was a member owner of Priority Holdings, LLC. For the years ended December 31, 2017, 2016 and 2015, the Company incurred a total of $0.8 million, $0.8 million and $0.8 million, respectively, for costs related to management service fees, annual bonus payout and occupancy fees, which are recorded in selling, general and administrative expenses in the accompanying consolidated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disclosed in Note 1 – The Company and Basis of Presentation, on July 25, 2018, the Company accounted for a “reverse merger” between Priority and MI Acquisitions and the resulting Recapitalization.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and Preferred Stock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comparative periods prior to July 25, 2018, equity is presented based on the historical equity of the accounting acquirer (Priority) prior to the Recapitalization, retroactively restated to reflect the number of shares received as a result of the Recapitalization. MI Acquisitions’ equity-related activities are consolidated with Priority beginning on July 25,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equity structure of the Company is as follows as of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2017</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Authorized</w:t>
            </w: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Issued</w:t>
            </w:r>
          </w:p>
        </w:tc>
        <w:tc>
          <w:tcPr>
            <w:tcW w:w="200" w:type="dxa"/>
            <w:vAlign w:val="bottom"/>
          </w:tcPr>
          <w:p>
            <w:pPr>
              <w:spacing w:after="0"/>
              <w:rPr>
                <w:sz w:val="19"/>
                <w:szCs w:val="19"/>
                <w:color w:val="auto"/>
              </w:rPr>
            </w:pPr>
          </w:p>
        </w:tc>
        <w:tc>
          <w:tcPr>
            <w:tcW w:w="17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Authorized</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par value $0.001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73,110</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195,439</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Preferred Shares</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p>
        </w:tc>
      </w:tr>
      <w:tr>
        <w:trPr>
          <w:trHeight w:val="546"/>
        </w:trPr>
        <w:tc>
          <w:tcPr>
            <w:tcW w:w="3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rPr>
              <w:t>F-53</w:t>
            </w: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7"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July 25, 2018 Business Combination and Recapitalization, the following occurred:</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exchange for the 4.6 million common units of Priority, 60.1 million common shares were issued in a private placement that resulted in Priority receiving approximately $49.4 million in cash. The 60.1 million shares excludes 0.5 million shares issued as partial consideration in two business acquisitions and includes 3.0 million shares issued in connection with a Priority equity incentive plan.</w:t>
      </w:r>
    </w:p>
    <w:p>
      <w:pPr>
        <w:ind w:left="660" w:hanging="328"/>
        <w:spacing w:after="0" w:line="250"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exchange for the publicly-traded shares of MI Acquisitions that originated from MI Acquisition’s 2016 IPO, approximately 4.9 million shares of common stock was issued through share conversion.</w:t>
      </w:r>
    </w:p>
    <w:p>
      <w:pPr>
        <w:ind w:left="660" w:hanging="328"/>
        <w:spacing w:after="0" w:line="250"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$2.1 million was paid to the MI Acquisition’s founding shareholders (the “MI Founders”) for 421,107 MI Acquisitions’ private placement units and 453,210 MI Acquisitions’ common shares held by MI Founders. Each unit consisted of one share and one warrant.</w:t>
      </w: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MI Founders forfeited 174,863 of the founders’ common shares.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The holders of the Company’s common stock have no conversion, preemptive or other subscription rights and there are no sinking fund or redemption provisions applicable to the common stock.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authorized to issue 100,000,000 shares of preferred stock with such designations, voting and other rights and preferences as may be determined from time to time by the board of directors. As of September 30, 2018, the Company has not issued any shares of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Events for Priority Holdings, LLC that Concluded Prior to July 25, 2018 (not recasted for 2018 recapitalization)</w:t>
      </w:r>
    </w:p>
    <w:p>
      <w:pPr>
        <w:spacing w:after="0" w:line="218" w:lineRule="exact"/>
        <w:rPr>
          <w:sz w:val="20"/>
          <w:szCs w:val="20"/>
          <w:color w:val="auto"/>
        </w:rPr>
      </w:pPr>
    </w:p>
    <w:p>
      <w:pPr>
        <w:ind w:right="140"/>
        <w:spacing w:after="0" w:line="281" w:lineRule="auto"/>
        <w:rPr>
          <w:sz w:val="20"/>
          <w:szCs w:val="20"/>
          <w:color w:val="auto"/>
        </w:rPr>
      </w:pPr>
      <w:r>
        <w:rPr>
          <w:rFonts w:ascii="Arial" w:cs="Arial" w:eastAsia="Arial" w:hAnsi="Arial"/>
          <w:sz w:val="19"/>
          <w:szCs w:val="19"/>
          <w:color w:val="auto"/>
        </w:rPr>
        <w:t xml:space="preserve">On May 21, 2014, Priority Payment Systems Holdings, LLC </w:t>
      </w:r>
      <w:r>
        <w:rPr>
          <w:rFonts w:ascii="Arial" w:cs="Arial" w:eastAsia="Arial" w:hAnsi="Arial"/>
          <w:sz w:val="16"/>
          <w:szCs w:val="16"/>
          <w:color w:val="auto"/>
        </w:rPr>
        <w:t>entered into a definitive agreement to merge with Pipeline Cynergy Holdings, LLC</w:t>
      </w:r>
      <w:r>
        <w:rPr>
          <w:rFonts w:ascii="Arial" w:cs="Arial" w:eastAsia="Arial" w:hAnsi="Arial"/>
          <w:sz w:val="19"/>
          <w:szCs w:val="19"/>
          <w:color w:val="auto"/>
        </w:rPr>
        <w:t xml:space="preserve"> </w:t>
      </w:r>
      <w:r>
        <w:rPr>
          <w:rFonts w:ascii="Arial" w:cs="Arial" w:eastAsia="Arial" w:hAnsi="Arial"/>
          <w:sz w:val="16"/>
          <w:szCs w:val="16"/>
          <w:color w:val="auto"/>
        </w:rPr>
        <w:t>(“PCH”) (the “Plan of Merger”). The merger resulted in the formation of Priority Holdings, LLC (“PH”). The transaction resulted in a change in control effective on the day of the closing, May 21, 2014. As a result of the merger, the membership units in PPSH and PCH ceased to exist and were converted into Class A Preferred units, Class A Common units, Class C common units and cash consideration. Equity interest in the merged entity was issued to former PPSH equity holders in the form of 2,701,342 PH Class A Preferred units, 4,990,000 PH Class A Common units and 1,500,000 PH Class C Common units.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3, 2017, the Company used the proceeds from the 2017 debt restructuring (Refer to Note 9 – Long-Term Debt) to redeem 4,681,590 Class A Common units for $200.0 million (the “Redemption”). Concurrently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2017, the Company entered into a redemption agreement with one of its minority unitholders to redeem their Class A Common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Class A common units redeemed in January and April 2017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Equity(Deficit) as capital transactions.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Distributions to Members must be approved by the board of directors. Rights to distributions are restricted by class of Unit as described in the Amended and Restated Limited Liability Company Agreement of Priority Holdings, LLC dated as of May 21, 2014. Members owning any Units will be required to return any distribution if made incorrectly. The Company paid distributions to members of $3.4 million, $10.0 million, and $3.7 million to the members during the years ended December 31, 2017, 2016, and 2015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per the Equity Distribution Agreement dated May 21, 2014, shall make the following distributions to PCH Holdings: 0.3% of the first $150.0 million of distributions in respect of the Class A Common Units held by the Priority Members and/or their respective successors and assigns (such distributions, the “reallocated distributions”); provided that each Priority Member shall bear its pro rata share of the reallocated distributions based on (x) the aggregate number of Class A Common Units held by such Priority Member divided by (y) the aggregate number Class A Common Units held by all the Priority Members. For purposes of clarity, the aggregate amount of the reallocated distributions shall not exceed $0.4 million.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 A Preferred Units were contingently redeemable upon the qualified public offering of the Company of more than $25.0 million. The preferred units had a preferred return accruing daily at the rate of 6% per annum, compounded annually, and contingent upon a change in control as defined in the operating agreement. The redemption value of the Class A Preferred Units was $2.7 million as of December 31, 2016 and all Class A Preferred Units were cancelled on January 3,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January 3, 2017, the amended and restated operating agreement calls for distributions on a liquidation basis to be paid first to Class A common unitholders up to amounts specified in the operating agreement, then to Class B (representing profits interests) holders based on amounts defined in the amended and restated operating agreement.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January 3, 2017, the operating agreement calls for distributions on a liquidation basis to be paid first to Class A common unitholders up to amounts specified in the operating agreement, then to Class B and C common unitholders based on amounts defined in the operating agreement. Upon a change of control distributions of any net proceeds received would be allocated first to Preferred Series A holders to receive distributions up to the sum of the Unreturned Capital of such Preferred Units and the Unpaid Preferred Return thereon, second to Class A Common holders up to amounts specified in the operating agreement, then to Class B (representing profits interests) and Class C common holders based on amounts defined in the operating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sponsors a defined contribution plan that Company may match participant-elective deferrals at its discretion. Contributions may vary from year to year. Discretionary employer contributions to the Plan for the years ended December 31, 2017, 2016 and 2015 were $1.0 million, $0.8 million, and $0.8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INCENTIVE INTEREST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Plan, the majority of awards vest over the requisite service period or periods during which an employee is required to provide service. The units vested at a rate of 40% or 20% at September 21, 2016 and then vest evenly over the subsequent three to five years. Simultaneously with the July 25, 2018 Business Combination and Recapitalization, the Plan was assumed by the Company with no modifications to the Plan. The Company will continue to recognize compensation expense as unvested shares are earned by the active Plan participants. Approximately 3.0 million of the private placement common shares were issued on July 25, 2018 to the Plan for vested units and unvested shares of the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 summary of the activity under the plan is presented below:</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Shares Available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980" w:type="dxa"/>
            <w:vAlign w:val="bottom"/>
          </w:tcPr>
          <w:p>
            <w:pPr>
              <w:spacing w:after="0"/>
              <w:rPr>
                <w:sz w:val="20"/>
                <w:szCs w:val="20"/>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for Grant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Shares Granted</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Shares authorized during 2016</w:t>
            </w:r>
          </w:p>
        </w:tc>
        <w:tc>
          <w:tcPr>
            <w:tcW w:w="1460" w:type="dxa"/>
            <w:vAlign w:val="bottom"/>
          </w:tcPr>
          <w:p>
            <w:pPr>
              <w:jc w:val="right"/>
              <w:spacing w:after="0"/>
              <w:rPr>
                <w:sz w:val="20"/>
                <w:szCs w:val="20"/>
                <w:color w:val="auto"/>
              </w:rPr>
            </w:pPr>
            <w:r>
              <w:rPr>
                <w:rFonts w:ascii="Arial" w:cs="Arial" w:eastAsia="Arial" w:hAnsi="Arial"/>
                <w:sz w:val="18"/>
                <w:szCs w:val="18"/>
                <w:color w:val="auto"/>
              </w:rPr>
              <w:t>7,201,742</w:t>
            </w: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granted during 2016</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(7,201,742)</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7,201,742</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7,201,742</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(3,421,571)</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Shares forfeited during 2017</w:t>
            </w:r>
          </w:p>
        </w:tc>
        <w:tc>
          <w:tcPr>
            <w:tcW w:w="1460" w:type="dxa"/>
            <w:vAlign w:val="bottom"/>
          </w:tcPr>
          <w:p>
            <w:pPr>
              <w:jc w:val="right"/>
              <w:spacing w:after="0"/>
              <w:rPr>
                <w:sz w:val="20"/>
                <w:szCs w:val="20"/>
                <w:color w:val="auto"/>
              </w:rPr>
            </w:pPr>
            <w:r>
              <w:rPr>
                <w:rFonts w:ascii="Arial" w:cs="Arial" w:eastAsia="Arial" w:hAnsi="Arial"/>
                <w:sz w:val="18"/>
                <w:szCs w:val="18"/>
                <w:color w:val="auto"/>
              </w:rPr>
              <w:t>378,017</w:t>
            </w:r>
          </w:p>
        </w:tc>
        <w:tc>
          <w:tcPr>
            <w:tcW w:w="22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(378,017)</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Grant-</w:t>
            </w:r>
          </w:p>
        </w:tc>
      </w:tr>
      <w:tr>
        <w:trPr>
          <w:trHeight w:val="234"/>
        </w:trPr>
        <w:tc>
          <w:tcPr>
            <w:tcW w:w="698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Number of 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Date Fair Value</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shares at December 31, 2015</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6980" w:type="dxa"/>
            <w:vAlign w:val="bottom"/>
          </w:tcPr>
          <w:p>
            <w:pPr>
              <w:ind w:left="340"/>
              <w:spacing w:after="0"/>
              <w:rPr>
                <w:sz w:val="20"/>
                <w:szCs w:val="20"/>
                <w:color w:val="auto"/>
              </w:rPr>
            </w:pPr>
            <w:r>
              <w:rPr>
                <w:rFonts w:ascii="Arial" w:cs="Arial" w:eastAsia="Arial" w:hAnsi="Arial"/>
                <w:sz w:val="18"/>
                <w:szCs w:val="18"/>
                <w:color w:val="auto"/>
              </w:rPr>
              <w:t>Vested during 2016</w:t>
            </w:r>
          </w:p>
        </w:tc>
        <w:tc>
          <w:tcPr>
            <w:tcW w:w="1460" w:type="dxa"/>
            <w:vAlign w:val="bottom"/>
          </w:tcPr>
          <w:p>
            <w:pPr>
              <w:jc w:val="right"/>
              <w:spacing w:after="0"/>
              <w:rPr>
                <w:sz w:val="20"/>
                <w:szCs w:val="20"/>
                <w:color w:val="auto"/>
              </w:rPr>
            </w:pPr>
            <w:r>
              <w:rPr>
                <w:rFonts w:ascii="Arial" w:cs="Arial" w:eastAsia="Arial" w:hAnsi="Arial"/>
                <w:sz w:val="18"/>
                <w:szCs w:val="18"/>
                <w:color w:val="auto"/>
              </w:rPr>
              <w:t>2,081,305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shares at December 31, 2016</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2,081,305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Pro rata adjustment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(988,831)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during 2017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982,851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Vested shares at December 31, 2017</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2,075,325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Grant-</w:t>
            </w:r>
          </w:p>
        </w:tc>
      </w:tr>
      <w:tr>
        <w:trPr>
          <w:trHeight w:val="234"/>
        </w:trPr>
        <w:tc>
          <w:tcPr>
            <w:tcW w:w="698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Number of 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Date Fair Value</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2015</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Issued during 2016</w:t>
            </w:r>
          </w:p>
        </w:tc>
        <w:tc>
          <w:tcPr>
            <w:tcW w:w="1460" w:type="dxa"/>
            <w:vAlign w:val="bottom"/>
          </w:tcPr>
          <w:p>
            <w:pPr>
              <w:jc w:val="right"/>
              <w:spacing w:after="0"/>
              <w:rPr>
                <w:sz w:val="20"/>
                <w:szCs w:val="20"/>
                <w:color w:val="auto"/>
              </w:rPr>
            </w:pPr>
            <w:r>
              <w:rPr>
                <w:rFonts w:ascii="Arial" w:cs="Arial" w:eastAsia="Arial" w:hAnsi="Arial"/>
                <w:sz w:val="18"/>
                <w:szCs w:val="18"/>
                <w:color w:val="auto"/>
              </w:rPr>
              <w:t>7,201,742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during 2016</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(2,081,305)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9"/>
                <w:szCs w:val="19"/>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Non-vested shares at December 31, 2016</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5,120,437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(2,432,740)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Vested during 2017</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(982,851)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during 2017</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(378,017)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Non-vested shares at December 31, 2017</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1,326,828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Equity-based compensation expense was $1.0 million and $2.3 million for years ended December 31, 2017 and 2016. There was no equity-based compensation expense for the year ended December 31, 2015 as the Plan was not active during the year. As of December 31, 2017 there is approximately $1.3 million of total unrecognized compensation cost related to non-vested share shares granted under the plan. Under the plan there is no stated exercise price per share.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estimate the fair value of at date of grant, the Company utilized an option-pricing method based on the distribution of proceeds as described in the Operating Agreement. The option-pricing method treats common shares and preferred shares as call options on the equity value of the subject company, with exercise prices based on the liquidation preference of the common and preferred shares. The common and preferred shares are modeled as a call option that gives its owner the right but not the obligation to exercise the instrument at a pre-determined or exercise price. In the model, the exercise price is based on a comparison with the Company’s equity value rather than, in the case of a “regular” call option, a comparison with a per-share share price. The option-pricing method has commonly used the Black-Scholes model to price these call options. Key inputs utilized in the method are shown in the table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Grant Date –</w:t>
            </w:r>
          </w:p>
        </w:tc>
      </w:tr>
      <w:tr>
        <w:trPr>
          <w:trHeight w:val="234"/>
        </w:trPr>
        <w:tc>
          <w:tcPr>
            <w:tcW w:w="49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September 2016</w:t>
            </w:r>
          </w:p>
        </w:tc>
        <w:tc>
          <w:tcPr>
            <w:tcW w:w="200" w:type="dxa"/>
            <w:vAlign w:val="bottom"/>
            <w:tcBorders>
              <w:bottom w:val="single" w:sz="8" w:color="CCEEFF"/>
            </w:tcBorders>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Dividend yield</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Risk-free interest rate — The risk-free rate for shares granted during the period was determined by using a zero-coupon U.S. Treasury rate for the periods that coincided with the expected terms listed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 — No routine dividends are currently being paid, or are expected to be paid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 — The expected volatility is based on the historical volatilities of a group of guideline public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term—estimated time to a liquidity event.</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methodology used for the warrant and contingent consideration which are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warrant issued by the Company to GS in connection with the credit facility is recorded at fair value on a recurring basis. A current market valuation model is used to estimate the fair value of the Company as the warrant allows GS, as of December 31, 2016, to obtain Class A Common shares representing a 1% interest. In January 2017, these warrants were cancelled and replaced by the issuance of warrants to purchase Class A Common shares representing 1.8% of the outstanding Class A Common shares of the Company. Refer to Note 9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Shares Earnout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shares. As such, the Company classifies the contingent consideration subjected to recurring fair value measurement as Level 3.</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the recorded amount of the warrants and contingent consideration classified as liabilities measured at fair value on a recurring basis as of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8,701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8,701</w:t>
            </w: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3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20" w:type="dxa"/>
            <w:vAlign w:val="bottom"/>
            <w:tcBorders>
              <w:bottom w:val="single" w:sz="8" w:color="CCEEFF"/>
            </w:tcBorders>
          </w:tcPr>
          <w:p>
            <w:pPr>
              <w:spacing w:after="0"/>
              <w:rPr>
                <w:sz w:val="22"/>
                <w:szCs w:val="22"/>
                <w:color w:val="auto"/>
              </w:rPr>
            </w:pPr>
          </w:p>
        </w:tc>
      </w:tr>
      <w:tr>
        <w:trPr>
          <w:trHeight w:val="197"/>
        </w:trPr>
        <w:tc>
          <w:tcPr>
            <w:tcW w:w="3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5797550" cy="4629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97550"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19"/>
                <w:szCs w:val="19"/>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4,353</w:t>
            </w:r>
          </w:p>
        </w:tc>
        <w:tc>
          <w:tcPr>
            <w:tcW w:w="2280" w:type="dxa"/>
            <w:vAlign w:val="bottom"/>
          </w:tcPr>
          <w:p>
            <w:pPr>
              <w:spacing w:after="0"/>
              <w:rPr>
                <w:sz w:val="18"/>
                <w:szCs w:val="18"/>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4,222</w:t>
            </w:r>
          </w:p>
        </w:tc>
        <w:tc>
          <w:tcPr>
            <w:tcW w:w="228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4"/>
              </w:rPr>
              <w:t>8,575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541"/>
        </w:trPr>
        <w:tc>
          <w:tcPr>
            <w:tcW w:w="3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rPr>
              <w:t>F-58</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7"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2017,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Warrant Liability</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Consideration</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Additional contingent consideration</w:t>
            </w:r>
          </w:p>
        </w:tc>
        <w:tc>
          <w:tcPr>
            <w:tcW w:w="1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10"/>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20" w:type="dxa"/>
            <w:vAlign w:val="bottom"/>
            <w:tcBorders>
              <w:bottom w:val="single" w:sz="8" w:color="CCEEFF"/>
            </w:tcBorders>
          </w:tcPr>
          <w:p>
            <w:pPr>
              <w:spacing w:after="0"/>
              <w:rPr>
                <w:sz w:val="18"/>
                <w:szCs w:val="18"/>
                <w:color w:val="auto"/>
              </w:rPr>
            </w:pPr>
          </w:p>
        </w:tc>
      </w:tr>
      <w:tr>
        <w:trPr>
          <w:trHeight w:val="21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CEEFF"/>
          </w:tcPr>
          <w:p>
            <w:pPr>
              <w:spacing w:after="0"/>
              <w:rPr>
                <w:sz w:val="18"/>
                <w:szCs w:val="18"/>
                <w:color w:val="auto"/>
              </w:rPr>
            </w:pPr>
          </w:p>
        </w:tc>
      </w:tr>
      <w:tr>
        <w:trPr>
          <w:trHeight w:val="210"/>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tcPr>
          <w:p>
            <w:pPr>
              <w:spacing w:after="0"/>
              <w:rPr>
                <w:sz w:val="18"/>
                <w:szCs w:val="18"/>
                <w:color w:val="auto"/>
              </w:rPr>
            </w:pPr>
          </w:p>
        </w:tc>
      </w:tr>
      <w:tr>
        <w:trPr>
          <w:trHeight w:val="21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Extinguishment of GS 1.0% warrant liability (Note 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GS 1.8% warrant liability (Note 9)</w:t>
            </w:r>
          </w:p>
        </w:tc>
        <w:tc>
          <w:tcPr>
            <w:tcW w:w="1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4,503</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and adjustment of contingent consideration (Note 12)</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(4,222)</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4,198</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years ended December 31, 2017,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 To manage the business, the Company’s Chairman and Chief Executive Officer (“CEO”) both collectively serve as the chief operating decision makers (“CODM”). To manage the business, the CODM evaluates the performance and allocate resources based on the operating income of each segment. The operating income of the Consumer Payments segment includes the revenues of the segment less expenses that are directly related to those revenues as well as operating overhead, shared costs and certain compensation costs. The Commercial Payments and Managed Services segment includes the revenues of the segment less only the expenses that are directly related to those revenues. Interest and other income, interest and other expense and equity in income or loss of unconsolidated affiliates are not allocated to the individual segments. The Company does not evaluate the performance of or allocate resources to operating segments using asset data. The accounting policies of the reportable operating segments are the same as those described in the Summary of Significant Accounting Policies in Note 1 – The Company and Basis of Presentation. Below is a summary of each segment:</w:t>
      </w:r>
    </w:p>
    <w:p>
      <w:pPr>
        <w:spacing w:after="0" w:line="173" w:lineRule="exact"/>
        <w:rPr>
          <w:sz w:val="20"/>
          <w:szCs w:val="20"/>
          <w:color w:val="auto"/>
        </w:rPr>
      </w:pPr>
    </w:p>
    <w:p>
      <w:pPr>
        <w:jc w:val="both"/>
        <w:ind w:left="660" w:hanging="328"/>
        <w:spacing w:after="0" w:line="25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all consumer related services and offerings both merchant acquiring and transaction processing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MX enterprise suite. Either through acquisition of merchant portfolios or through resellers, the Company becomes a party or enters into contracts with a merchant and a sponsoring bank. Pursuant to the contracts, for each card transaction, the sponsoring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Payments and Managed Services – </w:t>
      </w:r>
      <w:r>
        <w:rPr>
          <w:rFonts w:ascii="Arial" w:cs="Arial" w:eastAsia="Arial" w:hAnsi="Arial"/>
          <w:sz w:val="17"/>
          <w:szCs w:val="17"/>
          <w:color w:val="auto"/>
        </w:rPr>
        <w:t>represents services provided to certain enterprise customers. Commercial Payments and Managed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is primarily derived from providing an outsourced sales force to those customers. Commercial Payments and Managed Services also includes accounts payable automation and other various services provided to commercial customers.</w:t>
      </w: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jc w:val="right"/>
              <w:ind w:right="85"/>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7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400,320</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322,666</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270,610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21,448</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Consolidated Revenues</w:t>
            </w:r>
          </w:p>
        </w:tc>
        <w:tc>
          <w:tcPr>
            <w:tcW w:w="4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344,114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286,244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7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33,363</w:t>
            </w:r>
          </w:p>
        </w:tc>
        <w:tc>
          <w:tcPr>
            <w:tcW w:w="3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23,188</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2,652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operating income</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7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14,324</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14,396</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15,309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500"/>
              <w:spacing w:after="0"/>
              <w:rPr>
                <w:sz w:val="20"/>
                <w:szCs w:val="20"/>
                <w:color w:val="auto"/>
              </w:rPr>
            </w:pPr>
            <w:r>
              <w:rPr>
                <w:rFonts w:ascii="Arial" w:cs="Arial" w:eastAsia="Arial" w:hAnsi="Arial"/>
                <w:sz w:val="18"/>
                <w:szCs w:val="18"/>
                <w:color w:val="auto"/>
              </w:rPr>
              <w:t>Consolidated depreciation and amortization</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8"/>
              </w:rPr>
              <w:t>A reconciliation of total operating income to the Company’s net income is as follows:</w:t>
            </w: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ind w:right="85"/>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income</w:t>
            </w:r>
          </w:p>
        </w:tc>
        <w:tc>
          <w:tcPr>
            <w:tcW w:w="7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35,249</w:t>
            </w:r>
          </w:p>
        </w:tc>
        <w:tc>
          <w:tcPr>
            <w:tcW w:w="3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25,840</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Less: Interest expense, net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(30,522)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Equity in loss of unconsolidated entities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4"/>
          </w:tcPr>
          <w:p>
            <w:pPr>
              <w:spacing w:after="0"/>
              <w:rPr>
                <w:sz w:val="20"/>
                <w:szCs w:val="20"/>
                <w:color w:val="auto"/>
              </w:rPr>
            </w:pPr>
            <w:r>
              <w:rPr>
                <w:rFonts w:ascii="Arial" w:cs="Arial" w:eastAsia="Arial" w:hAnsi="Arial"/>
                <w:sz w:val="18"/>
                <w:szCs w:val="18"/>
                <w:color w:val="auto"/>
                <w:w w:val="90"/>
              </w:rPr>
              <w:t>The table below presents total assets for each reportable segment as of December 31, 2017 and 2016:</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216,345</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213,351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50,362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500"/>
              <w:spacing w:after="0"/>
              <w:rPr>
                <w:sz w:val="20"/>
                <w:szCs w:val="20"/>
                <w:color w:val="auto"/>
              </w:rPr>
            </w:pPr>
            <w:r>
              <w:rPr>
                <w:rFonts w:ascii="Arial" w:cs="Arial" w:eastAsia="Arial" w:hAnsi="Arial"/>
                <w:sz w:val="18"/>
                <w:szCs w:val="18"/>
                <w:color w:val="auto"/>
              </w:rPr>
              <w:t>Consolidated assets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results of operations and financial condition are not significantly reliant upon any single customer for the years ended December 31, 2017, 2016 and 2015. Substantially all revenues are generated in the United States.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Priority Technology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Numerator:</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4,594</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20,186</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Less: Income allocated to participating securities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20,085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9,211</w:t>
            </w:r>
          </w:p>
        </w:tc>
        <w:tc>
          <w:tcPr>
            <w:tcW w:w="80" w:type="dxa"/>
            <w:vAlign w:val="bottom"/>
            <w:shd w:val="clear" w:color="auto" w:fill="CCEEFF"/>
          </w:tcPr>
          <w:p>
            <w:pPr>
              <w:spacing w:after="0"/>
              <w:rPr>
                <w:sz w:val="19"/>
                <w:szCs w:val="19"/>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Denominator:</w:t>
            </w: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67,143,825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131,706,205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131,706,205</w:t>
            </w:r>
          </w:p>
        </w:tc>
        <w:tc>
          <w:tcPr>
            <w:tcW w:w="8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5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and 2016, there were 3,402,154 and 7,201,742 common shares as well as warrants to issue 1.8% and 1% of the outstanding Class A Common shares of the Company that are anti-dilutive. There were no dilutive common share equivalents for the years ended December 31, 2017, 2016 and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events have been evaluated from the balance sheet date through April 18, 2018, the date on which the condensed consolidated financial statements were available to be issued.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11, 2018, the Company increased its senior debt by $67.5 million and amended the GS warrant to increase from 1.8% to 2.2% of Class A Common shares. The proceeds of the loan were used for the redemptions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January 17, 2018, the Company redeemed 1,524,512 Class A Common shares for $5.0 million and 3,896,317 Class A Common shares for $26.0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January 19, 2018, the Company redeemed 5,866,326 Class A Common shares for $39.0 million. On February 23, 2018, the Company redeemed 1,277,537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shares for $4.2 million. These redemptions resulted in Priority being 100% owned and held by one shareholder.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26, 2018, as amended, the shareholders of the Company entered into a contribution agreement with MI Acquisitions, a special purpose acquisition corporation, pursuant to which MI agreed to acquire all of the outstanding equity interests of the Company.</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balance sheets of M I Acquisitions, Inc. (the “Company”) as of December 31, 2017 and 2016, the related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the Company has a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5200" w:type="dxa"/>
            <w:vAlign w:val="bottom"/>
            <w:gridSpan w:val="4"/>
            <w:shd w:val="clear" w:color="auto" w:fill="CCEEFF"/>
          </w:tcPr>
          <w:p>
            <w:pPr>
              <w:ind w:left="1080"/>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6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55,081,899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54,731,828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349,292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11,616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1,062,022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1,450,430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1,212,149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89"/>
              </w:rPr>
              <w:t>Common stock subject to possible conversion (4,705,821 and 4,748,033 shares at conversion value</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40" w:type="dxa"/>
            <w:vAlign w:val="bottom"/>
            <w:gridSpan w:val="5"/>
          </w:tcPr>
          <w:p>
            <w:pPr>
              <w:ind w:left="120"/>
              <w:spacing w:after="0"/>
              <w:rPr>
                <w:sz w:val="20"/>
                <w:szCs w:val="20"/>
                <w:color w:val="auto"/>
              </w:rPr>
            </w:pPr>
            <w:r>
              <w:rPr>
                <w:rFonts w:ascii="Arial" w:cs="Arial" w:eastAsia="Arial" w:hAnsi="Arial"/>
                <w:sz w:val="18"/>
                <w:szCs w:val="18"/>
                <w:b w:val="1"/>
                <w:bCs w:val="1"/>
                <w:color w:val="auto"/>
              </w:rPr>
              <w:t>as of December 31, 2017 and 2016, respectively)</w:t>
            </w:r>
          </w:p>
        </w:tc>
        <w:tc>
          <w:tcPr>
            <w:tcW w:w="120" w:type="dxa"/>
            <w:vAlign w:val="bottom"/>
          </w:tcPr>
          <w:p>
            <w:pPr>
              <w:spacing w:after="0"/>
              <w:rPr>
                <w:sz w:val="21"/>
                <w:szCs w:val="21"/>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48,813,595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5"/>
              </w:rPr>
              <w:t>Common stock, $0.001 par value; 30,000,000 shares authorized; 2,352,922 and 2,310,710 shares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color w:val="auto"/>
                <w:w w:val="92"/>
              </w:rPr>
              <w:t>issued and outstanding (excluding 4,705,821 and 4,748,033 shares subject to possible conversion)</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color w:val="auto"/>
              </w:rPr>
              <w:t>at December 31, 2017 and 2016, respectively</w:t>
            </w:r>
          </w:p>
        </w:tc>
        <w:tc>
          <w:tcPr>
            <w:tcW w:w="12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5,240,728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(243,075)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(118,221)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55,264,031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55,150,604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EXPENSES</w:t>
            </w:r>
          </w:p>
        </w:tc>
        <w:tc>
          <w:tcPr>
            <w:tcW w:w="676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35,667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831,721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951,721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173,196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w w:val="94"/>
              </w:rPr>
              <w:t>Interest income</w:t>
            </w:r>
          </w:p>
        </w:tc>
        <w:tc>
          <w:tcPr>
            <w:tcW w:w="630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399,166</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Settlement income</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spacing w:after="0" w:line="136" w:lineRule="exact"/>
              <w:rPr>
                <w:sz w:val="20"/>
                <w:szCs w:val="20"/>
                <w:color w:val="auto"/>
              </w:rPr>
            </w:pPr>
            <w:r>
              <w:rPr>
                <w:rFonts w:ascii="Arial" w:cs="Arial" w:eastAsia="Arial" w:hAnsi="Arial"/>
                <w:sz w:val="15"/>
                <w:szCs w:val="15"/>
                <w:color w:val="auto"/>
              </w:rPr>
              <w:t>TOTAL OTHER INCOME</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826,867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65,201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jc w:val="center"/>
              <w:ind w:left="1650"/>
              <w:spacing w:after="0"/>
              <w:rPr>
                <w:sz w:val="20"/>
                <w:szCs w:val="20"/>
                <w:color w:val="auto"/>
              </w:rPr>
            </w:pPr>
            <w:r>
              <w:rPr>
                <w:rFonts w:ascii="Arial" w:cs="Arial" w:eastAsia="Arial" w:hAnsi="Arial"/>
                <w:sz w:val="18"/>
                <w:szCs w:val="18"/>
                <w:color w:val="auto"/>
                <w:w w:val="91"/>
              </w:rPr>
              <w:t>F-64</w:t>
            </w: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7"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Sale of 5,000,000 units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Underwriters discount and offering expenses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(3,280,484)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Sale of 421,107 private units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4,210,649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 of underwriters’ overallotment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and cancellation of 109,973 Founders’</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(109,973)</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(4,748,033)</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(4,748)</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(48,933,701)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2,310,710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5,115,916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(118,221)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42,212</w:t>
            </w: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124,812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5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(124,854)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2,352,922</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2,353</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5,240,728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(243,075)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jc w:val="center"/>
              <w:ind w:left="3650"/>
              <w:spacing w:after="0"/>
              <w:rPr>
                <w:sz w:val="20"/>
                <w:szCs w:val="20"/>
                <w:color w:val="auto"/>
              </w:rPr>
            </w:pPr>
            <w:r>
              <w:rPr>
                <w:rFonts w:ascii="Arial" w:cs="Arial" w:eastAsia="Arial" w:hAnsi="Arial"/>
                <w:sz w:val="18"/>
                <w:szCs w:val="18"/>
                <w:b w:val="1"/>
                <w:bCs w:val="1"/>
                <w:color w:val="auto"/>
                <w:w w:val="92"/>
              </w:rPr>
              <w:t>M I Acquisitions, Inc.</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40" w:type="dxa"/>
            <w:vAlign w:val="bottom"/>
          </w:tcPr>
          <w:p>
            <w:pPr>
              <w:jc w:val="center"/>
              <w:ind w:left="3650"/>
              <w:spacing w:after="0"/>
              <w:rPr>
                <w:sz w:val="20"/>
                <w:szCs w:val="20"/>
                <w:color w:val="auto"/>
              </w:rPr>
            </w:pPr>
            <w:r>
              <w:rPr>
                <w:rFonts w:ascii="Arial" w:cs="Arial" w:eastAsia="Arial" w:hAnsi="Arial"/>
                <w:sz w:val="18"/>
                <w:szCs w:val="18"/>
                <w:b w:val="1"/>
                <w:bCs w:val="1"/>
                <w:color w:val="auto"/>
                <w:w w:val="88"/>
              </w:rPr>
              <w:t>Statement of Cash Flows</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40" w:type="dxa"/>
            <w:vAlign w:val="bottom"/>
          </w:tcPr>
          <w:p>
            <w:pPr>
              <w:jc w:val="center"/>
              <w:ind w:left="3670"/>
              <w:spacing w:after="0"/>
              <w:rPr>
                <w:sz w:val="20"/>
                <w:szCs w:val="20"/>
                <w:color w:val="auto"/>
              </w:rPr>
            </w:pPr>
            <w:r>
              <w:rPr>
                <w:rFonts w:ascii="Arial" w:cs="Arial" w:eastAsia="Arial" w:hAnsi="Arial"/>
                <w:sz w:val="18"/>
                <w:szCs w:val="18"/>
                <w:b w:val="1"/>
                <w:bCs w:val="1"/>
                <w:color w:val="auto"/>
                <w:w w:val="89"/>
              </w:rPr>
              <w:t>For the years ended December 31, 2017 and 2016</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(124,854)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(399,166)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Formation and organization costs paid by related parties</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46,305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Accrued offering costs payable</w:t>
            </w:r>
          </w:p>
        </w:tc>
        <w:tc>
          <w:tcPr>
            <w:tcW w:w="1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deposited into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(22,607)</w:t>
      </w:r>
      <w:r>
        <w:rPr>
          <w:sz w:val="20"/>
          <w:szCs w:val="20"/>
          <w:color w:val="auto"/>
        </w:rPr>
        <w:tab/>
      </w:r>
      <w:r>
        <w:rPr>
          <w:rFonts w:ascii="Arial" w:cs="Arial" w:eastAsia="Arial" w:hAnsi="Arial"/>
          <w:sz w:val="16"/>
          <w:szCs w:val="16"/>
          <w:color w:val="auto"/>
        </w:rPr>
        <w:t>(54,694,127)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71,702</w:t>
      </w:r>
    </w:p>
    <w:p>
      <w:pPr>
        <w:spacing w:after="0" w:line="23"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color w:val="auto"/>
        </w:rPr>
        <w:t>49,095</w:t>
      </w:r>
      <w:r>
        <w:rPr>
          <w:sz w:val="20"/>
          <w:szCs w:val="20"/>
          <w:color w:val="auto"/>
        </w:rPr>
        <w:tab/>
      </w:r>
      <w:r>
        <w:rPr>
          <w:rFonts w:ascii="Arial" w:cs="Arial" w:eastAsia="Arial" w:hAnsi="Arial"/>
          <w:sz w:val="16"/>
          <w:szCs w:val="16"/>
          <w:color w:val="auto"/>
        </w:rPr>
        <w:t>(54,694,127)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-116205</wp:posOffset>
            </wp:positionV>
            <wp:extent cx="23152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8120" w:space="720"/>
            <w:col w:w="258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51,202,624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Proceeds from insider units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4,211,070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notes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Proceeds from related party advances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advances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Payments of offering costs</w:t>
            </w:r>
          </w:p>
        </w:tc>
        <w:tc>
          <w:tcPr>
            <w:tcW w:w="6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(80,040)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362,535</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172,196</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362,535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3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Reclassification of deferred offering costs to equity</w:t>
            </w:r>
          </w:p>
        </w:tc>
        <w:tc>
          <w:tcPr>
            <w:tcW w:w="600" w:type="dxa"/>
            <w:vAlign w:val="bottom"/>
            <w:tcBorders>
              <w:top w:val="single" w:sz="8" w:color="auto"/>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160"/>
              <w:spacing w:after="0"/>
              <w:rPr>
                <w:sz w:val="20"/>
                <w:szCs w:val="20"/>
                <w:color w:val="auto"/>
              </w:rPr>
            </w:pPr>
            <w:r>
              <w:rPr>
                <w:rFonts w:ascii="Arial" w:cs="Arial" w:eastAsia="Arial" w:hAnsi="Arial"/>
                <w:sz w:val="18"/>
                <w:szCs w:val="18"/>
                <w:color w:val="auto"/>
              </w:rPr>
              <w:t>Accrual of offering costs</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gridSpan w:val="2"/>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45,999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Change in common stock subject to possible conversion</w:t>
            </w: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124,854</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48,938,449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Underwriting commission</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gridSpan w:val="2"/>
            <w:vMerge w:val="continue"/>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1,062,022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the Company had not yet commenced any operations. For the year ended December 31, 2017, the Company’s activity has been limited to the evaluation of business combination candidates,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April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December 31, 2017, marketable securities held in the Trust Account consisted of $55,081,899 in United States Treasury Bills with an original maturity of six months or less. During the year ended December 31, 2017, the Company withdrew interest income totaling $71,702 to be utilized for payment of tax obligations. Of this amount, $22,607 was returned to the Company for overpayment of its tax obligations and deposited into the Trust Account.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complies with accounting and disclosure requirements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4,707,821 and 4,748,033 shares of common stock subject to possible redemption at December 31, 2017 and 2016, respectively, have been excluded from the calculation of basic loss per ordinary share since such shares, if redeemed, only participate in their pro rata share of the trust earnings. At December 31, 2017 and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redemption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(309,425)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(434,279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2,330,884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December 31, 2017. Management is currently unaware of any issues under review that could result in significant payments, accruals or material deviations from its position.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will be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years ended December 31, 2017 and 2016, the Company incurred administrative fees of $120,000 and $35,667,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are no preferred shares issued or outstanding.</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there were 2,352,922 and 2,310,710 common shares issued and outstanding, which excludes 4,705,821 and 4,748,033 shares subject to possible conversion, respectively.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8 — Income Tax</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Company’s deferred tax assets are as follows at December 31, 2017 and 2016:</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51,046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The income tax provision (benefit) consists of the following at December 31, 2017 and 2016:</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(36,718)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(3,296)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net operating loss (“NOL”) of approximately $243,100. These NOLs, if not utilized, expire beginning in 2035. The ultimate realization of the net operating loss is dependent upon future taxable income, if any, of the Company and may be limited in any one period by applicable tax rules. Although management believes that the Company will have sufficient future taxable income to absorb the net loss carryovers before the expiration of the carryover period, there may be circumstances beyond the Company’s control that limit such utilization. Accordingly, management has determined that full valuation allowances of the deferred tax asset are appropriate as of December 31, 2017.</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deferred tax asset reflected in the tables above resulted from applying an effective combined federal and state tax rate of 23.6% to the net operating losses from fiscal 2015. Effective tax rates differ from statutory rates.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statutory tax rate to the Company’s effective tax rates as of December 31, 2017 and 2016 is as follows: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1840" w:type="dxa"/>
            <w:vAlign w:val="bottom"/>
            <w:gridSpan w:val="3"/>
          </w:tcPr>
          <w:p>
            <w:pPr>
              <w:jc w:val="right"/>
              <w:ind w:right="485"/>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2017</w:t>
            </w:r>
          </w:p>
        </w:tc>
        <w:tc>
          <w:tcPr>
            <w:tcW w:w="280" w:type="dxa"/>
            <w:vAlign w:val="bottom"/>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2016</w:t>
            </w:r>
          </w:p>
        </w:tc>
        <w:tc>
          <w:tcPr>
            <w:tcW w:w="140" w:type="dxa"/>
            <w:vAlign w:val="bottom"/>
            <w:gridSpan w:val="2"/>
          </w:tcPr>
          <w:p>
            <w:pPr>
              <w:spacing w:after="0"/>
              <w:rPr>
                <w:sz w:val="20"/>
                <w:szCs w:val="20"/>
                <w:color w:val="auto"/>
              </w:rPr>
            </w:pPr>
          </w:p>
        </w:tc>
      </w:tr>
      <w:tr>
        <w:trPr>
          <w:trHeight w:val="195"/>
        </w:trPr>
        <w:tc>
          <w:tcPr>
            <w:tcW w:w="198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-21.0%</w:t>
            </w:r>
          </w:p>
        </w:tc>
        <w:tc>
          <w:tcPr>
            <w:tcW w:w="1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-34.0%</w:t>
            </w:r>
          </w:p>
        </w:tc>
      </w:tr>
      <w:tr>
        <w:trPr>
          <w:trHeight w:val="216"/>
        </w:trPr>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44"/>
        </w:trPr>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23.6%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-608330</wp:posOffset>
            </wp:positionV>
            <wp:extent cx="724662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-325120</wp:posOffset>
            </wp:positionV>
            <wp:extent cx="7246620"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860" w:space="720"/>
            <w:col w:w="3840"/>
          </w:cols>
          <w:pgMar w:left="240" w:top="796" w:right="2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the Company entered into a Contribution Agreement dated February 26, 2018 with Priority Investment Holdings, LLC and Priority Incentive Equity Holdings, LLC to acquire all of the outstanding equity interests of Priority Holdings, LLC, a leading provider of B2C and B2B payment processing solutions. On March 26, 2018, the Company entered into an Amended and Restated Contribution Agreement with the Interest Holders (as amended and restated, the “Purchase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Warrant Agreement</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 by and between Priority Technology Holdings, Inc., a Delaware corporation (fka M I Acquisitions,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American Stock Transfer &amp; Trust Company, LLC (the “</w:t>
      </w:r>
      <w:r>
        <w:rPr>
          <w:rFonts w:ascii="Arial" w:cs="Arial" w:eastAsia="Arial" w:hAnsi="Arial"/>
          <w:sz w:val="16"/>
          <w:szCs w:val="16"/>
          <w:u w:val="single" w:color="auto"/>
          <w:color w:val="auto"/>
        </w:rPr>
        <w:t>Warrant Agent</w:t>
      </w:r>
      <w:r>
        <w:rPr>
          <w:rFonts w:ascii="Arial" w:cs="Arial" w:eastAsia="Arial" w:hAnsi="Arial"/>
          <w:sz w:val="16"/>
          <w:szCs w:val="16"/>
          <w:color w:val="auto"/>
        </w:rPr>
        <w:t>”), and constitutes an amendment to that certain Amended and Restated Warrant Agreement, dated as of September 13, 2016 (the “</w:t>
      </w:r>
      <w:r>
        <w:rPr>
          <w:rFonts w:ascii="Arial" w:cs="Arial" w:eastAsia="Arial" w:hAnsi="Arial"/>
          <w:sz w:val="16"/>
          <w:szCs w:val="16"/>
          <w:u w:val="single" w:color="auto"/>
          <w:color w:val="auto"/>
        </w:rPr>
        <w:t>Existing Warrant Agreement</w:t>
      </w:r>
      <w:r>
        <w:rPr>
          <w:rFonts w:ascii="Arial" w:cs="Arial" w:eastAsia="Arial" w:hAnsi="Arial"/>
          <w:sz w:val="16"/>
          <w:szCs w:val="16"/>
          <w:color w:val="auto"/>
        </w:rPr>
        <w:t>”), between the Company and the Warrant Agent. Capitalized terms used but not otherwise defined in this Amendment shall have the meanings given to such terms in the Existing Warrant Agreement.</w:t>
      </w:r>
    </w:p>
    <w:p>
      <w:pPr>
        <w:spacing w:after="0" w:line="14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WHEREAS, Section 9.8 of the Existing Warrant Agreement provides that the Company and the Warrant Agent may amend, subject to certain conditions provided therein, the Existing Warrant Agreement with written consent of the registered holders of a majority of the then outstanding Warrants;</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WHEREAS, the Company desires to amend the Existing Warrant Agreement to provide the Company with the right to require the holders of the Warrants to exchange all of the outstanding Warrants for shares of Common Stock of the Company, on the terms and subject to the conditions set forth herein; and</w:t>
      </w:r>
    </w:p>
    <w:p>
      <w:pPr>
        <w:spacing w:after="0" w:line="12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WHEREAS, in the exchange offer and consent solicitation undertaken by the Company pursuant to the Registration Statement on Form S-4 filed with the Securities and Exchange Commission, the registered holders of more than a majority of the then outstanding Warrants consented to and approved this Amendment.</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81" w:lineRule="exact"/>
        <w:rPr>
          <w:sz w:val="20"/>
          <w:szCs w:val="20"/>
          <w:color w:val="auto"/>
        </w:rPr>
      </w:pPr>
    </w:p>
    <w:p>
      <w:pPr>
        <w:ind w:right="1300" w:firstLine="8"/>
        <w:spacing w:after="0" w:line="501"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 of Existing Warrant Agreement</w:t>
      </w:r>
      <w:r>
        <w:rPr>
          <w:rFonts w:ascii="Arial" w:cs="Arial" w:eastAsia="Arial" w:hAnsi="Arial"/>
          <w:sz w:val="18"/>
          <w:szCs w:val="18"/>
          <w:color w:val="auto"/>
        </w:rPr>
        <w:t xml:space="preserve">. The Existing Warrant Agreement is hereby amended by adding the new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thereto: “6A </w:t>
      </w:r>
      <w:r>
        <w:rPr>
          <w:rFonts w:ascii="Arial" w:cs="Arial" w:eastAsia="Arial" w:hAnsi="Arial"/>
          <w:sz w:val="18"/>
          <w:szCs w:val="18"/>
          <w:u w:val="single" w:color="auto"/>
          <w:color w:val="auto"/>
        </w:rPr>
        <w:t>Mandatory Exchange</w:t>
      </w:r>
      <w:r>
        <w:rPr>
          <w:rFonts w:ascii="Arial" w:cs="Arial" w:eastAsia="Arial" w:hAnsi="Arial"/>
          <w:sz w:val="18"/>
          <w:szCs w:val="18"/>
          <w:color w:val="auto"/>
        </w:rPr>
        <w:t>.</w:t>
      </w:r>
    </w:p>
    <w:p>
      <w:pPr>
        <w:ind w:left="340"/>
        <w:spacing w:after="0" w:line="296" w:lineRule="auto"/>
        <w:rPr>
          <w:sz w:val="20"/>
          <w:szCs w:val="20"/>
          <w:color w:val="auto"/>
        </w:rPr>
      </w:pPr>
      <w:r>
        <w:rPr>
          <w:rFonts w:ascii="Arial" w:cs="Arial" w:eastAsia="Arial" w:hAnsi="Arial"/>
          <w:sz w:val="16"/>
          <w:szCs w:val="16"/>
          <w:color w:val="auto"/>
        </w:rPr>
        <w:t xml:space="preserve">6A.1 </w:t>
      </w:r>
      <w:r>
        <w:rPr>
          <w:rFonts w:ascii="Arial" w:cs="Arial" w:eastAsia="Arial" w:hAnsi="Arial"/>
          <w:sz w:val="16"/>
          <w:szCs w:val="16"/>
          <w:u w:val="single" w:color="auto"/>
          <w:color w:val="auto"/>
        </w:rPr>
        <w:t>Company Election to Exchange</w:t>
      </w:r>
      <w:r>
        <w:rPr>
          <w:rFonts w:ascii="Arial" w:cs="Arial" w:eastAsia="Arial" w:hAnsi="Arial"/>
          <w:sz w:val="16"/>
          <w:szCs w:val="16"/>
          <w:color w:val="auto"/>
        </w:rPr>
        <w:t xml:space="preserve">.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outstanding Warrants, as described in </w:t>
      </w:r>
      <w:r>
        <w:rPr>
          <w:rFonts w:ascii="Arial" w:cs="Arial" w:eastAsia="Arial" w:hAnsi="Arial"/>
          <w:sz w:val="16"/>
          <w:szCs w:val="16"/>
          <w:u w:val="single" w:color="auto"/>
          <w:color w:val="auto"/>
        </w:rPr>
        <w:t>Section 6A.2</w:t>
      </w:r>
      <w:r>
        <w:rPr>
          <w:rFonts w:ascii="Arial" w:cs="Arial" w:eastAsia="Arial" w:hAnsi="Arial"/>
          <w:sz w:val="16"/>
          <w:szCs w:val="16"/>
          <w:color w:val="auto"/>
        </w:rPr>
        <w:t xml:space="preserve"> below, for shares of Common Stock, at the exchange rate of 0.1728 shares for each Warrant held by the holder thereof (the “</w:t>
      </w:r>
      <w:r>
        <w:rPr>
          <w:rFonts w:ascii="Arial" w:cs="Arial" w:eastAsia="Arial" w:hAnsi="Arial"/>
          <w:sz w:val="16"/>
          <w:szCs w:val="16"/>
          <w:u w:val="single" w:color="auto"/>
          <w:color w:val="auto"/>
        </w:rPr>
        <w:t>Consideration</w:t>
      </w:r>
      <w:r>
        <w:rPr>
          <w:rFonts w:ascii="Arial" w:cs="Arial" w:eastAsia="Arial" w:hAnsi="Arial"/>
          <w:sz w:val="16"/>
          <w:szCs w:val="16"/>
          <w:color w:val="auto"/>
        </w:rPr>
        <w:t>”) (subject to equitable adjustment by the Company in the event of any stock splits, stock dividends, recapitalizations or similar transaction with respect to the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w:t>
      </w:r>
      <w:r>
        <w:rPr>
          <w:rFonts w:ascii="Arial" w:cs="Arial" w:eastAsia="Arial" w:hAnsi="Arial"/>
          <w:sz w:val="26"/>
          <w:szCs w:val="26"/>
          <w:color w:val="auto"/>
          <w:vertAlign w:val="superscript"/>
        </w:rPr>
        <w:t>1</w:t>
      </w:r>
    </w:p>
    <w:p>
      <w:pPr>
        <w:spacing w:after="0" w:line="66" w:lineRule="exact"/>
        <w:rPr>
          <w:sz w:val="20"/>
          <w:szCs w:val="20"/>
          <w:color w:val="auto"/>
        </w:rPr>
      </w:pPr>
    </w:p>
    <w:p>
      <w:pPr>
        <w:ind w:left="340" w:right="60"/>
        <w:spacing w:after="0" w:line="276" w:lineRule="auto"/>
        <w:rPr>
          <w:sz w:val="20"/>
          <w:szCs w:val="20"/>
          <w:color w:val="auto"/>
        </w:rPr>
      </w:pPr>
      <w:r>
        <w:rPr>
          <w:rFonts w:ascii="Arial" w:cs="Arial" w:eastAsia="Arial" w:hAnsi="Arial"/>
          <w:sz w:val="17"/>
          <w:szCs w:val="17"/>
          <w:color w:val="auto"/>
        </w:rPr>
        <w:t xml:space="preserve">6A.2 </w:t>
      </w:r>
      <w:r>
        <w:rPr>
          <w:rFonts w:ascii="Arial" w:cs="Arial" w:eastAsia="Arial" w:hAnsi="Arial"/>
          <w:sz w:val="17"/>
          <w:szCs w:val="17"/>
          <w:u w:val="single" w:color="auto"/>
          <w:color w:val="auto"/>
        </w:rPr>
        <w:t>Date Fixed for, and Notice of, Exchange</w:t>
      </w:r>
      <w:r>
        <w:rPr>
          <w:rFonts w:ascii="Arial" w:cs="Arial" w:eastAsia="Arial" w:hAnsi="Arial"/>
          <w:sz w:val="17"/>
          <w:szCs w:val="17"/>
          <w:color w:val="auto"/>
        </w:rPr>
        <w:t>. In the event that the Company elects to exchange all of the Warrants, the Company shall fix a date for the exchange (the “</w:t>
      </w:r>
      <w:r>
        <w:rPr>
          <w:rFonts w:ascii="Arial" w:cs="Arial" w:eastAsia="Arial" w:hAnsi="Arial"/>
          <w:sz w:val="17"/>
          <w:szCs w:val="17"/>
          <w:u w:val="single" w:color="auto"/>
          <w:color w:val="auto"/>
        </w:rPr>
        <w:t>Exchange Date</w:t>
      </w:r>
      <w:r>
        <w:rPr>
          <w:rFonts w:ascii="Arial" w:cs="Arial" w:eastAsia="Arial" w:hAnsi="Arial"/>
          <w:sz w:val="17"/>
          <w:szCs w:val="17"/>
          <w:color w:val="auto"/>
        </w:rPr>
        <w:t>”). Notice of exchange shall be mailed by first class mail, postage prepaid, by the Company not less than fifteen (15) days prior to the Exchange Date to the registered holders of the Warrants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4907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97" w:lineRule="exact"/>
        <w:rPr>
          <w:sz w:val="20"/>
          <w:szCs w:val="20"/>
          <w:color w:val="auto"/>
        </w:rPr>
      </w:pPr>
    </w:p>
    <w:p>
      <w:pPr>
        <w:ind w:right="18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This will be the last sale price of the Company’s Common Stock on The NASDAQ Global Market on the last trading day of the Offer Period (as defined in Amendment No. 2 to the Registration Statement on Form S-4 filed with the SEC on January 22, 2019).</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03" w:name="page204"/>
    <w:bookmarkEnd w:id="203"/>
    <w:p>
      <w:pPr>
        <w:jc w:val="both"/>
        <w:ind w:left="340"/>
        <w:spacing w:after="0" w:line="259" w:lineRule="auto"/>
        <w:rPr>
          <w:sz w:val="20"/>
          <w:szCs w:val="20"/>
          <w:color w:val="auto"/>
        </w:rPr>
      </w:pPr>
      <w:r>
        <w:rPr>
          <w:rFonts w:ascii="Arial" w:cs="Arial" w:eastAsia="Arial" w:hAnsi="Arial"/>
          <w:sz w:val="18"/>
          <w:szCs w:val="18"/>
          <w:color w:val="auto"/>
        </w:rPr>
        <w:t xml:space="preserve">6A.3 </w:t>
      </w:r>
      <w:r>
        <w:rPr>
          <w:rFonts w:ascii="Arial" w:cs="Arial" w:eastAsia="Arial" w:hAnsi="Arial"/>
          <w:sz w:val="18"/>
          <w:szCs w:val="18"/>
          <w:u w:val="single" w:color="auto"/>
          <w:color w:val="auto"/>
        </w:rPr>
        <w:t>Exercise After Notice of Exchange</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subsection 3.3.2</w:t>
      </w:r>
      <w:r>
        <w:rPr>
          <w:rFonts w:ascii="Arial" w:cs="Arial" w:eastAsia="Arial" w:hAnsi="Arial"/>
          <w:sz w:val="18"/>
          <w:szCs w:val="18"/>
          <w:color w:val="auto"/>
        </w:rPr>
        <w:t xml:space="preserve"> of this Agreement) at any time after notice of exchange shall have been given by the Company pursuant to </w:t>
      </w:r>
      <w:r>
        <w:rPr>
          <w:rFonts w:ascii="Arial" w:cs="Arial" w:eastAsia="Arial" w:hAnsi="Arial"/>
          <w:sz w:val="18"/>
          <w:szCs w:val="18"/>
          <w:u w:val="single" w:color="auto"/>
          <w:color w:val="auto"/>
        </w:rPr>
        <w:t>Section 6A.2</w:t>
      </w:r>
      <w:r>
        <w:rPr>
          <w:rFonts w:ascii="Arial" w:cs="Arial" w:eastAsia="Arial" w:hAnsi="Arial"/>
          <w:sz w:val="18"/>
          <w:szCs w:val="18"/>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87"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Severability</w:t>
      </w:r>
      <w:r>
        <w:rPr>
          <w:rFonts w:ascii="Arial" w:cs="Arial" w:eastAsia="Arial" w:hAnsi="Arial"/>
          <w:sz w:val="18"/>
          <w:szCs w:val="18"/>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Amendment shall be governed in all respects by the laws of the State of New York, without giving effect to conflict of laws. The parties hereby agree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hereby waives any objection to such exclusive jurisdiction and that such courts represent an inconvenient forum.</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facsimile or portable document format (pdf) transmission, and each of such counterparts shall for all purposes be deemed to be an original and all such counterparts shall together constitute but one and the same instrument.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Amendment and shall not affect the interpretation thereof.</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follow on next page]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Amendment to be duly executed as of the date first above written.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19551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Warrant 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19551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[Signature Page to Warrant Agreement Amendment]</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796" w:right="47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2515870</wp:posOffset>
            </wp:positionH>
            <wp:positionV relativeFrom="page">
              <wp:posOffset>509270</wp:posOffset>
            </wp:positionV>
            <wp:extent cx="2573020" cy="685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2573020" cy="6858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Offer to Exchange Warrants to Acquire Shares of Common Stock</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Shares of Common Stock of Priority Technology Holdings,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177165</wp:posOffset>
            </wp:positionV>
            <wp:extent cx="14490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PRELIMINARY 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189230</wp:posOffset>
            </wp:positionV>
            <wp:extent cx="14490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The Exchange Agent for the Offer and Consent Solicitation is:</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Stock Transfer &amp; Trust Company, LLC</w:t>
      </w:r>
    </w:p>
    <w:p>
      <w:pPr>
        <w:sectPr>
          <w:pgSz w:w="11900" w:h="16838" w:orient="portrait"/>
          <w:cols w:equalWidth="0" w:num="1">
            <w:col w:w="11340"/>
          </w:cols>
          <w:pgMar w:left="240" w:top="1440" w:right="31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u w:val="single" w:color="auto"/>
          <w:color w:val="auto"/>
        </w:rPr>
        <w:t>If delivering by mail:</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American Stock Transfer &amp; Trust Company, LLC</w:t>
      </w:r>
    </w:p>
    <w:p>
      <w:pPr>
        <w:spacing w:after="0" w:line="4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Attn: Reorganization Department</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P.O. Box 2042</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New York, New York 10272-2042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auto"/>
        </w:rPr>
        <w:t>If delivering by hand or courier:</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American Stock Transfer &amp; Trust Company, LLC</w:t>
      </w:r>
    </w:p>
    <w:p>
      <w:pPr>
        <w:spacing w:after="0" w:line="46"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Attn: Reorganization Department</w:t>
      </w:r>
    </w:p>
    <w:p>
      <w:pPr>
        <w:jc w:val="center"/>
        <w:ind w:right="1060"/>
        <w:spacing w:after="0" w:line="186"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jc w:val="center"/>
        <w:ind w:right="1060"/>
        <w:spacing w:after="0"/>
        <w:rPr>
          <w:sz w:val="20"/>
          <w:szCs w:val="20"/>
          <w:color w:val="auto"/>
        </w:rPr>
      </w:pPr>
      <w:r>
        <w:rPr>
          <w:rFonts w:ascii="Arial" w:cs="Arial" w:eastAsia="Arial" w:hAnsi="Arial"/>
          <w:sz w:val="18"/>
          <w:szCs w:val="18"/>
          <w:color w:val="auto"/>
        </w:rPr>
        <w:t>Brooklyn, New York 11219</w:t>
      </w:r>
    </w:p>
    <w:p>
      <w:pPr>
        <w:spacing w:after="0" w:line="200" w:lineRule="exact"/>
        <w:rPr>
          <w:sz w:val="20"/>
          <w:szCs w:val="20"/>
          <w:color w:val="auto"/>
        </w:rPr>
      </w:pPr>
    </w:p>
    <w:p>
      <w:pPr>
        <w:sectPr>
          <w:pgSz w:w="11900" w:h="16838" w:orient="portrait"/>
          <w:cols w:equalWidth="0" w:num="2">
            <w:col w:w="5980" w:space="720"/>
            <w:col w:w="4640"/>
          </w:cols>
          <w:pgMar w:left="240" w:top="1440" w:right="319" w:bottom="1440" w:gutter="0" w:footer="0" w:header="0"/>
          <w:type w:val="continuous"/>
        </w:sectPr>
      </w:pPr>
    </w:p>
    <w:p>
      <w:pPr>
        <w:spacing w:after="0" w:line="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Information Agent for the Offer and Consent Solicitation is:</w:t>
      </w:r>
    </w:p>
    <w:p>
      <w:pPr>
        <w:spacing w:after="0" w:line="2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D.F. King &amp; Co., Inc.</w:t>
      </w:r>
    </w:p>
    <w:p>
      <w:pPr>
        <w:ind w:left="4780"/>
        <w:spacing w:after="0" w:line="198" w:lineRule="auto"/>
        <w:rPr>
          <w:sz w:val="20"/>
          <w:szCs w:val="20"/>
          <w:color w:val="auto"/>
        </w:rPr>
      </w:pPr>
      <w:r>
        <w:rPr>
          <w:rFonts w:ascii="Arial" w:cs="Arial" w:eastAsia="Arial" w:hAnsi="Arial"/>
          <w:sz w:val="18"/>
          <w:szCs w:val="18"/>
          <w:color w:val="auto"/>
        </w:rPr>
        <w:t>48 Wall Street,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10005</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All Others Call Toll-Free: (800) 967-4607</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PRTH@dfking.com</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Dealer Manager for the Offer and Consent Solicitation is:</w:t>
      </w:r>
    </w:p>
    <w:p>
      <w:pPr>
        <w:spacing w:after="0" w:line="2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Cowen and Company, LLC</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 (833) 297-2926</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Attn: Equity Capital Markets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40"/>
      </w:cols>
      <w:pgMar w:left="240" w:top="144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1)"/>
      <w:numFmt w:val="decimal"/>
      <w:start w:val="2"/>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upperLetter"/>
      <w:start w:val="5"/>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decimal"/>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2"/>
    </w:lvl>
  </w:abstractNum>
  <w:abstractNum w:abstractNumId="28">
    <w:nsid w:val="1F48EAA1"/>
    <w:multiLevelType w:val="hybridMultilevel"/>
    <w:lvl w:ilvl="0">
      <w:lvlJc w:val="left"/>
      <w:lvlText w:val="%1."/>
      <w:numFmt w:val="decimal"/>
      <w:start w:val="3"/>
    </w:lvl>
  </w:abstractNum>
  <w:abstractNum w:abstractNumId="29">
    <w:nsid w:val="1381823A"/>
    <w:multiLevelType w:val="hybridMultilevel"/>
    <w:lvl w:ilvl="0">
      <w:lvlJc w:val="left"/>
      <w:lvlText w:val="(%1)"/>
      <w:numFmt w:val="upperLetter"/>
      <w:start w:val="27"/>
    </w:lvl>
  </w:abstractNum>
  <w:abstractNum w:abstractNumId="30">
    <w:nsid w:val="5DB70AE5"/>
    <w:multiLevelType w:val="hybridMultilevel"/>
    <w:lvl w:ilvl="0">
      <w:lvlJc w:val="left"/>
      <w:lvlText w:val="%1."/>
      <w:numFmt w:val="decimal"/>
      <w:start w:val="4"/>
    </w:lvl>
  </w:abstractNum>
  <w:abstractNum w:abstractNumId="31">
    <w:nsid w:val="100F8FCA"/>
    <w:multiLevelType w:val="hybridMultilevel"/>
    <w:lvl w:ilvl="0">
      <w:lvlJc w:val="left"/>
      <w:lvlText w:val="●"/>
      <w:numFmt w:val="bullet"/>
      <w:start w:val="1"/>
    </w:lvl>
    <w:lvl w:ilvl="1">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4"/>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1"/>
    </w:lvl>
  </w:abstractNum>
  <w:abstractNum w:abstractNumId="49">
    <w:nsid w:val="42963E5A"/>
    <w:multiLevelType w:val="hybridMultilevel"/>
    <w:lvl w:ilvl="0">
      <w:lvlJc w:val="left"/>
      <w:lvlText w:val="(%1)"/>
      <w:numFmt w:val="lowerLetter"/>
      <w:start w:val="1"/>
    </w:lvl>
  </w:abstractNum>
  <w:abstractNum w:abstractNumId="50">
    <w:nsid w:val="A0382C5"/>
    <w:multiLevelType w:val="hybridMultilevel"/>
    <w:lvl w:ilvl="0">
      <w:lvlJc w:val="left"/>
      <w:lvlText w:val="(%1)"/>
      <w:numFmt w:val="lowerLetter"/>
      <w:start w:val="2"/>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decimal"/>
      <w:start w:val="1"/>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1."/>
      <w:numFmt w:val="decimal"/>
      <w:start w:val="2"/>
    </w:lvl>
  </w:abstractNum>
  <w:abstractNum w:abstractNumId="76">
    <w:nsid w:val="46B7D447"/>
    <w:multiLevelType w:val="hybridMultilevel"/>
    <w:lvl w:ilvl="0">
      <w:lvlJc w:val="left"/>
      <w:lvlText w:val="%1."/>
      <w:numFmt w:val="decimal"/>
      <w:start w:val="3"/>
    </w:lvl>
  </w:abstractNum>
  <w:abstractNum w:abstractNumId="77">
    <w:nsid w:val="4A2AC315"/>
    <w:multiLevelType w:val="hybridMultilevel"/>
    <w:lvl w:ilvl="0">
      <w:lvlJc w:val="left"/>
      <w:lvlText w:val="%1."/>
      <w:numFmt w:val="decimal"/>
      <w:start w:val="5"/>
    </w:lvl>
  </w:abstractNum>
  <w:abstractNum w:abstractNumId="78">
    <w:nsid w:val="39EE015C"/>
    <w:multiLevelType w:val="hybridMultilevel"/>
    <w:lvl w:ilvl="0">
      <w:lvlJc w:val="left"/>
      <w:lvlText w:val="%1."/>
      <w:numFmt w:val="decimal"/>
      <w:start w:val="6"/>
    </w:lvl>
  </w:abstractNum>
  <w:abstractNum w:abstractNumId="79">
    <w:nsid w:val="57FC4FBB"/>
    <w:multiLevelType w:val="hybridMultilevel"/>
    <w:lvl w:ilvl="0">
      <w:lvlJc w:val="left"/>
      <w:lvlText w:val="(%1)"/>
      <w:numFmt w:val="lowerLetter"/>
      <w:start w:val="3"/>
    </w:lvl>
  </w:abstractNum>
  <w:abstractNum w:abstractNumId="80">
    <w:nsid w:val="CC1016F"/>
    <w:multiLevelType w:val="hybridMultilevel"/>
    <w:lvl w:ilvl="0">
      <w:lvlJc w:val="left"/>
      <w:lvlText w:val="%1."/>
      <w:numFmt w:val="decimal"/>
      <w:start w:val="8"/>
    </w:lvl>
  </w:abstractNum>
  <w:abstractNum w:abstractNumId="81">
    <w:nsid w:val="43F18422"/>
    <w:multiLevelType w:val="hybridMultilevel"/>
    <w:lvl w:ilvl="0">
      <w:lvlJc w:val="left"/>
      <w:lvlText w:val="%1."/>
      <w:numFmt w:val="decimal"/>
      <w:start w:val="9"/>
    </w:lvl>
  </w:abstractNum>
  <w:abstractNum w:abstractNumId="82">
    <w:nsid w:val="60EF0119"/>
    <w:multiLevelType w:val="hybridMultilevel"/>
    <w:lvl w:ilvl="0">
      <w:lvlJc w:val="left"/>
      <w:lvlText w:val="%1."/>
      <w:numFmt w:val="decimal"/>
      <w:start w:val="10"/>
    </w:lvl>
  </w:abstractNum>
  <w:abstractNum w:abstractNumId="83">
    <w:nsid w:val="26F324BA"/>
    <w:multiLevelType w:val="hybridMultilevel"/>
    <w:lvl w:ilvl="0">
      <w:lvlJc w:val="left"/>
      <w:lvlText w:val="%1."/>
      <w:numFmt w:val="decimal"/>
      <w:start w:val="1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decimal"/>
      <w:start w:val="12"/>
    </w:lvl>
  </w:abstractNum>
  <w:abstractNum w:abstractNumId="86">
    <w:nsid w:val="7055A5F5"/>
    <w:multiLevelType w:val="hybridMultilevel"/>
    <w:lvl w:ilvl="0">
      <w:lvlJc w:val="left"/>
      <w:lvlText w:val="%1."/>
      <w:numFmt w:val="decimal"/>
      <w:start w:val="13"/>
    </w:lvl>
  </w:abstractNum>
  <w:abstractNum w:abstractNumId="87">
    <w:nsid w:val="5FB8370B"/>
    <w:multiLevelType w:val="hybridMultilevel"/>
    <w:lvl w:ilvl="0">
      <w:lvlJc w:val="left"/>
      <w:lvlText w:val="%1."/>
      <w:numFmt w:val="decimal"/>
      <w:start w:val="14"/>
    </w:lvl>
  </w:abstractNum>
  <w:abstractNum w:abstractNumId="88">
    <w:nsid w:val="50801EE1"/>
    <w:multiLevelType w:val="hybridMultilevel"/>
    <w:lvl w:ilvl="0">
      <w:lvlJc w:val="left"/>
      <w:lvlText w:val="%1."/>
      <w:numFmt w:val="decimal"/>
      <w:start w:val="15"/>
    </w:lvl>
  </w:abstractNum>
  <w:abstractNum w:abstractNumId="89">
    <w:nsid w:val="488AC1A"/>
    <w:multiLevelType w:val="hybridMultilevel"/>
    <w:lvl w:ilvl="0">
      <w:lvlJc w:val="left"/>
      <w:lvlText w:val="%1."/>
      <w:numFmt w:val="decimal"/>
      <w:start w:val="16"/>
    </w:lvl>
  </w:abstractNum>
  <w:abstractNum w:abstractNumId="90">
    <w:nsid w:val="5FB8011C"/>
    <w:multiLevelType w:val="hybridMultilevel"/>
    <w:lvl w:ilvl="0">
      <w:lvlJc w:val="left"/>
      <w:lvlText w:val="%1."/>
      <w:numFmt w:val="decimal"/>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decimal"/>
      <w:start w:val="3"/>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3"/>
    </w:lvl>
  </w:abstractNum>
  <w:abstractNum w:abstractNumId="95">
    <w:nsid w:val="7D5E18F8"/>
    <w:multiLevelType w:val="hybridMultilevel"/>
    <w:lvl w:ilvl="0">
      <w:lvlJc w:val="left"/>
      <w:lvlText w:val="%1."/>
      <w:numFmt w:val="decimal"/>
      <w:start w:val="2"/>
    </w:lvl>
  </w:abstractNum>
  <w:abstractNum w:abstractNumId="96">
    <w:nsid w:val="5F3534A4"/>
    <w:multiLevelType w:val="hybridMultilevel"/>
    <w:lvl w:ilvl="0">
      <w:lvlJc w:val="left"/>
      <w:lvlText w:val="%1."/>
      <w:numFmt w:val="decimal"/>
      <w:start w:val="3"/>
    </w:lvl>
  </w:abstractNum>
  <w:abstractNum w:abstractNumId="97">
    <w:nsid w:val="73A1821B"/>
    <w:multiLevelType w:val="hybridMultilevel"/>
    <w:lvl w:ilvl="0">
      <w:lvlJc w:val="left"/>
      <w:lvlText w:val="%1."/>
      <w:numFmt w:val="decimal"/>
      <w:start w:val="4"/>
    </w:lvl>
  </w:abstractNum>
  <w:abstractNum w:abstractNumId="98">
    <w:nsid w:val="7DE67713"/>
    <w:multiLevelType w:val="hybridMultilevel"/>
    <w:lvl w:ilvl="0">
      <w:lvlJc w:val="left"/>
      <w:lvlText w:val="%1."/>
      <w:numFmt w:val="decimal"/>
      <w:start w:val="5"/>
    </w:lvl>
  </w:abstractNum>
  <w:abstractNum w:abstractNumId="99">
    <w:nsid w:val="555C55B5"/>
    <w:multiLevelType w:val="hybridMultilevel"/>
    <w:lvl w:ilvl="0">
      <w:lvlJc w:val="left"/>
      <w:lvlText w:val="%1."/>
      <w:numFmt w:val="decimal"/>
      <w:start w:val="5"/>
    </w:lvl>
    <w:lvl w:ilvl="1">
      <w:lvlJc w:val="left"/>
      <w:lvlText w:val="$"/>
      <w:numFmt w:val="bullet"/>
      <w:start w:val="1"/>
    </w:lvl>
  </w:abstractNum>
  <w:abstractNum w:abstractNumId="100">
    <w:nsid w:val="3FA62ACA"/>
    <w:multiLevelType w:val="hybridMultilevel"/>
    <w:lvl w:ilvl="0">
      <w:lvlJc w:val="left"/>
      <w:lvlText w:val="%1."/>
      <w:numFmt w:val="decimal"/>
      <w:start w:val="8"/>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2020-01-09T20:14:08Z</dcterms:created>
  <dcterms:modified xsi:type="dcterms:W3CDTF">2020-01-09T20:14:08Z</dcterms:modified>
</cp:coreProperties>
</file>