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333-283519</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FF0000"/>
        </w:rPr>
        <w:t>The information in this preliminary prospectus supplement is not complete and may be changed. This preliminary prospectus supplement and the accompanying base prospectus are not an offer to sell these securities, nor are they soliciting offers to buy these securities in any state or jurisdiction where the offer or sale is not permitted.</w:t>
      </w:r>
    </w:p>
    <w:p>
      <w:pPr>
        <w:spacing w:after="0" w:line="17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FF0000"/>
        </w:rPr>
        <w:t>SUBJECT TO COMPLETION, DATED JANUARY 15,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142875</wp:posOffset>
            </wp:positionV>
            <wp:extent cx="30943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Priority Technology Holdings, Inc.</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Shares of Common Stock from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the shares of common stock of Priority Technology Holdings, Inc. being sold by the selling stockholders identified in this prospectus supplement. The selling stockholders are selling shares of our common stock, par value $0.001. We will not receive any of the proceeds from the sale of the shares of our common stock being sold by the selling stockholders.</w:t>
      </w:r>
    </w:p>
    <w:p>
      <w:pPr>
        <w:spacing w:after="0" w:line="17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“PRTH.” On January 14, 2025, the last sale price of our shares as reported on the Nasdaq Capital Market was $9.57 per share.</w:t>
      </w:r>
    </w:p>
    <w:p>
      <w:pPr>
        <w:spacing w:after="0" w:line="158"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See “Risk Factors” beginning on page S-5 of this prospectus supplement, on page 6 of the accompanying prospectus and in the documents we incorporate by reference in this prospectus supplement, including our most recent Annual Report on Form 10-K and our most recent Quarterly Reports on Form 10-Q, to read about risks that you should consider before purchasing our common stock.</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0"/>
                <w:szCs w:val="20"/>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Total (1)</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(2)</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the selling stockholders, before expenses</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4"/>
          <w:szCs w:val="24"/>
          <w:color w:val="auto"/>
        </w:rPr>
      </w:pPr>
    </w:p>
    <w:p>
      <w:pPr>
        <w:ind w:left="1340" w:hanging="545"/>
        <w:spacing w:after="0"/>
        <w:tabs>
          <w:tab w:leader="none" w:pos="1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of common stock.</w:t>
      </w:r>
    </w:p>
    <w:p>
      <w:pPr>
        <w:spacing w:after="0" w:line="27" w:lineRule="exact"/>
        <w:rPr>
          <w:rFonts w:ascii="Times New Roman" w:cs="Times New Roman" w:eastAsia="Times New Roman" w:hAnsi="Times New Roman"/>
          <w:sz w:val="18"/>
          <w:szCs w:val="18"/>
          <w:color w:val="auto"/>
        </w:rPr>
      </w:pPr>
    </w:p>
    <w:p>
      <w:pPr>
        <w:ind w:left="1340" w:right="880" w:hanging="545"/>
        <w:spacing w:after="0" w:line="260" w:lineRule="auto"/>
        <w:tabs>
          <w:tab w:leader="none" w:pos="1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beginning on page S-19 of this prospectus supplement for additional information regarding underwriting compensation.</w:t>
      </w:r>
    </w:p>
    <w:p>
      <w:pPr>
        <w:spacing w:after="0" w:line="181"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shares from certain selling stockholders, at the public offering price, less underwriting discounts and commissions, for 30 days after the date of this prospectus supplement. See “Underwriting—Priority; Option to Purchase Additional Shares” for additional information regarding the underwriters’ option to purchase additional shares. We will not receive any of the proceeds from the sale of common stock pursuant to the exercise of the underwriters’ option to purchase additional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of the common stock is expected to be made on or about</w:t>
            </w:r>
          </w:p>
        </w:tc>
        <w:tc>
          <w:tcPr>
            <w:tcW w:w="18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 2025.</w:t>
            </w: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0" w:type="dxa"/>
            <w:vAlign w:val="bottom"/>
            <w:tcBorders>
              <w:bottom w:val="single" w:sz="8" w:color="auto"/>
            </w:tcBorders>
            <w:gridSpan w:val="3"/>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4220" w:type="dxa"/>
            <w:vAlign w:val="bottom"/>
          </w:tcPr>
          <w:p>
            <w:pPr>
              <w:spacing w:after="0"/>
              <w:rPr>
                <w:sz w:val="24"/>
                <w:szCs w:val="24"/>
                <w:color w:val="auto"/>
              </w:rPr>
            </w:pPr>
          </w:p>
        </w:tc>
        <w:tc>
          <w:tcPr>
            <w:tcW w:w="7020" w:type="dxa"/>
            <w:vAlign w:val="bottom"/>
            <w:gridSpan w:val="4"/>
          </w:tcPr>
          <w:p>
            <w:pPr>
              <w:jc w:val="right"/>
              <w:ind w:right="4392"/>
              <w:spacing w:after="0"/>
              <w:rPr>
                <w:sz w:val="20"/>
                <w:szCs w:val="20"/>
                <w:color w:val="auto"/>
              </w:rPr>
            </w:pPr>
            <w:r>
              <w:rPr>
                <w:rFonts w:ascii="Times New Roman" w:cs="Times New Roman" w:eastAsia="Times New Roman" w:hAnsi="Times New Roman"/>
                <w:sz w:val="18"/>
                <w:szCs w:val="18"/>
                <w:i w:val="1"/>
                <w:iCs w:val="1"/>
                <w:color w:val="auto"/>
              </w:rPr>
              <w:t>Lead Book-Running Managers</w:t>
            </w:r>
          </w:p>
        </w:tc>
        <w:tc>
          <w:tcPr>
            <w:tcW w:w="0" w:type="dxa"/>
            <w:vAlign w:val="bottom"/>
          </w:tcPr>
          <w:p>
            <w:pPr>
              <w:spacing w:after="0"/>
              <w:rPr>
                <w:sz w:val="1"/>
                <w:szCs w:val="1"/>
                <w:color w:val="auto"/>
              </w:rPr>
            </w:pPr>
          </w:p>
        </w:tc>
      </w:tr>
      <w:tr>
        <w:trPr>
          <w:trHeight w:val="30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rPr>
              <w:t>Keefe, Bruyette &amp; Woods</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TD Cowen</w:t>
            </w:r>
          </w:p>
        </w:tc>
        <w:tc>
          <w:tcPr>
            <w:tcW w:w="0" w:type="dxa"/>
            <w:vAlign w:val="bottom"/>
          </w:tcPr>
          <w:p>
            <w:pPr>
              <w:spacing w:after="0"/>
              <w:rPr>
                <w:sz w:val="1"/>
                <w:szCs w:val="1"/>
                <w:color w:val="auto"/>
              </w:rPr>
            </w:pPr>
          </w:p>
        </w:tc>
      </w:tr>
      <w:tr>
        <w:trPr>
          <w:trHeight w:val="236"/>
        </w:trPr>
        <w:tc>
          <w:tcPr>
            <w:tcW w:w="4820" w:type="dxa"/>
            <w:vAlign w:val="bottom"/>
            <w:gridSpan w:val="2"/>
          </w:tcPr>
          <w:p>
            <w:pPr>
              <w:ind w:left="2820"/>
              <w:spacing w:after="0"/>
              <w:rPr>
                <w:sz w:val="20"/>
                <w:szCs w:val="20"/>
                <w:color w:val="auto"/>
              </w:rPr>
            </w:pPr>
            <w:r>
              <w:rPr>
                <w:rFonts w:ascii="Times New Roman" w:cs="Times New Roman" w:eastAsia="Times New Roman" w:hAnsi="Times New Roman"/>
                <w:sz w:val="18"/>
                <w:szCs w:val="18"/>
                <w:i w:val="1"/>
                <w:iCs w:val="1"/>
                <w:color w:val="auto"/>
              </w:rPr>
              <w:t>A Stifel Company</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Book-Running Manager</w:t>
            </w:r>
          </w:p>
        </w:tc>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 Riley Securities</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A.G.P.</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Co-Managers</w:t>
            </w:r>
          </w:p>
        </w:tc>
        <w:tc>
          <w:tcPr>
            <w:tcW w:w="340" w:type="dxa"/>
            <w:vAlign w:val="bottom"/>
          </w:tcPr>
          <w:p>
            <w:pPr>
              <w:spacing w:after="0"/>
              <w:rPr>
                <w:sz w:val="20"/>
                <w:szCs w:val="20"/>
                <w:color w:val="auto"/>
              </w:rPr>
            </w:pPr>
          </w:p>
        </w:tc>
        <w:tc>
          <w:tcPr>
            <w:tcW w:w="4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Lake Street</w:t>
            </w: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460" w:type="dxa"/>
            <w:vAlign w:val="bottom"/>
            <w:tcBorders>
              <w:bottom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6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Prospectus Supplement dated</w:t>
            </w:r>
          </w:p>
        </w:tc>
        <w:tc>
          <w:tcPr>
            <w:tcW w:w="4560" w:type="dxa"/>
            <w:vAlign w:val="bottom"/>
            <w:gridSpan w:val="2"/>
          </w:tcPr>
          <w:p>
            <w:pPr>
              <w:jc w:val="right"/>
              <w:ind w:right="3912"/>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675"/>
        </w:trPr>
        <w:tc>
          <w:tcPr>
            <w:tcW w:w="4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9"/>
        </w:trPr>
        <w:tc>
          <w:tcPr>
            <w:tcW w:w="10800" w:type="dxa"/>
            <w:vAlign w:val="bottom"/>
            <w:gridSpan w:val="2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440" w:type="dxa"/>
            <w:vAlign w:val="bottom"/>
            <w:gridSpan w:val="8"/>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0000EE"/>
              </w:rPr>
              <w:t>S-iii</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4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S-iv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33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500" w:type="dxa"/>
            <w:vAlign w:val="bottom"/>
            <w:gridSpan w:val="9"/>
            <w:shd w:val="clear" w:color="auto" w:fill="CCEEFF"/>
          </w:tcPr>
          <w:p>
            <w:pPr>
              <w:spacing w:after="0"/>
              <w:rPr>
                <w:sz w:val="15"/>
                <w:szCs w:val="15"/>
                <w:color w:val="auto"/>
              </w:rPr>
            </w:pPr>
          </w:p>
        </w:tc>
        <w:tc>
          <w:tcPr>
            <w:tcW w:w="44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3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7500" w:type="dxa"/>
            <w:vAlign w:val="bottom"/>
            <w:gridSpan w:val="9"/>
          </w:tcPr>
          <w:p>
            <w:pPr>
              <w:spacing w:after="0"/>
              <w:rPr>
                <w:sz w:val="15"/>
                <w:szCs w:val="15"/>
                <w:color w:val="auto"/>
              </w:rPr>
            </w:pPr>
          </w:p>
        </w:tc>
        <w:tc>
          <w:tcPr>
            <w:tcW w:w="44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540" w:type="dxa"/>
            <w:vAlign w:val="bottom"/>
            <w:gridSpan w:val="20"/>
            <w:shd w:val="clear" w:color="auto" w:fill="CCEEFF"/>
          </w:tcPr>
          <w:p>
            <w:pPr>
              <w:spacing w:after="0"/>
              <w:rPr>
                <w:sz w:val="15"/>
                <w:szCs w:val="15"/>
                <w:color w:val="auto"/>
              </w:rPr>
            </w:pPr>
          </w:p>
        </w:tc>
        <w:tc>
          <w:tcPr>
            <w:tcW w:w="44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44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21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EXERCISE OF WARRANTS</w:t>
            </w:r>
          </w:p>
        </w:tc>
        <w:tc>
          <w:tcPr>
            <w:tcW w:w="8620" w:type="dxa"/>
            <w:vAlign w:val="bottom"/>
            <w:gridSpan w:val="13"/>
            <w:shd w:val="clear" w:color="auto" w:fill="CCEEFF"/>
          </w:tcPr>
          <w:p>
            <w:pPr>
              <w:spacing w:after="0"/>
              <w:rPr>
                <w:sz w:val="15"/>
                <w:szCs w:val="15"/>
                <w:color w:val="auto"/>
              </w:rPr>
            </w:pPr>
          </w:p>
        </w:tc>
        <w:tc>
          <w:tcPr>
            <w:tcW w:w="44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S-11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1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8620" w:type="dxa"/>
            <w:vAlign w:val="bottom"/>
            <w:gridSpan w:val="13"/>
          </w:tcPr>
          <w:p>
            <w:pPr>
              <w:spacing w:after="0"/>
              <w:rPr>
                <w:sz w:val="15"/>
                <w:szCs w:val="15"/>
                <w:color w:val="auto"/>
              </w:rPr>
            </w:pPr>
          </w:p>
        </w:tc>
        <w:tc>
          <w:tcPr>
            <w:tcW w:w="44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22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580" w:type="dxa"/>
            <w:vAlign w:val="bottom"/>
            <w:gridSpan w:val="12"/>
            <w:shd w:val="clear" w:color="auto" w:fill="CCEEFF"/>
          </w:tcPr>
          <w:p>
            <w:pPr>
              <w:spacing w:after="0"/>
              <w:rPr>
                <w:sz w:val="15"/>
                <w:szCs w:val="15"/>
                <w:color w:val="auto"/>
              </w:rPr>
            </w:pPr>
          </w:p>
        </w:tc>
        <w:tc>
          <w:tcPr>
            <w:tcW w:w="44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S-13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4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r>
      <w:tr>
        <w:trPr>
          <w:trHeight w:val="175"/>
        </w:trPr>
        <w:tc>
          <w:tcPr>
            <w:tcW w:w="14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400" w:type="dxa"/>
            <w:vAlign w:val="bottom"/>
            <w:gridSpan w:val="17"/>
            <w:shd w:val="clear" w:color="auto" w:fill="CCEEFF"/>
          </w:tcPr>
          <w:p>
            <w:pPr>
              <w:spacing w:after="0"/>
              <w:rPr>
                <w:sz w:val="15"/>
                <w:szCs w:val="15"/>
                <w:color w:val="auto"/>
              </w:rPr>
            </w:pPr>
          </w:p>
        </w:tc>
        <w:tc>
          <w:tcPr>
            <w:tcW w:w="44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S-19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r>
      <w:tr>
        <w:trPr>
          <w:trHeight w:val="176"/>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44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10020" w:type="dxa"/>
            <w:vAlign w:val="bottom"/>
            <w:gridSpan w:val="21"/>
            <w:shd w:val="clear" w:color="auto" w:fill="CCEEFF"/>
          </w:tcPr>
          <w:p>
            <w:pPr>
              <w:spacing w:after="0"/>
              <w:rPr>
                <w:sz w:val="15"/>
                <w:szCs w:val="15"/>
                <w:color w:val="auto"/>
              </w:rPr>
            </w:pPr>
          </w:p>
        </w:tc>
        <w:tc>
          <w:tcPr>
            <w:tcW w:w="44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S-25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r>
      <w:tr>
        <w:trPr>
          <w:trHeight w:val="176"/>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4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r>
      <w:tr>
        <w:trPr>
          <w:trHeight w:val="196"/>
        </w:trPr>
        <w:tc>
          <w:tcPr>
            <w:tcW w:w="108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INCORPORATION BY REFERENCE</w:t>
            </w:r>
          </w:p>
        </w:tc>
        <w:tc>
          <w:tcPr>
            <w:tcW w:w="44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S-27</w:t>
            </w:r>
          </w:p>
        </w:tc>
      </w:tr>
      <w:tr>
        <w:trPr>
          <w:trHeight w:val="432"/>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5920" w:type="dxa"/>
            <w:vAlign w:val="bottom"/>
            <w:tcBorders>
              <w:top w:val="single" w:sz="8" w:color="CCEEFF"/>
            </w:tcBorders>
            <w:gridSpan w:val="4"/>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3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240" w:type="dxa"/>
            <w:vAlign w:val="bottom"/>
            <w:tcBorders>
              <w:bottom w:val="single" w:sz="8" w:color="0000EE"/>
            </w:tcBorders>
            <w:gridSpan w:val="11"/>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480" w:type="dxa"/>
            <w:vAlign w:val="bottom"/>
            <w:tcBorders>
              <w:bottom w:val="single" w:sz="8" w:color="CCEEFF"/>
            </w:tcBorders>
            <w:gridSpan w:val="10"/>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righ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0000EE"/>
                <w:w w:val="99"/>
              </w:rPr>
              <w:t>1</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69"/>
        </w:trPr>
        <w:tc>
          <w:tcPr>
            <w:tcW w:w="10800" w:type="dxa"/>
            <w:vAlign w:val="bottom"/>
            <w:gridSpan w:val="22"/>
          </w:tcPr>
          <w:p>
            <w:pPr>
              <w:spacing w:after="0" w:line="170"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60" w:type="dxa"/>
            <w:vAlign w:val="bottom"/>
            <w:gridSpan w:val="5"/>
          </w:tcPr>
          <w:p>
            <w:pPr>
              <w:jc w:val="right"/>
              <w:spacing w:after="0" w:line="170"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COMPANY</w:t>
            </w:r>
          </w:p>
        </w:tc>
        <w:tc>
          <w:tcPr>
            <w:tcW w:w="9480" w:type="dxa"/>
            <w:vAlign w:val="bottom"/>
            <w:tcBorders>
              <w:bottom w:val="single" w:sz="8" w:color="CCEEFF"/>
            </w:tcBorders>
            <w:gridSpan w:val="18"/>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right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76"/>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8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tcBorders>
              <w:right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3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920" w:type="dxa"/>
            <w:vAlign w:val="bottom"/>
            <w:tcBorders>
              <w:bottom w:val="single" w:sz="8" w:color="CCEEFF"/>
            </w:tcBorders>
            <w:gridSpan w:val="10"/>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right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75"/>
        </w:trPr>
        <w:tc>
          <w:tcPr>
            <w:tcW w:w="108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8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60" w:type="dxa"/>
            <w:vAlign w:val="bottom"/>
            <w:tcBorders>
              <w:right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340" w:type="dxa"/>
            <w:vAlign w:val="bottom"/>
            <w:gridSpan w:val="16"/>
          </w:tcPr>
          <w:p>
            <w:pPr>
              <w:spacing w:after="0"/>
              <w:rPr>
                <w:sz w:val="15"/>
                <w:szCs w:val="15"/>
                <w:color w:val="auto"/>
              </w:rPr>
            </w:pPr>
          </w:p>
        </w:tc>
        <w:tc>
          <w:tcPr>
            <w:tcW w:w="3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08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tcBorders>
              <w:right w:val="single" w:sz="8" w:color="CCEEFF"/>
            </w:tcBorders>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4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760" w:type="dxa"/>
            <w:vAlign w:val="bottom"/>
            <w:gridSpan w:val="6"/>
          </w:tcPr>
          <w:p>
            <w:pPr>
              <w:spacing w:after="0"/>
              <w:rPr>
                <w:sz w:val="15"/>
                <w:szCs w:val="15"/>
                <w:color w:val="auto"/>
              </w:rPr>
            </w:pPr>
          </w:p>
        </w:tc>
        <w:tc>
          <w:tcPr>
            <w:tcW w:w="3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December 11, 2024 are part of a registration statement (File No. 333-283519) that we filed with the Securities and Exchange Commission, or the SEC, using a “shelf” registration process. We provide information to you about this offering of shares of our common stock in two separate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dated December 11, 2024, including the documents incorporated by reference therein, provides more general information. Generally, when we refer to this prospectus, we are referring to this prospectus supplement and the accompanying prospectus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take no responsibility for, and can provide no assurances as to the reliability of, any information that is in addition to or different from that contained in this prospectus supplement and the accompanying prospectus and the documents and the information incorporated by reference in this prospectus supplement and the accompanying prospectus. We have not authorized, and the underwriters and the selling stockholders have not authorized, anyone to provide you with information that is different. The information contained in this prospectus supplement, the accompanying prospectus or the documents incorporated by reference herein is accurate only as of the respective dates thereof, regardless of the time of delivery of this prospectus supplement and the accompanying prospectus or of any sale of shares of our common stock. You should read each of this prospectus supplement and the accompanying prospectus together with the additional information to which we refer you in the sections of this prospectus supplement entitled “Where You Can Find More Information” and “Information Incorporated By Reference.”</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the “Company,” “Priority,” “we,” “our,” “us” or like terms refer to Priority Technology Holdings, Inc. and its subsidiaries and predecessors.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prospectus supplement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 include, but are not limited to, statements about:</w:t>
      </w:r>
    </w:p>
    <w:p>
      <w:pPr>
        <w:spacing w:after="0" w:line="192" w:lineRule="exact"/>
        <w:rPr>
          <w:sz w:val="20"/>
          <w:szCs w:val="20"/>
          <w:color w:val="auto"/>
        </w:rPr>
      </w:pPr>
    </w:p>
    <w:p>
      <w:pPr>
        <w:ind w:left="660" w:right="580" w:hanging="328"/>
        <w:spacing w:after="0" w:line="312"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“Item 1A - Risk Factors” section of our Annual Report on Form 10-K for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supplement with the understanding that our actual future results, levels of activity, performance and achievements may be materially different from what we expect. We qualify all of our forward-looking statements by these cautionary statements.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464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t>PROSPECTUS SUPPLEMENT SUMMARY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appearing elsewhere in or incorporated by reference into this prospectus supplement and does not contain all of the information that you need to consider in making your investment decision. You should carefully read the entire prospectus supplement and the accompanying prospectus, including the risks of investing in our securities discussed under the heading “Risk Factors” of this prospectus supplement and in our other filings that are incorporated by reference into this prospectus supplement and the accompanying prospectus. You should also carefully read the information incorporated by reference into this prospectus supplement and the accompanying prospectus, including our financial statements and the exhibits to the registration statement of which this prospectus supplement and the accompanying prospectus are a part.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leading solutions provider in the electronic payments and banking as a service (“BaaS”) industry, serving over 1.1 million active customers across small and medium businesses (“SMBs”), business-to-business (“B2B”), and enterprise channels. We process approximately $127 billion in annual payments volume through our platforms and administrate over $1.1 billion in deposits. Our products and platforms enable our customers to efficiently manage their financial operations, including collecting, storing, lending, and sending money. Notably, we offer merchant acquiring, accounts payable (“AP”) payment applications and the Priority Passport financial tools, which optimize cash flow and maximize working capital for our customers. Established in 2005, we have grown to become the 6th largest non-bank merchant acquirer in the U.S. by volume, as reported by the Nilson Report in March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Priority’s solutions are delivered via internally developed payment applications and services to customers in the following business segments:</w:t>
      </w:r>
    </w:p>
    <w:p>
      <w:pPr>
        <w:spacing w:after="0" w:line="223" w:lineRule="exact"/>
        <w:rPr>
          <w:sz w:val="20"/>
          <w:szCs w:val="20"/>
          <w:color w:val="auto"/>
        </w:rPr>
      </w:pPr>
    </w:p>
    <w:p>
      <w:pPr>
        <w:ind w:left="640" w:right="40" w:hanging="330"/>
        <w:spacing w:after="0" w:line="315"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SMB Acquiring Solutions</w:t>
      </w:r>
      <w:r>
        <w:rPr>
          <w:rFonts w:ascii="Times New Roman" w:cs="Times New Roman" w:eastAsia="Times New Roman" w:hAnsi="Times New Roman"/>
          <w:sz w:val="17"/>
          <w:szCs w:val="17"/>
          <w:color w:val="auto"/>
        </w:rPr>
        <w:t>: Provides full-service acquiring and payment-enabled solutions for B2C transactions, leveraging Priority’s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proprietary software platform, distributed through ISO, direct sales and vertically focused Independent Software Vendors (“ISV”) channels.</w:t>
      </w:r>
    </w:p>
    <w:p>
      <w:pPr>
        <w:spacing w:after="0" w:line="134" w:lineRule="exact"/>
        <w:rPr>
          <w:rFonts w:ascii="Times New Roman" w:cs="Times New Roman" w:eastAsia="Times New Roman" w:hAnsi="Times New Roman"/>
          <w:sz w:val="17"/>
          <w:szCs w:val="17"/>
          <w:color w:val="auto"/>
        </w:rPr>
      </w:pPr>
    </w:p>
    <w:p>
      <w:pPr>
        <w:ind w:left="640" w:right="740" w:hanging="330"/>
        <w:spacing w:after="0" w:line="28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B2B Payables</w:t>
      </w:r>
      <w:r>
        <w:rPr>
          <w:rFonts w:ascii="Times New Roman" w:cs="Times New Roman" w:eastAsia="Times New Roman" w:hAnsi="Times New Roman"/>
          <w:sz w:val="18"/>
          <w:szCs w:val="18"/>
          <w:color w:val="auto"/>
        </w:rPr>
        <w:t>: Provides market-leading AP automation solutions to corporations, software partners and industry leading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(including Citibank and Mastercard).</w:t>
      </w:r>
    </w:p>
    <w:p>
      <w:pPr>
        <w:spacing w:after="0" w:line="158" w:lineRule="exact"/>
        <w:rPr>
          <w:rFonts w:ascii="Times New Roman" w:cs="Times New Roman" w:eastAsia="Times New Roman" w:hAnsi="Times New Roman"/>
          <w:sz w:val="18"/>
          <w:szCs w:val="18"/>
          <w:color w:val="auto"/>
        </w:rPr>
      </w:pPr>
    </w:p>
    <w:p>
      <w:pPr>
        <w:ind w:left="640" w:right="60" w:hanging="330"/>
        <w:spacing w:after="0" w:line="28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Payments and BaaS</w:t>
      </w:r>
      <w:r>
        <w:rPr>
          <w:rFonts w:ascii="Times New Roman" w:cs="Times New Roman" w:eastAsia="Times New Roman" w:hAnsi="Times New Roman"/>
          <w:sz w:val="18"/>
          <w:szCs w:val="18"/>
          <w:color w:val="auto"/>
        </w:rPr>
        <w:t>: Provides embedded finance and BaaS solutions to customers to modernize legacy platforms and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partners’ strategies to monetize payments.</w:t>
      </w:r>
    </w:p>
    <w:p>
      <w:pPr>
        <w:spacing w:after="0" w:line="16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We provide end-to-end operational support, including automated risk management, underwriting, and compliance. Our MX product suite offers technology-enabled payment acceptance and business management capabilities, enhancing merchant and reseller operations through efficient and effective proprietary applications. Additionally, our CPX platform provides automated AP solutions, integrating seamlessly with buyer payment instructions and allowing our customers to offer a wide variety of payment methods. Our acquisition of Plastiq Inc. in 2023 has further strengthened our B2B payments capabilities, offering innovative solutions like Plastiq Pay and Plastiq Accept. Our Enterprise Payments segment provides embedded finance and BaaS solutions to customers that modernize legacy platforms and accelerate modern software partners looking to monetize payment components. Our revenue is primarily generated from payment processing transactions, supported by multi-year merchant contracts.</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540" w:top="887" w:right="6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35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Preliminary Results for the Three Months Ended December 31, 2024</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Set forth below are ranges of our estimated and unaudited preliminary financial results and other information for the three months ended December 31, 2024. These ranges are based on the information currently available to us and are subject to the completion of our financial closing procedures. We have provided estimated ranges, rather than specific amounts, because these results are preliminary and subject to change. Our financial closing procedures for the three months ended December 31, 2024 are not yet complete and, as a result, our actual results may vary from the estimated preliminary results presented here and will not be finalized until after the completion of this offering.</w:t>
      </w:r>
    </w:p>
    <w:p>
      <w:pPr>
        <w:spacing w:after="0" w:line="18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These estimates should not be viewed as a substitute for our full interim or annual financial statements prepared in accordance with U.S. generally accepted accounting principles (“GAAP”). Further, our preliminary estimated results are not necessarily indicative of the results to be expected for any future period as a result of various factors, including, but not limited to, those discussed in the sections titled “Risk Factors” and “Cautionary Note Regarding Forward-Looking Statements.” Accordingly, you should not place undue reliance on these estimated preliminary financial results.</w:t>
      </w:r>
    </w:p>
    <w:p>
      <w:pPr>
        <w:spacing w:after="0" w:line="1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preliminary financial results presented below have been prepared by, and are the responsibility of, our management. Our independent registered public accounting firm, Ernst &amp; Young LLP, has not audited, reviewed, compiled, or performed agreed-upon procedures with respect to these estimated preliminary financial results. Accordingly, Ernst &amp; Young LLP does not express an opinion or any other form of assurance with respect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our estimated preliminary financial results and key operating metrics for the three months ended December 31, 2024:</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80" w:type="dxa"/>
            <w:vAlign w:val="bottom"/>
          </w:tcPr>
          <w:p>
            <w:pPr>
              <w:spacing w:after="0"/>
              <w:rPr>
                <w:sz w:val="20"/>
                <w:szCs w:val="20"/>
                <w:color w:val="auto"/>
              </w:rPr>
            </w:pPr>
          </w:p>
        </w:tc>
        <w:tc>
          <w:tcPr>
            <w:tcW w:w="23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Range</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High</w:t>
            </w:r>
          </w:p>
        </w:tc>
      </w:tr>
      <w:tr>
        <w:trPr>
          <w:trHeight w:val="238"/>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8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Gross Profit</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ind w:left="660" w:right="440" w:hanging="330"/>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GAAP to Non-GAAP Financial Measures” below and the reconciliations of Adjusted Gross Profit and Adjusted EBITDA to their most comparable GAAP measures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Financial Measures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Adjusted Gross Profit and Adjusted EBITDA are non-GAAP financial measures that are not prepared in accordance with GAAP and that may be different from non-GAAP financial measures used by other companies. Our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Gross Profit is calculated by subtracting cost of services (excluding depreciation and amortization) from revenue. Adjusted EBITDA is calculated as net income prior to interest expense, tax expense, depreciation and amortization expense, adjusted to add back certain non-cash charges and/or non-recurring charges deemed to not be part of normal operating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887" w:right="539" w:bottom="1440" w:gutter="0" w:footer="0" w:header="0"/>
        </w:sectPr>
      </w:pPr>
    </w:p>
    <w:bookmarkStart w:id="8" w:name="page9"/>
    <w:bookmarkEnd w:id="8"/>
    <w:p>
      <w:pPr>
        <w:ind w:left="200" w:right="6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847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t>The reconciliation of our estimated Adjusted Gross Profit ranges for the three months ended December 31, 2024 to the most comparable GAAP measure is provided below:</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5"/>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5"/>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Range</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8"/>
                <w:szCs w:val="18"/>
                <w:color w:val="auto"/>
              </w:rPr>
            </w:pPr>
          </w:p>
        </w:tc>
        <w:tc>
          <w:tcPr>
            <w:tcW w:w="11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38"/>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10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(Estimated)</w:t>
            </w:r>
          </w:p>
        </w:tc>
      </w:tr>
      <w:tr>
        <w:trPr>
          <w:trHeight w:val="209"/>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 of revenue generating assets</w:t>
            </w:r>
          </w:p>
        </w:tc>
        <w:tc>
          <w:tcPr>
            <w:tcW w:w="2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0" w:right="260"/>
        <w:spacing w:after="0" w:line="282" w:lineRule="auto"/>
        <w:rPr>
          <w:sz w:val="20"/>
          <w:szCs w:val="20"/>
          <w:color w:val="auto"/>
        </w:rPr>
      </w:pPr>
      <w:r>
        <w:rPr>
          <w:rFonts w:ascii="Times New Roman" w:cs="Times New Roman" w:eastAsia="Times New Roman" w:hAnsi="Times New Roman"/>
          <w:sz w:val="18"/>
          <w:szCs w:val="18"/>
          <w:color w:val="auto"/>
        </w:rPr>
        <w:t>The reconciliation of our estimated Adjusted EBITDA ranges for the three months ended December 31, 2024 to the most comparable GAAP measure is provided below:</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Range</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38"/>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09"/>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items</w:t>
            </w:r>
          </w:p>
        </w:tc>
        <w:tc>
          <w:tcPr>
            <w:tcW w:w="3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ind w:left="220" w:right="32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with our principal executive offices are located at 2001 Westside Parkway, Suite 155, Alpharetta, GA 30004. Our telephone number is (800) 935-5961 and our internet website address is www.prioritycommerce.com. Information on, or accessible through, our website is not incorporated by reference in this prospectus supplement, and you should not consider that information to be part of this prospectus supplement.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4700" w:type="dxa"/>
            <w:vAlign w:val="bottom"/>
          </w:tcPr>
          <w:p>
            <w:pPr>
              <w:spacing w:after="0"/>
              <w:rPr>
                <w:sz w:val="20"/>
                <w:szCs w:val="20"/>
                <w:color w:val="auto"/>
              </w:rPr>
            </w:pPr>
          </w:p>
        </w:tc>
      </w:tr>
      <w:tr>
        <w:trPr>
          <w:trHeight w:val="432"/>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Issuer</w:t>
            </w: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4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2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of common stock (</w:t>
            </w: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w:t>
            </w:r>
          </w:p>
        </w:tc>
      </w:tr>
      <w:tr>
        <w:trPr>
          <w:trHeight w:val="234"/>
        </w:trPr>
        <w:tc>
          <w:tcPr>
            <w:tcW w:w="408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additional shares of common stock in full).</w:t>
            </w:r>
          </w:p>
        </w:tc>
      </w:tr>
      <w:tr>
        <w:trPr>
          <w:trHeight w:val="41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2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shares of common stock (</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w:t>
            </w:r>
          </w:p>
        </w:tc>
      </w:tr>
      <w:tr>
        <w:trPr>
          <w:trHeight w:val="234"/>
        </w:trPr>
        <w:tc>
          <w:tcPr>
            <w:tcW w:w="408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additional shares of common stock in full).</w:t>
            </w:r>
          </w:p>
        </w:tc>
      </w:tr>
      <w:tr>
        <w:trPr>
          <w:trHeight w:val="41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Concurrent Warrant Exercise</w:t>
            </w: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Ares Management LLC, as indirect manager of funds and accounts holding warrants, has</w:t>
            </w:r>
          </w:p>
        </w:tc>
      </w:tr>
      <w:tr>
        <w:trPr>
          <w:trHeight w:val="216"/>
        </w:trPr>
        <w:tc>
          <w:tcPr>
            <w:tcW w:w="4080" w:type="dxa"/>
            <w:vAlign w:val="bottom"/>
          </w:tcPr>
          <w:p>
            <w:pPr>
              <w:spacing w:after="0"/>
              <w:rPr>
                <w:sz w:val="18"/>
                <w:szCs w:val="18"/>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informed us that, in connection with, and immediately prior to the completion of, this</w:t>
            </w:r>
          </w:p>
        </w:tc>
      </w:tr>
      <w:tr>
        <w:trPr>
          <w:trHeight w:val="216"/>
        </w:trPr>
        <w:tc>
          <w:tcPr>
            <w:tcW w:w="4080" w:type="dxa"/>
            <w:vAlign w:val="bottom"/>
          </w:tcPr>
          <w:p>
            <w:pPr>
              <w:spacing w:after="0"/>
              <w:rPr>
                <w:sz w:val="18"/>
                <w:szCs w:val="18"/>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offering, such funds and accounts will exercise warrants to purchase 1,803,841 shares of</w:t>
            </w:r>
          </w:p>
        </w:tc>
      </w:tr>
      <w:tr>
        <w:trPr>
          <w:trHeight w:val="216"/>
        </w:trPr>
        <w:tc>
          <w:tcPr>
            <w:tcW w:w="4080" w:type="dxa"/>
            <w:vAlign w:val="bottom"/>
          </w:tcPr>
          <w:p>
            <w:pPr>
              <w:spacing w:after="0"/>
              <w:rPr>
                <w:sz w:val="18"/>
                <w:szCs w:val="18"/>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 which shares (less the number of shares used to pay the cashless exercise</w:t>
            </w:r>
          </w:p>
        </w:tc>
      </w:tr>
      <w:tr>
        <w:trPr>
          <w:trHeight w:val="216"/>
        </w:trPr>
        <w:tc>
          <w:tcPr>
            <w:tcW w:w="4080" w:type="dxa"/>
            <w:vAlign w:val="bottom"/>
          </w:tcPr>
          <w:p>
            <w:pPr>
              <w:spacing w:after="0"/>
              <w:rPr>
                <w:sz w:val="18"/>
                <w:szCs w:val="18"/>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price and any fractional shares) such funds and accounts will then sell, as selling</w:t>
            </w:r>
          </w:p>
        </w:tc>
      </w:tr>
      <w:tr>
        <w:trPr>
          <w:trHeight w:val="234"/>
        </w:trPr>
        <w:tc>
          <w:tcPr>
            <w:tcW w:w="408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stockholders, in this offering. See “Exercise of Warrants” herein for more information.</w:t>
            </w:r>
          </w:p>
        </w:tc>
      </w:tr>
      <w:tr>
        <w:trPr>
          <w:trHeight w:val="172"/>
        </w:trPr>
        <w:tc>
          <w:tcPr>
            <w:tcW w:w="40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r>
      <w:tr>
        <w:trPr>
          <w:trHeight w:val="436"/>
        </w:trPr>
        <w:tc>
          <w:tcPr>
            <w:tcW w:w="40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S-3</w:t>
            </w: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7"/>
          <w:szCs w:val="17"/>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underwriters have a 30-day option to purchase up to an additional      shares of common stock from certain selling stockholders at the public offering price, less underwriting discounts and commissions. See “Underwriting—Priority; Option to Purchase Additional Shares” for additional information regarding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-824865</wp:posOffset>
            </wp:positionV>
            <wp:extent cx="7136130" cy="3415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41566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940" w:space="180"/>
            <w:col w:w="6620"/>
          </w:cols>
          <w:pgMar w:left="520" w:top="891" w:right="6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the net proceeds, after deducting underwriting discounts, from this offering. We will not receive any proceeds from this offering. See “Use of Proceeds” and “Selling Stockholders” herein for more information.</w:t>
      </w:r>
    </w:p>
    <w:p>
      <w:pPr>
        <w:spacing w:after="0" w:line="176" w:lineRule="exact"/>
        <w:rPr>
          <w:sz w:val="20"/>
          <w:szCs w:val="20"/>
          <w:color w:val="auto"/>
        </w:rPr>
      </w:pPr>
    </w:p>
    <w:p>
      <w:pPr>
        <w:sectPr>
          <w:pgSz w:w="11900" w:h="16838" w:orient="portrait"/>
          <w:cols w:equalWidth="0" w:num="2">
            <w:col w:w="3400" w:space="720"/>
            <w:col w:w="6620"/>
          </w:cols>
          <w:pgMar w:left="520" w:top="891" w:right="6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Transfer Agent</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securities is Equiniti Trust Company, LLC, 48 Wall Street, Floor 23 New York, NY 10005.</w:t>
      </w:r>
    </w:p>
    <w:p>
      <w:pPr>
        <w:spacing w:after="0" w:line="162" w:lineRule="exact"/>
        <w:rPr>
          <w:sz w:val="20"/>
          <w:szCs w:val="20"/>
          <w:color w:val="auto"/>
        </w:rPr>
      </w:pPr>
    </w:p>
    <w:p>
      <w:pPr>
        <w:sectPr>
          <w:pgSz w:w="11900" w:h="16838" w:orient="portrait"/>
          <w:cols w:equalWidth="0" w:num="2">
            <w:col w:w="3400" w:space="720"/>
            <w:col w:w="6620"/>
          </w:cols>
          <w:pgMar w:left="520" w:top="891" w:right="6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 beginning on page S-5 in this prospectus supplement, on page 6 in the accompanying prospectus and in the documents incorporated by reference herein.</w:t>
      </w:r>
    </w:p>
    <w:p>
      <w:pPr>
        <w:spacing w:after="0" w:line="176" w:lineRule="exact"/>
        <w:rPr>
          <w:sz w:val="20"/>
          <w:szCs w:val="20"/>
          <w:color w:val="auto"/>
        </w:rPr>
      </w:pPr>
    </w:p>
    <w:p>
      <w:pPr>
        <w:sectPr>
          <w:pgSz w:w="11900" w:h="16838" w:orient="portrait"/>
          <w:cols w:equalWidth="0" w:num="2">
            <w:col w:w="3400" w:space="720"/>
            <w:col w:w="6620"/>
          </w:cols>
          <w:pgMar w:left="520" w:top="891" w:right="6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“PRTH.”</w:t>
      </w:r>
    </w:p>
    <w:p>
      <w:pPr>
        <w:spacing w:after="0" w:line="200" w:lineRule="exact"/>
        <w:rPr>
          <w:sz w:val="20"/>
          <w:szCs w:val="20"/>
          <w:color w:val="auto"/>
        </w:rPr>
      </w:pPr>
    </w:p>
    <w:p>
      <w:pPr>
        <w:sectPr>
          <w:pgSz w:w="11900" w:h="16838" w:orient="portrait"/>
          <w:cols w:equalWidth="0" w:num="2">
            <w:col w:w="3400" w:space="720"/>
            <w:col w:w="6620"/>
          </w:cols>
          <w:pgMar w:left="520" w:top="891" w:right="639" w:bottom="1440" w:gutter="0" w:footer="0" w:header="0"/>
          <w:type w:val="continuous"/>
        </w:sectPr>
      </w:pP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immediately after this offering as shown above is based on shares of common stock outstanding as of January 15, 2025 and excludes shares of common stock issuable upon vesting, settlement or exercise of any warrants (including the warrants held by certain funds and accounts indirectly managed or advised by Ares Management LLC) or equity awards and shares reserved for future issuance under any equity incentive plan or other stock plan or arrangement.</w:t>
      </w: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520" w:top="891" w:right="63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 You should carefully consider the risks described below and the section titled “Risk Factors”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incorporated by reference to our most recent Annual Report on Form 10-K, any subsequent Quarterly Reports on Form 10-Q or Current Reports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Form 8-K, and all other information contained or incorporated by reference into this prospectus supplement and the accompanying prospectus or any free-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writing prospectus, as updated by our subsequent filings under the Securities Exchange Act of 1934 (the “Exchange Act”), and the risk factors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contained in any applicable prospectus supplement before acquiring any such securities. Our business, prospects, financial condition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results could be harmed by any of these risks, as well as other risks not known to us or that we consider immaterial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prospectus supplement. The trading price of our common stock could decline due to any of these risks, and, as a result, you may lose all or part of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the closing of this offering, Thomas C. Priore will own approximately  % of our outstanding common stock, or % if the underwriters’ option to purchase additional shares of common stock is exercised in full. As a result, Mr. Priore will own shares of common stock sufficient for majority votes over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Mr. Priore may not always coincide with our interests or the interests of our other stockholders. This concentration of ownership may also have the effect of delaying, preventing or deterring a change in control of us. Also, Mr. Priore may seek to cause us to take courses of action that, in his judgment, could enhance his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stock in a company with significant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controlled company, we are not subject to all of the corporate governance rules of Nasdaq.</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Nasdaq requirements and (iii) a compensation committee composed entirely of independent directors and a written compensation committee charter meeting the requirements of Nasdaq. While we do not currently utilize all of these exemptions, these exemptions are available to us and, accordingly, our stockholders do not have the same protections afforded to stockholders of companies that are subject to all of the corporate governance requirements of Nasdaq.</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has been and may continue to be volatile, and you may not be able to resell your shares of common stock at or above the public offering price.</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market price and trading volume of our common stock has been, and may continue to be, volatile and could continue to be subject to wide fluctuations We cannot assure that the market price of our common stock will not fluctuate widely or decline significantly in the future in response to a number of factors, including, without limitation, the following:</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operating results;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ind w:left="660" w:right="1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(if provided) or differences between our actual financial and operating results and those expected by investors and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published research reports about us or our industry or the failure of securities analysts to cover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we may incur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and developments affecting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pronouncements;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relationships, joint ventures or capital commitments;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stock, regardless of our actual operating performance. The stock market in general has from time-to-time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be negatively affected by sales of substantial amounts of our common stock in the public markets after this offering.</w:t>
      </w:r>
    </w:p>
    <w:p>
      <w:pPr>
        <w:spacing w:after="0" w:line="15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Sales of our common stock in the public market, either by us or by our current or future stockholders, or the perception that these sales could occur, could cause a decline in the market price of our securities. All of the shares of our common stock held by those of our current stockholders who have not entered into “lock-up agreements” with the underwriters may be immediately eligible for resale in the open market either in compliance with an exemption under Rule 144 promulgated under the Securities Act of 1933, as amended (the “Securities Act”) or pursuant to an effective resale registration statement that we have previously filed with the SEC. Such sales, along with any other market transactions, could adversely affect the market price of our common stock.</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our executive officers and directors and the selling stockholders have entered into lock-up agreements containing certain restrictions on resale of any of our common stock owned by them for a period of 90 days after the date of this prospectus supplement, the market price of our common stock may decline significantly when such restrictions lapse or if the underwriters release all or any portion of the common stock subject to the foregoing lock-up agreements. A decline in the price of our common stock might impede our ability to raise capital through the issuance of additional common stock or other equity securities.</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t>Any issuance of our common stock that is not made solely to then-existing stockholders proportionate to their interests, such as in the case of a stock dividend or stock split, will result in dilution to each stockholder by reducing his, her or its percentage ownership of the total outstanding shares. Moreover, if we issue options or warrants to purchase our common stock in the future and those options or warrants are exercised you may experience further dilution. Holders of shares of our common stock have no preemptive rights that entitle them to purchase their pro rata share of any offering of shares of any class or series.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stock, publish negative research or reports, or cease to publish reports about our business, our stock price and trading volume could decline.</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and our industry. We do not control these analysts. If one or more analysts adversely change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 As a result, the market price for our common stock may decline below the offering price and you might not be able to resell your shares of our common stock at or above the offering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do not expect to declare or pay any cash or other dividends in the foreseeable future on our common stock because we intend to use cash flow generated by operations to grow our business. We may also enter into other credit agreements or other borrowing arrangements in the future that restrict or limit our ability to pay cash dividends on our common stock. As a result, our stockholders may not receive any return on an investment in our common stock unless they sell our common stock for a price greater than that which they paid for it.</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5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second amended and restated certificate of incorporation, as amended, and our amended and restated bylaws may make it more difficult for, or prevent a third-party from, acquiring control of us without the approval of our board of directors. Among other things, these provisions:</w:t>
      </w:r>
    </w:p>
    <w:p>
      <w:pPr>
        <w:spacing w:after="0" w:line="180" w:lineRule="exact"/>
        <w:rPr>
          <w:sz w:val="20"/>
          <w:szCs w:val="20"/>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of a majority of the board of directors to fix the number of directors;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power of our board of directors to fill any vacancy on our board of directors, whether such vacancy occurs as a result of an increase in the number of directors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without any need for action by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on by stockholders at stockholder meetings; and</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66 2/3% supermajority vote will be required, should certain stockholders’ voting power be below 40% in the aggregate, to amend or repeal provisions of our second amended and restated certificate of incorporation, as amended, and amended and restated bylaws relating to, among other things, the classification of the board of directors, the filling of vacancies on the board of directors and the advance notice requirements for stockholder proposals and director nominations.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right="160"/>
        <w:spacing w:after="0" w:line="266" w:lineRule="auto"/>
        <w:rPr>
          <w:sz w:val="20"/>
          <w:szCs w:val="20"/>
          <w:color w:val="auto"/>
        </w:rPr>
      </w:pPr>
      <w:r>
        <w:rPr>
          <w:rFonts w:ascii="Times New Roman" w:cs="Times New Roman" w:eastAsia="Times New Roman" w:hAnsi="Times New Roman"/>
          <w:sz w:val="18"/>
          <w:szCs w:val="18"/>
          <w:color w:val="auto"/>
        </w:rPr>
        <w:t>Under our Credit and Guaranty Agreement, dated as of May 16, 2024, among us, the loan parties named therein and Truist Bank, as amended by that certain Amendment No. 1 to the Credit and Guaranty Agreement, dated as of November 21, 2024, the occurrence of a change of control transaction could constitute an event of default permitting acceleration of the indebtedness, thereby impeding our ability to enter into certain transactions.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factors could impede a merger, takeover, or other business combination, or discourage a potential investor from making a tender offer for our common stock, which, under certain circumstances, could reduce the market value of our common stock.</w:t>
      </w:r>
    </w:p>
    <w:p>
      <w:pPr>
        <w:spacing w:after="0" w:line="15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certificate of incorporation, as amended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provides that, subject to certain exceptions, unless we consent in writing to the selection of an alternative 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DGCL, our certificate of incorporation or our bylaws, or (iv) any action asserting a claim against us governed by the internal affairs doctrine. 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this provision of our second amended and restated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by future issuances of common stock, which could reduce your influence over matters on which stockholders vote.</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issue stock options, restricted stock or other equity awards for compensation purposes in the future under our existing stock option plans or any future stock option plans that we may adopt. In addition to these options, we may raise additional capital from time to time in the future by issuing shares of our common stock or securities convertible into shares of our common stock. In addition, from time to time in the future we may issue shares of our common stock, preferred stock, or securities convertible into stock pursuant to additional registration statements or exemptions from registration under the Securities Act. If, and to the extent, any additional shares of our common stock are sold in the public market, our stockholders, including investors who purchase shares of our common stock in this offering, may experience dilution to their ownership interests in the Company. In addition, sales of substantial amounts of common stock from future issuances in the public market, or the perception that those sales will occur, could cause the market price of our common stock to decline or be depressed.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the terms of which could adversely affect the voting power or value of our common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Similarly, the repurchase or redemption rights or liquidation preferences we might assign to holders of preferred stock could affect the residual value of the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Our Preliminary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results represent management’s current estimates and are subject to change.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preliminary financial information contained in “Prospectus Supplement Summary—Recent Developments” are only preliminary estimated ranges and are based on information available to management as of the date of this prospectus supplement and our actual results may vary from the estimated preliminary results. Our actual financial results as of, and for the three months ended, December 31, 2024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December 31, 2024 may vary from the preliminary financial results we have provided as a result of the completion of our final adjustments, review by our independent registered public accounting firm, Ernst &amp; Young LLP, and other developments arising between now and the time that our financial results for such period are finalized, and you should not place undue reliance on these preliminary estimates. Ernst &amp; Young LLP has not audited, reviewed, compiled, or performed agreed-upon procedures with respect to these estimated preliminary financial results. Accordingly, Ernst &amp; Young LLP does not express an opinion or any other form of assurance with respect thereto. Complete results as of, and for the three months ended, December 31, 2024 will be included in our Annual Report on Form 10-K for the year ended December 31, 2024. See the other risks described in this section and the section titled “Cautionary Note Regarding Forward-Looking Statements” for additional information regarding factors that could result in differences between these preliminary and the actual financial results we will report for the three months ended December 31,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shares of our common stock offered hereby are being sold by the selling stockholders identified in this prospectus supplement. See “Selling Stockholders.” Accordingly, we will not receive any proceeds from the sale of shares by the selling stockholders, including from any exercise by the underwriters of the option to purchase additional shares of common stock.</w:t>
      </w:r>
    </w:p>
    <w:p>
      <w:pPr>
        <w:spacing w:after="0" w:line="3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16" w:name="page17"/>
    <w:bookmarkEnd w:id="1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27, 2021, we entered into a Purchase Agreement with funds and accounts indirectly managed or advised by Ares Management LLC (collectively, “Ares”), pursuant to which we issued to such funds and accounts warrants to purchase 1,803,841 shares of common stock, subject to adjustments as set forth in such warrants, at an exercise price per share of $0.001. Ares has informed us that, in connection with, and effective immediately prior to the completion of, this offering such funds and accounts will exercise these warrants to purchase 1,803,841 shares of common stock which shares (less the number of shares used to pay the cashless exercise price and any fractional shares) such funds and accounts will then sell, as selling stockholders, in this offering.</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7" w:name="page18"/>
    <w:bookmarkEnd w:id="1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declared, and currently do not plan to declare in the foreseeable future, dividends on our common stock. Instead, we anticipate that all of our earnings in the foreseeable future, if any, will be used for the operation and growth of our business. Any future determination to pay dividends on our common stock will be at the discretion of our board of directors and will depend upon many factors, including our financial position, our results of operations, our liquidity, legal requirements, restrictions that may be imposed by the terms of current and future financing instruments and other factors deemed relevant by our board of directors.</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the selling stockholders, the number of shares of our common stock offered hereby by the selling stockholders and information with respect to stock to be beneficially owned by the selling stockholders after completion of this offering. Beneficial ownership is determined in accordance with the rules of the SEC. Under such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ownership percentage. The number of shares of our common stock outstanding and percentages of beneficial ownership provided in the table below is based on the beneficial ownership as of January 14,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to be</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Beneficially</w:t>
            </w: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6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Subject</w:t>
            </w:r>
          </w:p>
        </w:tc>
        <w:tc>
          <w:tcPr>
            <w:tcW w:w="17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16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Stock Beneficially</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1100" w:type="dxa"/>
            <w:vAlign w:val="bottom"/>
            <w:gridSpan w:val="2"/>
            <w:vMerge w:val="continue"/>
          </w:tcPr>
          <w:p>
            <w:pPr>
              <w:spacing w:after="0"/>
              <w:rPr>
                <w:sz w:val="12"/>
                <w:szCs w:val="12"/>
                <w:color w:val="auto"/>
              </w:rPr>
            </w:pPr>
          </w:p>
        </w:tc>
        <w:tc>
          <w:tcPr>
            <w:tcW w:w="17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(Assuming the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7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(Assuming the</w:t>
            </w:r>
          </w:p>
        </w:tc>
        <w:tc>
          <w:tcPr>
            <w:tcW w:w="16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8"/>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460" w:type="dxa"/>
            <w:vAlign w:val="bottom"/>
            <w:gridSpan w:val="3"/>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7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6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 is Exercised in</w:t>
            </w:r>
          </w:p>
        </w:tc>
        <w:tc>
          <w:tcPr>
            <w:tcW w:w="0" w:type="dxa"/>
            <w:vAlign w:val="bottom"/>
          </w:tcPr>
          <w:p>
            <w:pPr>
              <w:spacing w:after="0"/>
              <w:rPr>
                <w:sz w:val="1"/>
                <w:szCs w:val="1"/>
                <w:color w:val="auto"/>
              </w:rPr>
            </w:pPr>
          </w:p>
        </w:tc>
      </w:tr>
      <w:tr>
        <w:trPr>
          <w:trHeight w:val="173"/>
        </w:trPr>
        <w:tc>
          <w:tcPr>
            <w:tcW w:w="3600" w:type="dxa"/>
            <w:vAlign w:val="bottom"/>
            <w:gridSpan w:val="2"/>
            <w:vMerge w:val="continue"/>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is Not Exercised)</w:t>
            </w: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w w:val="97"/>
              </w:rPr>
              <w:t>Full)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Stockholder</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Trident Finexera Holdings LP</w:t>
            </w:r>
            <w:r>
              <w:rPr>
                <w:rFonts w:ascii="Times New Roman" w:cs="Times New Roman" w:eastAsia="Times New Roman" w:hAnsi="Times New Roman"/>
                <w:sz w:val="21"/>
                <w:szCs w:val="21"/>
                <w:color w:val="auto"/>
                <w:vertAlign w:val="superscript"/>
              </w:rPr>
              <w:t>(2)</w:t>
            </w:r>
          </w:p>
        </w:tc>
        <w:tc>
          <w:tcPr>
            <w:tcW w:w="10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3,485,165</w:t>
            </w:r>
          </w:p>
        </w:tc>
        <w:tc>
          <w:tcPr>
            <w:tcW w:w="4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John Priore</w:t>
            </w:r>
            <w:r>
              <w:rPr>
                <w:rFonts w:ascii="Times New Roman" w:cs="Times New Roman" w:eastAsia="Times New Roman" w:hAnsi="Times New Roman"/>
                <w:sz w:val="21"/>
                <w:szCs w:val="21"/>
                <w:color w:val="auto"/>
                <w:vertAlign w:val="superscript"/>
              </w:rPr>
              <w:t>(3)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8,769,005</w:t>
            </w:r>
          </w:p>
        </w:tc>
        <w:tc>
          <w:tcPr>
            <w:tcW w:w="4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Funds or accounts indirectly managed or advised by Ares</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160"/>
              <w:spacing w:after="0" w:line="200" w:lineRule="exact"/>
              <w:rPr>
                <w:sz w:val="20"/>
                <w:szCs w:val="20"/>
                <w:color w:val="auto"/>
              </w:rPr>
            </w:pPr>
            <w:r>
              <w:rPr>
                <w:rFonts w:ascii="Times New Roman" w:cs="Times New Roman" w:eastAsia="Times New Roman" w:hAnsi="Times New Roman"/>
                <w:sz w:val="14"/>
                <w:szCs w:val="14"/>
                <w:color w:val="auto"/>
              </w:rPr>
              <w:t>Management LLC</w:t>
            </w:r>
            <w:r>
              <w:rPr>
                <w:rFonts w:ascii="Times New Roman" w:cs="Times New Roman" w:eastAsia="Times New Roman" w:hAnsi="Times New Roman"/>
                <w:sz w:val="23"/>
                <w:szCs w:val="23"/>
                <w:color w:val="auto"/>
                <w:vertAlign w:val="superscript"/>
              </w:rPr>
              <w:t>(4)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1,803,841</w:t>
            </w: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Thomas C. Priore</w:t>
            </w:r>
            <w:r>
              <w:rPr>
                <w:rFonts w:ascii="Times New Roman" w:cs="Times New Roman" w:eastAsia="Times New Roman" w:hAnsi="Times New Roman"/>
                <w:sz w:val="21"/>
                <w:szCs w:val="21"/>
                <w:color w:val="auto"/>
                <w:vertAlign w:val="superscript"/>
              </w:rPr>
              <w:t>(5)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46,819,486</w:t>
            </w:r>
          </w:p>
        </w:tc>
        <w:tc>
          <w:tcPr>
            <w:tcW w:w="48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60.7%</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Ranjana Ram</w:t>
            </w:r>
            <w:r>
              <w:rPr>
                <w:rFonts w:ascii="Times New Roman" w:cs="Times New Roman" w:eastAsia="Times New Roman" w:hAnsi="Times New Roman"/>
                <w:sz w:val="21"/>
                <w:szCs w:val="21"/>
                <w:color w:val="auto"/>
                <w:vertAlign w:val="superscript"/>
              </w:rPr>
              <w:t>(6)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661,669</w:t>
            </w:r>
          </w:p>
        </w:tc>
        <w:tc>
          <w:tcPr>
            <w:tcW w:w="4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Gahan</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396,612</w:t>
            </w:r>
          </w:p>
        </w:tc>
        <w:tc>
          <w:tcPr>
            <w:tcW w:w="48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40" w:hanging="328"/>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25" w:lineRule="exact"/>
        <w:rPr>
          <w:sz w:val="20"/>
          <w:szCs w:val="20"/>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Selling Stockholders is c/o Priority Technology Holdings, Inc., 2001 Westside Parkway, Suite 155, Alpharetta, GA 30004.</w:t>
      </w:r>
    </w:p>
    <w:p>
      <w:pPr>
        <w:spacing w:after="0" w:line="161"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Finxera Holdings LP, a Delaware limited partnership, is owned by certain funds managed by Stone Point Capital LLC. The address for Stone Point Capital LLC is 20 Horseneck Lane, Greenwich, CT 06830.</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a director of the Company. Includes 4,697,431 shares of common stock held by AESV Creditcard Consulting, LLC.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reported herein includes shares of common stock issuable upon exercise of warrants currently held of record by the following entities:</w:t>
      </w:r>
    </w:p>
    <w:p>
      <w:pPr>
        <w:spacing w:after="0" w:line="27" w:lineRule="exact"/>
        <w:rPr>
          <w:rFonts w:ascii="Times New Roman" w:cs="Times New Roman" w:eastAsia="Times New Roman" w:hAnsi="Times New Roman"/>
          <w:sz w:val="18"/>
          <w:szCs w:val="18"/>
          <w:color w:val="auto"/>
        </w:rPr>
      </w:pPr>
    </w:p>
    <w:p>
      <w:pPr>
        <w:ind w:left="340" w:right="280" w:hanging="8"/>
        <w:spacing w:after="0" w:line="265" w:lineRule="auto"/>
        <w:tabs>
          <w:tab w:leader="none" w:pos="55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shares issuable to Ares SDL Blocker Holdings LLC; (ii) 12 shares issuable to Ares Jasper Fund LLC; (iii) 12 shares issuable to Ares Direct Finance I LP; (iv) 361 shares issuable to Ares ND Credit Strategies Fund LLC; (v) 361 shares issuable to Ares SFERS Credit Strategies Fund LLC;</w:t>
      </w:r>
    </w:p>
    <w:p>
      <w:pPr>
        <w:ind w:left="340" w:right="120" w:hanging="8"/>
        <w:spacing w:after="0" w:line="253" w:lineRule="auto"/>
        <w:tabs>
          <w:tab w:leader="none" w:pos="6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 shares issuable to Chimney Tops Loan Fund, LLC; (vii) 12,254 shares issuable to Ares Centre Street Partnership, L.P.; (viii) 14,479 shares issuable to Ares Credit Strategies Insurance Dedicated Fund Series Interests of the SALI Multi-Series Fund, L.P.; (ix) 527,227 shares issuable to Ares PCS PF Equity Holdings LLC; (x) 527,226 shares issuable to Ares Capital Corporation; and (xi) 721,536 shares issuable to APF Holdings III, L.P. (collectively, the “Ares Holders”).</w:t>
      </w:r>
    </w:p>
    <w:p>
      <w:pPr>
        <w:spacing w:after="0" w:line="189" w:lineRule="exact"/>
        <w:rPr>
          <w:sz w:val="20"/>
          <w:szCs w:val="20"/>
          <w:color w:val="auto"/>
        </w:rPr>
      </w:pPr>
    </w:p>
    <w:p>
      <w:pPr>
        <w:ind w:left="340" w:right="80"/>
        <w:spacing w:after="0" w:line="289" w:lineRule="auto"/>
        <w:rPr>
          <w:sz w:val="20"/>
          <w:szCs w:val="20"/>
          <w:color w:val="auto"/>
        </w:rPr>
      </w:pPr>
      <w:r>
        <w:rPr>
          <w:rFonts w:ascii="Times New Roman" w:cs="Times New Roman" w:eastAsia="Times New Roman" w:hAnsi="Times New Roman"/>
          <w:sz w:val="17"/>
          <w:szCs w:val="17"/>
          <w:color w:val="auto"/>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332"/>
        <w:spacing w:after="0" w:line="270" w:lineRule="auto"/>
        <w:rPr>
          <w:sz w:val="20"/>
          <w:szCs w:val="20"/>
          <w:color w:val="auto"/>
        </w:rPr>
      </w:pPr>
      <w:r>
        <w:rPr>
          <w:rFonts w:ascii="Times New Roman" w:cs="Times New Roman" w:eastAsia="Times New Roman" w:hAnsi="Times New Roman"/>
          <w:sz w:val="17"/>
          <w:szCs w:val="17"/>
          <w:color w:val="auto"/>
        </w:rPr>
        <w:t>Ares Management is the sole member of Ares Holdco LLC, which is the general partner of Ares Management Holdings L.P., which is the sole member of Ares Management LLC, which is: (v) the sole member of Ares Capital Management LLC, which is (1) the manager of Ares SDL Blocker Holdings LLC; (2) the manager of Private Credit Fund C-1 Holdco, LLC – Series 1, which is the manager of Ares Jasper Fund LLC; (3) the manager of each of Ares Direct Finance I LP, Ares ND Credit Strategies Fund LLC, Ares SFERS Credit Strategies Fund LLC and Chimney Tops Loan Fund, LLC; and</w:t>
      </w:r>
    </w:p>
    <w:p>
      <w:pPr>
        <w:spacing w:after="0" w:line="3" w:lineRule="exact"/>
        <w:rPr>
          <w:sz w:val="20"/>
          <w:szCs w:val="20"/>
          <w:color w:val="auto"/>
        </w:rPr>
      </w:pPr>
    </w:p>
    <w:p>
      <w:pPr>
        <w:ind w:left="332" w:right="60" w:hanging="8"/>
        <w:spacing w:after="0" w:line="252" w:lineRule="auto"/>
        <w:tabs>
          <w:tab w:leader="none" w:pos="5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of Ares PCS Holdings LLC, which is the sole member of Ares PCS PF Equity Holdings LLC (w) the general partner of Ares Centre Street Management, L.P., which is the manager of Ares Centre Street Partnership, L.P.; (x) the subadvisor, along with Ares Capital Management LLC, of SALI Fund Management, LLC, which is the manager of Ares Credit Strategies Insurance Dedicated Fund Series Interests of the SALI Multi-Series Fund, L.P.; (y) the sole member of Ares Alternative Credit Management LLC, which is the manager of APF Holdings III, L.P.; and (z) the sole member of Ares Capital Management LLC, which is the manager of Ares Capital Corporation. Each of the foregoing entities may be deemed to share beneficial ownership of the securities held of record by the Ares Holders, but each disclaims any such beneficial ownership of securities not held of record by them.</w:t>
      </w:r>
    </w:p>
    <w:p>
      <w:pPr>
        <w:spacing w:after="0" w:line="188" w:lineRule="exact"/>
        <w:rPr>
          <w:sz w:val="20"/>
          <w:szCs w:val="20"/>
          <w:color w:val="auto"/>
        </w:rPr>
      </w:pPr>
    </w:p>
    <w:p>
      <w:pPr>
        <w:ind w:left="332" w:right="80"/>
        <w:spacing w:after="0" w:line="266" w:lineRule="auto"/>
        <w:rPr>
          <w:sz w:val="20"/>
          <w:szCs w:val="20"/>
          <w:color w:val="auto"/>
        </w:rPr>
      </w:pPr>
      <w:r>
        <w:rPr>
          <w:rFonts w:ascii="Times New Roman" w:cs="Times New Roman" w:eastAsia="Times New Roman" w:hAnsi="Times New Roman"/>
          <w:sz w:val="18"/>
          <w:szCs w:val="18"/>
          <w:color w:val="auto"/>
        </w:rPr>
        <w:t>Ares Partners is managed by a board of managers, which is composed of Michael J Arougheti, Ryan Berry, R. Kipp deVeer, David B. Kaplan, Antony P. Ressler and Bennett Rosenthal (collectively, the “Board Members”). Mr. Ressler generally has veto authority over the Board Members’ decisions. Each of these individuals disclaims beneficial ownership of the securities that may be deemed to be beneficially owned by Ares Partners.</w:t>
      </w:r>
    </w:p>
    <w:p>
      <w:pPr>
        <w:spacing w:after="0" w:line="1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address for each of the entities and individuals named in this footnote is 1800 Avenue of the Stars, Suite 1400, Los Angeles, CA 90067.</w:t>
      </w:r>
    </w:p>
    <w:p>
      <w:pPr>
        <w:spacing w:after="0" w:line="225" w:lineRule="exact"/>
        <w:rPr>
          <w:sz w:val="20"/>
          <w:szCs w:val="20"/>
          <w:color w:val="auto"/>
        </w:rPr>
      </w:pPr>
    </w:p>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our Chairman and Chief Executive Officer.</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our Chief Operating Officer.</w:t>
      </w: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purchase, ownership and disposition of our common stock to a non-U.S. holder that purchases shares of our common stock in this offering. For purposes of this summary, a “non-U.S. holder” means a beneficial owner of our common stock that is not a “U.S. person” or a partnership for U.S. federal income tax purposes. A U.S. person is any of the following:</w:t>
      </w:r>
    </w:p>
    <w:p>
      <w:pPr>
        <w:spacing w:after="0" w:line="176" w:lineRule="exact"/>
        <w:rPr>
          <w:sz w:val="20"/>
          <w:szCs w:val="20"/>
          <w:color w:val="auto"/>
        </w:rPr>
      </w:pPr>
    </w:p>
    <w:p>
      <w:pPr>
        <w:ind w:left="1220" w:hanging="317"/>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1220" w:right="380" w:hanging="317"/>
        <w:spacing w:after="0" w:line="282" w:lineRule="auto"/>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1220" w:hanging="317"/>
        <w:spacing w:after="0" w:line="266" w:lineRule="auto"/>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U.S. Department of the Treasury (the “Treasury”) regulations to be treated as a U.S. person for U.S. federal income tax purposes.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that calendar year. For purposes of this calculation, all of the days present in the tested year, one-third of the days present in the immediately preceding year and one-sixth of the days present in the second preceding year are counted. Residents are taxed for U.S. federal income tax purposes as if they were U.S. citizens.</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the case of a holder that is classified as a partnership for U.S. federal income tax purposes, the tax treatment of a partner in such partnership generally will depend upon the status of the partner and the activities of the partnership. If you are a partner in a partnership holding our common stock, then you should consult your own tax advisor.</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summary is based upon the provisions of the U.S. Internal Revenue Code of 1986, as amended, which we refer to as the Code, the Treasury regulations promulgated thereunder and administrative and judicial interpretations thereof, all as of the date hereof. Those authorities may be changed, perhaps retroactively, so as to result in U.S. federal income tax consequences different from those summarized below. We cannot assure you that a change in law, possibly with retroactive application, will not alter significantly the tax consequences described in this summary. We have not sought and do not plan to seek any ruling from the U.S. Internal Revenue Service (the “IRS”) with respect to the statements and conclusions set forth in the following summary, and there can be no assurance that the IRS or a court will agree with such statements and conclusions.</w:t>
      </w:r>
    </w:p>
    <w:p>
      <w:pPr>
        <w:spacing w:after="0" w:line="18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taxes that may be relevant to non-U.S. holders in light of their personal circumstances, and does not address federal taxes other than the U.S. federal income tax, or address state, local or non-U.S. tax considerations. This discussion also does not consider any specific facts or circumstances that may apply to a non-U.S. holder, including the alternative minimum tax and the Medicare contribution tax on net investment income, and does not address the special tax rules applicable to particular non-U.S. holders, such as:</w:t>
      </w:r>
    </w:p>
    <w:p>
      <w:pPr>
        <w:spacing w:after="0" w:line="180" w:lineRule="exact"/>
        <w:rPr>
          <w:sz w:val="20"/>
          <w:szCs w:val="20"/>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tax-qualified retirement plans;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as part of a straddle, hedge, conversion transaction, synthetic security or other integrated investment;</w:t>
      </w:r>
    </w:p>
    <w:p>
      <w:pPr>
        <w:spacing w:after="0" w:line="225" w:lineRule="exact"/>
        <w:rPr>
          <w:rFonts w:ascii="Times New Roman" w:cs="Times New Roman" w:eastAsia="Times New Roman" w:hAnsi="Times New Roman"/>
          <w:sz w:val="18"/>
          <w:szCs w:val="18"/>
          <w:color w:val="auto"/>
        </w:rPr>
      </w:pPr>
    </w:p>
    <w:p>
      <w:pPr>
        <w:ind w:left="1220" w:right="360" w:hanging="317"/>
        <w:spacing w:after="0" w:line="282" w:lineRule="auto"/>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(including rules requiring recognition of gross income based on a taxpayer’s applicable financial statement);</w:t>
      </w:r>
    </w:p>
    <w:p>
      <w:pPr>
        <w:spacing w:after="0" w:line="161"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22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investors in such entities) that are subject to special treatment under the Code.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Such non-U.S. holders should consult their own tax advisors to determine the U.S. federal, state, local and other tax consequences that may be relevant to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applies only to a non-U.S. holder that holds our common stock as a capital asset (within the meaning of Section 1221 of the Code).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 are considering the purchase of our common stock, you should consult your own tax advisor concerning the particular U.S. federal income tax consequences to you of the purchase, ownership and disposition of our common stock, as well as the consequences to you arising under U.S. tax laws other than the federal income tax laws or under the laws of any other taxing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discussed under the section entitled “Dividend Policy” above, we do not currently anticipate paying any dividends to holders of our common stock in the foreseeable future. If we make a distribution of cash or property (other than certain distributions of our common stock) with respect to our common stock (or complete a redemption that is treated as a distribution with respect to our common stock), such distribution will be treated as a dividend for U.S. federal income tax purposes to the extent paid from our current or accumulated earnings and profits (as determined under U.S. federal income tax principles). Dividends paid to you generally will be subject to withholding of U.S. federal income tax at a rate of 30% (or such lower rate as may be specified by an applicable income tax treaty) of the gross amount of the dividends. However, dividends that are effectively connected with the conduct of a trade or business by you within the United States and, in cases in which certain tax treaties require, are attributable to a U.S. permanent establishment maintained by you, are not subject to the withholding tax, but instead are subject to U.S. federal income tax on a net income basis at applicable graduated individual or corporate rates. Certain certification and disclosure requirements including delivery of a properly executed IRS Form W-8ECI must be satisfied for effectively connected income to be exempt from U.S. federal withholding tax. Any such effectively connected dividends received by a foreign corporation may also be subject to a “branch profits tax” at a 30% rate or such lower rate as may be specified by an applicable income tax treaty, as adjusted for certain items. Non-U.S. holders should consult their tax advisors regarding applicable tax treaties that may provide for different rules. Any dividend will also be subject to the discussion below under the heading “Additional Withholding Tax.”</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amount of a distribution paid on our common stock exceeds our current and accumulated earnings and profits, such excess will be allocated ratably among each share of common stock with respect to which the distribution is paid and treated first as a tax-free return of capital to the extent of your adjusted tax basis in each such share of common stock, and thereafter as capital gain from a sale or other taxable disposition of such share of common stock that is taxed to you as described below under the heading “Sale or Other Taxable Disposition of Common Stock.” Your adjusted tax basis in a share of our common stock is generally the purchase price of such share of common stock, reduced by the amount of any such tax-free returns of capital.</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you wish to claim the benefit of an applicable income tax treaty to avoid or reduce withholding of U.S. federal income tax on dividends, then you must provide the applicable withholding agent with a properly completed IRS Form-W-8BEN or W-8BEN-E (or other applicable form) and certify under penalties of perjury that you are not a U.S. person and are eligible for treaty benefits.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are eligible for a reduced rate of U.S. federal income tax pursuant to an income tax treaty but do not timely furnish the required documentation, then you may obtain a refund or credit of any excess amounts withheld by timely filing an appropriate claim with the IRS. You should consult your tax advisor regarding your entitlement to benefits under any applicable income tax treaty.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“Additional Withholding Tax,” you generally will not be subject to U.S. federal income tax with respect to gain realized on the sale or other taxable disposition of our common stock (other than a redemption that is treated as a distribution for U.S. federal income tax purposes and taxed as described above), unless:</w:t>
      </w:r>
    </w:p>
    <w:p>
      <w:pPr>
        <w:spacing w:after="0" w:line="176" w:lineRule="exact"/>
        <w:rPr>
          <w:sz w:val="20"/>
          <w:szCs w:val="20"/>
          <w:color w:val="auto"/>
        </w:rPr>
      </w:pPr>
    </w:p>
    <w:p>
      <w:pPr>
        <w:ind w:left="1220" w:right="460" w:hanging="317"/>
        <w:spacing w:after="0" w:line="282"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you conduct in the United States, and, in cases in which certain tax treaties require, is attributable to a U.S. permanent establishment maintained by you;</w:t>
      </w:r>
    </w:p>
    <w:p>
      <w:pPr>
        <w:spacing w:after="0" w:line="161" w:lineRule="exact"/>
        <w:rPr>
          <w:rFonts w:ascii="Times New Roman" w:cs="Times New Roman" w:eastAsia="Times New Roman" w:hAnsi="Times New Roman"/>
          <w:sz w:val="18"/>
          <w:szCs w:val="18"/>
          <w:color w:val="auto"/>
        </w:rPr>
      </w:pPr>
    </w:p>
    <w:p>
      <w:pPr>
        <w:ind w:left="1220" w:right="20" w:hanging="317"/>
        <w:spacing w:after="0" w:line="282"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present in the United States for 183 days or more in the taxable year of the sale or other taxable disposition, and you have a “tax home” (as defined in the Code) in the United States; or</w:t>
      </w:r>
    </w:p>
    <w:p>
      <w:pPr>
        <w:spacing w:after="0" w:line="161" w:lineRule="exact"/>
        <w:rPr>
          <w:rFonts w:ascii="Times New Roman" w:cs="Times New Roman" w:eastAsia="Times New Roman" w:hAnsi="Times New Roman"/>
          <w:sz w:val="18"/>
          <w:szCs w:val="18"/>
          <w:color w:val="auto"/>
        </w:rPr>
      </w:pPr>
    </w:p>
    <w:p>
      <w:pPr>
        <w:ind w:left="1220" w:right="300" w:hanging="317"/>
        <w:spacing w:after="0" w:line="266"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within the shorter of (i) the five-year period ending on the date of the sale or other taxable disposition of our common stock and (ii) your holding period for our common stock.</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point above, you generally will be subject to tax on the net gain derived from the disposition under regular graduated U.S. federal income tax rates. If you are a foreign corporation described in the first bullet point above, you may also be subject to a branch profits tax equal to 30% of your effectively connected earnings and profits or such lower rate as may be specified by an applicable income tax treaty, as adjusted for certain items. If you are an individual described in the second bullet point above, you will generally be subject to a flat 30% (or such lower rate as may be specified by an applicable income tax treaty) tax on the gain derived from the disposition, which may be offset by certain U.S. source capital losses (even though you are not considered a resident of the United States) provided that you have timely filed U.S. federal income tax returns with respect to such losses, but may not be offset by any capital loss carryovers.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that we are not currently, and we do not anticipate becoming, a United States real property holding corporation. However, because the determination of whether we are a United States real property holding corporation depends on the fair market value of our United States real property interests relative to the fair market value of our global real property interests and other business assets, there can be no assurance that we are not a United States real property holding corporation and will not become one in the future. In the event we do become a United States real property holding corporation, as long as our common stock is regularly traded on an established securities market, gain on a sale or disposition of our common stock will generally be subject to taxation pursuant to the third bullet point above only if you actually or constructively held more than 5% of our common stock at any time during the shorter of (i) the five-year period ending on the date of the sale or disposition of our common stock or (ii) your holding period for our common stock. If gain on the sale or other taxable disposition of our common stock were subject to taxation under the third bullet point above, the purchaser may be required to withhold 15% of the proceeds payable to you and you would be subject to regular U.S. federal income tax with respect to such gain in generally the same manner as a U.S. person.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consult your tax advisor regarding potentially applicable income tax treaties that provide for different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 Tax</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regarding “Additional Withholding Tax,” payments of dividends on our common stock will not be subject to backup withholding, provided the applicable withholding agent does not have actual knowledge or reason to know you are a United States person and you certify your non-U.S. status, such as by furnishing a valid IRS Form W-8BEN, W-8BEN-E or W-8ECI, or otherwise establish an exemption. However, we must report annually to the IRS and to you the amount of dividends paid to you and the amount of tax, if any, withheld with respect to such dividends.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you are a United States person, or you otherwise establish an exemption. Proceeds of a disposition of our common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ind w:right="28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you reside (or are established).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your U.S. federal income tax liability, provided the required information is timely furnished by you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thereunder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Withholding under FATCA therefore generally applies to payments of dividends on our common stock and to payments of gross proceeds from the sale or other disposition of such stock. The IRS, however, issued proposed Treasury regulations that eliminate FATCA withholding on payments and gross proceeds (but not dividends). Pursuant to the preamble to the proposed Treasury regulations, we and any withholding agent may (but are not required to) rely on this proposed change to FATCA withholding until the final Treasury regulations are issued. The FATCA withholding tax will apply to the applicable withholdable payments without regard to whether the beneficial owner of the payment would otherwise be entitled to an exemption from the imposition of withholding tax pursuant to an applicable tax treaty with the United States or U.S. domestic law.</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INCOME TAX CONSIDERATIONS IS FOR GENERAL INFORMATION ONLY. IT IS NOT TAX ADVICE. POTENTIAL PURCHASERS OF OUR COMMON STOCK ARE URGED TO CONSULT THEIR OWN TAX ADVISORS TO DETERMINE THE U.S. FEDERAL, STATE, LOCAL AND NON-U.S. TAX CONSIDERATIONS OF PURCHASING, OWNING AND DISPOSING OF OUR COMMON STOCK (DIRECTLY OR THROUGH ENTITIES), INCLUDING THE CONSEQUENCES OF ANY PROPOSED CHANGES IN APPLICABLE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an underwriting agreement with the selling stockholders and Keefe, Bruyette &amp; Woods, Inc. and TD Securities (USA) LLC, as representatives of the several underwriters listed below (collectively, the “underwriters”), with respect to the shares of our common stock being offered pursuant to this prospectus supplement. Subject to certain conditions, the selling stockholders will agree to sell, and each underwriter will severally and not jointly agree to purchase, the number of shares of our common stock indicated in the following table:</w:t>
      </w:r>
    </w:p>
    <w:p>
      <w:pPr>
        <w:spacing w:after="0" w:line="176"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Alliance Global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Lake Street Capital Markets, LLC</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31750</wp:posOffset>
            </wp:positionV>
            <wp:extent cx="7454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48895</wp:posOffset>
            </wp:positionV>
            <wp:extent cx="7454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-121920</wp:posOffset>
            </wp:positionV>
            <wp:extent cx="7454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of our common stock subject to a number of conditions, including receipt and acceptance of our common stock by the underwriters. The obligations of the underwriters to pay for and accept delivery of the shares offered by this prospectus supplement are subject to these conditions. The underwriting agreement between us, the selling stockholders and the underwriters provides that if any underwriter defaults, the purchase commitments of the non-defaulting underwriters may be increased or this offering may be terminated.</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underwriters or securities dealers may distribute offering documents to investors electronically. See the section entitled “Electronic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sold by the underwriters to the public will be offered at the public offering price set forth on the cover of this prospectus</w:t>
      </w:r>
    </w:p>
    <w:p>
      <w:pPr>
        <w:spacing w:after="0" w:line="27"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supplement. Any shares of our common stock sold by the underwriters to securities dealers may be sold at a discount of up to $ per share from the public offering price. Any of these securities dealers may resell any shares of our common stock purchased from the underwriters to other brokers or</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dealers at a discount of up to $ per share from the public offering price. If all of the shares of our common stock are not sold at the public offering price, the representatives may change the offering price and the other selling terms. Sales of shares of our common stock made outside of the United States may be made by affiliates of the underwriters. The underwriters reserve the right to reject an order for the purchase of shares, in whole or in part.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the selling stockholders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per share of common stock. The underwriting fee is $ per share. The following table shows the per share and total underwriting discounts to be paid to the underwriters assuming both no exercise and full exercise of the underwriters’ option to purchase additional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 exercise of</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Full exercise of</w:t>
            </w:r>
          </w:p>
        </w:tc>
      </w:tr>
      <w:tr>
        <w:trPr>
          <w:trHeight w:val="216"/>
        </w:trPr>
        <w:tc>
          <w:tcPr>
            <w:tcW w:w="2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 to purchase</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 to purchase</w:t>
            </w:r>
          </w:p>
        </w:tc>
      </w:tr>
      <w:tr>
        <w:trPr>
          <w:trHeight w:val="216"/>
        </w:trPr>
        <w:tc>
          <w:tcPr>
            <w:tcW w:w="2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r>
      <w:tr>
        <w:trPr>
          <w:trHeight w:val="238"/>
        </w:trPr>
        <w:tc>
          <w:tcPr>
            <w:tcW w:w="2500" w:type="dxa"/>
            <w:vAlign w:val="bottom"/>
          </w:tcPr>
          <w:p>
            <w:pPr>
              <w:spacing w:after="0"/>
              <w:rPr>
                <w:sz w:val="20"/>
                <w:szCs w:val="20"/>
                <w:color w:val="auto"/>
              </w:rPr>
            </w:pPr>
          </w:p>
        </w:tc>
        <w:tc>
          <w:tcPr>
            <w:tcW w:w="25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2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27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920" w:type="dxa"/>
            <w:vAlign w:val="bottom"/>
          </w:tcPr>
          <w:p>
            <w:pPr>
              <w:jc w:val="right"/>
              <w:ind w:right="27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estimate the expenses of this offering, not including the underwriting discount, to be approximately $ , and such expenses are payable by us. We also have agreed to reimburse the underwriters for certain expenses incurred by them in connection with this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Priority; Option to Purchase Additional Shares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underwriters will purchase shares from the selling stockholders in the following order of priority: First, from Trident Finxera Holdings LP until it no longer owns any shares of common stock, then pro rata from the funds and accounts indirectly managed or advised by Ares Management LLC, until they no longer own any whole shares of common stock, then pro rata from the remaining selling stockholders.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remaining selling stockholders have granted the underwriters an option to purchase up to additional shares of our common stock, at the public offering price set forth on the cover page of this prospectus supplement, less the underwriting discount. The underwriters may exercise this option, in whole or in part, from time to time for a period of 30 days from the date of this prospectus supplement. If the underwriters exercise this option, each underwriter will be obligated, subject to the conditions in the underwriting agreement, to purchase a number of additional shares of our common stock proportionate to the number of shares reflected next to such underwriter’s name in the table above relative to the total number of shares reflected in such 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our executive officers and directors and the selling stockholders (collectively, the “lock-up parties”) are entering into lock-up agreements with the underwriters. Under these agreements, we and each of these persons may not, without the prior written approval of the representatives and subject to certain exceptions:</w:t>
      </w:r>
    </w:p>
    <w:p>
      <w:pPr>
        <w:spacing w:after="0" w:line="176" w:lineRule="exact"/>
        <w:rPr>
          <w:sz w:val="20"/>
          <w:szCs w:val="20"/>
          <w:color w:val="auto"/>
        </w:rPr>
      </w:pPr>
    </w:p>
    <w:p>
      <w:pPr>
        <w:ind w:left="660" w:hanging="328"/>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Exchange Act, or otherwise dispose of or transfer any shares of our common stock or any securities convertible into or exchangeable or exercisable for or repayable with our common stock, whether now owned or hereafter acquired or with respect to which the such person has or hereafter acquires the power of disposition, or exercise any right with respect to the registration of any of the foregoing, or file or cause to be filed any registration statement in connection therewith under the Securities Act;</w:t>
      </w:r>
    </w:p>
    <w:p>
      <w:pPr>
        <w:spacing w:after="0" w:line="187" w:lineRule="exact"/>
        <w:rPr>
          <w:rFonts w:ascii="Times New Roman" w:cs="Times New Roman" w:eastAsia="Times New Roman" w:hAnsi="Times New Roman"/>
          <w:sz w:val="18"/>
          <w:szCs w:val="18"/>
          <w:color w:val="auto"/>
        </w:rPr>
      </w:pPr>
    </w:p>
    <w:p>
      <w:pPr>
        <w:ind w:left="660" w:right="20" w:hanging="328"/>
        <w:spacing w:after="0" w:line="289"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hedge or any other agreement or any transaction that transfers, in whole or in part, the economic consequence of ownership of shares of our common stock or any securities convertible into or exchangeable or exercisable for or repayable with shares of our common stock, whether any such swap, hedge or transaction is to be settled by delivery of shares of common stock or other securities, in cash or otherwise; or</w:t>
      </w:r>
    </w:p>
    <w:p>
      <w:pPr>
        <w:spacing w:after="0" w:line="157" w:lineRule="exact"/>
        <w:rPr>
          <w:rFonts w:ascii="Times New Roman" w:cs="Times New Roman" w:eastAsia="Times New Roman" w:hAnsi="Times New Roman"/>
          <w:sz w:val="17"/>
          <w:szCs w:val="17"/>
          <w:color w:val="auto"/>
        </w:rPr>
      </w:pPr>
    </w:p>
    <w:p>
      <w:pPr>
        <w:ind w:left="660" w:right="5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make any such offer, pledge, sale or disposition, or to enter into any such swap, hedge, transaction or other arrangement.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restrictions are subject to customary exceptions and will be in effect for a period of 90 days after the date of this prospectus supplement. At any time and without public notice, the representatives may, in their sole discretion, waive or release all or some of the securities from these lock-up agreements. If the representatives release any lock-up party beneficially owning at least 2% of our common stock from their lock-up agreement (in such capacity, the “released party”), then, subject to certain exceptions, each other lock-up party shall be automatically released from their respective lock-up agreements to the same extent (i.e. if a released party is released with respect to 15% of their total shares, each other lock-up party will be released with respect to 15% of their respective total shares).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restrictions also apply to securities convertible into or exchangeable or exercisable for our common stock to the same extent as they apply to our common stock. They also apply to common stock owned now or later acquired by the person executing the agreement or for which the person executing the agreement later acquires the power of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“PRTH.”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 If we and the selling stockholders are unable to provide this indemnification, we and the selling stockholders will contribute to the payments the underwriters and their affiliates, selling agents, and controlling persons may be required to make in respect of those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 facilitate this offering and in accordance with Regulation M under the Exchange Act, the underwriters may engage in transactions that stabilize, maintain, or otherwise affect the price of our common stock,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to cover positions created by short sales.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involves the sale by the underwriters of a greater number of shares of common stock than they are required to purchase in this offering. Short sales may be “covered short sales,” which are short positions in an amount not greater than the underwriters’ purchase option referred to above, or may be “naked short sales,” which are short positions in excess of that amount.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underwriters may close out any covered short position either by exercising their purchase option, in whole or in part, or by purchasing shares in the open market. In making this determination, the underwriters will consider, among other things, the price of shares available for purchase in the open market compared to the price at which they may purchase shares through the purchase option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an additional means of facilitating our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syndicate short positions or to stabilize the price of our common stock.</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result of these activities, the price of our common stock may be higher than the price that otherwise might exist in the open market. If these activities are commenced, they may be discontinued by the underwriters at any time without notice. The underwriters may carry out these transactions on the Nasdaq Capital Market, in the over-the-counter market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supplement in electronic format, the information on the underwriters’ websites and any information contained on any other website maintained by any of the underwriters is not part of this prospectus supplement, has not been approved and/or endorsed by the underwriters or us, and should not be relied upon by investors.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respective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For example, on May 16, 2024, we entered into a credit agreement providing for (1) a senior secured first lien term loan facility in an aggregate principal amount of $835.0 million and (2) a senior secured revolving credit facility in an aggregate amount equal to $70.0 million, and TD Securities (USA) LLC serves as joint lead arranger and joint bookrunner in connection with such facilities.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respective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the Prospectus Regulation;</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who acquire shares for a total consideration of at least EUR 100,000 per investor, for each separate offer;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the Prospectus Regulation as it forms part of domestic law by virtue of the European Union (Withdrawal) Act 2018.</w:t>
      </w:r>
    </w:p>
    <w:p>
      <w:pPr>
        <w:spacing w:after="0" w:line="18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w:t>
      </w:r>
    </w:p>
    <w:p>
      <w:pPr>
        <w:spacing w:after="0" w:line="3" w:lineRule="exact"/>
        <w:rPr>
          <w:sz w:val="20"/>
          <w:szCs w:val="20"/>
          <w:color w:val="auto"/>
        </w:rPr>
      </w:pPr>
    </w:p>
    <w:p>
      <w:pPr>
        <w:ind w:firstLine="8"/>
        <w:spacing w:after="0" w:line="253"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Order (all such persons together we refer to as “relevant persons”) or otherwise in circumstances which have not resulted and will not result in an offer to the public of the shares in the United Kingdom within the meaning of the FSMA. This prospectus supplement must not be acted on or relied on in the United Kingdom by persons who are not relevant persons. In the United Kingdom, any investment or investment activity, to which this prospectus supplement relates, is only available to, and will be engaged in with, relevant persons.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legal matters relating to this offering, including the validity of the common stock offered by this prospectus supplement, will be passed upon for us by Troutman Pepper Locke LLP, Atlanta, Georgia. The underwriters are being represented in connection with this offering by Freshfields US LLP, New York, New York.</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0" w:name="page31"/>
    <w:bookmarkEnd w:id="3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appearing in the Company’s </w:t>
      </w:r>
      <w:hyperlink r:id="rId48">
        <w:r>
          <w:rPr>
            <w:rFonts w:ascii="Times New Roman" w:cs="Times New Roman" w:eastAsia="Times New Roman" w:hAnsi="Times New Roman"/>
            <w:sz w:val="18"/>
            <w:szCs w:val="18"/>
            <w:u w:val="single" w:color="auto"/>
            <w:color w:val="0000EE"/>
          </w:rPr>
          <w:t>Annual Report (Form 10-K) for the year ended December 31, 2023</w:t>
        </w:r>
      </w:hyperlink>
      <w:r>
        <w:rPr>
          <w:rFonts w:ascii="Times New Roman" w:cs="Times New Roman" w:eastAsia="Times New Roman" w:hAnsi="Times New Roman"/>
          <w:sz w:val="18"/>
          <w:szCs w:val="18"/>
          <w:color w:val="auto"/>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relating to the common stock covered by this prospectus supplement and the accompanying prospectus. This prospectus supplement forms part of the registration statement filed by the Company with the SEC under the Securities Act. Whenever a reference is made in this prospectus supplement to a contract or other document that is an exhibit to the registration statement, the reference is only a summary and you should refer to the exhibits that are a part of the registration statement for a copy of the contract or other document. You may review a copy of the registration statement and the documents incorporated by reference therein through the SEC’s website listed below.</w:t>
      </w:r>
    </w:p>
    <w:p>
      <w:pPr>
        <w:spacing w:after="0" w:line="18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that contains reports, proxy and information statements and other information regarding registrants. Our SEC filings, including our registration statement of which this prospectus supplement is a part and the exhibits and schedules thereto, are available via the SEC’s EDGAR database.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maintain a website at www.prioritycommerce.com. You may access these materials free of charge as soon as reasonably practicable after they are electronically filed with, or furnished to, the SEC. Information contained on our website is not a part of this prospectus supplement, and the inclusion of our website address in this prospectus supplement is an inactive textual reference only.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information that we file later with the SEC will automatically update and supersede this information. We incorporate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our Annual Report on Form 10-K for the fiscal year ended December 31, 2023, filed on March 12, 2024</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Form 10-Q for the quarterly periods ended March 31, 2024, June 30, 2024 and September 30, 2024, filed on </w:t>
      </w:r>
      <w:hyperlink r:id="rId51">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August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u w:val="single" w:color="auto"/>
            <w:color w:val="0000EE"/>
          </w:rPr>
          <w:t>our definitive Proxy Statement on Schedule 14A, filed on April 9, 2024</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5">
        <w:r>
          <w:rPr>
            <w:rFonts w:ascii="Times New Roman" w:cs="Times New Roman" w:eastAsia="Times New Roman" w:hAnsi="Times New Roman"/>
            <w:sz w:val="18"/>
            <w:szCs w:val="18"/>
            <w:u w:val="single" w:color="auto"/>
            <w:color w:val="0000EE"/>
          </w:rPr>
          <w:t>February 23, 2024</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May 22, 2024</w:t>
        </w:r>
      </w:hyperlink>
      <w:r>
        <w:rPr>
          <w:rFonts w:ascii="Times New Roman" w:cs="Times New Roman" w:eastAsia="Times New Roman" w:hAnsi="Times New Roman"/>
          <w:sz w:val="18"/>
          <w:szCs w:val="18"/>
          <w:color w:val="auto"/>
        </w:rPr>
        <w:t xml:space="preserve">, and </w:t>
      </w:r>
      <w:hyperlink r:id="rId58">
        <w:r>
          <w:rPr>
            <w:rFonts w:ascii="Times New Roman" w:cs="Times New Roman" w:eastAsia="Times New Roman" w:hAnsi="Times New Roman"/>
            <w:sz w:val="18"/>
            <w:szCs w:val="18"/>
            <w:u w:val="single" w:color="auto"/>
            <w:color w:val="0000EE"/>
          </w:rPr>
          <w:t>November 21,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w:t>
      </w:r>
      <w:hyperlink r:id="rId59">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will incorporate by reference all documents filed pursuant to Sections 13(a), 13(c), 14 or 15(d) of the Exchange Act, other than any portions of the respective filings that were furnished, after the date of this prospectus supplement and prior to the termination of this offering; provided, however, that we are not incorporating any information furnished under Item 2.02 or Item 7.01 of any Current Report on Form 8-K (including any financial statements or exhibits relating thereto furnished pursuant to Item 9.01) or other applicable SEC rules.</w:t>
      </w:r>
    </w:p>
    <w:p>
      <w:pPr>
        <w:spacing w:after="0" w:line="180"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may without charge to each person, including any beneficial owner, to whom a copy of this prospectus supplement is delivered, upon written or oral request of any such person, obtain a copy of any and all of the information that has been incorporated by reference in this prospectus supplement, other than exhibits to such documents, unless such exhibits have been specifically incorporated by reference thereto. Requests for such copies should be directed to our Investor Relations department, at the following address and phone number:</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(773) 497-7575</w:t>
      </w:r>
    </w:p>
    <w:p>
      <w:pPr>
        <w:spacing w:after="0" w:line="207" w:lineRule="exact"/>
        <w:rPr>
          <w:rFonts w:ascii="Times New Roman" w:cs="Times New Roman" w:eastAsia="Times New Roman" w:hAnsi="Times New Roman"/>
          <w:sz w:val="18"/>
          <w:szCs w:val="18"/>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 this prospectus supplement, the accompanying prospectus, or any free writing prospectus is accurate only as of the date of the documents containing the information, regardless of the time of its delivery or of any sale of our securities. Our business, financial condition, results of operations and prospects may have changed since those dates.</w:t>
      </w:r>
    </w:p>
    <w:p>
      <w:pPr>
        <w:spacing w:after="0" w:line="176" w:lineRule="exact"/>
        <w:rPr>
          <w:rFonts w:ascii="Times New Roman" w:cs="Times New Roman" w:eastAsia="Times New Roman" w:hAnsi="Times New Roman"/>
          <w:sz w:val="18"/>
          <w:szCs w:val="18"/>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part of a registration statement we filed with the SEC. We have incorporated exhibits into this registration statement. You should read the exhibits carefully for provisions that may be important to you.</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831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63144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Priority Technology Holdings, Inc.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$100,000,000 of 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13,418,109 Shares of Common Stock from Selling Stockholders</w:t>
      </w:r>
    </w:p>
    <w:p>
      <w:pPr>
        <w:spacing w:after="0" w:line="23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or the selling stockholders identified herein may offer to sell shares of our common stock, par value $0.001 per share, from time to time in amounts, at prices and on terms that will be determined at the time of any such offering as described under “Plan of Distribution”.</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Each time that we or the selling stockholders offer any securities using this prospectus, we will provide a prospectus supplement and attach it to this prospectus. The prospectus supplement or a free writing prospectus will contain more specific information about the offering and the securities being offered, including identifying the selling stockholders as well as the specific amounts, prices and terms of the securities being offered. The prospectus supplement or free writing prospectus may also add, update or change information contained in this prospectus. This prospectus may not be used to sell securities unless accompanied by a prospectus supplement describing the method and terms of the offering.</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the selling stockholders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stockholders.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on the NASDAQ Capital Market under the symbol “PRTH.” On November 26, 2024, the last reported sales price for our common stock was $10.02 per share.</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and free writing prospectus, together with any documents we incorporate by reference, before you invest in our securities.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In addition, any securities covered by this prospectus which qualify for sale pursuant to Rule 144 of the Securities Act of 1933 may be sold under Rule 144 rather than pursuant to this prospectus.</w:t>
      </w:r>
    </w:p>
    <w:p>
      <w:pPr>
        <w:spacing w:after="0" w:line="15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carefully consider the risk factors referred to in the section titled “</w:t>
      </w:r>
      <w:r>
        <w:rPr>
          <w:rFonts w:ascii="Times New Roman" w:cs="Times New Roman" w:eastAsia="Times New Roman" w:hAnsi="Times New Roman"/>
          <w:sz w:val="18"/>
          <w:szCs w:val="18"/>
          <w:b w:val="1"/>
          <w:bCs w:val="1"/>
          <w:u w:val="single" w:color="auto"/>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Factors</w:t>
      </w:r>
      <w:r>
        <w:rPr>
          <w:rFonts w:ascii="Times New Roman" w:cs="Times New Roman" w:eastAsia="Times New Roman" w:hAnsi="Times New Roman"/>
          <w:sz w:val="18"/>
          <w:szCs w:val="18"/>
          <w:b w:val="1"/>
          <w:bCs w:val="1"/>
          <w:color w:val="auto"/>
        </w:rPr>
        <w:t>” beginning on page 6 of this prospectus, in any prospectus supplement and free writing prospectus, together with the documents incorporated or deemed incorporated by reference before you make your investment decision.</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40" w:type="dxa"/>
            <w:vAlign w:val="bottom"/>
            <w:gridSpan w:val="5"/>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40" w:type="dxa"/>
            <w:vAlign w:val="bottom"/>
            <w:gridSpan w:val="5"/>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32"/>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0"/>
        </w:trPr>
        <w:tc>
          <w:tcPr>
            <w:tcW w:w="1580" w:type="dxa"/>
            <w:vAlign w:val="bottom"/>
            <w:tcBorders>
              <w:bottom w:val="single" w:sz="8" w:color="0000EE"/>
            </w:tcBorders>
            <w:gridSpan w:val="8"/>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4"/>
            <w:shd w:val="clear" w:color="auto" w:fill="CCEEFF"/>
          </w:tcPr>
          <w:p>
            <w:pPr>
              <w:jc w:val="right"/>
              <w:ind w:right="80"/>
              <w:spacing w:after="0" w:line="156" w:lineRule="exact"/>
              <w:rPr>
                <w:sz w:val="20"/>
                <w:szCs w:val="20"/>
                <w:color w:val="auto"/>
              </w:rPr>
            </w:pPr>
            <w:r>
              <w:rPr>
                <w:rFonts w:ascii="Times New Roman" w:cs="Times New Roman" w:eastAsia="Times New Roman" w:hAnsi="Times New Roman"/>
                <w:sz w:val="18"/>
                <w:szCs w:val="18"/>
                <w:color w:val="0000EE"/>
              </w:rPr>
              <w:t>1</w:t>
            </w:r>
          </w:p>
        </w:tc>
      </w:tr>
      <w:tr>
        <w:trPr>
          <w:trHeight w:val="170"/>
        </w:trPr>
        <w:tc>
          <w:tcPr>
            <w:tcW w:w="4600" w:type="dxa"/>
            <w:vAlign w:val="bottom"/>
            <w:tcBorders>
              <w:top w:val="single" w:sz="8" w:color="CCEEFF"/>
            </w:tcBorders>
            <w:gridSpan w:val="13"/>
          </w:tcPr>
          <w:p>
            <w:pPr>
              <w:spacing w:after="0" w:line="170"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460" w:type="dxa"/>
            <w:vAlign w:val="bottom"/>
            <w:tcBorders>
              <w:top w:val="single" w:sz="8" w:color="CCEEFF"/>
            </w:tcBorders>
            <w:gridSpan w:val="3"/>
          </w:tcPr>
          <w:p>
            <w:pPr>
              <w:spacing w:after="0"/>
              <w:rPr>
                <w:sz w:val="14"/>
                <w:szCs w:val="14"/>
                <w:color w:val="auto"/>
              </w:rPr>
            </w:pPr>
          </w:p>
        </w:tc>
        <w:tc>
          <w:tcPr>
            <w:tcW w:w="100" w:type="dxa"/>
            <w:vAlign w:val="bottom"/>
            <w:tcBorders>
              <w:top w:val="single" w:sz="8" w:color="0000EE"/>
            </w:tcBorders>
          </w:tcPr>
          <w:p>
            <w:pPr>
              <w:jc w:val="right"/>
              <w:spacing w:after="0" w:line="170"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Borders>
              <w:top w:val="single" w:sz="8" w:color="CCEEFF"/>
            </w:tcBorders>
          </w:tcPr>
          <w:p>
            <w:pPr>
              <w:spacing w:after="0"/>
              <w:rPr>
                <w:sz w:val="14"/>
                <w:szCs w:val="14"/>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Our Company</w:t>
            </w:r>
          </w:p>
        </w:tc>
        <w:tc>
          <w:tcPr>
            <w:tcW w:w="3560" w:type="dxa"/>
            <w:vAlign w:val="bottom"/>
            <w:tcBorders>
              <w:bottom w:val="single" w:sz="8" w:color="CCEEFF"/>
            </w:tcBorders>
            <w:gridSpan w:val="9"/>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76"/>
        </w:trPr>
        <w:tc>
          <w:tcPr>
            <w:tcW w:w="4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420" w:type="dxa"/>
            <w:vAlign w:val="bottom"/>
            <w:tcBorders>
              <w:bottom w:val="single" w:sz="8" w:color="CCEEFF"/>
            </w:tcBorders>
            <w:gridSpan w:val="8"/>
            <w:shd w:val="clear" w:color="auto" w:fill="CCEEFF"/>
          </w:tcPr>
          <w:p>
            <w:pPr>
              <w:spacing w:after="0"/>
              <w:rPr>
                <w:sz w:val="17"/>
                <w:szCs w:val="17"/>
                <w:color w:val="auto"/>
              </w:rPr>
            </w:pPr>
          </w:p>
        </w:tc>
        <w:tc>
          <w:tcPr>
            <w:tcW w:w="64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75"/>
        </w:trPr>
        <w:tc>
          <w:tcPr>
            <w:tcW w:w="4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46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9</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540" w:type="dxa"/>
            <w:vAlign w:val="bottom"/>
            <w:gridSpan w:val="4"/>
          </w:tcPr>
          <w:p>
            <w:pPr>
              <w:spacing w:after="0"/>
              <w:rPr>
                <w:sz w:val="15"/>
                <w:szCs w:val="15"/>
                <w:color w:val="auto"/>
              </w:rPr>
            </w:pP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580" w:type="dxa"/>
            <w:vAlign w:val="bottom"/>
            <w:gridSpan w:val="10"/>
            <w:shd w:val="clear" w:color="auto" w:fill="CCEEFF"/>
          </w:tcPr>
          <w:p>
            <w:pPr>
              <w:spacing w:after="0"/>
              <w:rPr>
                <w:sz w:val="15"/>
                <w:szCs w:val="15"/>
                <w:color w:val="auto"/>
              </w:rPr>
            </w:pPr>
          </w:p>
        </w:tc>
        <w:tc>
          <w:tcPr>
            <w:tcW w:w="66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3580" w:type="dxa"/>
            <w:vAlign w:val="bottom"/>
            <w:gridSpan w:val="10"/>
          </w:tcPr>
          <w:p>
            <w:pPr>
              <w:spacing w:after="0"/>
              <w:rPr>
                <w:sz w:val="15"/>
                <w:szCs w:val="15"/>
                <w:color w:val="auto"/>
              </w:rPr>
            </w:pP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8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720" w:type="dxa"/>
            <w:vAlign w:val="bottom"/>
            <w:gridSpan w:val="2"/>
            <w:shd w:val="clear" w:color="auto" w:fill="CCEEFF"/>
          </w:tcPr>
          <w:p>
            <w:pPr>
              <w:spacing w:after="0"/>
              <w:rPr>
                <w:sz w:val="15"/>
                <w:szCs w:val="15"/>
                <w:color w:val="auto"/>
              </w:rPr>
            </w:pPr>
          </w:p>
        </w:tc>
        <w:tc>
          <w:tcPr>
            <w:tcW w:w="66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17</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8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1720" w:type="dxa"/>
            <w:vAlign w:val="bottom"/>
            <w:gridSpan w:val="2"/>
          </w:tcPr>
          <w:p>
            <w:pPr>
              <w:spacing w:after="0"/>
              <w:rPr>
                <w:sz w:val="15"/>
                <w:szCs w:val="15"/>
                <w:color w:val="auto"/>
              </w:rPr>
            </w:pPr>
          </w:p>
        </w:tc>
        <w:tc>
          <w:tcPr>
            <w:tcW w:w="66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18</w:t>
            </w:r>
          </w:p>
        </w:tc>
      </w:tr>
      <w:tr>
        <w:trPr>
          <w:trHeight w:val="696"/>
        </w:trPr>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under the Securities Act of 1933, as amended (the “Securities Act”), using a “shelf” registration process. Under this shelf registration process, we may, from time to time, offer and sell up to $100,000,000 in the aggregate of our common stock in one or more offerings. In addition, one or more selling stockholder may, from time to time, offer and sell up to 13,418,109 in the aggregate of shares of our common stock. This prospectus provides you with a general description of the securities that we or the selling stockholders may offer. Any prospectus supplement and any free writing prospectus may contain more specific information about the offering, including the specific amounts, prices and terms of the securities being offered. A prospectus supplement or free writing prospectus may also add, update, change or clarify information contained in or incorporated by reference into this prospectus. Any statement that we make in this prospectus will be modified or superseded by any inconsistent statement made by us in a prospectus supplement or free writing prospectus. If there is any inconsistency between the information in this prospectus and the information in the prospectus supplement or free writing prospectus, you should rely on the information in the prospectus supplement or free writing prospectus.</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rules of the Securities and Exchange Commission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or free writing prospectus together with the additional information that is incorporated or deemed incorporated by reference in this prospectus as described under the heading “Information Incorporated by Reference” and any additional information described under the heading “Where You Can Find More Information” before making an investment in our securities.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described herein have been filed, or will be filed or incorporated by reference, as exhibits to the registration statement of which this prospectus is a part. The registration statement, including the exhibits and documents incorporated or deemed incorporated by reference in this prospectus can be read on the SEC website mentioned under the heading “Where You Can Find More Information.”</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context otherwise requires, references in this prospectus to the “Company,” “Priority,” “we,” “our,” “us” or like terms refer to Priority Technology Holdings, Inc. and its subsidiaries and predecessors.</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or any applicable prospectus supplement or free writing prospectus nor any sale made using this prospectus or any applicable prospectus supplement or free writing prospectus implies that there has been no change in our affairs or that the information contained in, or incorporated by reference in, this prospectus or in any applicable prospectus supplement or free writing prospectus is correct as of any date after their respective dates. You should not assume that the information contained in, or incorporated by reference in, this prospectus or any applicable prospectus supplement or any free writing prospectus prepared by us is accurate as of any date other than the respective dates thereof. Our business, financial condition, results of operations and prospects may have changed since those dates.</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a prospectus supplement or free writing prospectus. We have not authorized anyone to give you different information, and if you are given any information or representation about these matters that is not contained or incorporated by reference in this prospectus, a prospectus supplement or free writing prospectus, you must not rely on that information. This prospectus and any accompanying prospectus supplement or free writing prospectus do not constitute an offer to sell or the solicitation of an offer to buy any securities other than the registered securities to which they relate, nor do this prospectus and any accompanying prospectus supplement or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trademarks, service marks and trade names of third parties appearing in this prospectus or incorporated by reference herein are the property of their respective owners. Our use or display of third parties’ trademarks, service marks, trade names or products in this prospectus and the documents incorporated by reference herein is not intended to, and does not imply, a relationship with, or endorsement or sponsorship by us. Solely for convenience, the trademarks, service marks and trade names referred to in this prospectus and the documents incorporated by reference herein may appear without the ®,</w:t>
      </w:r>
    </w:p>
    <w:p>
      <w:pPr>
        <w:spacing w:after="0" w:line="3" w:lineRule="exact"/>
        <w:rPr>
          <w:sz w:val="20"/>
          <w:szCs w:val="20"/>
          <w:color w:val="auto"/>
        </w:rPr>
      </w:pPr>
    </w:p>
    <w:p>
      <w:pPr>
        <w:ind w:right="160" w:firstLine="8"/>
        <w:spacing w:after="0" w:line="209" w:lineRule="auto"/>
        <w:tabs>
          <w:tab w:leader="none" w:pos="2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statements made in this prospectus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 include, but are not limited to, statements about:</w:t>
      </w:r>
    </w:p>
    <w:p>
      <w:pPr>
        <w:spacing w:after="0" w:line="189" w:lineRule="exact"/>
        <w:rPr>
          <w:sz w:val="20"/>
          <w:szCs w:val="20"/>
          <w:color w:val="auto"/>
        </w:rPr>
      </w:pPr>
    </w:p>
    <w:p>
      <w:pPr>
        <w:ind w:left="660" w:right="600" w:hanging="328"/>
        <w:spacing w:after="0" w:line="312"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 and</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“Item 1A - Risk Factors” section of our Annual Report on Form 10-K for the fiscal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with the understanding that our actual future results, levels of activity, performance and achievements may be materially different from what we expect. We qualify all of our forward-looking statements by these cautionary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Priority is a solutions provider in electronic payments and Banking as a Service (“BaaS”) industry, operating at scale with over 1.1 million active customers across its small and medium business (“SMB”) merchant, business-to-business (“B2B”) and enterprise customers channels. Priority processes approximately $127 billion in annual volume and provides administration for over $1.1 billion in deposits. Priority’s purpose-built technology enables clients to collect, store, lend and send money while providing accounts payable (“AP”) payment applications and Priority Passport (“Passport”) financial tools that best optimize their cash flow and maximize working capital bolstered by our industry leading personalized support.</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Priority was established in 2005 and has grown from a founder-financed technology startup to become the 6th largest non-bank merchant acquirer in the U.S. by volume, according to the Nilson Report issued in March 2024. Since inception, we have built a native technology platform that provides all forms of payments (card acquiring and issuing, automated clearing house (“ACH”), check and wire) and embedded finance services that serve customers of any size. Priority maintains a global business platform with over 1,000 employees operating from its headquarters in Alpharetta, GA and regional offices in other locations, including New York, NY; Hicksville, NY; Chattanooga, TN; Raleigh, NC; Dallas, TX; San Francisco, CA; and Chandigarh, India.</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Priority delivers value to its partners by leveraging its payments and embedded finance technology to deliver solutions that power modern commerce for SMBs and enterprise software and business partners. We handle the complexities of payments and embedded finance to free our partners to focus on their core business objectives. Priority’s solutions are offered via Application Program Interface (“API”) or proprietary applications with nationwide money transmission licenses, providing end-to-end operational support including automated risk management and underwriting, full compliance and industry leading customer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has been underpinned by three key strengths: 1) market leading proprietary product platforms in SMB, B2B and Enterprise Payments verticals;</w:t>
      </w:r>
    </w:p>
    <w:p>
      <w:pPr>
        <w:spacing w:after="0" w:line="27" w:lineRule="exact"/>
        <w:rPr>
          <w:sz w:val="20"/>
          <w:szCs w:val="20"/>
          <w:color w:val="auto"/>
        </w:rPr>
      </w:pPr>
    </w:p>
    <w:p>
      <w:pPr>
        <w:ind w:right="340" w:firstLine="8"/>
        <w:spacing w:after="0" w:line="260" w:lineRule="auto"/>
        <w:tabs>
          <w:tab w:leader="none" w:pos="1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distribution engines dedicated to helping our partners monetize their merchant payment networks; and 3) a cost-efficient, agile payment and business processing infrastructure, purpose-built to support our partners in operating in these distinct market verticals.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Priority’s solutions are delivered via internally developed payment applications and services to customers in the following business segments:</w:t>
      </w:r>
    </w:p>
    <w:p>
      <w:pPr>
        <w:spacing w:after="0" w:line="225" w:lineRule="exact"/>
        <w:rPr>
          <w:sz w:val="20"/>
          <w:szCs w:val="20"/>
          <w:color w:val="auto"/>
        </w:rPr>
      </w:pPr>
    </w:p>
    <w:p>
      <w:pPr>
        <w:ind w:left="660" w:right="1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SMB Acquiring Solutions: Provides full-service acquiring and payment-enabled solutions for B2C transactions, leveraging Priority’s proprietary software platform, distributed through ISO, direct sales and vertically focused Independent Software Vendors (“ISV”) channels.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Payables: Provides market-leading AP automation solutions to corporations, software partners and industry leading financial institutions (including Citibank and Mastercard).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Payments and BaaS: Provides embedded finance and BaaS solutions to customers to modernize legacy platforms and accelerate software partners’ strategies to monetize payments.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586105</wp:posOffset>
            </wp:positionV>
            <wp:extent cx="5357495" cy="3008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35749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MX product suite provides technology-enabled payment acceptance and business management capabilities to merchants, enterprises and our distribution partners. The MX product suite includes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SMB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suite encompasses a variety of proprietary and third-party product applications that merchants can adopt such as MX Insights, MX Storefront, MX Retail, MX Invoice, MX B2B and ACH.com, among others. This comprehensive suite of solutions enables merchants to 1) identify key consumer trends in their businesses; 2) quickly implement e-commerce or retail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our SMB offering, we have diversified our source of revenues through our growing presence in the B2B market. We provide automated AP offerings to our enterprise clients and financial institutions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 2) buyers with valuable rebate/discount revenue: and 3) the Company with stable sources of payment processing and other revenue. Additionally, we provide a suite of integrated AP automation solutions businesses to financial institutions and card networks such as Citibank, Mastercard and Visa, among others. Alongside CPX as part of the AP suite, Priority acquired the assets of Plastiq Inc. through its subsidiary Plastiq, Powered by Priority, LLC, a leading B2B payments company, in the third fiscal quarter of 2023, and has helped tens of thousands of businesses improve cash flow with instant access to working capital, while automating and enabling control over all aspects of accounts payable and receivable.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 fees and get paid across any customer touch point, including a website, invoice, checkout process, and in person via QR code. The Plastiq Connect API suite enables platforms, marketplaces, and enterprise resource planning, to expand B2B payment options for payables and receivables in their native customer experience while outsourcing payment execution, risk, and compliance.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ind w:right="300"/>
        <w:spacing w:after="0" w:line="266" w:lineRule="auto"/>
        <w:rPr>
          <w:sz w:val="20"/>
          <w:szCs w:val="20"/>
          <w:color w:val="auto"/>
        </w:rPr>
      </w:pPr>
      <w:r>
        <w:rPr>
          <w:rFonts w:ascii="Times New Roman" w:cs="Times New Roman" w:eastAsia="Times New Roman" w:hAnsi="Times New Roman"/>
          <w:sz w:val="18"/>
          <w:szCs w:val="18"/>
          <w:color w:val="auto"/>
        </w:rPr>
        <w:t>Our Enterprise Payments segment provides embedded finance and BaaS solutions to customers that modernize legacy platforms and accelerate modern software partners looking to monetize payment components. We provide solutions for ISVs, third-party integrators, and merchants that allow for the leveraging of our core payments engine, our automated payables platform or our account ledgering capabilities all via API resources.</w:t>
      </w:r>
    </w:p>
    <w:p>
      <w:pPr>
        <w:spacing w:after="0" w:line="17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We generate revenue primarily from payment processing transactions, and to a lesser extent, from monthly subscription services and other solutions provided to customers and interest income from the permissible investments of the deposits we hold. Payment processing fees are generated from the ongoing sales of our merchants and are governed by multi-year merchant contracts. As a result, payment processing fees are highly recurring in nature.</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Priority Technology Holdings, Inc. is incorporated under the laws of the State of Delaware. Our principal executive offices are located at 2001 Westside Parkway, Suite 155, Alpharetta, GA 30004. Our telephone number is (800) 935-5961 and our internet address is </w:t>
      </w:r>
      <w:r>
        <w:rPr>
          <w:rFonts w:ascii="Times New Roman" w:cs="Times New Roman" w:eastAsia="Times New Roman" w:hAnsi="Times New Roman"/>
          <w:sz w:val="18"/>
          <w:szCs w:val="18"/>
          <w:u w:val="single" w:color="auto"/>
          <w:color w:val="auto"/>
        </w:rPr>
        <w:t>www.prioritycommerce.com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Our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the information contained thereon and accessible therefrom are not part of this prospectus and should not be relied upon by prospective investors in connection with any decision to purchase our common stock.</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0" w:name="page41"/>
    <w:bookmarkEnd w:id="4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or free writing prospectus that we provide you in connection with an offering of securities pursuant to this prospectus, together with all of the other information included in this prospectus, any prospectus supplement or free writing prospectus and the documents we incorporate by reference, in evaluating an investment in our securities. Additional risks and uncertainties not presently known to us, or that we currently see as immaterial, may also harm our business. Past financial performance may not be a reliable indicator of future performance, and historical trends should not be used to anticipate results or trends in future periods.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Statement Regarding Forward-Looking Statements.”</w:t>
      </w: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41" w:name="page42"/>
    <w:bookmarkEnd w:id="4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we receive from the sale of securities by us as set forth in the applicable prospectus supplement. Unless the applicable prospectus supplement provides otherwise, we will not receive any proceeds from sales of our securities by selling stockholders.</w:t>
      </w: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as of November 26, 2024, with respect to the selling stockholders and the shares of our common stock beneficially owned by the selling stockholders that may from time to time be offered or sold pursuant to this prospectus. Selling stockholders as used herein includes donees, pledgees, transferees or other successors-in-interest selling shares of common stock or interests in shares of common stock received after the date of this prospectus from the selling stockholders as a gift, pledge, partnership or other distribution or other transfer, Beneficial ownership is determined in accordance with the rules of the SEC. The selling stockholders may offer all, some or none of their shares of common stock. We cannot advise you as to whether the selling stockholders will in fact sell any or all of such shares of common stock. Information concerning the selling stockholders may change from time to time and any such changed information will, if required, be set forth in a prospectus supplement or post-effective amendment to the registration statement of which this prospectus is a part, as may be appropriate.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 After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Sale of the Maximum Number</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 of Common Stock</w:t>
            </w:r>
          </w:p>
        </w:tc>
        <w:tc>
          <w:tcPr>
            <w:tcW w:w="0" w:type="dxa"/>
            <w:vAlign w:val="bottom"/>
          </w:tcPr>
          <w:p>
            <w:pPr>
              <w:spacing w:after="0"/>
              <w:rPr>
                <w:sz w:val="1"/>
                <w:szCs w:val="1"/>
                <w:color w:val="auto"/>
              </w:rPr>
            </w:pPr>
          </w:p>
        </w:tc>
      </w:tr>
      <w:tr>
        <w:trPr>
          <w:trHeight w:val="187"/>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w:t>
            </w: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6"/>
                <w:szCs w:val="16"/>
                <w:color w:val="auto"/>
              </w:rPr>
            </w:pPr>
          </w:p>
        </w:tc>
        <w:tc>
          <w:tcPr>
            <w:tcW w:w="17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00" w:type="dxa"/>
            <w:vAlign w:val="bottom"/>
            <w:gridSpan w:val="2"/>
            <w:vMerge w:val="continue"/>
          </w:tcPr>
          <w:p>
            <w:pPr>
              <w:spacing w:after="0"/>
              <w:rPr>
                <w:sz w:val="16"/>
                <w:szCs w:val="16"/>
                <w:color w:val="auto"/>
              </w:rPr>
            </w:pPr>
          </w:p>
        </w:tc>
        <w:tc>
          <w:tcPr>
            <w:tcW w:w="13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70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7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that May be</w:t>
            </w:r>
          </w:p>
        </w:tc>
        <w:tc>
          <w:tcPr>
            <w:tcW w:w="13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29"/>
                <w:szCs w:val="29"/>
                <w:b w:val="1"/>
                <w:bCs w:val="1"/>
                <w:color w:val="auto"/>
                <w:vertAlign w:val="superscript"/>
              </w:rPr>
              <w:t>(1)</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Offered for Resale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50"/>
        </w:trPr>
        <w:tc>
          <w:tcPr>
            <w:tcW w:w="32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Trident Finxera Holdings LP</w:t>
            </w:r>
            <w:r>
              <w:rPr>
                <w:rFonts w:ascii="Times New Roman" w:cs="Times New Roman" w:eastAsia="Times New Roman" w:hAnsi="Times New Roman"/>
                <w:sz w:val="28"/>
                <w:szCs w:val="28"/>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5,037,723</w:t>
            </w:r>
          </w:p>
        </w:tc>
        <w:tc>
          <w:tcPr>
            <w:tcW w:w="2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5,037,723</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Priore</w:t>
            </w:r>
            <w:r>
              <w:rPr>
                <w:rFonts w:ascii="Times New Roman" w:cs="Times New Roman" w:eastAsia="Times New Roman" w:hAnsi="Times New Roman"/>
                <w:sz w:val="29"/>
                <w:szCs w:val="29"/>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8,752,711</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4,697,431</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4,055,280</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CFF"/>
          </w:tcPr>
          <w:p>
            <w:pPr>
              <w:spacing w:after="0" w:line="256" w:lineRule="exact"/>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29"/>
                <w:szCs w:val="29"/>
                <w:color w:val="auto"/>
                <w:vertAlign w:val="superscript"/>
              </w:rPr>
              <w:t>(4)</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CFF"/>
          </w:tcPr>
          <w:p>
            <w:pPr>
              <w:spacing w:after="0"/>
              <w:rPr>
                <w:sz w:val="22"/>
                <w:szCs w:val="22"/>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CFF"/>
          </w:tcPr>
          <w:p>
            <w:pPr>
              <w:spacing w:after="0"/>
              <w:rPr>
                <w:sz w:val="22"/>
                <w:szCs w:val="2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1,803,841</w:t>
            </w:r>
          </w:p>
        </w:tc>
        <w:tc>
          <w:tcPr>
            <w:tcW w:w="22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CFF"/>
          </w:tcPr>
          <w:p>
            <w:pPr>
              <w:spacing w:after="0"/>
              <w:rPr>
                <w:sz w:val="22"/>
                <w:szCs w:val="22"/>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Thomas C. Priore</w:t>
            </w:r>
            <w:r>
              <w:rPr>
                <w:rFonts w:ascii="Times New Roman" w:cs="Times New Roman" w:eastAsia="Times New Roman" w:hAnsi="Times New Roman"/>
                <w:sz w:val="29"/>
                <w:szCs w:val="29"/>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46,819,486</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45,819,486</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Sanj Goyle</w:t>
            </w:r>
            <w:r>
              <w:rPr>
                <w:rFonts w:ascii="Times New Roman" w:cs="Times New Roman" w:eastAsia="Times New Roman" w:hAnsi="Times New Roman"/>
                <w:sz w:val="29"/>
                <w:szCs w:val="29"/>
                <w:color w:val="auto"/>
                <w:vertAlign w:val="superscript"/>
              </w:rPr>
              <w:t>(6)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404,114</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404,114</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Sean Kiewiet</w:t>
            </w:r>
            <w:r>
              <w:rPr>
                <w:rFonts w:ascii="Times New Roman" w:cs="Times New Roman" w:eastAsia="Times New Roman" w:hAnsi="Times New Roman"/>
                <w:sz w:val="29"/>
                <w:szCs w:val="29"/>
                <w:color w:val="auto"/>
                <w:vertAlign w:val="superscript"/>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1,009,675</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809,675</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CFF"/>
          </w:tcPr>
          <w:p>
            <w:pPr>
              <w:spacing w:after="0" w:line="256" w:lineRule="exact"/>
              <w:rPr>
                <w:sz w:val="20"/>
                <w:szCs w:val="20"/>
                <w:color w:val="auto"/>
              </w:rPr>
            </w:pPr>
            <w:r>
              <w:rPr>
                <w:rFonts w:ascii="Times New Roman" w:cs="Times New Roman" w:eastAsia="Times New Roman" w:hAnsi="Times New Roman"/>
                <w:sz w:val="18"/>
                <w:szCs w:val="18"/>
                <w:color w:val="auto"/>
              </w:rPr>
              <w:t>Ranjana Ram</w:t>
            </w:r>
            <w:r>
              <w:rPr>
                <w:rFonts w:ascii="Times New Roman" w:cs="Times New Roman" w:eastAsia="Times New Roman" w:hAnsi="Times New Roman"/>
                <w:sz w:val="29"/>
                <w:szCs w:val="29"/>
                <w:color w:val="auto"/>
                <w:vertAlign w:val="superscript"/>
              </w:rPr>
              <w:t>(8)</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661,669</w:t>
            </w:r>
          </w:p>
        </w:tc>
        <w:tc>
          <w:tcPr>
            <w:tcW w:w="240" w:type="dxa"/>
            <w:vAlign w:val="bottom"/>
            <w:shd w:val="clear" w:color="auto" w:fill="CCECFF"/>
          </w:tcPr>
          <w:p>
            <w:pPr>
              <w:spacing w:after="0"/>
              <w:rPr>
                <w:sz w:val="22"/>
                <w:szCs w:val="22"/>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2"/>
                <w:szCs w:val="22"/>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CFF"/>
          </w:tcPr>
          <w:p>
            <w:pPr>
              <w:spacing w:after="0"/>
              <w:rPr>
                <w:sz w:val="22"/>
                <w:szCs w:val="2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511,669</w:t>
            </w:r>
          </w:p>
        </w:tc>
        <w:tc>
          <w:tcPr>
            <w:tcW w:w="200" w:type="dxa"/>
            <w:vAlign w:val="bottom"/>
            <w:shd w:val="clear" w:color="auto" w:fill="CCECFF"/>
          </w:tcPr>
          <w:p>
            <w:pPr>
              <w:spacing w:after="0"/>
              <w:rPr>
                <w:sz w:val="22"/>
                <w:szCs w:val="22"/>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Gahan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396,612</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271,612</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480" w:right="560" w:hanging="418"/>
        <w:spacing w:after="0" w:line="261" w:lineRule="auto"/>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Priority Technology Holdings, Inc., 2001 Westside Parkway, Suite 155, Alpharetta, GA 30004.</w:t>
      </w:r>
    </w:p>
    <w:p>
      <w:pPr>
        <w:ind w:left="480" w:right="40" w:hanging="418"/>
        <w:spacing w:after="0" w:line="250" w:lineRule="auto"/>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Finxera Holdings LP, a Delaware limited partnership, is owned by certain funds managed by Stone Point Capital LLC. The address for Stone Point Capital LLC is 20 Horseneck Lane, Greenwich, CT 06830.</w:t>
      </w: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a director. Includes 4,697,431 common stock held by AESV Credit Card Consulting, LLC.</w:t>
      </w:r>
    </w:p>
    <w:p>
      <w:pPr>
        <w:spacing w:after="0" w:line="9" w:lineRule="exact"/>
        <w:rPr>
          <w:rFonts w:ascii="Times New Roman" w:cs="Times New Roman" w:eastAsia="Times New Roman" w:hAnsi="Times New Roman"/>
          <w:sz w:val="18"/>
          <w:szCs w:val="18"/>
          <w:color w:val="auto"/>
        </w:rPr>
      </w:pPr>
    </w:p>
    <w:p>
      <w:pPr>
        <w:ind w:left="480" w:right="140" w:hanging="418"/>
        <w:spacing w:after="0" w:line="250" w:lineRule="auto"/>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1,803,841 shares of Common Stock that may be acquired through the exercise of warrants that are exercisable as of, or will become exercisable within 60 days of, the date above. The address for Ares Management Corporation is 1800 Avenue of the Stars Suite 1400, Los Angeles, CA 90067.</w:t>
      </w:r>
    </w:p>
    <w:p>
      <w:pPr>
        <w:spacing w:after="0" w:line="1"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President, Chief Executive Officer, and Chairman.</w:t>
      </w:r>
    </w:p>
    <w:p>
      <w:pPr>
        <w:spacing w:after="0" w:line="9"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404,114 common stock held in Goyle Nanda 2018 Irrevocable Trust.</w:t>
      </w:r>
    </w:p>
    <w:p>
      <w:pPr>
        <w:spacing w:after="0" w:line="9"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Chief Strategy Officer.</w:t>
      </w:r>
    </w:p>
    <w:p>
      <w:pPr>
        <w:spacing w:after="0" w:line="9"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as Chief Operating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following summarizes the most important terms of our common stock and preferred stock and related provisions of the certificate of incorporation and our bylaws. This description also summarizes the principal agreements relating to our common stock and our preferred stock. Because it is only a summary, it does not contain all the information that may be important to you. For a complete description, you should refer to our certificate of incorporation and bylaws and the agreements referred to below, copies of which are filed as exhibits to the registration statement of which this prospectus forms a part.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$0.001, and 100,000,000 shares of preferred stock, par value $0.001. As of November 26, 2024, 77,197,935 shares of common stock were outstanding, held by 66 stockholders of record and no shares of preferred stock were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Delaware General Corporation Law (“DGCL”).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shares of our common stock issued are duly authorized, validly issued,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April 27, 2021, we entered into a Securities Purchase Agreement (the “Purchase Agreement”) with credit funds managed by certain affiliates of Ares Management Corporation for the private placement of (i) up to $250,000,000 in aggregate of a senior preferred stock, par value $0.001 per share, (all of which senior preferred stock issued has since been redeemed) and (ii) warrants to purchase up to 1,803,841 shares of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entered into a Registration Rights Agreement (the “Registration Rights Agreement”), dated April 27, 2021, executed in conjunction with the Purchase Agreement, pursuant to which we agreed to provide certain rights related to the registration of common stock issued or issuable upon exercise of the warrants. The Registration Rights Agreement allows the investors to include their registerable securities in any registered offering of common stock covered by a non-shelf registration statement, except for a sale of common stock by the investors or their affiliates to one or more purchasers in a registered transaction by means of (i) a bought deal, (ii) a block trade, (iii) a direct sale or (iv) an overnight deal.</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Registration Rights Agreement, investors also have the right to demand and be included in a shelf registration, enabling them to request that we file a shelf registration statement with respect to their registrable securities, subject to S-3 eligibility requirements. Certain investors can demand non-underwritten “takedowns” of registrable securities off an effective shelf registration statement. All investors can exercise piggyback rights for underwritten shelf takedowns. We are required to file a post-effective amendment to an existing shelf to register up to the number of registrable securities previously taken down and not yet reloaded onto the shelf upon written request. However, these rights are subject to limitations, such as lock-up arrangements, and investors do not have piggyback rights for primary offerings by us covered by Form S-8, non-cash offerings, or offerings of securities other than common stock or registrable securities. We can also postpone or suspend the effectiveness of a registration statement for a “blackout period.” Investors must notify us in writing to demand a registration statement and indicate the number of registrable securities and the proposed plan of distribution. We must also keep investors informed of any registration of common stock with piggyback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we issued warrants to purchase up to 1,803,841 shares of common stock, subject to adjustments as set forth in such warrants, at an exercise price per share of $0.001. The warrants will expire on April 27, 2031, or earlier upon redemption or liquidation. The warrants are exercisable in whole at any time or in part from time to time by surrendering a warrant certificate on any business day to us at our principal office and upon payment to us of the exercise price for the warrant shares being purchased. All warrant shares will, upon issuance, be original issue shares, and not treasury stock, fully paid and nonassessable and free from all taxes, claims, liens, charges and other encumbrances with respect to the issuance of warrant shares other than as may be imposed by federal or state securities laws. Warrant holders are entitled to all the benefits, as well as subject to all obligations, of the Registration Rights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Holders of our common stock have no preemptive, subscription, redemption or conversion rights and there is no sinking fund provisions applicable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Second Amended and Restated Certificate of Incorporation authorizes the issuance of 100,000,000 shares of preferred stock with such designation,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preferences as may be determined from time to time by our board of directors as may be permitted by the DGCL,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authority to provide that any such class or series may be: (i) subject to redemption at any such time or times and at such price or prices; (ii)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 dividends (which may be cumulative or non-cumulative) at such rates, on such conditions, and at such time, and payable in preference to, or in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 to, the dividends payable on any other class or classes or any other series; (iii) entitled to such rights upon the dissolution of, or upon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the assets of, the corporation; or (iv) convertible into, or exchangeable for, shares of any other class or classes of stock, or of any other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same or any other class or classes of stock, of the Company at such price or prices or at such rates of exchange and with such adjustments, all as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stated in such resolution or resolutions. Our authorized preferred stock consists of 250,000 shares of redeemable senior preferred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Issuance of preferred stock in the future could discourage bids for the common stock at a premium as well as create a depressive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market price of the common stock. The terms of any preferred stock we may offer will be described in the applicable prospectus supplement.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contains provisions that have the same effect as Section 203, except that they provide that Priority Investment Holdings, LLC and Priority Incentive Equity Holdings, LLC (collectively,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Liability and Indemnification of Directors, Officers and Employees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permits us to purchase and maintain insurance on behalf of any person who is or was a director, officer, employee or agent of the Company, or is or was serving at the request of our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Second Amended and Restated Certificate of Incorporation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us and its stockholders. In addition, your investment may be adversely affected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Capital Market under the symbol “PRTH.”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securities is Equiniti Trust Company, LLC, 48 Wall Street, Floor 23 New York, NY 10005.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or the selling stockholders may sell the securities described in the prospectus from time to time in any one or more of the following methods when disposing of securities or interests there:</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purchasers directly;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public offering and sale by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forgoing methods of sale;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securities on any stock exchange, market or trading facility on which the securities are traded or in private transactions. The selling stockholders may also sell shares under Rule 144 under the Securities Act, if available, rather than under this prospectus, regardless of whether the shares are covered by this prospectus. The selling stockholders may also sell shares through trading plans entered into by the selling stockholders, including any trading plans pursuant to Rule 10b5-1 under the Exchange Act, that are in place at the time of an offering pursuant to this prospectus and any applicable prospectus supplement or free writing prospectus hereto that provide for periodic sales of their shares on the basis of parameters described in such trading plans.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dispositions may be at fixed prices, at prevailing market prices at the time of sale, at prices related to the prevailing market price, at varying prices determined at the time of sale, or at negotiated prices.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or one or more selling stockholders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 Any such underwriters will be named in a prospectus supplement.</w:t>
      </w:r>
    </w:p>
    <w:p>
      <w:pPr>
        <w:spacing w:after="0" w:line="18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Unless we state otherwise in an applicable prospectus supplement, the obligations of any underwriters to purchase securities will be subject to certain conditions precedent, and the underwriters will be obligated to purchase all the securities if any are purchased.</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set forth whether or not underwriters may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We will name any agent involved in a sale of securities, as well as any commissions payable to such agent, in a prospectus supplement. Unless we state otherwise in the applicable prospectus supplement, any such agent will be acting on a reasonable efforts basis for the period of its appointment.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49" w:name="page50"/>
    <w:bookmarkEnd w:id="49"/>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validity of the issuance of the securities offered in this prospectus will be passed upon for us by Troutman Pepper Hamilton Sanders LLP, Atlanta, Georgia.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w:t>
      </w: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0" w:name="page51"/>
    <w:bookmarkEnd w:id="5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appearing in the Company’s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that contains reports, proxy and information statements and other information regarding registrants. Our SEC filings, including our registration statement of which this prospectus is a part and the exhibits and schedules thereto, via the SEC’s EDGAR database.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u w:val="single" w:color="auto"/>
          <w:color w:val="auto"/>
        </w:rPr>
        <w:t>www.prioritycommerce.com</w:t>
      </w:r>
      <w:r>
        <w:rPr>
          <w:rFonts w:ascii="Times New Roman" w:cs="Times New Roman" w:eastAsia="Times New Roman" w:hAnsi="Times New Roman"/>
          <w:sz w:val="18"/>
          <w:szCs w:val="18"/>
          <w:color w:val="auto"/>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including us, that file electronically with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incorporate by reference the documents listed below:</w:t>
      </w:r>
    </w:p>
    <w:p>
      <w:pPr>
        <w:spacing w:after="0" w:line="158" w:lineRule="exact"/>
        <w:rPr>
          <w:sz w:val="20"/>
          <w:szCs w:val="20"/>
          <w:color w:val="auto"/>
        </w:rPr>
      </w:pPr>
    </w:p>
    <w:p>
      <w:pPr>
        <w:ind w:left="780" w:hanging="214"/>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8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March 12, 2024;</w:t>
      </w:r>
    </w:p>
    <w:p>
      <w:pPr>
        <w:spacing w:after="0" w:line="225" w:lineRule="exact"/>
        <w:rPr>
          <w:rFonts w:ascii="Times New Roman" w:cs="Times New Roman" w:eastAsia="Times New Roman" w:hAnsi="Times New Roman"/>
          <w:sz w:val="18"/>
          <w:szCs w:val="18"/>
          <w:color w:val="auto"/>
        </w:rPr>
      </w:pPr>
    </w:p>
    <w:p>
      <w:pPr>
        <w:ind w:left="780" w:right="340" w:hanging="214"/>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periods ended </w:t>
      </w:r>
      <w:hyperlink r:id="rId82">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4">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on May 9, 2024, August 8, 2024 and November 7, 2024, respectively;</w:t>
      </w:r>
    </w:p>
    <w:p>
      <w:pPr>
        <w:spacing w:after="0" w:line="161" w:lineRule="exact"/>
        <w:rPr>
          <w:rFonts w:ascii="Times New Roman" w:cs="Times New Roman" w:eastAsia="Times New Roman" w:hAnsi="Times New Roman"/>
          <w:sz w:val="18"/>
          <w:szCs w:val="18"/>
          <w:color w:val="auto"/>
        </w:rPr>
      </w:pPr>
    </w:p>
    <w:p>
      <w:pPr>
        <w:ind w:left="780" w:right="100" w:hanging="214"/>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4">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to the extent incorporated by reference into our Annual Report on Form 10-K for the year ended December 31, 2023, filed on April 9, 2024;</w:t>
      </w:r>
    </w:p>
    <w:p>
      <w:pPr>
        <w:spacing w:after="0" w:line="161" w:lineRule="exact"/>
        <w:rPr>
          <w:rFonts w:ascii="Times New Roman" w:cs="Times New Roman" w:eastAsia="Times New Roman" w:hAnsi="Times New Roman"/>
          <w:sz w:val="18"/>
          <w:szCs w:val="18"/>
          <w:color w:val="auto"/>
        </w:rPr>
      </w:pPr>
    </w:p>
    <w:p>
      <w:pPr>
        <w:ind w:left="780" w:hanging="214"/>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85">
        <w:r>
          <w:rPr>
            <w:rFonts w:ascii="Times New Roman" w:cs="Times New Roman" w:eastAsia="Times New Roman" w:hAnsi="Times New Roman"/>
            <w:sz w:val="18"/>
            <w:szCs w:val="18"/>
            <w:u w:val="single" w:color="auto"/>
            <w:color w:val="0000EE"/>
          </w:rPr>
          <w:t>February 23, 2024</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EE"/>
          </w:rPr>
          <w:t>May 22, 2024</w:t>
        </w:r>
      </w:hyperlink>
      <w:r>
        <w:rPr>
          <w:rFonts w:ascii="Times New Roman" w:cs="Times New Roman" w:eastAsia="Times New Roman" w:hAnsi="Times New Roman"/>
          <w:sz w:val="18"/>
          <w:szCs w:val="18"/>
          <w:color w:val="auto"/>
        </w:rPr>
        <w:t xml:space="preserve">, and </w:t>
      </w:r>
      <w:hyperlink r:id="rId88">
        <w:r>
          <w:rPr>
            <w:rFonts w:ascii="Times New Roman" w:cs="Times New Roman" w:eastAsia="Times New Roman" w:hAnsi="Times New Roman"/>
            <w:sz w:val="18"/>
            <w:szCs w:val="18"/>
            <w:u w:val="single" w:color="auto"/>
            <w:color w:val="0000EE"/>
          </w:rPr>
          <w:t>November 21,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780" w:hanging="214"/>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w:t>
      </w:r>
      <w:hyperlink r:id="rId59">
        <w:r>
          <w:rPr>
            <w:rFonts w:ascii="Times New Roman" w:cs="Times New Roman" w:eastAsia="Times New Roman" w:hAnsi="Times New Roman"/>
            <w:sz w:val="18"/>
            <w:szCs w:val="18"/>
            <w:u w:val="single" w:color="auto"/>
            <w:color w:val="0000EE"/>
          </w:rPr>
          <w:t>Exhibit 4.5 to our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will incorporate by reference all documents filed pursuant to Sections 13(a), 13(c), 14 or 15(d) of the Securities Exchange Act of 1934, as amended (the “Exchange Act”), other than any portions of the respective filings that were furnished, after the date of this prospectus and prior to the termination of this offering; provided, however, that we are not incorporating any information furnished under Item 2.02 or Item 7.01 of any Current Report on Form 8-K (including any financial statements or exhibits relating thereto furnished pursuant to Item 9.01) or other applicable SEC rules.</w:t>
      </w:r>
    </w:p>
    <w:p>
      <w:pPr>
        <w:spacing w:after="0" w:line="180" w:lineRule="exact"/>
        <w:rPr>
          <w:rFonts w:ascii="Times New Roman" w:cs="Times New Roman" w:eastAsia="Times New Roman" w:hAnsi="Times New Roman"/>
          <w:sz w:val="18"/>
          <w:szCs w:val="18"/>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 and phone number:</w:t>
      </w:r>
    </w:p>
    <w:p>
      <w:pPr>
        <w:spacing w:after="0" w:line="18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(773) 497-7575</w:t>
      </w:r>
    </w:p>
    <w:p>
      <w:pPr>
        <w:spacing w:after="0" w:line="207" w:lineRule="exact"/>
        <w:rPr>
          <w:rFonts w:ascii="Times New Roman" w:cs="Times New Roman" w:eastAsia="Times New Roman" w:hAnsi="Times New Roman"/>
          <w:sz w:val="18"/>
          <w:szCs w:val="18"/>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 this prospectus, the applicable prospectus supplement or any free writing prospectus is accurate only as of the date of the documents containing the information, regardless of the time of its delivery or of any sale of our securities. Our business, financial condition, results of operations and prospects may have changed since those dates.</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2231390</wp:posOffset>
            </wp:positionH>
            <wp:positionV relativeFrom="page">
              <wp:posOffset>766445</wp:posOffset>
            </wp:positionV>
            <wp:extent cx="3094355" cy="1036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309435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Priority Technology Holdings,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 from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p>
        </w:tc>
        <w:tc>
          <w:tcPr>
            <w:tcW w:w="6840" w:type="dxa"/>
            <w:vAlign w:val="bottom"/>
          </w:tcPr>
          <w:p>
            <w:pPr>
              <w:jc w:val="center"/>
              <w:ind w:right="4282"/>
              <w:spacing w:after="0"/>
              <w:rPr>
                <w:sz w:val="20"/>
                <w:szCs w:val="20"/>
                <w:color w:val="auto"/>
              </w:rPr>
            </w:pPr>
            <w:r>
              <w:rPr>
                <w:rFonts w:ascii="Times New Roman" w:cs="Times New Roman" w:eastAsia="Times New Roman" w:hAnsi="Times New Roman"/>
                <w:sz w:val="18"/>
                <w:szCs w:val="18"/>
                <w:i w:val="1"/>
                <w:iCs w:val="1"/>
                <w:color w:val="auto"/>
                <w:w w:val="99"/>
              </w:rPr>
              <w:t>Lead Book-Running Managers</w:t>
            </w:r>
          </w:p>
        </w:tc>
      </w:tr>
      <w:tr>
        <w:trPr>
          <w:trHeight w:val="560"/>
        </w:trPr>
        <w:tc>
          <w:tcPr>
            <w:tcW w:w="4400" w:type="dxa"/>
            <w:vAlign w:val="bottom"/>
          </w:tcPr>
          <w:p>
            <w:pPr>
              <w:ind w:left="20"/>
              <w:spacing w:after="0"/>
              <w:rPr>
                <w:sz w:val="20"/>
                <w:szCs w:val="20"/>
                <w:color w:val="auto"/>
              </w:rPr>
            </w:pPr>
            <w:r>
              <w:rPr>
                <w:rFonts w:ascii="Times New Roman" w:cs="Times New Roman" w:eastAsia="Times New Roman" w:hAnsi="Times New Roman"/>
                <w:sz w:val="29"/>
                <w:szCs w:val="29"/>
                <w:b w:val="1"/>
                <w:bCs w:val="1"/>
                <w:color w:val="auto"/>
              </w:rPr>
              <w:t>Keefe, Bruyette &amp; Woods</w:t>
            </w:r>
          </w:p>
        </w:tc>
        <w:tc>
          <w:tcPr>
            <w:tcW w:w="684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TD Cowen</w:t>
            </w:r>
          </w:p>
        </w:tc>
      </w:tr>
      <w:tr>
        <w:trPr>
          <w:trHeight w:val="425"/>
        </w:trPr>
        <w:tc>
          <w:tcPr>
            <w:tcW w:w="4400" w:type="dxa"/>
            <w:vAlign w:val="bottom"/>
          </w:tcPr>
          <w:p>
            <w:pPr>
              <w:ind w:left="3020"/>
              <w:spacing w:after="0"/>
              <w:rPr>
                <w:sz w:val="20"/>
                <w:szCs w:val="20"/>
                <w:color w:val="auto"/>
              </w:rPr>
            </w:pPr>
            <w:r>
              <w:rPr>
                <w:rFonts w:ascii="Times New Roman" w:cs="Times New Roman" w:eastAsia="Times New Roman" w:hAnsi="Times New Roman"/>
                <w:sz w:val="18"/>
                <w:szCs w:val="18"/>
                <w:i w:val="1"/>
                <w:iCs w:val="1"/>
                <w:color w:val="auto"/>
              </w:rPr>
              <w:t>A Stifel Company</w:t>
            </w:r>
          </w:p>
        </w:tc>
        <w:tc>
          <w:tcPr>
            <w:tcW w:w="6840" w:type="dxa"/>
            <w:vAlign w:val="bottom"/>
          </w:tcPr>
          <w:p>
            <w:pPr>
              <w:spacing w:after="0"/>
              <w:rPr>
                <w:sz w:val="24"/>
                <w:szCs w:val="24"/>
                <w:color w:val="auto"/>
              </w:rPr>
            </w:pPr>
          </w:p>
        </w:tc>
      </w:tr>
      <w:tr>
        <w:trPr>
          <w:trHeight w:val="410"/>
        </w:trPr>
        <w:tc>
          <w:tcPr>
            <w:tcW w:w="4400" w:type="dxa"/>
            <w:vAlign w:val="bottom"/>
          </w:tcPr>
          <w:p>
            <w:pPr>
              <w:spacing w:after="0"/>
              <w:rPr>
                <w:sz w:val="24"/>
                <w:szCs w:val="24"/>
                <w:color w:val="auto"/>
              </w:rPr>
            </w:pPr>
          </w:p>
        </w:tc>
        <w:tc>
          <w:tcPr>
            <w:tcW w:w="6840" w:type="dxa"/>
            <w:vAlign w:val="bottom"/>
          </w:tcPr>
          <w:p>
            <w:pPr>
              <w:jc w:val="right"/>
              <w:ind w:right="4522"/>
              <w:spacing w:after="0"/>
              <w:rPr>
                <w:sz w:val="20"/>
                <w:szCs w:val="20"/>
                <w:color w:val="auto"/>
              </w:rPr>
            </w:pPr>
            <w:r>
              <w:rPr>
                <w:rFonts w:ascii="Times New Roman" w:cs="Times New Roman" w:eastAsia="Times New Roman" w:hAnsi="Times New Roman"/>
                <w:sz w:val="18"/>
                <w:szCs w:val="18"/>
                <w:i w:val="1"/>
                <w:iCs w:val="1"/>
                <w:color w:val="auto"/>
              </w:rPr>
              <w:t>Book-Running Manager</w:t>
            </w:r>
          </w:p>
        </w:tc>
      </w:tr>
      <w:tr>
        <w:trPr>
          <w:trHeight w:val="218"/>
        </w:trPr>
        <w:tc>
          <w:tcPr>
            <w:tcW w:w="4400" w:type="dxa"/>
            <w:vAlign w:val="bottom"/>
          </w:tcPr>
          <w:p>
            <w:pPr>
              <w:spacing w:after="0"/>
              <w:rPr>
                <w:sz w:val="18"/>
                <w:szCs w:val="18"/>
                <w:color w:val="auto"/>
              </w:rPr>
            </w:pPr>
          </w:p>
        </w:tc>
        <w:tc>
          <w:tcPr>
            <w:tcW w:w="6840" w:type="dxa"/>
            <w:vAlign w:val="bottom"/>
          </w:tcPr>
          <w:p>
            <w:pPr>
              <w:jc w:val="right"/>
              <w:ind w:right="4682"/>
              <w:spacing w:after="0"/>
              <w:rPr>
                <w:sz w:val="20"/>
                <w:szCs w:val="20"/>
                <w:color w:val="auto"/>
              </w:rPr>
            </w:pPr>
            <w:r>
              <w:rPr>
                <w:rFonts w:ascii="Times New Roman" w:cs="Times New Roman" w:eastAsia="Times New Roman" w:hAnsi="Times New Roman"/>
                <w:sz w:val="18"/>
                <w:szCs w:val="18"/>
                <w:b w:val="1"/>
                <w:bCs w:val="1"/>
                <w:color w:val="auto"/>
              </w:rPr>
              <w:t>B. Riley Securities</w:t>
            </w:r>
          </w:p>
        </w:tc>
      </w:tr>
      <w:tr>
        <w:trPr>
          <w:trHeight w:val="214"/>
        </w:trPr>
        <w:tc>
          <w:tcPr>
            <w:tcW w:w="4400" w:type="dxa"/>
            <w:vAlign w:val="bottom"/>
          </w:tcPr>
          <w:p>
            <w:pPr>
              <w:spacing w:after="0"/>
              <w:rPr>
                <w:sz w:val="18"/>
                <w:szCs w:val="18"/>
                <w:color w:val="auto"/>
              </w:rPr>
            </w:pPr>
          </w:p>
        </w:tc>
        <w:tc>
          <w:tcPr>
            <w:tcW w:w="6840" w:type="dxa"/>
            <w:vAlign w:val="bottom"/>
          </w:tcPr>
          <w:p>
            <w:pPr>
              <w:jc w:val="center"/>
              <w:ind w:right="4262"/>
              <w:spacing w:after="0"/>
              <w:rPr>
                <w:sz w:val="20"/>
                <w:szCs w:val="20"/>
                <w:color w:val="auto"/>
              </w:rPr>
            </w:pPr>
            <w:r>
              <w:rPr>
                <w:rFonts w:ascii="Times New Roman" w:cs="Times New Roman" w:eastAsia="Times New Roman" w:hAnsi="Times New Roman"/>
                <w:sz w:val="18"/>
                <w:szCs w:val="18"/>
                <w:i w:val="1"/>
                <w:iCs w:val="1"/>
                <w:color w:val="auto"/>
                <w:w w:val="99"/>
              </w:rPr>
              <w:t>Co-Managers</w:t>
            </w: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A.G.P.</w:t>
            </w:r>
          </w:p>
        </w:tc>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Lake Street</w:t>
            </w:r>
          </w:p>
        </w:tc>
      </w:tr>
      <w:tr>
        <w:trPr>
          <w:trHeight w:val="432"/>
        </w:trPr>
        <w:tc>
          <w:tcPr>
            <w:tcW w:w="4400" w:type="dxa"/>
            <w:vAlign w:val="bottom"/>
          </w:tcPr>
          <w:p>
            <w:pPr>
              <w:spacing w:after="0"/>
              <w:rPr>
                <w:sz w:val="24"/>
                <w:szCs w:val="24"/>
                <w:color w:val="auto"/>
              </w:rPr>
            </w:pPr>
          </w:p>
        </w:tc>
        <w:tc>
          <w:tcPr>
            <w:tcW w:w="6840" w:type="dxa"/>
            <w:vAlign w:val="bottom"/>
          </w:tcPr>
          <w:p>
            <w:pPr>
              <w:jc w:val="center"/>
              <w:ind w:right="4302"/>
              <w:spacing w:after="0"/>
              <w:rPr>
                <w:sz w:val="20"/>
                <w:szCs w:val="20"/>
                <w:color w:val="auto"/>
              </w:rPr>
            </w:pPr>
            <w:r>
              <w:rPr>
                <w:rFonts w:ascii="Times New Roman" w:cs="Times New Roman" w:eastAsia="Times New Roman" w:hAnsi="Times New Roman"/>
                <w:sz w:val="18"/>
                <w:szCs w:val="18"/>
                <w:b w:val="1"/>
                <w:bCs w:val="1"/>
                <w:color w:val="auto"/>
                <w:w w:val="97"/>
              </w:rPr>
              <w:t>, 2025</w:t>
            </w:r>
          </w:p>
        </w:tc>
      </w:tr>
      <w:tr>
        <w:trPr>
          <w:trHeight w:val="216"/>
        </w:trPr>
        <w:tc>
          <w:tcPr>
            <w:tcW w:w="4400" w:type="dxa"/>
            <w:vAlign w:val="bottom"/>
            <w:tcBorders>
              <w:bottom w:val="single" w:sz="8" w:color="auto"/>
            </w:tcBorders>
          </w:tcPr>
          <w:p>
            <w:pPr>
              <w:spacing w:after="0"/>
              <w:rPr>
                <w:sz w:val="18"/>
                <w:szCs w:val="18"/>
                <w:color w:val="auto"/>
              </w:rPr>
            </w:pPr>
          </w:p>
        </w:tc>
        <w:tc>
          <w:tcPr>
            <w:tcW w:w="6840" w:type="dxa"/>
            <w:vAlign w:val="bottom"/>
            <w:tcBorders>
              <w:bottom w:val="single" w:sz="8" w:color="auto"/>
            </w:tcBorders>
          </w:tcPr>
          <w:p>
            <w:pPr>
              <w:spacing w:after="0"/>
              <w:rPr>
                <w:sz w:val="18"/>
                <w:szCs w:val="18"/>
                <w:color w:val="auto"/>
              </w:rPr>
            </w:pPr>
          </w:p>
        </w:tc>
      </w:tr>
      <w:tr>
        <w:trPr>
          <w:trHeight w:val="28"/>
        </w:trPr>
        <w:tc>
          <w:tcPr>
            <w:tcW w:w="440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675"/>
        </w:trPr>
        <w:tc>
          <w:tcPr>
            <w:tcW w:w="44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lvl w:ilvl="1">
      <w:lvlJc w:val="left"/>
      <w:lvlText w:val="(%2)"/>
      <w:numFmt w:val="lowerRoman"/>
      <w:start w:val="1"/>
    </w:lvl>
  </w:abstractNum>
  <w:abstractNum w:abstractNumId="9">
    <w:nsid w:val="257130A3"/>
    <w:multiLevelType w:val="hybridMultilevel"/>
    <w:lvl w:ilvl="0">
      <w:lvlJc w:val="left"/>
      <w:lvlText w:val="%1"/>
      <w:numFmt w:val="decimal"/>
      <w:start w:val="1"/>
    </w:lvl>
    <w:lvl w:ilvl="1">
      <w:lvlJc w:val="left"/>
      <w:lvlText w:val="(%2)"/>
      <w:numFmt w:val="lowerRoman"/>
      <w:start w:val="6"/>
    </w:lvl>
  </w:abstractNum>
  <w:abstractNum w:abstractNumId="10">
    <w:nsid w:val="62BBD95A"/>
    <w:multiLevelType w:val="hybridMultilevel"/>
    <w:lvl w:ilvl="0">
      <w:lvlJc w:val="left"/>
      <w:lvlText w:val="(%1)"/>
      <w:numFmt w:val="decimal"/>
      <w:start w:val="4"/>
    </w:lvl>
  </w:abstractNum>
  <w:abstractNum w:abstractNumId="11">
    <w:nsid w:val="436C6125"/>
    <w:multiLevelType w:val="hybridMultilevel"/>
    <w:lvl w:ilvl="0">
      <w:lvlJc w:val="left"/>
      <w:lvlText w:val="(%1)"/>
      <w:numFmt w:val="decimal"/>
      <w:start w:val="5"/>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4"/>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lvl w:ilvl="1">
      <w:lvlJc w:val="left"/>
      <w:lvlText w:val="(%2)"/>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jpe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jpeg"/><Relationship Id="rId93" Type="http://schemas.openxmlformats.org/officeDocument/2006/relationships/image" Target="media/image68.png"/><Relationship Id="rId94" Type="http://schemas.openxmlformats.org/officeDocument/2006/relationships/image" Target="media/image69.png"/><Relationship Id="rId48" Type="http://schemas.openxmlformats.org/officeDocument/2006/relationships/hyperlink" Target="https://www.sec.gov/ix?doc=/Archives/edgar/data/1653558/000165355824000039/prth-20231231.htm" TargetMode="External"/><Relationship Id="rId51" Type="http://schemas.openxmlformats.org/officeDocument/2006/relationships/hyperlink" Target="https://www.sec.gov/ix?doc=/Archives/edgar/data/1653558/000165355824000069/prth-20240331.htm" TargetMode="External"/><Relationship Id="rId52" Type="http://schemas.openxmlformats.org/officeDocument/2006/relationships/hyperlink" Target="https://www.sec.gov/ix?doc=/Archives/edgar/data/1653558/000165355824000106/prth-20240630.htm" TargetMode="External"/><Relationship Id="rId53" Type="http://schemas.openxmlformats.org/officeDocument/2006/relationships/hyperlink" Target="https://www.sec.gov/ix?doc=/Archives/edgar/data/1653558/000165355824000144/prth-20240930.htm" TargetMode="External"/><Relationship Id="rId54" Type="http://schemas.openxmlformats.org/officeDocument/2006/relationships/hyperlink" Target="https://www.sec.gov/Archives/edgar/data/1653558/000165355824000053/definitiveproxy2024.htm" TargetMode="External"/><Relationship Id="rId55" Type="http://schemas.openxmlformats.org/officeDocument/2006/relationships/hyperlink" Target="https://www.sec.gov/ix?doc=/Archives/edgar/data/1653558/000165355824000027/prth-20240223.htm" TargetMode="External"/><Relationship Id="rId56" Type="http://schemas.openxmlformats.org/officeDocument/2006/relationships/hyperlink" Target="https://www.sec.gov/ix?doc=/Archives/edgar/data/1653558/000165355824000073/prth-20240516.htm" TargetMode="External"/><Relationship Id="rId57" Type="http://schemas.openxmlformats.org/officeDocument/2006/relationships/hyperlink" Target="https://www.sec.gov/ix?doc=/Archives/edgar/data/1653558/000165355824000076/prth-20240522.htm" TargetMode="External"/><Relationship Id="rId58" Type="http://schemas.openxmlformats.org/officeDocument/2006/relationships/hyperlink" Target="https://www.sec.gov/ix?doc=/Archives/edgar/data/1653558/000165355824000153/prth-20241121.htm" TargetMode="External"/><Relationship Id="rId59" Type="http://schemas.openxmlformats.org/officeDocument/2006/relationships/hyperlink" Target="https://www.sec.gov/Archives/edgar/data/1653558/000165355823000030/prioritytechnology-ex45.htm" TargetMode="External"/><Relationship Id="rId81" Type="http://schemas.openxmlformats.org/officeDocument/2006/relationships/hyperlink" Target="https://www.sec.gov/ix?doc=/Archives/edgar/data/0001653558/000165355824000039/prth-20231231.htm" TargetMode="External"/><Relationship Id="rId82" Type="http://schemas.openxmlformats.org/officeDocument/2006/relationships/hyperlink" Target="https://www.sec.gov/ix?doc=/Archives/edgar/data/0001653558/000165355824000069/prth-20240331.htm" TargetMode="External"/><Relationship Id="rId83" Type="http://schemas.openxmlformats.org/officeDocument/2006/relationships/hyperlink" Target="https://www.sec.gov/ix?doc=/Archives/edgar/data/0001653558/000165355824000106/prth-20240630.htm" TargetMode="External"/><Relationship Id="rId84" Type="http://schemas.openxmlformats.org/officeDocument/2006/relationships/hyperlink" Target="https://www.sec.gov/ix?doc=/Archives/edgar/data/0001653558/000165355824000144/prth-20240930.htm" TargetMode="External"/><Relationship Id="rId85" Type="http://schemas.openxmlformats.org/officeDocument/2006/relationships/hyperlink" Target="https://www.sec.gov/ix?doc=/Archives/edgar/data/0001653558/000165355824000027/prth-20240223.htm" TargetMode="External"/><Relationship Id="rId86" Type="http://schemas.openxmlformats.org/officeDocument/2006/relationships/hyperlink" Target="https://www.sec.gov/ix?doc=/Archives/edgar/data/0001653558/000165355824000073/prth-20240516.htm" TargetMode="External"/><Relationship Id="rId87" Type="http://schemas.openxmlformats.org/officeDocument/2006/relationships/hyperlink" Target="https://www.sec.gov/ix?doc=/Archives/edgar/data/0001653558/000165355824000076/prth-20240522.htm" TargetMode="External"/><Relationship Id="rId88" Type="http://schemas.openxmlformats.org/officeDocument/2006/relationships/hyperlink" Target="https://www.sec.gov/ix?doc=/Archives/edgar/data/0001653558/000165355824000153/prth-20241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2025-01-15T06:27:42Z</dcterms:created>
  <dcterms:modified xsi:type="dcterms:W3CDTF">2025-01-15T06:27:42Z</dcterms:modified>
</cp:coreProperties>
</file>