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320" w:right="900" w:hanging="3419"/>
        <w:spacing w:after="0" w:line="484" w:lineRule="auto"/>
        <w:tabs>
          <w:tab w:leader="none" w:pos="138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June 30, 2018</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4"/>
          </w:tcPr>
          <w:p>
            <w:pPr>
              <w:ind w:left="3620"/>
              <w:spacing w:after="0"/>
              <w:rPr>
                <w:sz w:val="20"/>
                <w:szCs w:val="20"/>
                <w:color w:val="auto"/>
              </w:rPr>
            </w:pPr>
            <w:r>
              <w:rPr>
                <w:rFonts w:ascii="Arial" w:cs="Arial" w:eastAsia="Arial" w:hAnsi="Arial"/>
                <w:sz w:val="18"/>
                <w:szCs w:val="18"/>
                <w:b w:val="1"/>
                <w:bCs w:val="1"/>
                <w:color w:val="auto"/>
              </w:rPr>
              <w:t>For the transition period from</w:t>
            </w: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840" w:type="dxa"/>
            <w:vAlign w:val="bottom"/>
            <w:gridSpan w:val="4"/>
          </w:tcPr>
          <w:p>
            <w:pPr>
              <w:jc w:val="center"/>
              <w:ind w:left="4450"/>
              <w:spacing w:after="0"/>
              <w:rPr>
                <w:sz w:val="20"/>
                <w:szCs w:val="20"/>
                <w:color w:val="auto"/>
              </w:rPr>
            </w:pPr>
            <w:r>
              <w:rPr>
                <w:rFonts w:ascii="Arial" w:cs="Arial" w:eastAsia="Arial" w:hAnsi="Arial"/>
                <w:sz w:val="18"/>
                <w:szCs w:val="18"/>
                <w:b w:val="1"/>
                <w:bCs w:val="1"/>
                <w:color w:val="auto"/>
              </w:rPr>
              <w:t>M I ACQUISITIONS, INC.</w:t>
            </w: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8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1"/>
              </w:rPr>
              <w:t>Delaware</w:t>
            </w:r>
          </w:p>
        </w:tc>
        <w:tc>
          <w:tcPr>
            <w:tcW w:w="458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1"/>
              </w:rPr>
              <w:t>47-4257046</w:t>
            </w:r>
          </w:p>
        </w:tc>
      </w:tr>
      <w:tr>
        <w:trPr>
          <w:trHeight w:val="195"/>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3"/>
              </w:rPr>
              <w:t>(I.R.S. Employer</w:t>
            </w:r>
          </w:p>
        </w:tc>
      </w:tr>
      <w:tr>
        <w:trPr>
          <w:trHeight w:val="212"/>
        </w:trPr>
        <w:tc>
          <w:tcPr>
            <w:tcW w:w="684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incorporation or organization)</w:t>
            </w:r>
          </w:p>
        </w:tc>
        <w:tc>
          <w:tcPr>
            <w:tcW w:w="260" w:type="dxa"/>
            <w:vAlign w:val="bottom"/>
          </w:tcPr>
          <w:p>
            <w:pPr>
              <w:spacing w:after="0"/>
              <w:rPr>
                <w:sz w:val="18"/>
                <w:szCs w:val="18"/>
                <w:color w:val="auto"/>
              </w:rPr>
            </w:pPr>
          </w:p>
        </w:tc>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6840" w:type="dxa"/>
            <w:vAlign w:val="bottom"/>
            <w:gridSpan w:val="4"/>
          </w:tcPr>
          <w:p>
            <w:pPr>
              <w:jc w:val="center"/>
              <w:ind w:left="4470"/>
              <w:spacing w:after="0"/>
              <w:rPr>
                <w:sz w:val="20"/>
                <w:szCs w:val="20"/>
                <w:color w:val="auto"/>
              </w:rPr>
            </w:pPr>
            <w:r>
              <w:rPr>
                <w:rFonts w:ascii="Arial" w:cs="Arial" w:eastAsia="Arial" w:hAnsi="Arial"/>
                <w:sz w:val="18"/>
                <w:szCs w:val="18"/>
                <w:b w:val="1"/>
                <w:bCs w:val="1"/>
                <w:color w:val="auto"/>
                <w:w w:val="93"/>
              </w:rPr>
              <w:t>c/o Magna Management LLC</w:t>
            </w:r>
          </w:p>
        </w:tc>
        <w:tc>
          <w:tcPr>
            <w:tcW w:w="2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6840" w:type="dxa"/>
            <w:vAlign w:val="bottom"/>
            <w:gridSpan w:val="4"/>
          </w:tcPr>
          <w:p>
            <w:pPr>
              <w:jc w:val="center"/>
              <w:ind w:left="4490"/>
              <w:spacing w:after="0"/>
              <w:rPr>
                <w:sz w:val="20"/>
                <w:szCs w:val="20"/>
                <w:color w:val="auto"/>
              </w:rPr>
            </w:pPr>
            <w:r>
              <w:rPr>
                <w:rFonts w:ascii="Arial" w:cs="Arial" w:eastAsia="Arial" w:hAnsi="Arial"/>
                <w:sz w:val="18"/>
                <w:szCs w:val="18"/>
                <w:b w:val="1"/>
                <w:bCs w:val="1"/>
                <w:color w:val="auto"/>
                <w:w w:val="92"/>
              </w:rPr>
              <w:t>40 Wall Street, 58th Floor</w:t>
            </w:r>
          </w:p>
        </w:tc>
        <w:tc>
          <w:tcPr>
            <w:tcW w:w="2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4"/>
        </w:trPr>
        <w:tc>
          <w:tcPr>
            <w:tcW w:w="6840" w:type="dxa"/>
            <w:vAlign w:val="bottom"/>
            <w:tcBorders>
              <w:bottom w:val="single" w:sz="8" w:color="auto"/>
            </w:tcBorders>
            <w:gridSpan w:val="4"/>
          </w:tcPr>
          <w:p>
            <w:pPr>
              <w:jc w:val="center"/>
              <w:ind w:left="4490"/>
              <w:spacing w:after="0"/>
              <w:rPr>
                <w:sz w:val="20"/>
                <w:szCs w:val="20"/>
                <w:color w:val="auto"/>
              </w:rPr>
            </w:pPr>
            <w:r>
              <w:rPr>
                <w:rFonts w:ascii="Arial" w:cs="Arial" w:eastAsia="Arial" w:hAnsi="Arial"/>
                <w:sz w:val="18"/>
                <w:szCs w:val="18"/>
                <w:b w:val="1"/>
                <w:bCs w:val="1"/>
                <w:color w:val="auto"/>
                <w:w w:val="94"/>
              </w:rPr>
              <w:t>New York, NY 10005</w:t>
            </w:r>
          </w:p>
        </w:tc>
        <w:tc>
          <w:tcPr>
            <w:tcW w:w="2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r>
      <w:tr>
        <w:trPr>
          <w:trHeight w:val="224"/>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r>
      <w:tr>
        <w:trPr>
          <w:trHeight w:val="404"/>
        </w:trPr>
        <w:tc>
          <w:tcPr>
            <w:tcW w:w="6320" w:type="dxa"/>
            <w:vAlign w:val="bottom"/>
            <w:gridSpan w:val="3"/>
          </w:tcPr>
          <w:p>
            <w:pPr>
              <w:jc w:val="center"/>
              <w:ind w:left="5030"/>
              <w:spacing w:after="0"/>
              <w:rPr>
                <w:sz w:val="20"/>
                <w:szCs w:val="20"/>
                <w:color w:val="auto"/>
              </w:rPr>
            </w:pPr>
            <w:r>
              <w:rPr>
                <w:rFonts w:ascii="Arial" w:cs="Arial" w:eastAsia="Arial" w:hAnsi="Arial"/>
                <w:sz w:val="18"/>
                <w:szCs w:val="18"/>
                <w:b w:val="1"/>
                <w:bCs w:val="1"/>
                <w:color w:val="auto"/>
                <w:w w:val="90"/>
              </w:rPr>
              <w:t>(347) 491-4240</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6840" w:type="dxa"/>
            <w:vAlign w:val="bottom"/>
            <w:gridSpan w:val="4"/>
          </w:tcPr>
          <w:p>
            <w:pPr>
              <w:jc w:val="center"/>
              <w:ind w:left="4490"/>
              <w:spacing w:after="0"/>
              <w:rPr>
                <w:sz w:val="20"/>
                <w:szCs w:val="20"/>
                <w:color w:val="auto"/>
              </w:rPr>
            </w:pPr>
            <w:r>
              <w:rPr>
                <w:rFonts w:ascii="Arial" w:cs="Arial" w:eastAsia="Arial" w:hAnsi="Arial"/>
                <w:sz w:val="18"/>
                <w:szCs w:val="18"/>
                <w:color w:val="auto"/>
                <w:w w:val="90"/>
              </w:rPr>
              <w:t>(Issuer’s telephone number)</w:t>
            </w:r>
          </w:p>
        </w:tc>
        <w:tc>
          <w:tcPr>
            <w:tcW w:w="260" w:type="dxa"/>
            <w:vAlign w:val="bottom"/>
          </w:tcPr>
          <w:p>
            <w:pPr>
              <w:spacing w:after="0"/>
              <w:rPr>
                <w:sz w:val="20"/>
                <w:szCs w:val="20"/>
                <w:color w:val="auto"/>
              </w:rPr>
            </w:pPr>
          </w:p>
        </w:tc>
        <w:tc>
          <w:tcPr>
            <w:tcW w:w="432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Check whether the issuer (1) filed all reports required to be filed by Section 13 or 15(d) of the Exchange Act during the preceding 12 months (or for such</w:t>
      </w:r>
    </w:p>
    <w:p>
      <w:pPr>
        <w:spacing w:after="0" w:line="35"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80" w:type="dxa"/>
            <w:vAlign w:val="bottom"/>
          </w:tcPr>
          <w:p>
            <w:pPr>
              <w:spacing w:after="0"/>
              <w:rPr>
                <w:sz w:val="20"/>
                <w:szCs w:val="20"/>
                <w:color w:val="auto"/>
              </w:rPr>
            </w:pPr>
            <w:r>
              <w:rPr>
                <w:rFonts w:ascii="Arial" w:cs="Arial" w:eastAsia="Arial" w:hAnsi="Arial"/>
                <w:sz w:val="18"/>
                <w:szCs w:val="18"/>
                <w:color w:val="auto"/>
                <w:w w:val="96"/>
              </w:rPr>
              <w:t>(Do not check if smaller reporting company)</w:t>
            </w:r>
          </w:p>
        </w:tc>
        <w:tc>
          <w:tcPr>
            <w:tcW w:w="1340" w:type="dxa"/>
            <w:vAlign w:val="bottom"/>
          </w:tcPr>
          <w:p>
            <w:pPr>
              <w:spacing w:after="0"/>
              <w:rPr>
                <w:sz w:val="24"/>
                <w:szCs w:val="24"/>
                <w:color w:val="auto"/>
              </w:rPr>
            </w:pPr>
          </w:p>
        </w:tc>
        <w:tc>
          <w:tcPr>
            <w:tcW w:w="348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13, 2018, 6,681,512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gridSpan w:val="5"/>
          </w:tcPr>
          <w:p>
            <w:pPr>
              <w:jc w:val="center"/>
              <w:ind w:right="3560"/>
              <w:spacing w:after="0"/>
              <w:rPr>
                <w:sz w:val="20"/>
                <w:szCs w:val="20"/>
                <w:color w:val="auto"/>
              </w:rPr>
            </w:pPr>
            <w:r>
              <w:rPr>
                <w:rFonts w:ascii="Arial" w:cs="Arial" w:eastAsia="Arial" w:hAnsi="Arial"/>
                <w:sz w:val="18"/>
                <w:szCs w:val="18"/>
                <w:b w:val="1"/>
                <w:bCs w:val="1"/>
                <w:color w:val="auto"/>
              </w:rPr>
              <w:t>M I ACQUISITIONS,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8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7"/>
              </w:rPr>
              <w:t>FORM 10-Q FOR THE QUARTER ENDED JUNE 30, 2018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5"/>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70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1160" w:type="dxa"/>
            <w:vAlign w:val="bottom"/>
            <w:gridSpan w:val="3"/>
            <w:vMerge w:val="continue"/>
          </w:tcPr>
          <w:p>
            <w:pPr>
              <w:spacing w:after="0"/>
              <w:rPr>
                <w:sz w:val="13"/>
                <w:szCs w:val="13"/>
                <w:color w:val="auto"/>
              </w:rPr>
            </w:pPr>
          </w:p>
        </w:tc>
        <w:tc>
          <w:tcPr>
            <w:tcW w:w="9700" w:type="dxa"/>
            <w:vAlign w:val="bottom"/>
            <w:gridSpan w:val="15"/>
            <w:vMerge w:val="continue"/>
          </w:tcPr>
          <w:p>
            <w:pPr>
              <w:spacing w:after="0"/>
              <w:rPr>
                <w:sz w:val="13"/>
                <w:szCs w:val="13"/>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6720" w:type="dxa"/>
            <w:vAlign w:val="bottom"/>
            <w:gridSpan w:val="5"/>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Balance Sheets</w:t>
              </w:r>
            </w:hyperlink>
          </w:p>
        </w:tc>
        <w:tc>
          <w:tcPr>
            <w:tcW w:w="7580" w:type="dxa"/>
            <w:vAlign w:val="bottom"/>
            <w:gridSpan w:val="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20" w:type="dxa"/>
            <w:vAlign w:val="bottom"/>
            <w:gridSpan w:val="14"/>
          </w:tcPr>
          <w:p>
            <w:pPr>
              <w:spacing w:after="0"/>
              <w:rPr>
                <w:sz w:val="20"/>
                <w:szCs w:val="20"/>
                <w:color w:val="auto"/>
              </w:rPr>
            </w:pPr>
            <w:r>
              <w:rPr>
                <w:rFonts w:ascii="Arial" w:cs="Arial" w:eastAsia="Arial" w:hAnsi="Arial"/>
                <w:sz w:val="18"/>
                <w:szCs w:val="18"/>
                <w:color w:val="auto"/>
              </w:rPr>
              <w:t>Condensed Statement of Changes in Stockholders’ Equity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Borders>
              <w:bottom w:val="single" w:sz="8" w:color="0000EE"/>
            </w:tcBorders>
            <w:gridSpan w:val="8"/>
          </w:tcPr>
          <w:p>
            <w:pPr>
              <w:spacing w:after="0" w:line="190"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Statements of Cash Flows</w:t>
              </w:r>
            </w:hyperlink>
          </w:p>
        </w:tc>
        <w:tc>
          <w:tcPr>
            <w:tcW w:w="6800" w:type="dxa"/>
            <w:vAlign w:val="bottom"/>
            <w:gridSpan w:val="6"/>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Financial Statements</w:t>
              </w:r>
            </w:hyperlink>
          </w:p>
        </w:tc>
        <w:tc>
          <w:tcPr>
            <w:tcW w:w="5720" w:type="dxa"/>
            <w:vAlign w:val="bottom"/>
            <w:gridSpan w:val="4"/>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0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Regarding Market Risk</w:t>
              </w:r>
            </w:hyperlink>
          </w:p>
        </w:tc>
        <w:tc>
          <w:tcPr>
            <w:tcW w:w="27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4680" w:type="dxa"/>
            <w:vAlign w:val="bottom"/>
            <w:tcBorders>
              <w:top w:val="single" w:sz="8" w:color="0000EE"/>
            </w:tcBorders>
            <w:gridSpan w:val="11"/>
          </w:tcPr>
          <w:p>
            <w:pPr>
              <w:ind w:lef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450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2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380" w:type="dxa"/>
            <w:vAlign w:val="bottom"/>
            <w:gridSpan w:val="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4380" w:type="dxa"/>
            <w:vAlign w:val="bottom"/>
            <w:tcBorders>
              <w:bottom w:val="single" w:sz="8" w:color="0000EE"/>
            </w:tcBorders>
            <w:gridSpan w:val="10"/>
          </w:tcPr>
          <w:p>
            <w:pPr>
              <w:ind w:left="4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48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9180" w:type="dxa"/>
            <w:vAlign w:val="bottom"/>
            <w:gridSpan w:val="13"/>
          </w:tcPr>
          <w:p>
            <w:pPr>
              <w:ind w:left="4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365"/>
        </w:trPr>
        <w:tc>
          <w:tcPr>
            <w:tcW w:w="4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gridSpan w:val="5"/>
          </w:tcPr>
          <w:p>
            <w:pPr>
              <w:jc w:val="center"/>
              <w:ind w:left="3390"/>
              <w:spacing w:after="0"/>
              <w:rPr>
                <w:sz w:val="20"/>
                <w:szCs w:val="20"/>
                <w:color w:val="auto"/>
              </w:rPr>
            </w:pPr>
            <w:r>
              <w:rPr>
                <w:rFonts w:ascii="Arial" w:cs="Arial" w:eastAsia="Arial" w:hAnsi="Arial"/>
                <w:sz w:val="18"/>
                <w:szCs w:val="18"/>
                <w:b w:val="1"/>
                <w:bCs w:val="1"/>
                <w:color w:val="auto"/>
              </w:rPr>
              <w:t>PART I – FINANCIAL STATEMENTS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4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92"/>
              </w:rPr>
              <w:t>M I Acquisitions,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6"/>
              </w:rPr>
              <w:t>Condensed Balance Sheets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jc w:val="center"/>
              <w:ind w:right="840"/>
              <w:spacing w:after="0" w:line="176" w:lineRule="exact"/>
              <w:rPr>
                <w:sz w:val="20"/>
                <w:szCs w:val="20"/>
                <w:color w:val="auto"/>
              </w:rPr>
            </w:pPr>
            <w:r>
              <w:rPr>
                <w:rFonts w:ascii="Arial" w:cs="Arial" w:eastAsia="Arial" w:hAnsi="Arial"/>
                <w:sz w:val="18"/>
                <w:szCs w:val="18"/>
                <w:b w:val="1"/>
                <w:bCs w:val="1"/>
                <w:color w:val="auto"/>
                <w:w w:val="81"/>
              </w:rPr>
              <w:t>Assets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28,626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Cash and cash equivalents held in trust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51,904,674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55,081,899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51,933,300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5"/>
          </w:tcPr>
          <w:p>
            <w:pPr>
              <w:jc w:val="center"/>
              <w:ind w:left="3410"/>
              <w:spacing w:after="0" w:line="176" w:lineRule="exact"/>
              <w:rPr>
                <w:sz w:val="20"/>
                <w:szCs w:val="20"/>
                <w:color w:val="auto"/>
              </w:rPr>
            </w:pPr>
            <w:r>
              <w:rPr>
                <w:rFonts w:ascii="Arial" w:cs="Arial" w:eastAsia="Arial" w:hAnsi="Arial"/>
                <w:sz w:val="18"/>
                <w:szCs w:val="18"/>
                <w:b w:val="1"/>
                <w:bCs w:val="1"/>
                <w:color w:val="auto"/>
                <w:w w:val="91"/>
              </w:rPr>
              <w:t>Liabilities and Stockholders’ Equity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816,356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Arial" w:cs="Arial" w:eastAsia="Arial" w:hAnsi="Arial"/>
                <w:sz w:val="18"/>
                <w:szCs w:val="18"/>
                <w:color w:val="auto"/>
              </w:rPr>
              <w:t>Offering costs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369,776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5"/>
          </w:tcPr>
          <w:p>
            <w:pPr>
              <w:ind w:left="120"/>
              <w:spacing w:after="0"/>
              <w:rPr>
                <w:sz w:val="20"/>
                <w:szCs w:val="20"/>
                <w:color w:val="auto"/>
              </w:rPr>
            </w:pPr>
            <w:r>
              <w:rPr>
                <w:rFonts w:ascii="Arial" w:cs="Arial" w:eastAsia="Arial" w:hAnsi="Arial"/>
                <w:sz w:val="18"/>
                <w:szCs w:val="18"/>
                <w:color w:val="auto"/>
              </w:rPr>
              <w:t>Note payable - related parties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132,753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1,330,501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Deferred underwriting fee payable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2,392,523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92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8"/>
              </w:rPr>
              <w:t>Common stock subject to possible conversion (4,239,522 and 4,705,821 shares at conversion value as of</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June 30, 2018 and December 31, 2017)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44,540,771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48,813,595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5"/>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Common stock, $0.001 par value; 30,000,000 shares authorized; 2,441,990 and 2,352,922 shares issued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w w:val="92"/>
              </w:rPr>
              <w:t>and outstanding (excluding 4,239,522 and 4,705,821 shares subject to possible conversion) at June 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2018 and December 31, 2017, 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5,549,924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5,240,728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(552,360)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5"/>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51,933,300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gridSpan w:val="3"/>
            <w:vMerge w:val="restart"/>
          </w:tcPr>
          <w:p>
            <w:pPr>
              <w:jc w:val="center"/>
              <w:ind w:left="53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vMerge w:val="continue"/>
          </w:tcPr>
          <w:p>
            <w:pPr>
              <w:spacing w:after="0"/>
              <w:rPr>
                <w:sz w:val="24"/>
                <w:szCs w:val="24"/>
                <w:color w:val="auto"/>
              </w:rPr>
            </w:pPr>
          </w:p>
        </w:tc>
        <w:tc>
          <w:tcPr>
            <w:tcW w:w="5940" w:type="dxa"/>
            <w:vAlign w:val="bottom"/>
            <w:tcBorders>
              <w:bottom w:val="single" w:sz="8" w:color="auto"/>
            </w:tcBorders>
            <w:gridSpan w:val="3"/>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line="196" w:lineRule="auto"/>
        <w:framePr w:w="180" w:h="160" w:wrap="auto" w:vAnchor="page" w:hAnchor="page" w:x="5860" w:y="7529"/>
        <w:rPr>
          <w:rFonts w:ascii="Arial" w:cs="Arial" w:eastAsia="Arial" w:hAnsi="Arial"/>
          <w:sz w:val="17"/>
          <w:szCs w:val="17"/>
          <w:color w:val="auto"/>
        </w:rPr>
      </w:pPr>
      <w:r>
        <w:rPr>
          <w:rFonts w:ascii="Arial" w:cs="Arial" w:eastAsia="Arial" w:hAnsi="Arial"/>
          <w:sz w:val="17"/>
          <w:szCs w:val="17"/>
          <w:color w:val="auto"/>
        </w:rPr>
        <w:t>2</w:t>
      </w:r>
    </w:p>
    <w:p>
      <w:pPr>
        <w:spacing w:after="0" w:line="209" w:lineRule="auto"/>
        <w:framePr w:w="800" w:h="160" w:wrap="auto" w:vAnchor="page" w:hAnchor="page" w:x="5340" w:y="6516"/>
        <w:rPr>
          <w:rFonts w:ascii="Arial" w:cs="Arial" w:eastAsia="Arial" w:hAnsi="Arial"/>
          <w:sz w:val="18"/>
          <w:szCs w:val="18"/>
          <w:color w:val="auto"/>
        </w:rPr>
      </w:pPr>
      <w:r>
        <w:rPr>
          <w:rFonts w:ascii="Arial" w:cs="Arial" w:eastAsia="Arial" w:hAnsi="Arial"/>
          <w:sz w:val="18"/>
          <w:szCs w:val="18"/>
          <w:color w:val="auto"/>
        </w:rPr>
        <w:t>2,392,650</w:t>
      </w:r>
    </w:p>
    <w:p>
      <w:pPr>
        <w:spacing w:after="0" w:line="209" w:lineRule="auto"/>
        <w:framePr w:w="800" w:h="160" w:wrap="auto" w:vAnchor="page" w:hAnchor="page" w:x="7180" w:y="6516"/>
        <w:rPr>
          <w:rFonts w:ascii="Arial" w:cs="Arial" w:eastAsia="Arial" w:hAnsi="Arial"/>
          <w:sz w:val="16"/>
          <w:szCs w:val="16"/>
          <w:color w:val="auto"/>
        </w:rPr>
      </w:pPr>
      <w:r>
        <w:rPr>
          <w:rFonts w:ascii="Arial" w:cs="Arial" w:eastAsia="Arial" w:hAnsi="Arial"/>
          <w:sz w:val="16"/>
          <w:szCs w:val="16"/>
          <w:color w:val="auto"/>
        </w:rPr>
        <w:t>2,327,728</w:t>
      </w:r>
    </w:p>
    <w:p>
      <w:pPr>
        <w:spacing w:after="0" w:line="209" w:lineRule="auto"/>
        <w:framePr w:w="6220" w:h="160" w:wrap="auto" w:vAnchor="page" w:hAnchor="page" w:x="2840" w:y="6989"/>
        <w:rPr>
          <w:rFonts w:ascii="Arial" w:cs="Arial" w:eastAsia="Arial" w:hAnsi="Arial"/>
          <w:sz w:val="16"/>
          <w:szCs w:val="16"/>
          <w:color w:val="auto"/>
        </w:rPr>
      </w:pPr>
      <w:r>
        <w:rPr>
          <w:rFonts w:ascii="Arial" w:cs="Arial" w:eastAsia="Arial" w:hAnsi="Arial"/>
          <w:sz w:val="16"/>
          <w:szCs w:val="16"/>
          <w:color w:val="auto"/>
        </w:rPr>
        <w:t>The accompanying notes are an integral part of these condensed financial statements.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23" w:lineRule="exact"/>
        <w:rPr>
          <w:rFonts w:ascii="Arial" w:cs="Arial" w:eastAsia="Arial" w:hAnsi="Arial"/>
          <w:sz w:val="16"/>
          <w:szCs w:val="16"/>
          <w:color w:val="auto"/>
        </w:rPr>
      </w:pPr>
    </w:p>
    <w:p>
      <w:pPr>
        <w:ind w:left="140" w:right="1040"/>
        <w:spacing w:after="0" w:line="261" w:lineRule="auto"/>
        <w:rPr>
          <w:sz w:val="20"/>
          <w:szCs w:val="20"/>
          <w:color w:val="auto"/>
        </w:rPr>
      </w:pPr>
      <w:r>
        <w:rPr>
          <w:rFonts w:ascii="Arial" w:cs="Arial" w:eastAsia="Arial" w:hAnsi="Arial"/>
          <w:sz w:val="18"/>
          <w:szCs w:val="18"/>
          <w:color w:val="auto"/>
        </w:rPr>
        <w:t>Administration fee - related party Operating costs</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TOTAL EXPENSES</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3"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8"/>
          <w:szCs w:val="18"/>
          <w:color w:val="auto"/>
        </w:rPr>
        <w:t>Interest income</w:t>
      </w:r>
    </w:p>
    <w:p>
      <w:pPr>
        <w:spacing w:after="0" w:line="23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TOTAL OTHER INCOME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Net loss</w:t>
      </w:r>
    </w:p>
    <w:p>
      <w:pPr>
        <w:spacing w:after="0" w:line="28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5"/>
          <w:szCs w:val="15"/>
          <w:b w:val="1"/>
          <w:bCs w:val="1"/>
          <w:color w:val="auto"/>
        </w:rPr>
        <w:t>Net loss per share of common stock - basic</w:t>
      </w:r>
    </w:p>
    <w:p>
      <w:pPr>
        <w:spacing w:after="0" w:line="3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Weighted average shares of common stock</w:t>
      </w:r>
    </w:p>
    <w:p>
      <w:pPr>
        <w:spacing w:after="0" w:line="50" w:lineRule="exact"/>
        <w:rPr>
          <w:rFonts w:ascii="Arial" w:cs="Arial" w:eastAsia="Arial" w:hAnsi="Arial"/>
          <w:sz w:val="16"/>
          <w:szCs w:val="16"/>
          <w:color w:val="auto"/>
        </w:rPr>
      </w:pPr>
    </w:p>
    <w:p>
      <w:pPr>
        <w:ind w:left="140"/>
        <w:spacing w:after="0"/>
        <w:rPr>
          <w:sz w:val="20"/>
          <w:szCs w:val="20"/>
          <w:color w:val="auto"/>
        </w:rPr>
      </w:pPr>
      <w:r>
        <w:rPr>
          <w:rFonts w:ascii="Arial" w:cs="Arial" w:eastAsia="Arial" w:hAnsi="Arial"/>
          <w:sz w:val="18"/>
          <w:szCs w:val="18"/>
          <w:b w:val="1"/>
          <w:bCs w:val="1"/>
          <w:color w:val="auto"/>
        </w:rPr>
        <w:t>outstanding - basic and diluted</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jc w:val="center"/>
        <w:ind w:right="424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rFonts w:ascii="Arial" w:cs="Arial" w:eastAsia="Arial" w:hAnsi="Arial"/>
          <w:sz w:val="16"/>
          <w:szCs w:val="16"/>
          <w:color w:val="auto"/>
        </w:rPr>
      </w:pPr>
    </w:p>
    <w:p>
      <w:pPr>
        <w:jc w:val="center"/>
        <w:ind w:right="424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rFonts w:ascii="Arial" w:cs="Arial" w:eastAsia="Arial" w:hAnsi="Arial"/>
          <w:sz w:val="16"/>
          <w:szCs w:val="16"/>
          <w:color w:val="auto"/>
        </w:rPr>
      </w:pPr>
    </w:p>
    <w:p>
      <w:pPr>
        <w:jc w:val="center"/>
        <w:ind w:right="4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rFonts w:ascii="Arial" w:cs="Arial" w:eastAsia="Arial" w:hAnsi="Arial"/>
          <w:sz w:val="16"/>
          <w:szCs w:val="16"/>
          <w:color w:val="auto"/>
        </w:rPr>
      </w:pPr>
    </w:p>
    <w:tbl>
      <w:tblPr>
        <w:tblLayout w:type="fixed"/>
        <w:tblInd w:w="6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For the Three</w:t>
            </w:r>
          </w:p>
        </w:tc>
        <w:tc>
          <w:tcPr>
            <w:tcW w:w="1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For the Three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 the Six</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14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Months</w:t>
            </w:r>
          </w:p>
        </w:tc>
      </w:tr>
      <w:tr>
        <w:trPr>
          <w:trHeight w:val="230"/>
        </w:trPr>
        <w:tc>
          <w:tcPr>
            <w:tcW w:w="140" w:type="dxa"/>
            <w:vAlign w:val="bottom"/>
          </w:tcPr>
          <w:p>
            <w:pPr>
              <w:spacing w:after="0"/>
              <w:rPr>
                <w:sz w:val="19"/>
                <w:szCs w:val="19"/>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2018</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June 30, 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2017</w:t>
            </w:r>
          </w:p>
        </w:tc>
        <w:tc>
          <w:tcPr>
            <w:tcW w:w="60" w:type="dxa"/>
            <w:vAlign w:val="bottom"/>
            <w:gridSpan w:val="2"/>
          </w:tcPr>
          <w:p>
            <w:pPr>
              <w:spacing w:after="0"/>
              <w:rPr>
                <w:sz w:val="20"/>
                <w:szCs w:val="20"/>
                <w:color w:val="auto"/>
              </w:rPr>
            </w:pPr>
          </w:p>
        </w:tc>
      </w:tr>
      <w:tr>
        <w:trPr>
          <w:trHeight w:val="641"/>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24"/>
                <w:szCs w:val="24"/>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351,372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347,501</w:t>
            </w:r>
          </w:p>
        </w:tc>
        <w:tc>
          <w:tcPr>
            <w:tcW w:w="40" w:type="dxa"/>
            <w:vAlign w:val="bottom"/>
          </w:tcPr>
          <w:p>
            <w:pPr>
              <w:spacing w:after="0"/>
              <w:rPr>
                <w:sz w:val="20"/>
                <w:szCs w:val="20"/>
                <w:color w:val="auto"/>
              </w:rPr>
            </w:pPr>
          </w:p>
        </w:tc>
      </w:tr>
      <w:tr>
        <w:trPr>
          <w:trHeight w:val="439"/>
        </w:trPr>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381,372</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162,035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407,501</w:t>
            </w:r>
          </w:p>
        </w:tc>
        <w:tc>
          <w:tcPr>
            <w:tcW w:w="40" w:type="dxa"/>
            <w:vAlign w:val="bottom"/>
          </w:tcPr>
          <w:p>
            <w:pPr>
              <w:spacing w:after="0"/>
              <w:rPr>
                <w:sz w:val="24"/>
                <w:szCs w:val="24"/>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393,315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143,632</w:t>
            </w:r>
          </w:p>
        </w:tc>
        <w:tc>
          <w:tcPr>
            <w:tcW w:w="40" w:type="dxa"/>
            <w:vAlign w:val="bottom"/>
          </w:tcPr>
          <w:p>
            <w:pPr>
              <w:spacing w:after="0"/>
              <w:rPr>
                <w:sz w:val="24"/>
                <w:szCs w:val="24"/>
                <w:color w:val="auto"/>
              </w:rPr>
            </w:pPr>
          </w:p>
        </w:tc>
      </w:tr>
      <w:tr>
        <w:trPr>
          <w:trHeight w:val="439"/>
        </w:trPr>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393,315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143,632</w:t>
            </w:r>
          </w:p>
        </w:tc>
        <w:tc>
          <w:tcPr>
            <w:tcW w:w="40" w:type="dxa"/>
            <w:vAlign w:val="bottom"/>
          </w:tcPr>
          <w:p>
            <w:pPr>
              <w:spacing w:after="0"/>
              <w:rPr>
                <w:sz w:val="24"/>
                <w:szCs w:val="24"/>
                <w:color w:val="auto"/>
              </w:rPr>
            </w:pPr>
          </w:p>
        </w:tc>
      </w:tr>
      <w:tr>
        <w:trPr>
          <w:trHeight w:val="453"/>
        </w:trPr>
        <w:tc>
          <w:tcPr>
            <w:tcW w:w="140" w:type="dxa"/>
            <w:vAlign w:val="bottom"/>
          </w:tcPr>
          <w:p>
            <w:pPr>
              <w:spacing w:after="0"/>
              <w:rPr>
                <w:sz w:val="24"/>
                <w:szCs w:val="24"/>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(162,535)</w:t>
            </w:r>
          </w:p>
        </w:tc>
        <w:tc>
          <w:tcPr>
            <w:tcW w:w="16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(75,024)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(309,285)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(263,869)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2,352,922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2,319,266</w:t>
            </w:r>
          </w:p>
        </w:tc>
        <w:tc>
          <w:tcPr>
            <w:tcW w:w="40" w:type="dxa"/>
            <w:vAlign w:val="bottom"/>
          </w:tcPr>
          <w:p>
            <w:pPr>
              <w:spacing w:after="0"/>
              <w:rPr>
                <w:sz w:val="24"/>
                <w:szCs w:val="24"/>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-2724785</wp:posOffset>
            </wp:positionH>
            <wp:positionV relativeFrom="paragraph">
              <wp:posOffset>-2529205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-2254885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-1963420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-1671955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-1388745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-1097280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-788035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-471170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617220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2">
            <w:col w:w="3580" w:space="720"/>
            <w:col w:w="7080"/>
          </w:cols>
          <w:pgMar w:left="240" w:top="796"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 the Six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(309,285)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(263,869)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(393,315)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(143,632)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(61,398)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(176,568)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(286,847)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released from Trust Account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Cash deposited into Trust account</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(398,259)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(22,607)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Withdrawal from Trust Account upon redemption of common stock</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3,963,539</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Net Cash Provided By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3,570,540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related party notes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Proceeds from notes payable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265,505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Redemption of common stock</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(3,963,539)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(3,565,281)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(171,309)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(237,752)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172,196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362,535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124,783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 payable used to pay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76,771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4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Change in common stock subject to possible conversion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44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(4,272,824</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263,869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the Company had not yet commenced any operations. For the six months ended June 30, 2018, the Company’s activity has been limited to the evaluation of business combination candidates (see Note 6 – Commitments: Contribution Agreement),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(the “Private Placement”) of 402,500 units (the “Private Units”)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June 30,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(“American”),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agreed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896" w:gutter="0" w:footer="0" w:header="0"/>
        </w:sectPr>
      </w:pPr>
    </w:p>
    <w:bookmarkStart w:id="6" w:name="page7"/>
    <w:bookmarkEnd w:id="6"/>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September 17,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Between March of 2018 and June of 2018 and pursuant to the terms of the original investment management trust agreement between the Company and American Stock Transfer &amp; Trust dated September 13, 2016, the Company’s insiders and their affiliates or designees had deposited $398,258 into the trust account in order to extend the time the Company had to complete a business combination from March 19, 2018 to June 19, 2018. On June 15, 2018, the Company further extended the time the Company has to complete a business combination to September 17, 2018, pursuant to a vote of our stockholders by amending the Company’s investment management trust agreement with American Stock Transfer &amp; Trust Company and by amending and restating the certificate of incorporation of the Company. No additional consideration was paid for the extension of such deadline to September 17, 2018. Shareholders redeemed a total of 377,231 public shares at a price per share of $10.507 (or $3,963,539 in the aggregate) in connection with the vote to extend the liquidation date to September 17, 2018. This resulted in a reduction of M I Acquisitions’ trust account by $3,963,539. If the Company is unable to consummate an initial Business Combination and is forced to redeem 100% of the outstanding public shares for a pro rata portion of the funds held in the Trust Account, each shareholder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condensed financial statements have been prepared assuming the Company will continue as a going concern, which contemplates, among other things, the realization of assets and satisfaction of liabilities in the normal course of business. As of June 30, 2018, the Company had $887 in cash and cash equivalents held outside Trust Account, $792,481 in interest income available from the Company’s investments in the Trust Account to pay its tax obligations, and a working capital deficit of $1,301,875. Further, the Company has incurred and expects to continue to incur significant costs in pursuit of its financing and acquisition plans. The Company’s plans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Based on the foregoing, the Company may have insufficient funds available to operate its business through the earlier of consummation of a Business Combination or September 17, 2018.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financial statements do not include any adjustments that might be necessary if the Company is unable to continue as a going concern.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June 30, 2018 are not necessarily indicative of the results that may be expected for the year ended December 31, 2018 or any future interim period. The accompanying unaudited condensed financial statements should be read in conjunction with the Company’s financial statements and notes thereto included in the Company’s Form 10-K filed with the Securities and Exchange Commission on March 27,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amounts held in the Trust Account represent substantially all of the remaining proceeds of the Initial Public Offering, in addition to aggregate proceeds of $398,258 received to date to extend the time to complete an initial business combination,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the company has completed a Business Combination in the required time period. As of June 30, 2018, marketable securities held in the Trust Account consisted of $51,904,674 in United States Treasury Bills with an original maturity of six months or less. During the six months ended June 30, 2018, the Company withdrew interest income totaling $5,260 to be utilized for payment of tax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4,239,522 and 4,714,289 shares of common stock subject to possible conversion at June 30, 2018 and 2017, respectively, have been excluded from the calculation of basic loss per ordinary share since such shares, if redeemed, only participate in their pro rata share of the trust earnings. At June 30, 2018 and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conversion,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Three Months</w:t>
            </w:r>
          </w:p>
        </w:tc>
        <w:tc>
          <w:tcPr>
            <w:tcW w:w="6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conversion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(188,026)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(350,561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2,392,650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(309,285)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conversion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(337,950)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(647,235</w:t>
            </w:r>
          </w:p>
        </w:tc>
        <w:tc>
          <w:tcPr>
            <w:tcW w:w="200" w:type="dxa"/>
            <w:vAlign w:val="bottom"/>
            <w:tcBorders>
              <w:top w:val="single" w:sz="8" w:color="CCEEFF"/>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2,352,922</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years.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2018 through June 30, 2018. Management is currently unaware of any issues under review that could result in significant payments, accruals or material deviations from its position.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were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of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are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April 12, 2018, the Company issued a promissory note in the aggregate principal amount of </w:t>
      </w:r>
      <w:r>
        <w:rPr>
          <w:rFonts w:ascii="Arial" w:cs="Arial" w:eastAsia="Arial" w:hAnsi="Arial"/>
          <w:sz w:val="17"/>
          <w:szCs w:val="17"/>
          <w:color w:val="auto"/>
          <w:highlight w:val="white"/>
        </w:rPr>
        <w:t>$132,753 to Priority Holdings, LLC.</w:t>
      </w:r>
      <w:r>
        <w:rPr>
          <w:rFonts w:ascii="Arial" w:cs="Arial" w:eastAsia="Arial" w:hAnsi="Arial"/>
          <w:sz w:val="17"/>
          <w:szCs w:val="17"/>
          <w:color w:val="auto"/>
        </w:rPr>
        <w:t xml:space="preserve"> The $132,753 received by the Company upon issuance of the note was deposited into the Company’s trust account for the benefit of its public stockholders in order to extend the </w:t>
      </w:r>
      <w:r>
        <w:rPr>
          <w:rFonts w:ascii="Arial" w:cs="Arial" w:eastAsia="Arial" w:hAnsi="Arial"/>
          <w:sz w:val="17"/>
          <w:szCs w:val="17"/>
          <w:color w:val="auto"/>
          <w:highlight w:val="white"/>
        </w:rPr>
        <w:t>period of time the Company had to complete a business combination for an additional one month, from April 19, 2018 to May 19, 2018. The note does not bear interest and is payable five business days after the date the Company completes a business combination.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19, 2018, the Company issued a promissory note in the aggregate principal amount of </w:t>
      </w:r>
      <w:r>
        <w:rPr>
          <w:rFonts w:ascii="Arial" w:cs="Arial" w:eastAsia="Arial" w:hAnsi="Arial"/>
          <w:sz w:val="18"/>
          <w:szCs w:val="18"/>
          <w:color w:val="auto"/>
          <w:highlight w:val="white"/>
        </w:rPr>
        <w:t>$76,771 to Priority Holdings, LLC. The proceeds</w:t>
      </w:r>
      <w:r>
        <w:rPr>
          <w:rFonts w:ascii="Arial" w:cs="Arial" w:eastAsia="Arial" w:hAnsi="Arial"/>
          <w:sz w:val="18"/>
          <w:szCs w:val="18"/>
          <w:color w:val="auto"/>
        </w:rPr>
        <w:t xml:space="preserve"> of the note were used for payment of filing fees of the Company incurred in connection the business combination with Priority. </w:t>
      </w:r>
      <w:r>
        <w:rPr>
          <w:rFonts w:ascii="Arial" w:cs="Arial" w:eastAsia="Arial" w:hAnsi="Arial"/>
          <w:sz w:val="18"/>
          <w:szCs w:val="18"/>
          <w:color w:val="auto"/>
          <w:highlight w:val="white"/>
        </w:rPr>
        <w:t>The note does not bear interest and is</w:t>
      </w:r>
      <w:r>
        <w:rPr>
          <w:rFonts w:ascii="Arial" w:cs="Arial" w:eastAsia="Arial" w:hAnsi="Arial"/>
          <w:sz w:val="18"/>
          <w:szCs w:val="18"/>
          <w:color w:val="auto"/>
        </w:rPr>
        <w:t xml:space="preserve"> </w:t>
      </w:r>
      <w:r>
        <w:rPr>
          <w:rFonts w:ascii="Arial" w:cs="Arial" w:eastAsia="Arial" w:hAnsi="Arial"/>
          <w:sz w:val="18"/>
          <w:szCs w:val="18"/>
          <w:color w:val="auto"/>
          <w:highlight w:val="white"/>
        </w:rPr>
        <w:t>payable five business days after the date the Company completes a business combination.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 xml:space="preserve">On May 15, 2018, the Company issued a promissory note in the aggregate principal amount of </w:t>
      </w:r>
      <w:r>
        <w:rPr>
          <w:rFonts w:ascii="Arial" w:cs="Arial" w:eastAsia="Arial" w:hAnsi="Arial"/>
          <w:sz w:val="18"/>
          <w:szCs w:val="18"/>
          <w:color w:val="auto"/>
          <w:highlight w:val="white"/>
        </w:rPr>
        <w:t>$132,753 to Priority Holdings, LLC. The proceeds</w:t>
      </w:r>
      <w:r>
        <w:rPr>
          <w:rFonts w:ascii="Arial" w:cs="Arial" w:eastAsia="Arial" w:hAnsi="Arial"/>
          <w:sz w:val="18"/>
          <w:szCs w:val="18"/>
          <w:color w:val="auto"/>
        </w:rPr>
        <w:t xml:space="preserve"> of the note was deposited into the Company’s trust account for the benefit of its public stockholders in order to extend the </w:t>
      </w:r>
      <w:r>
        <w:rPr>
          <w:rFonts w:ascii="Arial" w:cs="Arial" w:eastAsia="Arial" w:hAnsi="Arial"/>
          <w:sz w:val="18"/>
          <w:szCs w:val="18"/>
          <w:color w:val="auto"/>
          <w:highlight w:val="white"/>
        </w:rPr>
        <w:t>period of time the Company had to complete a</w:t>
      </w:r>
      <w:r>
        <w:rPr>
          <w:rFonts w:ascii="Arial" w:cs="Arial" w:eastAsia="Arial" w:hAnsi="Arial"/>
          <w:sz w:val="18"/>
          <w:szCs w:val="18"/>
          <w:color w:val="auto"/>
        </w:rPr>
        <w:t xml:space="preserve"> </w:t>
      </w:r>
      <w:r>
        <w:rPr>
          <w:rFonts w:ascii="Arial" w:cs="Arial" w:eastAsia="Arial" w:hAnsi="Arial"/>
          <w:sz w:val="18"/>
          <w:szCs w:val="18"/>
          <w:color w:val="auto"/>
          <w:highlight w:val="white"/>
        </w:rPr>
        <w:t>business combination for an additional three months, from May 19, 2018 to September 19, 2018. The note does not bear interest and is payable five business days after the date the Company completes a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 – Related Parties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had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provides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commencing on September 13, 2016, agreed to pay an affiliate of the Company’s executive officers a monthly fee of $10,000 for general and administrative services due on the first of each month. During the three months ended June 30, 2018 and 2017, the Company incurred administrative fees of $30,000 and $30,000, respectively. During the six months ended June 30, 2018 and 2017, the Company incurred administrative fees of $60,000 and $60,000, respectively. As of June 30, 2018, the Company accrued $20,000 due the affiliate.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the Company entered into a Contribution Agreement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the Company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closing of the transactions contemplated by the Purchase Agreement, the Company will acquire 100% of the issued and outstanding equity securities of Priority (the “Business Combination”), which will result in Priority becoming a wholly-owned subsidiary of the Company. In connection with the Business Combination, the Company will change its name to Priority Technology Holdings, Inc. The consideration to be paid by the Company to the Interest Holders in the business combination is a number of shares of the Company’s common stock equal to Priority’s equity value (which the Purchase Agreement defines as of the signing date as the $947.8 million enterprise value of Priority, less the net debt of Priority, subject to certain adjustments as described in the Purchase Agreement) divided by $10.30.If Priority acquires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included in the Earnout Adjusted EBITDA calculation of Priority shall be capped at 20% of the Earnout Adjusted EBITDA of the applicable acquisition with respect to the 12-month period immediately preceding the consummation of such acquisition. In addition, any cash that Priority spends to acquire any technology assets, up to $5.0 million, to purchase securities from the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32"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Earnout Adjusted EBITDA of M I Acquisitions must be no less than $82.5 million for the year ended December 31, 2018 and the M I Acquisitions stock price must have traded in excess of $12.00 for any 20 trading days within any consecutive 30-day trading period at any time on or before December 31, 2019. For the second earn-out,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Purchase Agreement, the Company’s founding stockholders (the “Founders”) and Priority entered into a purchase agreement (the “Founders Share Agreement”) pursuant to which Priority agreed to purchase 421,107 of the units issued to the Founders in a private placement immediately prior to the Company’s initial public offering, and 453,210 shares of common stock of the Company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earn-outs described above (and relating to the Purchase Agreement consideration) is achieved.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at any time all or some of the Founders’ remaining shares of the Company’s common stock at the prevailing market price subject to certain conditions including a floor of $10.30 per share and (ii) a right of first refusal on any proposed transfer of shares by the Founders.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19, 2018, the Company will hold a special meeting at which the holders of the Company’s shares of common stock will be asked to approve the amended and restated Purchase Agreement. In addition, the shareholders will vote on other proposals related to the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 2018, the Company received a letter (the “Notification Letter”) from the staff of the Listing Qualifications Department of The Nasdaq Stock Market (“Nasdaq”) notifying the Company that the Company no longer complies with Nasdaq Listing Rule 5620(a) for continued listing due to its failure to hold an annual meeting of stockholders within twelve months of the end of the Company’s fiscal year ended December 31, 2016. On February 20, 2018, the Company submitted its plan to regain compliance pursuant to the procedures set forth in the Nasdaq listing rules. On February 20, 2018, Nasdaq granted the Company an extension until June 19, 2018 to regain compliance. On June 19, 2018, the Company received a notice from Nasdaq stating that as a result of the Annual Meeting held on June 15, 2018, the Company is now in compliance with the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included an aggregate of up to 187,500 shares that were subject to forfeiture if the over-allotment option was not exercised by the underwriters. All of these shares were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 June 2018, holders of 377,231 shares of the Company’s common stock redeemed their shares for cash of $3,963,539.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and December 31, 2017, there were 2,441,990 and 2,352,922 common shares issued and outstanding, which excludes 4,239,522 and 4,705,821 shares subject to possible conversion, respectively.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by September 17, 2018,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accounted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Furthermore, statements regarding our initial business combination, including the anticipated initial enterprise value and post-closing equity value of the combined company, the benefits of the proposed initial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(as defined below),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8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performance following our initial public offering.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(i) risks related to the expected timing and likelihood of completion of the pending initial business combination,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the Company was not obtained; (ii) risks related to the ability of the Company and Priority (as defined below) to successfully integrate the businesses; (iii) the occurrence of any event, change or other circumstances that could give rise to the termination of the Purchase Agreement (including circumstances requiring a party to pay the other party a termination fee pursuant to the Purchase Agreement); (iv) the risk that there may be a material adverse change with respect to the financial position, performance, operations or prospects of Priority or the Company; (v) risks related to disruption of management time from ongoing business operations due to the proposed initial business combination; (vi) the risk that any announcements relating to the proposed transaction could have adverse effects on the market price of the Company’s Common Stock; (vii) the risk that the proposed initial business combination and its announcement could have an adverse effect on the ability of Priority and the Company to retain customers and retain and hire key personnel and maintain relationships with their suppliers and customers and on their operating results and businesses generally; (viii) risks related to successfully integrating the businesses of the Priority and the Company, which may result in the combined company not operating as effectively and efficiently as expected; (ix) the risk that the combined company may be unable to achieve cost-cutting synergies or it may take longer than expected to achieve those synergies; and (x) risks associated with the financing of the proposed transaction.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jc w:val="both"/>
        <w:spacing w:after="0" w:line="308" w:lineRule="auto"/>
        <w:rPr>
          <w:sz w:val="20"/>
          <w:szCs w:val="20"/>
          <w:color w:val="auto"/>
        </w:rPr>
      </w:pPr>
      <w:r>
        <w:rPr>
          <w:rFonts w:ascii="Arial" w:cs="Arial" w:eastAsia="Arial" w:hAnsi="Arial"/>
          <w:sz w:val="17"/>
          <w:szCs w:val="17"/>
          <w:color w:val="auto"/>
        </w:rPr>
        <w:t>References to “M I Acquisitions”,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2018, we extended the time to complete a business combination to September 17, 2018, pursuant to a vote of our stockholders. No additional consideration was paid for the extension of such deadline to September 17, 2018. Shareholders redeemed a total of 377,231 public shares at a price per share of $10.507 (or approximately $3,963,539 in the aggregate) in connection with the vote to extend the liquidation date to September 17, 2018. This resulted in a reduction of M I Acquisitions’ trust account by $3,963,539.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July 17, 2018, a total of $51,904,674 was held in the trust account established for the benefit of the Company’s public shareholders.</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26, 2018, we entered into a Contribution Agreement dated February 26, 2018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we entered into an Amended and Restated Contribution Agreement with the Interest Holders, and we entered into a Second Amended and Restated Contribution Agreement on April 17, 2018 (as amended and restated, the “Purchase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transactions contemplated by the Purchase Agreement, we will acquire 100% of the issued and outstanding equity securities of Priority, which will result in Priority becoming a wholly-owned subsidiary of M I Acquisitions.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consideration to be paid by us to the Interest Holders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the closing of the Business Combination. In addition, any cash that Priority spends to acquire any technology assets, up to $5.0 million, to purchase securities from M I Acquisitions’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26, 2018, our founding stockholders (the “Founders”) and Priority entered into a purchase agreement (the “Promote Agreement”)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set a record date of June 29, 2018 and a meeting date of July 19, 2018 for stockholders to vote on the transaction with Priority.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more detailed description of the Purchase Agreement with Priority and the related transactions can be found in our definitive proxy statement filed with the SEC on July 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2018, we issued a promissory note in the aggregate principal amount of $132,752.73 to Priority. The $132,752.73 received by us upon issuance of the note was deposited into our trust account for the benefit of our public stockholders in order to extend the period of time we had to complete a business combination for an additional one-month period, from May 19, 2018 to June 19, 2018. The note does not bear interest and is payable five business days after the date M I Acquisitions completes a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Our expenses have increased substantially since closing the Offering.</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June 30, 2018, we had a net loss of $162,535 During the three months ended June 30, 2018, we incurred $351,372 of general and administrative expenses and $30,000 of administrative fees charged by a related party of which $20,000 were due to the related party as of June 30, 2018. For the quarter ended June 30, 2018, these expenses were partially offset by other income totaling $218,837, which was comprised of interest income. For the three months ended June 30, 2017, we had a net loss of $75,024. During the three months ended June 30, 2017, we incurred $132,035 of general and administrative expenses and $30,000 of administrative fees paid to a related party. For the quarter ended June 30, 2017, these expenses were partially offset by other income totaling $87,011, which was comprised of interest income.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For the six months ended June 30, 2018, we had a net loss of $309,285. During the six months ended June 30, 2018, we incurred $642,600 of general and administrative expenses and $60,000 of administrative fees charged by a related party of which $20,000 were due to the related party as of June 30, 2018. For the quarter ended June 30, 2018, these expenses were partially offset by other income totaling $393,315, which was comprised of interest income. For the six months ended June 30, 2017, we had a net loss of $263,869. During the six months ended June 30, 2017, we incurred $347,501 of general and administrative expenses and $60,000 of administrative fees paid to a related party. For the quarter ended June 30, 2017, these expenses were partially offset by other income totaling $143,632, which was comprised of interest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cash outside our trust account of $887.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liquidity needs have been satisfied to date through the Offering, the receipt of $25,000 from the sale of the insider shares and loans from insiders and a related party and an unrelated party in an aggregate amount of $716,950. During the six months ended June 30, 2018, we withdrew interest income totaling $5,260 to be utilized for payment of tax obligations.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$1,062,000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anticipate that the approximately $887 outside of our trust account will be insufficient to allow us to operate until September 17, 2018. We may need to raise additional capital through loans or additional investments from our shareholders, officers, directors, or third parties to allow us to operate until September 17, 2018.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we were not subject to any market or interest rate risk. Following the consummation of the Offering, the net proceeds of the Offering, including amounts in the trust account, may only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2018,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jc w:val="both"/>
        <w:ind w:firstLine="486"/>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of 2018 covered by this Quarterly Report on Form 10-Q that has materially affected, or is reasonably likely to materially affect, our internal control over financial reporting.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ind w:firstLine="535"/>
        <w:spacing w:after="0" w:line="288" w:lineRule="auto"/>
        <w:rPr>
          <w:sz w:val="20"/>
          <w:szCs w:val="20"/>
          <w:color w:val="auto"/>
        </w:rPr>
      </w:pPr>
      <w:r>
        <w:rPr>
          <w:rFonts w:ascii="Arial" w:cs="Arial" w:eastAsia="Arial" w:hAnsi="Arial"/>
          <w:sz w:val="16"/>
          <w:szCs w:val="16"/>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 As of October 14, 2016, a total of $54,694,127 of the net proceeds from the Offering and the Private Placement were in a trust account established for the benefit of the Company’s public shareholders.</w:t>
      </w:r>
    </w:p>
    <w:p>
      <w:pPr>
        <w:spacing w:after="0" w:line="16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paid a total of $1,500,000 in underwriting discounts and commissions and $1,687,451 for other costs and expenses related to our formation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15, 2018, we extended the time to complete a business combination to September 17, 2018, pursuant to a vote of our stockholders. Our organizational documents originally provided that the extension would take place no later than June 19, 2018. No additional consideration was paid for the extension of such deadline to September 17, 2018. Shareholders redeemed a total of 377,231 public shares at a price per share of $10.507 (or approximately $3,963,539 in aggregate) in connection with the vote to extend the liquidation date to September 17, 2018. This resulted in a reduction of M I Acquisitions’ trust account by approximately $3,963,539.</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8"/>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3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Amendment to the Amended and Restated Certificate of Incorporation of M I Acquisitions, Inc., dated June 15, 2018 (Incorporated by</w:t>
              </w:r>
            </w:hyperlink>
          </w:p>
        </w:tc>
        <w:tc>
          <w:tcPr>
            <w:tcW w:w="580" w:type="dxa"/>
            <w:vAlign w:val="bottom"/>
            <w:tcBorders>
              <w:top w:val="single" w:sz="8" w:color="auto"/>
            </w:tcBorders>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reference to Exhibit 3.1 to the Current Report on Form 8-K filed by the Company on June 20, 2018)</w:t>
              </w:r>
            </w:hyperlink>
          </w:p>
        </w:tc>
      </w:tr>
      <w:tr>
        <w:trPr>
          <w:trHeight w:val="20"/>
        </w:trPr>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040" w:type="dxa"/>
            <w:vAlign w:val="bottom"/>
            <w:gridSpan w:val="3"/>
          </w:tcPr>
          <w:p>
            <w:pPr>
              <w:spacing w:after="0"/>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3"/>
              </w:rPr>
            </w:pPr>
            <w:hyperlink r:id="rId36">
              <w:r>
                <w:rPr>
                  <w:rFonts w:ascii="Arial" w:cs="Arial" w:eastAsia="Arial" w:hAnsi="Arial"/>
                  <w:sz w:val="18"/>
                  <w:szCs w:val="18"/>
                  <w:color w:val="0000EE"/>
                  <w:w w:val="93"/>
                </w:rPr>
                <w:t>Promissory Note issued to Priority dated April 12, 2018. (Incorporated by reference to Exhibit 10.1 to the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by the Company on April 13, 2018)</w:t>
              </w:r>
            </w:hyperlink>
          </w:p>
        </w:tc>
        <w:tc>
          <w:tcPr>
            <w:tcW w:w="756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040" w:type="dxa"/>
            <w:vAlign w:val="bottom"/>
            <w:gridSpan w:val="3"/>
          </w:tcPr>
          <w:p>
            <w:pPr>
              <w:spacing w:after="0"/>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Promissory Note issued to Priority dated April 19, 2018. (Incorporated by reference to Exhibit 10.1 to the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by the Company on April 23, 2018)</w:t>
              </w:r>
            </w:hyperlink>
          </w:p>
        </w:tc>
        <w:tc>
          <w:tcPr>
            <w:tcW w:w="7500" w:type="dxa"/>
            <w:vAlign w:val="bottom"/>
            <w:tcBorders>
              <w:top w:val="single" w:sz="8" w:color="0000EE"/>
            </w:tcBorders>
            <w:gridSpan w:val="4"/>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1040" w:type="dxa"/>
            <w:vAlign w:val="bottom"/>
            <w:gridSpan w:val="3"/>
          </w:tcPr>
          <w:p>
            <w:pPr>
              <w:spacing w:after="0"/>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3"/>
              </w:rPr>
            </w:pPr>
            <w:hyperlink r:id="rId38">
              <w:r>
                <w:rPr>
                  <w:rFonts w:ascii="Arial" w:cs="Arial" w:eastAsia="Arial" w:hAnsi="Arial"/>
                  <w:sz w:val="18"/>
                  <w:szCs w:val="18"/>
                  <w:color w:val="0000EE"/>
                  <w:w w:val="93"/>
                </w:rPr>
                <w:t>Promissory Note issued to Priority dated May 15, 2018. (Incorporated by reference to Exhibit 10.1 to the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by the Company on May 17, 2018)</w:t>
              </w:r>
            </w:hyperlink>
          </w:p>
        </w:tc>
        <w:tc>
          <w:tcPr>
            <w:tcW w:w="220" w:type="dxa"/>
            <w:vAlign w:val="bottom"/>
            <w:gridSpan w:val="3"/>
          </w:tcPr>
          <w:p>
            <w:pPr>
              <w:spacing w:after="0"/>
              <w:rPr>
                <w:sz w:val="17"/>
                <w:szCs w:val="17"/>
                <w:color w:val="auto"/>
              </w:rPr>
            </w:pPr>
          </w:p>
        </w:tc>
      </w:tr>
      <w:tr>
        <w:trPr>
          <w:trHeight w:val="60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4680" w:type="dxa"/>
            <w:vAlign w:val="bottom"/>
            <w:tcBorders>
              <w:bottom w:val="single" w:sz="8" w:color="auto"/>
            </w:tcBorders>
            <w:gridSpan w:val="2"/>
          </w:tcPr>
          <w:p>
            <w:pPr>
              <w:jc w:val="right"/>
              <w:ind w:right="2560"/>
              <w:spacing w:after="0"/>
              <w:rPr>
                <w:sz w:val="20"/>
                <w:szCs w:val="20"/>
                <w:color w:val="auto"/>
              </w:rPr>
            </w:pPr>
            <w:r>
              <w:rPr>
                <w:rFonts w:ascii="Arial" w:cs="Arial" w:eastAsia="Arial" w:hAnsi="Arial"/>
                <w:sz w:val="18"/>
                <w:szCs w:val="18"/>
                <w:color w:val="auto"/>
              </w:rPr>
              <w:t>18</w:t>
            </w:r>
          </w:p>
        </w:tc>
        <w:tc>
          <w:tcPr>
            <w:tcW w:w="2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840"/>
              <w:spacing w:after="0"/>
              <w:rPr>
                <w:rFonts w:ascii="Arial" w:cs="Arial" w:eastAsia="Arial" w:hAnsi="Arial"/>
                <w:sz w:val="18"/>
                <w:szCs w:val="18"/>
                <w:color w:val="0000EE"/>
                <w:w w:val="85"/>
              </w:rPr>
            </w:pPr>
            <w:hyperlink r:id="rId3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120" w:type="dxa"/>
            <w:vAlign w:val="bottom"/>
            <w:gridSpan w:val="5"/>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Amendment to the Investment Management Trust Agreement between M I Acquisitions, Inc., and American Stock Transfer &amp; Trust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20" w:type="dxa"/>
            <w:vAlign w:val="bottom"/>
            <w:gridSpan w:val="5"/>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Company, dated June 15, 2018. (Incorporated by reference to Exhibit 3.1 to the Current Report on Form 8-K filed by the Company on June</w:t>
              </w:r>
            </w:hyperlink>
          </w:p>
        </w:tc>
      </w:tr>
      <w:tr>
        <w:trPr>
          <w:trHeight w:val="196"/>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35">
              <w:r>
                <w:rPr>
                  <w:rFonts w:ascii="Arial" w:cs="Arial" w:eastAsia="Arial" w:hAnsi="Arial"/>
                  <w:sz w:val="18"/>
                  <w:szCs w:val="18"/>
                  <w:color w:val="0000EE"/>
                  <w:w w:val="86"/>
                </w:rPr>
                <w:t>20, 2018)</w:t>
              </w:r>
            </w:hyperlink>
          </w:p>
        </w:tc>
        <w:tc>
          <w:tcPr>
            <w:tcW w:w="660" w:type="dxa"/>
            <w:vAlign w:val="bottom"/>
            <w:tcBorders>
              <w:top w:val="single" w:sz="8" w:color="0000EE"/>
            </w:tcBorders>
          </w:tcPr>
          <w:p>
            <w:pPr>
              <w:spacing w:after="0"/>
              <w:rPr>
                <w:sz w:val="17"/>
                <w:szCs w:val="17"/>
                <w:color w:val="auto"/>
              </w:rPr>
            </w:pPr>
          </w:p>
        </w:tc>
        <w:tc>
          <w:tcPr>
            <w:tcW w:w="8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120" w:type="dxa"/>
            <w:vAlign w:val="bottom"/>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Certification of Chief Executive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1934, as amended.</w:t>
              </w:r>
            </w:hyperlink>
          </w:p>
        </w:tc>
        <w:tc>
          <w:tcPr>
            <w:tcW w:w="8780" w:type="dxa"/>
            <w:vAlign w:val="bottom"/>
            <w:tcBorders>
              <w:top w:val="single" w:sz="8" w:color="0000EE"/>
            </w:tcBorders>
            <w:gridSpan w:val="3"/>
          </w:tcPr>
          <w:p>
            <w:pPr>
              <w:spacing w:after="0"/>
              <w:rPr>
                <w:sz w:val="17"/>
                <w:szCs w:val="17"/>
                <w:color w:val="auto"/>
              </w:rPr>
            </w:pPr>
          </w:p>
        </w:tc>
      </w:tr>
      <w:tr>
        <w:trPr>
          <w:trHeight w:val="412"/>
        </w:trPr>
        <w:tc>
          <w:tcPr>
            <w:tcW w:w="1160" w:type="dxa"/>
            <w:vAlign w:val="bottom"/>
            <w:gridSpan w:val="2"/>
          </w:tcPr>
          <w:p>
            <w:pPr>
              <w:jc w:val="right"/>
              <w:ind w:right="840"/>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120" w:type="dxa"/>
            <w:vAlign w:val="bottom"/>
            <w:gridSpan w:val="5"/>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of Chief Financial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1934, as amended.</w:t>
              </w:r>
            </w:hyperlink>
          </w:p>
        </w:tc>
        <w:tc>
          <w:tcPr>
            <w:tcW w:w="874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1160" w:right="20" w:hanging="1152"/>
        <w:spacing w:after="0" w:line="277" w:lineRule="auto"/>
        <w:tabs>
          <w:tab w:leader="none" w:pos="1160" w:val="left"/>
        </w:tabs>
        <w:numPr>
          <w:ilvl w:val="0"/>
          <w:numId w:val="3"/>
        </w:numPr>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of the Sarbanes-Oxley Act of 2002.</w:t>
        </w:r>
      </w:hyperlink>
    </w:p>
    <w:p>
      <w:pPr>
        <w:spacing w:after="0" w:line="170"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310" w:lineRule="exact"/>
        <w:rPr>
          <w:rFonts w:ascii="Arial" w:cs="Arial" w:eastAsia="Arial" w:hAnsi="Arial"/>
          <w:sz w:val="18"/>
          <w:szCs w:val="18"/>
          <w:u w:val="single" w:color="auto"/>
          <w:color w:val="0000EE"/>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80"/>
          </w:cols>
          <w:pgMar w:left="240" w:top="810" w:right="3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2018</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1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July 17, 2018</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Date: July 17, 2018</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June 30, 2018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380" w:hanging="328"/>
        <w:spacing w:after="0" w:line="5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July 17, 2018</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Date: July 17,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32"/>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35" Type="http://schemas.openxmlformats.org/officeDocument/2006/relationships/hyperlink" Target="http://www.sec.gov/Archives/edgar/data/1653558/000161577418005518/s110931_ex3-1.htm" TargetMode="External"/><Relationship Id="rId36" Type="http://schemas.openxmlformats.org/officeDocument/2006/relationships/hyperlink" Target="http://www.sec.gov/Archives/edgar/data/1653558/000161577418002639/s109677_ex10-1.htm" TargetMode="External"/><Relationship Id="rId37" Type="http://schemas.openxmlformats.org/officeDocument/2006/relationships/hyperlink" Target="http://www.sec.gov/Archives/edgar/data/1653558/000161577418002802/s109739_ex10-1.htm" TargetMode="External"/><Relationship Id="rId38" Type="http://schemas.openxmlformats.org/officeDocument/2006/relationships/hyperlink" Target="http://www.sec.gov/Archives/edgar/data/1653558/000161577418004024/s11028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2020-01-13T18:11:51Z</dcterms:created>
  <dcterms:modified xsi:type="dcterms:W3CDTF">2020-01-13T18:11:51Z</dcterms:modified>
</cp:coreProperties>
</file>