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Priore Thomas Charles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100"/>
        <w:spacing w:after="0" w:line="329" w:lineRule="auto"/>
        <w:rPr>
          <w:sz w:val="20"/>
          <w:szCs w:val="20"/>
          <w:color w:val="auto"/>
        </w:rPr>
      </w:pPr>
      <w:r>
        <w:rPr>
          <w:rFonts w:ascii="Arial" w:cs="Arial" w:eastAsia="Arial" w:hAnsi="Arial"/>
          <w:sz w:val="17"/>
          <w:szCs w:val="17"/>
          <w:color w:val="0000FF"/>
        </w:rPr>
        <w:t>C/O PRIORITY TECHNOLOGY HOLDINGS, INC. 2001 WESTSIDE PARKWAY, SUITE 155</w:t>
      </w:r>
    </w:p>
    <w:p>
      <w:pPr>
        <w:spacing w:after="0" w:line="198"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ALPHARETTA</w:t>
            </w:r>
          </w:p>
        </w:tc>
        <w:tc>
          <w:tcPr>
            <w:tcW w:w="880" w:type="dxa"/>
            <w:vAlign w:val="bottom"/>
          </w:tcPr>
          <w:p>
            <w:pPr>
              <w:ind w:left="80"/>
              <w:spacing w:after="0"/>
              <w:rPr>
                <w:sz w:val="20"/>
                <w:szCs w:val="20"/>
                <w:color w:val="auto"/>
              </w:rPr>
            </w:pPr>
            <w:r>
              <w:rPr>
                <w:rFonts w:ascii="Arial" w:cs="Arial" w:eastAsia="Arial" w:hAnsi="Arial"/>
                <w:sz w:val="17"/>
                <w:szCs w:val="17"/>
                <w:color w:val="0000FF"/>
              </w:rPr>
              <w:t>GA</w:t>
            </w:r>
          </w:p>
        </w:tc>
        <w:tc>
          <w:tcPr>
            <w:tcW w:w="1620" w:type="dxa"/>
            <w:vAlign w:val="bottom"/>
          </w:tcPr>
          <w:p>
            <w:pPr>
              <w:ind w:left="420"/>
              <w:spacing w:after="0"/>
              <w:rPr>
                <w:sz w:val="20"/>
                <w:szCs w:val="20"/>
                <w:color w:val="auto"/>
              </w:rPr>
            </w:pPr>
            <w:r>
              <w:rPr>
                <w:rFonts w:ascii="Arial" w:cs="Arial" w:eastAsia="Arial" w:hAnsi="Arial"/>
                <w:sz w:val="17"/>
                <w:szCs w:val="17"/>
                <w:color w:val="0000FF"/>
              </w:rPr>
              <w:t>30004</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2"/>
          </w:tcPr>
          <w:p>
            <w:pPr>
              <w:ind w:left="8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1"/>
        </w:trPr>
        <w:tc>
          <w:tcPr>
            <w:tcW w:w="200" w:type="dxa"/>
            <w:vAlign w:val="bottom"/>
            <w:tcBorders>
              <w:bottom w:val="single" w:sz="8" w:color="2C2C2C"/>
            </w:tcBorders>
          </w:tcPr>
          <w:p>
            <w:pPr>
              <w:spacing w:after="0"/>
              <w:rPr>
                <w:sz w:val="14"/>
                <w:szCs w:val="14"/>
                <w:color w:val="auto"/>
              </w:rPr>
            </w:pPr>
          </w:p>
        </w:tc>
        <w:tc>
          <w:tcPr>
            <w:tcW w:w="364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line="149"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line="14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02/25/2021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7"/>
                <w:szCs w:val="17"/>
                <w:color w:val="0000FF"/>
              </w:rPr>
              <w:t>President, CEO and Chairman</w:t>
            </w:r>
          </w:p>
        </w:tc>
        <w:tc>
          <w:tcPr>
            <w:tcW w:w="0" w:type="dxa"/>
            <w:vAlign w:val="bottom"/>
          </w:tcPr>
          <w:p>
            <w:pPr>
              <w:spacing w:after="0"/>
              <w:rPr>
                <w:sz w:val="1"/>
                <w:szCs w:val="1"/>
                <w:color w:val="auto"/>
              </w:rPr>
            </w:pPr>
          </w:p>
        </w:tc>
      </w:tr>
      <w:tr>
        <w:trPr>
          <w:trHeight w:val="314"/>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180340</wp:posOffset>
            </wp:positionV>
            <wp:extent cx="6969760" cy="141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414780"/>
                    </a:xfrm>
                    <a:prstGeom prst="rect">
                      <a:avLst/>
                    </a:prstGeom>
                    <a:noFill/>
                  </pic:spPr>
                </pic:pic>
              </a:graphicData>
            </a:graphic>
          </wp:anchor>
        </w:drawing>
      </w:r>
    </w:p>
    <w:p>
      <w:pPr>
        <w:spacing w:after="0" w:line="343"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12,500,000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tcPr>
          <w:p>
            <w:pPr>
              <w:ind w:left="260"/>
              <w:spacing w:after="0"/>
              <w:rPr>
                <w:sz w:val="20"/>
                <w:szCs w:val="20"/>
                <w:color w:val="auto"/>
              </w:rPr>
            </w:pPr>
            <w:r>
              <w:rPr>
                <w:rFonts w:ascii="Arial" w:cs="Arial" w:eastAsia="Arial" w:hAnsi="Arial"/>
                <w:sz w:val="17"/>
                <w:szCs w:val="17"/>
                <w:color w:val="0000FF"/>
              </w:rPr>
              <w:t>33,613,250</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jc w:val="right"/>
              <w:ind w:right="161"/>
              <w:spacing w:after="0"/>
              <w:rPr>
                <w:sz w:val="20"/>
                <w:szCs w:val="20"/>
                <w:color w:val="auto"/>
              </w:rPr>
            </w:pPr>
            <w:r>
              <w:rPr>
                <w:rFonts w:ascii="Arial" w:cs="Arial" w:eastAsia="Arial" w:hAnsi="Arial"/>
                <w:sz w:val="13"/>
                <w:szCs w:val="13"/>
                <w:color w:val="0000FF"/>
              </w:rPr>
              <w:t>02/25/2021</w:t>
            </w:r>
          </w:p>
        </w:tc>
        <w:tc>
          <w:tcPr>
            <w:tcW w:w="10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660" w:type="dxa"/>
            <w:vAlign w:val="bottom"/>
          </w:tcPr>
          <w:p>
            <w:pPr>
              <w:ind w:left="120"/>
              <w:spacing w:after="0"/>
              <w:rPr>
                <w:sz w:val="20"/>
                <w:szCs w:val="20"/>
                <w:color w:val="auto"/>
              </w:rPr>
            </w:pPr>
            <w:r>
              <w:rPr>
                <w:rFonts w:ascii="Arial" w:cs="Arial" w:eastAsia="Arial" w:hAnsi="Arial"/>
                <w:sz w:val="13"/>
                <w:szCs w:val="13"/>
                <w:color w:val="0000FF"/>
              </w:rPr>
              <w:t>102,542</w:t>
            </w:r>
          </w:p>
        </w:tc>
        <w:tc>
          <w:tcPr>
            <w:tcW w:w="260" w:type="dxa"/>
            <w:vAlign w:val="bottom"/>
          </w:tcPr>
          <w:p>
            <w:pPr>
              <w:spacing w:after="0"/>
              <w:rPr>
                <w:sz w:val="21"/>
                <w:szCs w:val="21"/>
                <w:color w:val="auto"/>
              </w:rPr>
            </w:pP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1"/>
                <w:szCs w:val="21"/>
                <w:color w:val="auto"/>
              </w:rPr>
            </w:pPr>
          </w:p>
        </w:tc>
        <w:tc>
          <w:tcPr>
            <w:tcW w:w="52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102,542</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40"/>
              <w:spacing w:after="0"/>
              <w:rPr>
                <w:sz w:val="20"/>
                <w:szCs w:val="20"/>
                <w:color w:val="auto"/>
              </w:rPr>
            </w:pPr>
            <w:r>
              <w:rPr>
                <w:rFonts w:ascii="Arial" w:cs="Arial" w:eastAsia="Arial" w:hAnsi="Arial"/>
                <w:sz w:val="13"/>
                <w:szCs w:val="13"/>
                <w:color w:val="0000FF"/>
              </w:rPr>
              <w:t>102,542</w:t>
            </w:r>
          </w:p>
        </w:tc>
        <w:tc>
          <w:tcPr>
            <w:tcW w:w="620" w:type="dxa"/>
            <w:vAlign w:val="bottom"/>
          </w:tcPr>
          <w:p>
            <w:pPr>
              <w:ind w:left="36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-1646555</wp:posOffset>
            </wp:positionV>
            <wp:extent cx="7034530" cy="1649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6497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00"/>
        <w:spacing w:after="0" w:line="264"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15"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1" w:lineRule="exact"/>
        <w:rPr>
          <w:rFonts w:ascii="Arial" w:cs="Arial" w:eastAsia="Arial" w:hAnsi="Arial"/>
          <w:sz w:val="13"/>
          <w:szCs w:val="13"/>
          <w:color w:val="008000"/>
        </w:rPr>
      </w:pPr>
    </w:p>
    <w:p>
      <w:pPr>
        <w:ind w:left="40" w:right="26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25, 2021, the Reporting Person was granted 102,542 restricted stock units which vest 50% on February 25, 2022 and 50% on February 25, 2023 subject to the Reporting Person's continued service as a director of the Issuer.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Thomas Priore /s/ Priority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1220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Incentive Equity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135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6600"/>
        <w:spacing w:after="0" w:line="208" w:lineRule="auto"/>
        <w:tabs>
          <w:tab w:leader="none" w:pos="8780" w:val="left"/>
        </w:tabs>
        <w:rPr>
          <w:sz w:val="20"/>
          <w:szCs w:val="20"/>
          <w:color w:val="auto"/>
        </w:rPr>
      </w:pPr>
      <w:r>
        <w:rPr>
          <w:rFonts w:ascii="Arial" w:cs="Arial" w:eastAsia="Arial" w:hAnsi="Arial"/>
          <w:sz w:val="17"/>
          <w:szCs w:val="17"/>
          <w:color w:val="0000FF"/>
        </w:rPr>
        <w:t>LLC, By: Priority Investment</w:t>
      </w:r>
      <w:r>
        <w:rPr>
          <w:sz w:val="20"/>
          <w:szCs w:val="20"/>
          <w:color w:val="auto"/>
        </w:rPr>
        <w:tab/>
      </w:r>
      <w:r>
        <w:rPr>
          <w:rFonts w:ascii="Arial" w:cs="Arial" w:eastAsia="Arial" w:hAnsi="Arial"/>
          <w:sz w:val="22"/>
          <w:szCs w:val="22"/>
          <w:color w:val="0000FF"/>
          <w:vertAlign w:val="subscript"/>
        </w:rPr>
        <w:t>02/26/2021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243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Holdings LLC, its Manager,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362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/s/ Thomas Priore, its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351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Member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356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5623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1746475"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2021-02-26T19:07:58Z</dcterms:created>
  <dcterms:modified xsi:type="dcterms:W3CDTF">2021-02-26T19:07:58Z</dcterms:modified>
</cp:coreProperties>
</file>