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34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34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1. Name and Address of Reporting Person</w:t>
      </w:r>
      <w:r>
        <w:rPr>
          <w:rFonts w:ascii="Arial" w:cs="Arial" w:eastAsia="Arial" w:hAnsi="Arial"/>
          <w:sz w:val="17"/>
          <w:szCs w:val="17"/>
          <w:color w:val="auto"/>
          <w:vertAlign w:val="superscript"/>
        </w:rPr>
        <w:t>*</w:t>
      </w:r>
    </w:p>
    <w:p>
      <w:pPr>
        <w:ind w:left="100"/>
        <w:spacing w:after="0"/>
        <w:rPr>
          <w:rFonts w:ascii="Times New Roman" w:cs="Times New Roman" w:eastAsia="Times New Roman" w:hAnsi="Times New Roman"/>
          <w:sz w:val="17"/>
          <w:szCs w:val="17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CRISAFULLI MARC A</w:t>
        </w:r>
      </w:hyperlink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30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C/O PRIORITY TECHNOLOGY HOLDINGS, INC.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2001 WESTSIDE PARKWAY, SUITE 155</w:t>
      </w: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(Street)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30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ALPHARETTA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GA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30004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 w:line="114" w:lineRule="exact"/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3"/>
                  <w:szCs w:val="13"/>
                  <w:color w:val="0000EE"/>
                </w:rPr>
                <w:t xml:space="preserve">Priority Technology Holdings, Inc. </w:t>
              </w:r>
            </w:hyperlink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PRTH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</w:rPr>
              <w:t>]</w:t>
            </w:r>
          </w:p>
        </w:tc>
        <w:tc>
          <w:tcPr>
            <w:tcW w:w="1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</w:t>
            </w:r>
          </w:p>
        </w:tc>
        <w:tc>
          <w:tcPr>
            <w:tcW w:w="3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 of Earliest Transaction (Month/Day/Year)</w:t>
            </w: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3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10/01/2024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40" w:space="720"/>
            <w:col w:w="7160"/>
          </w:cols>
          <w:pgMar w:left="440" w:top="202" w:right="439" w:bottom="1440" w:gutter="0" w:footer="0" w:header="0"/>
          <w:type w:val="continuous"/>
        </w:sectPr>
      </w:pPr>
    </w:p>
    <w:p>
      <w:pPr>
        <w:ind w:left="100"/>
        <w:spacing w:after="0"/>
        <w:tabs>
          <w:tab w:leader="none" w:pos="130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left="1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10/01/2024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7,988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2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70,074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Restricted Stock Unit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10/01/2024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7,988</w:t>
            </w:r>
          </w:p>
        </w:tc>
        <w:tc>
          <w:tcPr>
            <w:tcW w:w="4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(2)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7,988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7,985</w:t>
            </w: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Each restricted stock unit represents a contingent right to receive one share of the Issuer's common stock.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100" w:hanging="6"/>
        <w:spacing w:after="0" w:line="278" w:lineRule="auto"/>
        <w:tabs>
          <w:tab w:leader="none" w:pos="14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On February 8, 2024, the Reporting Person was granted 31,949 restricted stock units which vest 25% on April 1, 2024, 25% on July 1, 2024, 25% on October 1, 2024, and 25% on January 1, 2025 subject to the Reporting Person's continued service as a director of the Issuer.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Bradley J. Miller, Attorney-in-Fact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10/03/2024</w:t>
            </w:r>
          </w:p>
        </w:tc>
      </w:tr>
      <w:tr>
        <w:trPr>
          <w:trHeight w:val="17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</w:tr>
      <w:tr>
        <w:trPr>
          <w:trHeight w:val="155"/>
        </w:trPr>
        <w:tc>
          <w:tcPr>
            <w:tcW w:w="8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61"/>
        </w:trPr>
        <w:tc>
          <w:tcPr>
            <w:tcW w:w="8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27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41413" TargetMode="External"/><Relationship Id="rId14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2024-10-03T08:19:09Z</dcterms:created>
  <dcterms:modified xsi:type="dcterms:W3CDTF">2024-10-03T08:19:09Z</dcterms:modified>
</cp:coreProperties>
</file>