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United States</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May 11, 2026</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2743200</wp:posOffset>
            </wp:positionH>
            <wp:positionV relativeFrom="paragraph">
              <wp:posOffset>106680</wp:posOffset>
            </wp:positionV>
            <wp:extent cx="1697355" cy="537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97355" cy="537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u w:val="single" w:color="auto"/>
          <w:color w:val="auto"/>
        </w:rPr>
        <w:t>Priority Technology Holdings, Inc.</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16" w:lineRule="exact"/>
        <w:rPr>
          <w:sz w:val="24"/>
          <w:szCs w:val="24"/>
          <w:color w:val="auto"/>
        </w:rPr>
      </w:pPr>
    </w:p>
    <w:tbl>
      <w:tblPr>
        <w:tblLayout w:type="fixed"/>
        <w:tblInd w:w="8" w:type="dxa"/>
        <w:tblCellMar>
          <w:top w:w="0" w:type="dxa"/>
          <w:left w:w="0" w:type="dxa"/>
          <w:bottom w:w="0" w:type="dxa"/>
          <w:right w:w="0" w:type="dxa"/>
        </w:tblCellMar>
      </w:tblPr>
      <w:tr>
        <w:trPr>
          <w:trHeight w:val="159"/>
        </w:trPr>
        <w:tc>
          <w:tcPr>
            <w:tcW w:w="40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2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001-37872</w:t>
            </w: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Pr>
          <w:p>
            <w:pPr>
              <w:jc w:val="right"/>
              <w:ind w:right="1440"/>
              <w:spacing w:after="0"/>
              <w:rPr>
                <w:sz w:val="20"/>
                <w:szCs w:val="20"/>
                <w:color w:val="auto"/>
              </w:rPr>
            </w:pPr>
            <w:r>
              <w:rPr>
                <w:rFonts w:ascii="Times New Roman" w:cs="Times New Roman" w:eastAsia="Times New Roman" w:hAnsi="Times New Roman"/>
                <w:sz w:val="12"/>
                <w:szCs w:val="12"/>
                <w:b w:val="1"/>
                <w:bCs w:val="1"/>
                <w:color w:val="auto"/>
              </w:rPr>
              <w:t>47-4257046</w:t>
            </w:r>
          </w:p>
        </w:tc>
        <w:tc>
          <w:tcPr>
            <w:tcW w:w="20" w:type="dxa"/>
            <w:vAlign w:val="bottom"/>
          </w:tcPr>
          <w:p>
            <w:pPr>
              <w:spacing w:after="0"/>
              <w:rPr>
                <w:sz w:val="13"/>
                <w:szCs w:val="13"/>
                <w:color w:val="auto"/>
              </w:rPr>
            </w:pPr>
          </w:p>
        </w:tc>
      </w:tr>
      <w:tr>
        <w:trPr>
          <w:trHeight w:val="144"/>
        </w:trPr>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(State or other jurisdiction of incorporation)</w:t>
            </w:r>
          </w:p>
        </w:tc>
        <w:tc>
          <w:tcPr>
            <w:tcW w:w="320" w:type="dxa"/>
            <w:vAlign w:val="bottom"/>
          </w:tcPr>
          <w:p>
            <w:pPr>
              <w:spacing w:after="0"/>
              <w:rPr>
                <w:sz w:val="12"/>
                <w:szCs w:val="12"/>
                <w:color w:val="auto"/>
              </w:rPr>
            </w:pPr>
          </w:p>
        </w:tc>
        <w:tc>
          <w:tcPr>
            <w:tcW w:w="338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320" w:type="dxa"/>
            <w:vAlign w:val="bottom"/>
          </w:tcPr>
          <w:p>
            <w:pPr>
              <w:spacing w:after="0"/>
              <w:rPr>
                <w:sz w:val="12"/>
                <w:szCs w:val="12"/>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(I.R.S. Employer Identification No.)</w:t>
            </w:r>
          </w:p>
        </w:tc>
        <w:tc>
          <w:tcPr>
            <w:tcW w:w="20" w:type="dxa"/>
            <w:vAlign w:val="bottom"/>
          </w:tcPr>
          <w:p>
            <w:pPr>
              <w:spacing w:after="0"/>
              <w:rPr>
                <w:sz w:val="12"/>
                <w:szCs w:val="12"/>
                <w:color w:val="auto"/>
              </w:rPr>
            </w:pPr>
          </w:p>
        </w:tc>
      </w:tr>
      <w:tr>
        <w:trPr>
          <w:trHeight w:val="433"/>
        </w:trPr>
        <w:tc>
          <w:tcPr>
            <w:tcW w:w="4000" w:type="dxa"/>
            <w:vAlign w:val="bottom"/>
            <w:gridSpan w:val="2"/>
          </w:tcPr>
          <w:p>
            <w:pPr>
              <w:jc w:val="center"/>
              <w:ind w:left="1700"/>
              <w:spacing w:after="0"/>
              <w:rPr>
                <w:sz w:val="20"/>
                <w:szCs w:val="20"/>
                <w:color w:val="auto"/>
              </w:rPr>
            </w:pPr>
            <w:r>
              <w:rPr>
                <w:rFonts w:ascii="Times New Roman" w:cs="Times New Roman" w:eastAsia="Times New Roman" w:hAnsi="Times New Roman"/>
                <w:sz w:val="12"/>
                <w:szCs w:val="12"/>
                <w:b w:val="1"/>
                <w:bCs w:val="1"/>
                <w:color w:val="auto"/>
                <w:w w:val="98"/>
              </w:rPr>
              <w:t>2001 Westside Parkway</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3"/>
        </w:trPr>
        <w:tc>
          <w:tcPr>
            <w:tcW w:w="4000" w:type="dxa"/>
            <w:vAlign w:val="bottom"/>
            <w:gridSpan w:val="2"/>
          </w:tcPr>
          <w:p>
            <w:pPr>
              <w:jc w:val="center"/>
              <w:ind w:left="1700"/>
              <w:spacing w:after="0"/>
              <w:rPr>
                <w:sz w:val="20"/>
                <w:szCs w:val="20"/>
                <w:color w:val="auto"/>
              </w:rPr>
            </w:pPr>
            <w:r>
              <w:rPr>
                <w:rFonts w:ascii="Times New Roman" w:cs="Times New Roman" w:eastAsia="Times New Roman" w:hAnsi="Times New Roman"/>
                <w:sz w:val="12"/>
                <w:szCs w:val="12"/>
                <w:b w:val="1"/>
                <w:bCs w:val="1"/>
                <w:color w:val="auto"/>
              </w:rPr>
              <w:t>Suite 155</w:t>
            </w:r>
          </w:p>
        </w:tc>
        <w:tc>
          <w:tcPr>
            <w:tcW w:w="1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4000" w:type="dxa"/>
            <w:vAlign w:val="bottom"/>
            <w:gridSpan w:val="2"/>
          </w:tcPr>
          <w:p>
            <w:pPr>
              <w:ind w:left="1140"/>
              <w:spacing w:after="0"/>
              <w:rPr>
                <w:sz w:val="20"/>
                <w:szCs w:val="20"/>
                <w:color w:val="auto"/>
              </w:rPr>
            </w:pPr>
            <w:r>
              <w:rPr>
                <w:rFonts w:ascii="Times New Roman" w:cs="Times New Roman" w:eastAsia="Times New Roman" w:hAnsi="Times New Roman"/>
                <w:sz w:val="12"/>
                <w:szCs w:val="12"/>
                <w:b w:val="1"/>
                <w:bCs w:val="1"/>
                <w:color w:val="auto"/>
              </w:rPr>
              <w:t>Alpharetta,</w:t>
            </w:r>
          </w:p>
        </w:tc>
        <w:tc>
          <w:tcPr>
            <w:tcW w:w="3700" w:type="dxa"/>
            <w:vAlign w:val="bottom"/>
            <w:gridSpan w:val="4"/>
          </w:tcPr>
          <w:p>
            <w:pPr>
              <w:ind w:left="120"/>
              <w:spacing w:after="0"/>
              <w:rPr>
                <w:sz w:val="20"/>
                <w:szCs w:val="20"/>
                <w:color w:val="auto"/>
              </w:rPr>
            </w:pPr>
            <w:r>
              <w:rPr>
                <w:rFonts w:ascii="Times New Roman" w:cs="Times New Roman" w:eastAsia="Times New Roman" w:hAnsi="Times New Roman"/>
                <w:sz w:val="12"/>
                <w:szCs w:val="12"/>
                <w:b w:val="1"/>
                <w:bCs w:val="1"/>
                <w:color w:val="auto"/>
              </w:rPr>
              <w:t>Georgia</w:t>
            </w:r>
          </w:p>
        </w:tc>
        <w:tc>
          <w:tcPr>
            <w:tcW w:w="3580" w:type="dxa"/>
            <w:vAlign w:val="bottom"/>
          </w:tcPr>
          <w:p>
            <w:pPr>
              <w:jc w:val="right"/>
              <w:ind w:right="2380"/>
              <w:spacing w:after="0"/>
              <w:rPr>
                <w:sz w:val="20"/>
                <w:szCs w:val="20"/>
                <w:color w:val="auto"/>
              </w:rPr>
            </w:pPr>
            <w:r>
              <w:rPr>
                <w:rFonts w:ascii="Times New Roman" w:cs="Times New Roman" w:eastAsia="Times New Roman" w:hAnsi="Times New Roman"/>
                <w:sz w:val="12"/>
                <w:szCs w:val="12"/>
                <w:b w:val="1"/>
                <w:bCs w:val="1"/>
                <w:color w:val="auto"/>
              </w:rPr>
              <w:t>30004</w:t>
            </w:r>
          </w:p>
        </w:tc>
        <w:tc>
          <w:tcPr>
            <w:tcW w:w="20" w:type="dxa"/>
            <w:vAlign w:val="bottom"/>
          </w:tcPr>
          <w:p>
            <w:pPr>
              <w:spacing w:after="0"/>
              <w:rPr>
                <w:sz w:val="13"/>
                <w:szCs w:val="13"/>
                <w:color w:val="auto"/>
              </w:rPr>
            </w:pPr>
          </w:p>
        </w:tc>
      </w:tr>
      <w:tr>
        <w:trPr>
          <w:trHeight w:val="144"/>
        </w:trPr>
        <w:tc>
          <w:tcPr>
            <w:tcW w:w="4000" w:type="dxa"/>
            <w:vAlign w:val="bottom"/>
            <w:tcBorders>
              <w:top w:val="single" w:sz="8" w:color="auto"/>
            </w:tcBorders>
            <w:gridSpan w:val="2"/>
          </w:tcPr>
          <w:p>
            <w:pPr>
              <w:jc w:val="center"/>
              <w:ind w:left="1660"/>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17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580" w:type="dxa"/>
            <w:vAlign w:val="bottom"/>
            <w:tcBorders>
              <w:top w:val="single" w:sz="8" w:color="auto"/>
            </w:tcBorders>
          </w:tcPr>
          <w:p>
            <w:pPr>
              <w:jc w:val="center"/>
              <w:ind w:right="1560"/>
              <w:spacing w:after="0"/>
              <w:rPr>
                <w:sz w:val="20"/>
                <w:szCs w:val="20"/>
                <w:color w:val="auto"/>
              </w:rPr>
            </w:pPr>
            <w:r>
              <w:rPr>
                <w:rFonts w:ascii="Times New Roman" w:cs="Times New Roman" w:eastAsia="Times New Roman" w:hAnsi="Times New Roman"/>
                <w:sz w:val="12"/>
                <w:szCs w:val="12"/>
                <w:color w:val="auto"/>
                <w:w w:val="98"/>
              </w:rPr>
              <w:t>(Zip Code)</w:t>
            </w:r>
          </w:p>
        </w:tc>
        <w:tc>
          <w:tcPr>
            <w:tcW w:w="20" w:type="dxa"/>
            <w:vAlign w:val="bottom"/>
            <w:tcBorders>
              <w:top w:val="single" w:sz="8" w:color="auto"/>
            </w:tcBorders>
          </w:tcPr>
          <w:p>
            <w:pPr>
              <w:spacing w:after="0"/>
              <w:rPr>
                <w:sz w:val="12"/>
                <w:szCs w:val="12"/>
                <w:color w:val="auto"/>
              </w:rPr>
            </w:pPr>
          </w:p>
        </w:tc>
      </w:tr>
    </w:tbl>
    <w:p>
      <w:pPr>
        <w:spacing w:after="0" w:line="181" w:lineRule="exact"/>
        <w:rPr>
          <w:sz w:val="24"/>
          <w:szCs w:val="24"/>
          <w:color w:val="auto"/>
        </w:rPr>
      </w:pPr>
    </w:p>
    <w:p>
      <w:pPr>
        <w:jc w:val="center"/>
        <w:ind w:right="32"/>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(800) 935-5961</w:t>
      </w:r>
    </w:p>
    <w:p>
      <w:pPr>
        <w:spacing w:after="0" w:line="154" w:lineRule="exact"/>
        <w:rPr>
          <w:sz w:val="24"/>
          <w:szCs w:val="24"/>
          <w:color w:val="auto"/>
        </w:rPr>
      </w:pPr>
    </w:p>
    <w:p>
      <w:pPr>
        <w:jc w:val="center"/>
        <w:ind w:right="32"/>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50"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2"/>
          <w:szCs w:val="12"/>
          <w:u w:val="single" w:color="auto"/>
          <w:color w:val="auto"/>
        </w:rPr>
        <w:t>see</w:t>
      </w:r>
      <w:r>
        <w:rPr>
          <w:rFonts w:ascii="Times New Roman" w:cs="Times New Roman" w:eastAsia="Times New Roman" w:hAnsi="Times New Roman"/>
          <w:sz w:val="12"/>
          <w:szCs w:val="12"/>
          <w:color w:val="auto"/>
        </w:rPr>
        <w:t xml:space="preserve"> General Instruction A.2. below):</w:t>
      </w:r>
    </w:p>
    <w:p>
      <w:pPr>
        <w:spacing w:after="0" w:line="150" w:lineRule="exact"/>
        <w:rPr>
          <w:sz w:val="24"/>
          <w:szCs w:val="24"/>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312" w:lineRule="exact"/>
        <w:rPr>
          <w:sz w:val="24"/>
          <w:szCs w:val="24"/>
          <w:color w:val="auto"/>
        </w:rPr>
      </w:pPr>
    </w:p>
    <w:tbl>
      <w:tblPr>
        <w:tblLayout w:type="fixed"/>
        <w:tblInd w:w="8" w:type="dxa"/>
        <w:tblCellMar>
          <w:top w:w="0" w:type="dxa"/>
          <w:left w:w="0" w:type="dxa"/>
          <w:bottom w:w="0" w:type="dxa"/>
          <w:right w:w="0" w:type="dxa"/>
        </w:tblCellMar>
      </w:tblPr>
      <w:tr>
        <w:trPr>
          <w:trHeight w:val="155"/>
        </w:trPr>
        <w:tc>
          <w:tcPr>
            <w:tcW w:w="5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6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5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34"/>
        </w:trPr>
        <w:tc>
          <w:tcPr>
            <w:tcW w:w="560" w:type="dxa"/>
            <w:vAlign w:val="bottom"/>
          </w:tcPr>
          <w:p>
            <w:pPr>
              <w:spacing w:after="0"/>
              <w:rPr>
                <w:sz w:val="20"/>
                <w:szCs w:val="20"/>
                <w:color w:val="auto"/>
              </w:rPr>
            </w:pPr>
          </w:p>
        </w:tc>
        <w:tc>
          <w:tcPr>
            <w:tcW w:w="36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3060" w:type="dxa"/>
            <w:vAlign w:val="bottom"/>
            <w:gridSpan w:val="3"/>
          </w:tcPr>
          <w:p>
            <w:pPr>
              <w:jc w:val="center"/>
              <w:ind w:right="108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4080" w:type="dxa"/>
            <w:vAlign w:val="bottom"/>
            <w:gridSpan w:val="2"/>
          </w:tcPr>
          <w:p>
            <w:pPr>
              <w:jc w:val="center"/>
              <w:ind w:right="1460"/>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4"/>
        </w:trPr>
        <w:tc>
          <w:tcPr>
            <w:tcW w:w="560" w:type="dxa"/>
            <w:vAlign w:val="bottom"/>
          </w:tcPr>
          <w:p>
            <w:pPr>
              <w:spacing w:after="0"/>
              <w:rPr>
                <w:sz w:val="12"/>
                <w:szCs w:val="12"/>
                <w:color w:val="auto"/>
              </w:rPr>
            </w:pPr>
          </w:p>
        </w:tc>
        <w:tc>
          <w:tcPr>
            <w:tcW w:w="3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Common stock, $0.001 par value</w:t>
            </w:r>
          </w:p>
        </w:tc>
        <w:tc>
          <w:tcPr>
            <w:tcW w:w="200" w:type="dxa"/>
            <w:vAlign w:val="bottom"/>
          </w:tcPr>
          <w:p>
            <w:pPr>
              <w:spacing w:after="0"/>
              <w:rPr>
                <w:sz w:val="12"/>
                <w:szCs w:val="12"/>
                <w:color w:val="auto"/>
              </w:rPr>
            </w:pPr>
          </w:p>
        </w:tc>
        <w:tc>
          <w:tcPr>
            <w:tcW w:w="1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PRTH</w:t>
            </w:r>
          </w:p>
        </w:tc>
        <w:tc>
          <w:tcPr>
            <w:tcW w:w="1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520" w:type="dxa"/>
            <w:vAlign w:val="bottom"/>
            <w:tcBorders>
              <w:top w:val="single" w:sz="8" w:color="auto"/>
            </w:tcBorders>
          </w:tcPr>
          <w:p>
            <w:pPr>
              <w:jc w:val="center"/>
              <w:ind w:right="840"/>
              <w:spacing w:after="0"/>
              <w:rPr>
                <w:sz w:val="20"/>
                <w:szCs w:val="20"/>
                <w:color w:val="auto"/>
              </w:rPr>
            </w:pPr>
            <w:r>
              <w:rPr>
                <w:rFonts w:ascii="Times New Roman" w:cs="Times New Roman" w:eastAsia="Times New Roman" w:hAnsi="Times New Roman"/>
                <w:sz w:val="12"/>
                <w:szCs w:val="12"/>
                <w:color w:val="auto"/>
                <w:w w:val="99"/>
              </w:rPr>
              <w:t>NASDAQ</w:t>
            </w:r>
          </w:p>
        </w:tc>
        <w:tc>
          <w:tcPr>
            <w:tcW w:w="560" w:type="dxa"/>
            <w:vAlign w:val="bottom"/>
          </w:tcPr>
          <w:p>
            <w:pPr>
              <w:spacing w:after="0"/>
              <w:rPr>
                <w:sz w:val="12"/>
                <w:szCs w:val="12"/>
                <w:color w:val="auto"/>
              </w:rPr>
            </w:pPr>
          </w:p>
        </w:tc>
      </w:tr>
      <w:tr>
        <w:trPr>
          <w:trHeight w:val="808"/>
        </w:trPr>
        <w:tc>
          <w:tcPr>
            <w:tcW w:w="56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710" w:right="299" w:bottom="1440" w:gutter="0" w:footer="0" w:header="0"/>
        </w:sectPr>
      </w:pPr>
    </w:p>
    <w:bookmarkStart w:id="1" w:name="page2"/>
    <w:bookmarkEnd w:id="1"/>
    <w:p>
      <w:pPr>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1" w:lineRule="exact"/>
        <w:rPr>
          <w:sz w:val="20"/>
          <w:szCs w:val="20"/>
          <w:color w:val="auto"/>
        </w:rPr>
      </w:pPr>
    </w:p>
    <w:p>
      <w:pPr>
        <w:ind w:left="120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96" w:lineRule="exact"/>
        <w:rPr>
          <w:sz w:val="20"/>
          <w:szCs w:val="20"/>
          <w:color w:val="auto"/>
        </w:rPr>
      </w:pPr>
    </w:p>
    <w:p>
      <w:pPr>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347980</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42" w:right="319" w:bottom="1440" w:gutter="0" w:footer="0" w:header="0"/>
        </w:sectPr>
      </w:pPr>
    </w:p>
    <w:bookmarkStart w:id="2" w:name="page3"/>
    <w:bookmarkEnd w:id="2"/>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2.02.</w:t>
        <w:tab/>
        <w:t>Results of Operations and Financial Condition.</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May 11, 2026, Priority Technology Holdings, Inc. ("Priority") issued a press release announcing its financial results for the quarter ended March 31, 2026. A copy of that press release is attached as Exhibit 99.1 to this Current Report on Form 8-K.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May 11, 2026, Priority will hold an earnings conference call and webcast at 10:00 a.m. (Eastern Time) to discuss the financial results for the quarter ended March 31, 2026. The press release referenced in Item 2.02 contains information about how to access the conference call and webcast. A copy of the slide presentation to be used during the earnings call and webcast is furnished as Exhibit 99.2 to this Current Report on Form 8-K. The slide presentation also will be available on our website, www.prioritycommerce.com under the "Investor Relations" section.</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information in this Current Report on Form 8-K, including Exhibit 99.1, is being furnished and shall not be deemed "filed" for the purposes of Section 18 of the Securities Exchange Act of 1934, as amended, or otherwise subject to the liabilities of that Section. The information in this Current Report on Form 8-K shall not be incorporated by reference into any registration statement or other document filed pursuant to the Securities Act of 1933, as amended.</w:t>
      </w:r>
    </w:p>
    <w:p>
      <w:pPr>
        <w:spacing w:after="0" w:line="10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 – The following exhibit is furnished as part of this Current Report on Form 8-K.</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Exhibit Number</w:t>
            </w:r>
          </w:p>
        </w:tc>
        <w:tc>
          <w:tcPr>
            <w:tcW w:w="100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40"/>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0000FF"/>
              </w:rPr>
              <w:t>99.1</w:t>
            </w:r>
          </w:p>
        </w:tc>
        <w:tc>
          <w:tcPr>
            <w:tcW w:w="10040" w:type="dxa"/>
            <w:vAlign w:val="bottom"/>
          </w:tcPr>
          <w:p>
            <w:pPr>
              <w:ind w:left="400"/>
              <w:spacing w:after="0"/>
              <w:rPr>
                <w:sz w:val="20"/>
                <w:szCs w:val="20"/>
                <w:color w:val="auto"/>
              </w:rPr>
            </w:pPr>
            <w:r>
              <w:rPr>
                <w:rFonts w:ascii="Times New Roman" w:cs="Times New Roman" w:eastAsia="Times New Roman" w:hAnsi="Times New Roman"/>
                <w:sz w:val="12"/>
                <w:szCs w:val="12"/>
                <w:color w:val="0000FF"/>
              </w:rPr>
              <w:t>Press Release of Priority Technology Holdings, Inc. dated May 11, 2026</w:t>
            </w:r>
          </w:p>
        </w:tc>
      </w:tr>
      <w:tr>
        <w:trPr>
          <w:trHeight w:val="153"/>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0000FF"/>
              </w:rPr>
              <w:t>99.2</w:t>
            </w:r>
          </w:p>
        </w:tc>
        <w:tc>
          <w:tcPr>
            <w:tcW w:w="10040" w:type="dxa"/>
            <w:vAlign w:val="bottom"/>
          </w:tcPr>
          <w:p>
            <w:pPr>
              <w:ind w:left="400"/>
              <w:spacing w:after="0"/>
              <w:rPr>
                <w:sz w:val="20"/>
                <w:szCs w:val="20"/>
                <w:color w:val="auto"/>
              </w:rPr>
            </w:pPr>
            <w:r>
              <w:rPr>
                <w:rFonts w:ascii="Times New Roman" w:cs="Times New Roman" w:eastAsia="Times New Roman" w:hAnsi="Times New Roman"/>
                <w:sz w:val="12"/>
                <w:szCs w:val="12"/>
                <w:color w:val="0000FF"/>
              </w:rPr>
              <w:t>Supplemental slide presentation</w:t>
            </w:r>
          </w:p>
        </w:tc>
      </w:tr>
      <w:tr>
        <w:trPr>
          <w:trHeight w:val="155"/>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004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The cover page from this Current Report on Form 8-K, formatted in Inline XBRL</w:t>
            </w: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May 11, 2026</w:t>
      </w:r>
    </w:p>
    <w:p>
      <w:pPr>
        <w:spacing w:after="0" w:line="16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PRIORITY TECHNOLOGY HOLDINGS, INC.</w:t>
      </w:r>
    </w:p>
    <w:p>
      <w:pPr>
        <w:spacing w:after="0" w:line="16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u w:val="single" w:color="auto"/>
          <w:color w:val="auto"/>
        </w:rPr>
        <w:t>By: /s/ Timothy M. O'Leary</w:t>
      </w:r>
    </w:p>
    <w:p>
      <w:pPr>
        <w:spacing w:after="0" w:line="1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Name: Timothy M. O'Leary</w:t>
      </w:r>
    </w:p>
    <w:p>
      <w:pPr>
        <w:spacing w:after="0" w:line="1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Title: Chief Financial Officer</w:t>
      </w:r>
    </w:p>
    <w:p>
      <w:pPr>
        <w:sectPr>
          <w:pgSz w:w="11900" w:h="16838" w:orient="portrait"/>
          <w:cols w:equalWidth="0" w:num="1">
            <w:col w:w="11300"/>
          </w:cols>
          <w:pgMar w:left="300" w:top="638"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2738120</wp:posOffset>
            </wp:positionH>
            <wp:positionV relativeFrom="paragraph">
              <wp:posOffset>342265</wp:posOffset>
            </wp:positionV>
            <wp:extent cx="1697355" cy="537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97355" cy="53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Priority Technology Holdings, Inc. Reports First Quarter Financial Results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First Quarter Performance Driven by Strength of Unified Commerce Platform</w:t>
      </w:r>
    </w:p>
    <w:p>
      <w:pPr>
        <w:spacing w:after="0" w:line="169"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3"/>
          <w:szCs w:val="13"/>
          <w:color w:val="auto"/>
        </w:rPr>
        <w:t xml:space="preserve">ALPHARETTA, GA - May 11, 2026 -- Priority Technology Holdings, Inc. (NASDAQ: PRTH) ("Priority" or the "Company"), is a payments and banking fintech purpose-built to collect, store, lend and send money with a connected commerce engine that combines full-service merchant acquiring for accounts receivable, complete automated payables tools for bill payment, and sophisticated treasury management solutions to accelerate cash flow and optimize working capital for its customers, announced its first quarter </w:t>
      </w:r>
      <w:r>
        <w:rPr>
          <w:rFonts w:ascii="Times New Roman" w:cs="Times New Roman" w:eastAsia="Times New Roman" w:hAnsi="Times New Roman"/>
          <w:sz w:val="14"/>
          <w:szCs w:val="14"/>
          <w:color w:val="auto"/>
        </w:rPr>
        <w:t>2026</w:t>
      </w:r>
      <w:r>
        <w:rPr>
          <w:rFonts w:ascii="Times New Roman" w:cs="Times New Roman" w:eastAsia="Times New Roman" w:hAnsi="Times New Roman"/>
          <w:sz w:val="13"/>
          <w:szCs w:val="13"/>
          <w:color w:val="auto"/>
        </w:rPr>
        <w:t xml:space="preserve"> financial results including strong year-over-year revenue growth.</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Highlights of Consolidated Results and Additional Information</w:t>
      </w:r>
      <w:r>
        <w:rPr>
          <w:rFonts w:ascii="Times New Roman" w:cs="Times New Roman" w:eastAsia="Times New Roman" w:hAnsi="Times New Roman"/>
          <w:sz w:val="17"/>
          <w:szCs w:val="17"/>
          <w:color w:val="auto"/>
          <w:vertAlign w:val="superscript"/>
        </w:rPr>
        <w:t>1</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First Quarter 2026 Financial Highlights compared with First Quarter 2025</w:t>
      </w:r>
    </w:p>
    <w:p>
      <w:pPr>
        <w:spacing w:after="0" w:line="188"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of $249.6 million increased 11.1% from $224.6 million, including organic growth of 9.1%</w:t>
      </w:r>
    </w:p>
    <w:p>
      <w:pPr>
        <w:spacing w:after="0" w:line="30"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Gross profit of $93.5 million increased 13.2% from $82.6 million</w:t>
      </w:r>
    </w:p>
    <w:p>
      <w:pPr>
        <w:spacing w:after="0" w:line="30"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gross profit (a non-GAAP measure</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3"/>
          <w:szCs w:val="13"/>
          <w:color w:val="auto"/>
        </w:rPr>
        <w:t>) of $98.8 million increased 13.2% from $87.3 million</w:t>
      </w:r>
    </w:p>
    <w:p>
      <w:pPr>
        <w:spacing w:after="0" w:line="7"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Gross profit margin of 37.5% increased by nearly 70 basis points from 36.8%</w:t>
      </w:r>
    </w:p>
    <w:p>
      <w:pPr>
        <w:spacing w:after="0" w:line="15"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gross profit margin (a non-GAAP measure</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3"/>
          <w:szCs w:val="13"/>
          <w:color w:val="auto"/>
        </w:rPr>
        <w:t>) of 39.6% increased by nearly 70 basis points from 38.9%</w:t>
      </w: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Operating income of $33.4 million increased 2.3% from $32.6 million</w:t>
      </w:r>
    </w:p>
    <w:p>
      <w:pPr>
        <w:spacing w:after="0" w:line="25"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Income of $9.8 million increased 18.0% from $8.3 million</w:t>
      </w:r>
    </w:p>
    <w:p>
      <w:pPr>
        <w:spacing w:after="0" w:line="30"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(a non-GAAP measure</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3"/>
          <w:szCs w:val="13"/>
          <w:color w:val="auto"/>
        </w:rPr>
        <w:t>) of $58.1 million increased $6.8 million from $51.3 million</w:t>
      </w:r>
    </w:p>
    <w:p>
      <w:pPr>
        <w:spacing w:after="0" w:line="7"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Diluted EPS of $0.12 increased by $0.02, or by 20%, from $0.10</w:t>
      </w:r>
    </w:p>
    <w:p>
      <w:pPr>
        <w:spacing w:after="0" w:line="8" w:lineRule="exact"/>
        <w:rPr>
          <w:rFonts w:ascii="Times New Roman" w:cs="Times New Roman" w:eastAsia="Times New Roman" w:hAnsi="Times New Roman"/>
          <w:sz w:val="13"/>
          <w:szCs w:val="13"/>
          <w:color w:val="auto"/>
        </w:rPr>
      </w:pPr>
    </w:p>
    <w:p>
      <w:pPr>
        <w:ind w:left="420" w:hanging="212"/>
        <w:spacing w:after="0" w:line="199" w:lineRule="auto"/>
        <w:tabs>
          <w:tab w:leader="none" w:pos="4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Adjusted Diluted EPS (a non-GAAP measure</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3"/>
          <w:szCs w:val="13"/>
          <w:color w:val="auto"/>
        </w:rPr>
        <w:t>) of $0.28 increased by $0.06, or 27.3%, from $0.22</w:t>
      </w:r>
    </w:p>
    <w:p>
      <w:pPr>
        <w:ind w:left="420" w:hanging="212"/>
        <w:spacing w:after="0" w:line="198" w:lineRule="auto"/>
        <w:tabs>
          <w:tab w:leader="none" w:pos="420" w:val="left"/>
        </w:tabs>
        <w:numPr>
          <w:ilvl w:val="0"/>
          <w:numId w:val="3"/>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Certain amounts/percentages may not compute accurately due to rounding.</w:t>
      </w:r>
    </w:p>
    <w:p>
      <w:pPr>
        <w:spacing w:after="0" w:line="23" w:lineRule="exact"/>
        <w:rPr>
          <w:rFonts w:ascii="Times New Roman" w:cs="Times New Roman" w:eastAsia="Times New Roman" w:hAnsi="Times New Roman"/>
          <w:sz w:val="17"/>
          <w:szCs w:val="17"/>
          <w:i w:val="1"/>
          <w:iCs w:val="1"/>
          <w:color w:val="auto"/>
          <w:vertAlign w:val="superscript"/>
        </w:rPr>
      </w:pPr>
    </w:p>
    <w:p>
      <w:pPr>
        <w:ind w:left="420" w:right="20" w:hanging="212"/>
        <w:spacing w:after="0" w:line="226" w:lineRule="auto"/>
        <w:tabs>
          <w:tab w:leader="none" w:pos="412" w:val="left"/>
        </w:tabs>
        <w:numPr>
          <w:ilvl w:val="0"/>
          <w:numId w:val="3"/>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3"/>
          <w:szCs w:val="13"/>
          <w:i w:val="1"/>
          <w:iCs w:val="1"/>
          <w:color w:val="auto"/>
        </w:rPr>
        <w:t>See "Non-GAAP Financial Measures" and the reconciliations of Adjusted Gross Profit (non-GAAP), Adjusted Gross Profit Margin (non-GAAP), Adjusted EBITDA, and Adjusted EPS- diluted (non-GAAP) to their most comparable GAAP measures provided within this document for additional information.</w:t>
      </w:r>
    </w:p>
    <w:p>
      <w:pPr>
        <w:spacing w:after="0" w:line="189"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3"/>
          <w:szCs w:val="13"/>
          <w:color w:val="auto"/>
        </w:rPr>
        <w:t>“Strong first quarter results reflect the continued success of Priority’s Connected Commerce engine, with over 11% revenue growth and 13% adjusted gross profit growth,” said Tom Priore, Chairman &amp; CEO of Priority. “Our partners and customers connect with our diverse set of payments and treasury solutions to embed key money movement, compliance and risk management capabilities into their workflows, creating new revenue opportunities and operating efficiency. The momentum across our business segments gives us confidence to affirm our full year 2026 financial guidance.”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0"/>
          </w:cols>
          <w:pgMar w:left="300" w:top="138" w:right="2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2"/>
          <w:szCs w:val="12"/>
          <w:color w:val="auto"/>
        </w:rPr>
        <w:t>EXHIBIT 99.1</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Full Year 2026 Financial Guidance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Priority's outlook remains strong and we affirm our full year 2026 guidance:</w:t>
      </w:r>
    </w:p>
    <w:p>
      <w:pPr>
        <w:spacing w:after="0" w:line="175" w:lineRule="exact"/>
        <w:rPr>
          <w:sz w:val="20"/>
          <w:szCs w:val="20"/>
          <w:color w:val="auto"/>
        </w:rPr>
      </w:pPr>
    </w:p>
    <w:p>
      <w:pPr>
        <w:ind w:left="420" w:hanging="212"/>
        <w:spacing w:after="0"/>
        <w:tabs>
          <w:tab w:leader="none" w:pos="420" w:val="left"/>
        </w:tabs>
        <w:numPr>
          <w:ilvl w:val="0"/>
          <w:numId w:val="4"/>
        </w:numPr>
        <w:rPr>
          <w:rFonts w:ascii="Arial" w:cs="Arial" w:eastAsia="Arial" w:hAnsi="Arial"/>
          <w:sz w:val="13"/>
          <w:szCs w:val="13"/>
          <w:color w:val="auto"/>
        </w:rPr>
      </w:pPr>
      <w:r>
        <w:rPr>
          <w:rFonts w:ascii="Times New Roman" w:cs="Times New Roman" w:eastAsia="Times New Roman" w:hAnsi="Times New Roman"/>
          <w:sz w:val="13"/>
          <w:szCs w:val="13"/>
          <w:color w:val="auto"/>
        </w:rPr>
        <w:t>Revenue forecast to range between $1.01 billion to $1.04 billion, a growth rate of 6% to 9% compared to fiscal 2025 results</w:t>
      </w:r>
    </w:p>
    <w:p>
      <w:pPr>
        <w:spacing w:after="0" w:line="38" w:lineRule="exact"/>
        <w:rPr>
          <w:rFonts w:ascii="Arial" w:cs="Arial" w:eastAsia="Arial" w:hAnsi="Arial"/>
          <w:sz w:val="13"/>
          <w:szCs w:val="13"/>
          <w:color w:val="auto"/>
        </w:rPr>
      </w:pPr>
    </w:p>
    <w:p>
      <w:pPr>
        <w:ind w:left="420" w:hanging="212"/>
        <w:spacing w:after="0"/>
        <w:tabs>
          <w:tab w:leader="none" w:pos="4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gross profit (a non-GAAP measure) forecast to range between $405 million and $425 million</w:t>
      </w:r>
    </w:p>
    <w:p>
      <w:pPr>
        <w:spacing w:after="0" w:line="111"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Adjusted EBITDA (a non-GAAP measure) forecast to range between $230 million to $245 million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Conference Call</w:t>
      </w:r>
    </w:p>
    <w:p>
      <w:pPr>
        <w:spacing w:after="0" w:line="114"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3"/>
          <w:szCs w:val="13"/>
          <w:color w:val="070707"/>
        </w:rPr>
        <w:t>The Company will host a conference call on Monday, May 11, 2026 at 10:00 a.m. EDT to discuss its first quarter financial results. Participants can access the call by p</w:t>
      </w:r>
      <w:r>
        <w:rPr>
          <w:rFonts w:ascii="Times New Roman" w:cs="Times New Roman" w:eastAsia="Times New Roman" w:hAnsi="Times New Roman"/>
          <w:sz w:val="13"/>
          <w:szCs w:val="13"/>
          <w:color w:val="000000"/>
        </w:rPr>
        <w:t>hone in the U.S. or Canada at (877) 704-4453</w:t>
      </w:r>
      <w:r>
        <w:rPr>
          <w:rFonts w:ascii="Times New Roman" w:cs="Times New Roman" w:eastAsia="Times New Roman" w:hAnsi="Times New Roman"/>
          <w:sz w:val="13"/>
          <w:szCs w:val="13"/>
          <w:color w:val="070707"/>
        </w:rPr>
        <w:t xml:space="preserve"> </w:t>
      </w:r>
      <w:r>
        <w:rPr>
          <w:rFonts w:ascii="Times New Roman" w:cs="Times New Roman" w:eastAsia="Times New Roman" w:hAnsi="Times New Roman"/>
          <w:sz w:val="13"/>
          <w:szCs w:val="13"/>
          <w:color w:val="000000"/>
        </w:rPr>
        <w:t>or internationally at (201) 389-0920.</w:t>
      </w:r>
    </w:p>
    <w:p>
      <w:pPr>
        <w:spacing w:after="0" w:line="98" w:lineRule="exact"/>
        <w:rPr>
          <w:sz w:val="20"/>
          <w:szCs w:val="20"/>
          <w:color w:val="auto"/>
        </w:rPr>
      </w:pPr>
    </w:p>
    <w:p>
      <w:pPr>
        <w:ind w:right="120"/>
        <w:spacing w:after="0" w:line="342" w:lineRule="auto"/>
        <w:rPr>
          <w:sz w:val="20"/>
          <w:szCs w:val="20"/>
          <w:color w:val="auto"/>
        </w:rPr>
      </w:pPr>
      <w:r>
        <w:rPr>
          <w:rFonts w:ascii="Times New Roman" w:cs="Times New Roman" w:eastAsia="Times New Roman" w:hAnsi="Times New Roman"/>
          <w:sz w:val="13"/>
          <w:szCs w:val="13"/>
          <w:color w:val="auto"/>
        </w:rPr>
        <w:t xml:space="preserve">The Internet webcast link and accompanying slide presentation can be accessed at </w:t>
      </w:r>
      <w:r>
        <w:rPr>
          <w:rFonts w:ascii="Times New Roman" w:cs="Times New Roman" w:eastAsia="Times New Roman" w:hAnsi="Times New Roman"/>
          <w:sz w:val="13"/>
          <w:szCs w:val="13"/>
          <w:b w:val="1"/>
          <w:bCs w:val="1"/>
          <w:color w:val="auto"/>
        </w:rPr>
        <w:t>https://viavid.webcasts.com/starthere.jsp?ei=1761070&amp;tp_key=f7eef49768</w:t>
      </w:r>
      <w:r>
        <w:rPr>
          <w:rFonts w:ascii="Times New Roman" w:cs="Times New Roman" w:eastAsia="Times New Roman" w:hAnsi="Times New Roman"/>
          <w:sz w:val="13"/>
          <w:szCs w:val="13"/>
          <w:color w:val="auto"/>
        </w:rPr>
        <w:t xml:space="preserve"> and will also be posted in the "Investor Relations" section of the Company's website at www.prioritycommerce.com/investors.</w:t>
      </w:r>
    </w:p>
    <w:p>
      <w:pPr>
        <w:spacing w:after="0" w:line="89" w:lineRule="exact"/>
        <w:rPr>
          <w:sz w:val="20"/>
          <w:szCs w:val="20"/>
          <w:color w:val="auto"/>
        </w:rPr>
      </w:pPr>
    </w:p>
    <w:p>
      <w:pPr>
        <w:jc w:val="both"/>
        <w:spacing w:after="0" w:line="338" w:lineRule="auto"/>
        <w:rPr>
          <w:sz w:val="20"/>
          <w:szCs w:val="20"/>
          <w:color w:val="auto"/>
        </w:rPr>
      </w:pPr>
      <w:r>
        <w:rPr>
          <w:rFonts w:ascii="Times New Roman" w:cs="Times New Roman" w:eastAsia="Times New Roman" w:hAnsi="Times New Roman"/>
          <w:sz w:val="13"/>
          <w:szCs w:val="13"/>
          <w:color w:val="auto"/>
        </w:rPr>
        <w:t xml:space="preserve">An audio replay of the call will be available shortly after the conference call until May 25, 2026, at 11:59 p.m. EDT. To listen to the audio replay, dial (844) 512-2921 or (412) 317-6671 and enter conference ID number </w:t>
      </w:r>
      <w:r>
        <w:rPr>
          <w:rFonts w:ascii="Times New Roman" w:cs="Times New Roman" w:eastAsia="Times New Roman" w:hAnsi="Times New Roman"/>
          <w:sz w:val="13"/>
          <w:szCs w:val="13"/>
          <w:b w:val="1"/>
          <w:bCs w:val="1"/>
          <w:color w:val="auto"/>
        </w:rPr>
        <w:t>13760290</w:t>
      </w:r>
      <w:r>
        <w:rPr>
          <w:rFonts w:ascii="Times New Roman" w:cs="Times New Roman" w:eastAsia="Times New Roman" w:hAnsi="Times New Roman"/>
          <w:sz w:val="13"/>
          <w:szCs w:val="13"/>
          <w:color w:val="auto"/>
        </w:rPr>
        <w:t>. Alternatively, you may access the webcast replay in the "Investor Relations" section of the Company's website at https://ir.prioritycommerce.com.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0A0A0A"/>
        </w:rPr>
        <w:t>Non-GAAP Financial Measures</w:t>
      </w:r>
    </w:p>
    <w:p>
      <w:pPr>
        <w:spacing w:after="0" w:line="177"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3"/>
          <w:szCs w:val="13"/>
          <w:color w:val="auto"/>
        </w:rPr>
        <w:t>This communication includes certain non-GAAP financial measures that we regularly review to evaluate our business and trends, measure our performance, prepare financial projections, allocate resources, and make strategic decisions. We believe these non-GAAP measures help to illustrate the underlying financial and business trends relating to our results of operations and comparability between current and prior periods. We also use these non-GAAP measures to establish and monitor operational goals. However, these non-GAAP measures are not superior to or a substitute for prominent measurements calculated in accordance with GAAP. Rather, the non-GAAP measures are meant to be a complement to understanding measures prepared in accordance with GAAP.</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0"/>
          </w:cols>
          <w:pgMar w:left="300" w:top="138" w:right="2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2"/>
          <w:szCs w:val="12"/>
          <w:color w:val="auto"/>
        </w:rPr>
        <w:t>EXHIBIT 99.1</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Adjusted Gross Profit and Adjusted Gross Profit Margin</w:t>
      </w:r>
    </w:p>
    <w:p>
      <w:pPr>
        <w:spacing w:after="0" w:line="179" w:lineRule="exact"/>
        <w:rPr>
          <w:sz w:val="20"/>
          <w:szCs w:val="20"/>
          <w:color w:val="auto"/>
        </w:rPr>
      </w:pPr>
    </w:p>
    <w:p>
      <w:pPr>
        <w:jc w:val="both"/>
        <w:ind w:right="20"/>
        <w:spacing w:after="0" w:line="324" w:lineRule="auto"/>
        <w:rPr>
          <w:sz w:val="20"/>
          <w:szCs w:val="20"/>
          <w:color w:val="auto"/>
        </w:rPr>
      </w:pPr>
      <w:r>
        <w:rPr>
          <w:rFonts w:ascii="Times New Roman" w:cs="Times New Roman" w:eastAsia="Times New Roman" w:hAnsi="Times New Roman"/>
          <w:sz w:val="13"/>
          <w:szCs w:val="13"/>
          <w:color w:val="auto"/>
        </w:rPr>
        <w:t>The Company's adjusted gross profit metric represents revenues less cost of revenue (excluding depreciation and amortization). Adjusted gross profit margin is adjusted gross profit divided by revenues. We review these non-GAAP measures to evaluate our underlying profit trends. The reconciliation of adjusted gross profit to its most comparable GAAP measure is provided below:</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74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40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874"/>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0" w:type="dxa"/>
            <w:vAlign w:val="bottom"/>
          </w:tcPr>
          <w:p>
            <w:pPr>
              <w:spacing w:after="0"/>
              <w:rPr>
                <w:sz w:val="1"/>
                <w:szCs w:val="1"/>
                <w:color w:val="auto"/>
              </w:rPr>
            </w:pPr>
          </w:p>
        </w:tc>
      </w:tr>
      <w:tr>
        <w:trPr>
          <w:trHeight w:val="160"/>
        </w:trPr>
        <w:tc>
          <w:tcPr>
            <w:tcW w:w="77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3"/>
                <w:szCs w:val="13"/>
                <w:b w:val="1"/>
                <w:bCs w:val="1"/>
                <w:color w:val="auto"/>
              </w:rPr>
              <w:t>2026</w:t>
            </w:r>
          </w:p>
        </w:tc>
        <w:tc>
          <w:tcPr>
            <w:tcW w:w="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54"/>
        </w:trPr>
        <w:tc>
          <w:tcPr>
            <w:tcW w:w="7740" w:type="dxa"/>
            <w:vAlign w:val="bottom"/>
          </w:tcPr>
          <w:p>
            <w:pPr>
              <w:spacing w:after="0"/>
              <w:rPr>
                <w:sz w:val="20"/>
                <w:szCs w:val="20"/>
                <w:color w:val="auto"/>
              </w:rPr>
            </w:pPr>
            <w:r>
              <w:rPr>
                <w:rFonts w:ascii="Times New Roman" w:cs="Times New Roman" w:eastAsia="Times New Roman" w:hAnsi="Times New Roman"/>
                <w:sz w:val="13"/>
                <w:szCs w:val="13"/>
                <w:color w:val="auto"/>
              </w:rPr>
              <w:t>Revenues</w:t>
            </w:r>
          </w:p>
        </w:tc>
        <w:tc>
          <w:tcPr>
            <w:tcW w:w="40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249,558</w:t>
            </w:r>
          </w:p>
        </w:tc>
        <w:tc>
          <w:tcPr>
            <w:tcW w:w="60" w:type="dxa"/>
            <w:vAlign w:val="bottom"/>
          </w:tcPr>
          <w:p>
            <w:pPr>
              <w:spacing w:after="0"/>
              <w:rPr>
                <w:sz w:val="13"/>
                <w:szCs w:val="13"/>
                <w:color w:val="auto"/>
              </w:rPr>
            </w:pPr>
          </w:p>
        </w:tc>
        <w:tc>
          <w:tcPr>
            <w:tcW w:w="42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224,630</w:t>
            </w:r>
          </w:p>
        </w:tc>
        <w:tc>
          <w:tcPr>
            <w:tcW w:w="0" w:type="dxa"/>
            <w:vAlign w:val="bottom"/>
          </w:tcPr>
          <w:p>
            <w:pPr>
              <w:spacing w:after="0"/>
              <w:rPr>
                <w:sz w:val="1"/>
                <w:szCs w:val="1"/>
                <w:color w:val="auto"/>
              </w:rPr>
            </w:pPr>
          </w:p>
        </w:tc>
      </w:tr>
      <w:tr>
        <w:trPr>
          <w:trHeight w:val="174"/>
        </w:trPr>
        <w:tc>
          <w:tcPr>
            <w:tcW w:w="7740" w:type="dxa"/>
            <w:vAlign w:val="bottom"/>
          </w:tcPr>
          <w:p>
            <w:pPr>
              <w:spacing w:after="0"/>
              <w:rPr>
                <w:sz w:val="20"/>
                <w:szCs w:val="20"/>
                <w:color w:val="auto"/>
              </w:rPr>
            </w:pPr>
            <w:r>
              <w:rPr>
                <w:rFonts w:ascii="Times New Roman" w:cs="Times New Roman" w:eastAsia="Times New Roman" w:hAnsi="Times New Roman"/>
                <w:sz w:val="13"/>
                <w:szCs w:val="13"/>
                <w:color w:val="auto"/>
              </w:rPr>
              <w:t>Cost of revenue (excluding depreciation and amortization)</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color w:val="auto"/>
              </w:rPr>
              <w:t>(150,787)</w:t>
            </w:r>
          </w:p>
        </w:tc>
        <w:tc>
          <w:tcPr>
            <w:tcW w:w="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(137,353)</w:t>
            </w:r>
          </w:p>
        </w:tc>
        <w:tc>
          <w:tcPr>
            <w:tcW w:w="0" w:type="dxa"/>
            <w:vAlign w:val="bottom"/>
          </w:tcPr>
          <w:p>
            <w:pPr>
              <w:spacing w:after="0"/>
              <w:rPr>
                <w:sz w:val="1"/>
                <w:szCs w:val="1"/>
                <w:color w:val="auto"/>
              </w:rPr>
            </w:pPr>
          </w:p>
        </w:tc>
      </w:tr>
      <w:tr>
        <w:trPr>
          <w:trHeight w:val="163"/>
        </w:trPr>
        <w:tc>
          <w:tcPr>
            <w:tcW w:w="7740" w:type="dxa"/>
            <w:vAlign w:val="bottom"/>
          </w:tcPr>
          <w:p>
            <w:pPr>
              <w:spacing w:after="0"/>
              <w:rPr>
                <w:sz w:val="20"/>
                <w:szCs w:val="20"/>
                <w:color w:val="auto"/>
              </w:rPr>
            </w:pPr>
            <w:r>
              <w:rPr>
                <w:rFonts w:ascii="Times New Roman" w:cs="Times New Roman" w:eastAsia="Times New Roman" w:hAnsi="Times New Roman"/>
                <w:sz w:val="13"/>
                <w:szCs w:val="13"/>
                <w:color w:val="auto"/>
              </w:rPr>
              <w:t>Adjusted gross profit</w:t>
            </w:r>
          </w:p>
        </w:tc>
        <w:tc>
          <w:tcPr>
            <w:tcW w:w="4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b w:val="1"/>
                <w:bCs w:val="1"/>
                <w:color w:val="auto"/>
              </w:rPr>
              <w:t>98,771</w:t>
            </w:r>
          </w:p>
        </w:tc>
        <w:tc>
          <w:tcPr>
            <w:tcW w:w="60" w:type="dxa"/>
            <w:vAlign w:val="bottom"/>
          </w:tcPr>
          <w:p>
            <w:pPr>
              <w:spacing w:after="0"/>
              <w:rPr>
                <w:sz w:val="14"/>
                <w:szCs w:val="14"/>
                <w:color w:val="auto"/>
              </w:rPr>
            </w:pPr>
          </w:p>
        </w:tc>
        <w:tc>
          <w:tcPr>
            <w:tcW w:w="4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87,277</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Adjusted gross profit margin</w:t>
            </w: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77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39.6 %</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38.9 %</w:t>
            </w:r>
          </w:p>
        </w:tc>
        <w:tc>
          <w:tcPr>
            <w:tcW w:w="0" w:type="dxa"/>
            <w:vAlign w:val="bottom"/>
          </w:tcPr>
          <w:p>
            <w:pPr>
              <w:spacing w:after="0"/>
              <w:rPr>
                <w:sz w:val="1"/>
                <w:szCs w:val="1"/>
                <w:color w:val="auto"/>
              </w:rPr>
            </w:pPr>
          </w:p>
        </w:tc>
      </w:tr>
      <w:tr>
        <w:trPr>
          <w:trHeight w:val="174"/>
        </w:trPr>
        <w:tc>
          <w:tcPr>
            <w:tcW w:w="7740" w:type="dxa"/>
            <w:vAlign w:val="bottom"/>
          </w:tcPr>
          <w:p>
            <w:pPr>
              <w:spacing w:after="0"/>
              <w:rPr>
                <w:sz w:val="20"/>
                <w:szCs w:val="20"/>
                <w:color w:val="auto"/>
              </w:rPr>
            </w:pPr>
            <w:r>
              <w:rPr>
                <w:rFonts w:ascii="Times New Roman" w:cs="Times New Roman" w:eastAsia="Times New Roman" w:hAnsi="Times New Roman"/>
                <w:sz w:val="13"/>
                <w:szCs w:val="13"/>
                <w:color w:val="auto"/>
              </w:rPr>
              <w:t>Depreciation and amortization of revenue generating assets</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color w:val="auto"/>
              </w:rPr>
              <w:t>(5,274)</w:t>
            </w:r>
          </w:p>
        </w:tc>
        <w:tc>
          <w:tcPr>
            <w:tcW w:w="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(4,668)</w:t>
            </w:r>
          </w:p>
        </w:tc>
        <w:tc>
          <w:tcPr>
            <w:tcW w:w="0" w:type="dxa"/>
            <w:vAlign w:val="bottom"/>
          </w:tcPr>
          <w:p>
            <w:pPr>
              <w:spacing w:after="0"/>
              <w:rPr>
                <w:sz w:val="1"/>
                <w:szCs w:val="1"/>
                <w:color w:val="auto"/>
              </w:rPr>
            </w:pPr>
          </w:p>
        </w:tc>
      </w:tr>
      <w:tr>
        <w:trPr>
          <w:trHeight w:val="163"/>
        </w:trPr>
        <w:tc>
          <w:tcPr>
            <w:tcW w:w="7740" w:type="dxa"/>
            <w:vAlign w:val="bottom"/>
          </w:tcPr>
          <w:p>
            <w:pPr>
              <w:spacing w:after="0"/>
              <w:rPr>
                <w:sz w:val="20"/>
                <w:szCs w:val="20"/>
                <w:color w:val="auto"/>
              </w:rPr>
            </w:pPr>
            <w:r>
              <w:rPr>
                <w:rFonts w:ascii="Times New Roman" w:cs="Times New Roman" w:eastAsia="Times New Roman" w:hAnsi="Times New Roman"/>
                <w:sz w:val="13"/>
                <w:szCs w:val="13"/>
                <w:color w:val="auto"/>
              </w:rPr>
              <w:t>Gross profit</w:t>
            </w:r>
          </w:p>
        </w:tc>
        <w:tc>
          <w:tcPr>
            <w:tcW w:w="4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b w:val="1"/>
                <w:bCs w:val="1"/>
                <w:color w:val="auto"/>
              </w:rPr>
              <w:t>93,497</w:t>
            </w:r>
          </w:p>
        </w:tc>
        <w:tc>
          <w:tcPr>
            <w:tcW w:w="60" w:type="dxa"/>
            <w:vAlign w:val="bottom"/>
          </w:tcPr>
          <w:p>
            <w:pPr>
              <w:spacing w:after="0"/>
              <w:rPr>
                <w:sz w:val="14"/>
                <w:szCs w:val="14"/>
                <w:color w:val="auto"/>
              </w:rPr>
            </w:pPr>
          </w:p>
        </w:tc>
        <w:tc>
          <w:tcPr>
            <w:tcW w:w="4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82,609</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Gross profit margin</w:t>
            </w: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77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37.5 %</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36.8 %</w:t>
            </w:r>
          </w:p>
        </w:tc>
        <w:tc>
          <w:tcPr>
            <w:tcW w:w="0" w:type="dxa"/>
            <w:vAlign w:val="bottom"/>
          </w:tcPr>
          <w:p>
            <w:pPr>
              <w:spacing w:after="0"/>
              <w:rPr>
                <w:sz w:val="1"/>
                <w:szCs w:val="1"/>
                <w:color w:val="auto"/>
              </w:rPr>
            </w:pPr>
          </w:p>
        </w:tc>
      </w:tr>
    </w:tbl>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EBITDA and Adjusted EBITDA</w:t>
      </w:r>
    </w:p>
    <w:p>
      <w:pPr>
        <w:spacing w:after="0" w:line="18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3"/>
          <w:szCs w:val="13"/>
          <w:color w:val="auto"/>
        </w:rPr>
        <w:t>EBITDA and adjusted EBITDA are performance measures. EBITDA is earnings before interest, income tax, and depreciation and amortization expenses ("EBITDA"). Adjusted EBITDA begins with EBITDA but further excludes certain non-cash costs, such as stock-based compensation and the write-off of the carrying value of investments or other assets, as well as debt extinguishment and modification expenses and other expenses and income items considered non-recurring, such as acquisition integration expenses, certain professional fees, and litigation settlements. We review the non-GAAP adjusted EBITDA measure to evaluate our business and trends, measure our performance, prepare financial projections, allocate resources, and make strategic decisions.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reconciliation of adjusted EBITDA to its most comparable GAAP measure is provided below:</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2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7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4"/>
          </w:tcPr>
          <w:p>
            <w:pPr>
              <w:jc w:val="right"/>
              <w:ind w:right="794"/>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0" w:type="dxa"/>
            <w:vAlign w:val="bottom"/>
          </w:tcPr>
          <w:p>
            <w:pPr>
              <w:spacing w:after="0"/>
              <w:rPr>
                <w:sz w:val="1"/>
                <w:szCs w:val="1"/>
                <w:color w:val="auto"/>
              </w:rPr>
            </w:pPr>
          </w:p>
        </w:tc>
      </w:tr>
      <w:tr>
        <w:trPr>
          <w:trHeight w:val="160"/>
        </w:trPr>
        <w:tc>
          <w:tcPr>
            <w:tcW w:w="42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54"/>
        </w:trPr>
        <w:tc>
          <w:tcPr>
            <w:tcW w:w="422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3700" w:type="dxa"/>
            <w:vAlign w:val="bottom"/>
          </w:tcPr>
          <w:p>
            <w:pPr>
              <w:spacing w:after="0"/>
              <w:rPr>
                <w:sz w:val="13"/>
                <w:szCs w:val="13"/>
                <w:color w:val="auto"/>
              </w:rPr>
            </w:pPr>
          </w:p>
        </w:tc>
        <w:tc>
          <w:tcPr>
            <w:tcW w:w="3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9,760</w:t>
            </w:r>
          </w:p>
        </w:tc>
        <w:tc>
          <w:tcPr>
            <w:tcW w:w="80" w:type="dxa"/>
            <w:vAlign w:val="bottom"/>
          </w:tcPr>
          <w:p>
            <w:pPr>
              <w:spacing w:after="0"/>
              <w:rPr>
                <w:sz w:val="13"/>
                <w:szCs w:val="13"/>
                <w:color w:val="auto"/>
              </w:rPr>
            </w:pPr>
          </w:p>
        </w:tc>
        <w:tc>
          <w:tcPr>
            <w:tcW w:w="3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8,268</w:t>
            </w:r>
          </w:p>
        </w:tc>
        <w:tc>
          <w:tcPr>
            <w:tcW w:w="0" w:type="dxa"/>
            <w:vAlign w:val="bottom"/>
          </w:tcPr>
          <w:p>
            <w:pPr>
              <w:spacing w:after="0"/>
              <w:rPr>
                <w:sz w:val="1"/>
                <w:szCs w:val="1"/>
                <w:color w:val="auto"/>
              </w:rPr>
            </w:pPr>
          </w:p>
        </w:tc>
      </w:tr>
      <w:tr>
        <w:trPr>
          <w:trHeight w:val="171"/>
        </w:trPr>
        <w:tc>
          <w:tcPr>
            <w:tcW w:w="4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expense</w:t>
            </w:r>
          </w:p>
        </w:tc>
        <w:tc>
          <w:tcPr>
            <w:tcW w:w="3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21,016</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23,176</w:t>
            </w:r>
          </w:p>
        </w:tc>
        <w:tc>
          <w:tcPr>
            <w:tcW w:w="0" w:type="dxa"/>
            <w:vAlign w:val="bottom"/>
          </w:tcPr>
          <w:p>
            <w:pPr>
              <w:spacing w:after="0"/>
              <w:rPr>
                <w:sz w:val="1"/>
                <w:szCs w:val="1"/>
                <w:color w:val="auto"/>
              </w:rPr>
            </w:pPr>
          </w:p>
        </w:tc>
      </w:tr>
      <w:tr>
        <w:trPr>
          <w:trHeight w:val="171"/>
        </w:trPr>
        <w:tc>
          <w:tcPr>
            <w:tcW w:w="4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Income tax expense</w:t>
            </w:r>
          </w:p>
        </w:tc>
        <w:tc>
          <w:tcPr>
            <w:tcW w:w="3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3,646</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2,250</w:t>
            </w:r>
          </w:p>
        </w:tc>
        <w:tc>
          <w:tcPr>
            <w:tcW w:w="0" w:type="dxa"/>
            <w:vAlign w:val="bottom"/>
          </w:tcPr>
          <w:p>
            <w:pPr>
              <w:spacing w:after="0"/>
              <w:rPr>
                <w:sz w:val="1"/>
                <w:szCs w:val="1"/>
                <w:color w:val="auto"/>
              </w:rPr>
            </w:pPr>
          </w:p>
        </w:tc>
      </w:tr>
      <w:tr>
        <w:trPr>
          <w:trHeight w:val="172"/>
        </w:trPr>
        <w:tc>
          <w:tcPr>
            <w:tcW w:w="4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7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17,615</w:t>
            </w: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13,777</w:t>
            </w:r>
          </w:p>
        </w:tc>
        <w:tc>
          <w:tcPr>
            <w:tcW w:w="0" w:type="dxa"/>
            <w:vAlign w:val="bottom"/>
          </w:tcPr>
          <w:p>
            <w:pPr>
              <w:spacing w:after="0"/>
              <w:rPr>
                <w:sz w:val="1"/>
                <w:szCs w:val="1"/>
                <w:color w:val="auto"/>
              </w:rPr>
            </w:pPr>
          </w:p>
        </w:tc>
      </w:tr>
      <w:tr>
        <w:trPr>
          <w:trHeight w:val="159"/>
        </w:trPr>
        <w:tc>
          <w:tcPr>
            <w:tcW w:w="4220" w:type="dxa"/>
            <w:vAlign w:val="bottom"/>
          </w:tcPr>
          <w:p>
            <w:pPr>
              <w:spacing w:after="0"/>
              <w:rPr>
                <w:sz w:val="20"/>
                <w:szCs w:val="20"/>
                <w:color w:val="auto"/>
              </w:rPr>
            </w:pPr>
            <w:r>
              <w:rPr>
                <w:rFonts w:ascii="Times New Roman" w:cs="Times New Roman" w:eastAsia="Times New Roman" w:hAnsi="Times New Roman"/>
                <w:sz w:val="13"/>
                <w:szCs w:val="13"/>
                <w:color w:val="auto"/>
              </w:rPr>
              <w:t>EBITDA</w:t>
            </w:r>
          </w:p>
        </w:tc>
        <w:tc>
          <w:tcPr>
            <w:tcW w:w="3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52,037</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47,471</w:t>
            </w:r>
          </w:p>
        </w:tc>
        <w:tc>
          <w:tcPr>
            <w:tcW w:w="0" w:type="dxa"/>
            <w:vAlign w:val="bottom"/>
          </w:tcPr>
          <w:p>
            <w:pPr>
              <w:spacing w:after="0"/>
              <w:rPr>
                <w:sz w:val="1"/>
                <w:szCs w:val="1"/>
                <w:color w:val="auto"/>
              </w:rPr>
            </w:pPr>
          </w:p>
        </w:tc>
      </w:tr>
      <w:tr>
        <w:trPr>
          <w:trHeight w:val="171"/>
        </w:trPr>
        <w:tc>
          <w:tcPr>
            <w:tcW w:w="4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Debt modification and extinguishment expenses</w:t>
            </w:r>
          </w:p>
        </w:tc>
        <w:tc>
          <w:tcPr>
            <w:tcW w:w="3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71"/>
        </w:trPr>
        <w:tc>
          <w:tcPr>
            <w:tcW w:w="4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Selling, general and administrative (non-recurring)</w:t>
            </w:r>
          </w:p>
        </w:tc>
        <w:tc>
          <w:tcPr>
            <w:tcW w:w="3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3,969</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2,199</w:t>
            </w:r>
          </w:p>
        </w:tc>
        <w:tc>
          <w:tcPr>
            <w:tcW w:w="0" w:type="dxa"/>
            <w:vAlign w:val="bottom"/>
          </w:tcPr>
          <w:p>
            <w:pPr>
              <w:spacing w:after="0"/>
              <w:rPr>
                <w:sz w:val="1"/>
                <w:szCs w:val="1"/>
                <w:color w:val="auto"/>
              </w:rPr>
            </w:pPr>
          </w:p>
        </w:tc>
      </w:tr>
      <w:tr>
        <w:trPr>
          <w:trHeight w:val="174"/>
        </w:trPr>
        <w:tc>
          <w:tcPr>
            <w:tcW w:w="4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Non-cash stock-based compensation</w:t>
            </w:r>
          </w:p>
        </w:tc>
        <w:tc>
          <w:tcPr>
            <w:tcW w:w="37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2,088</w:t>
            </w: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1,586</w:t>
            </w:r>
          </w:p>
        </w:tc>
        <w:tc>
          <w:tcPr>
            <w:tcW w:w="0" w:type="dxa"/>
            <w:vAlign w:val="bottom"/>
          </w:tcPr>
          <w:p>
            <w:pPr>
              <w:spacing w:after="0"/>
              <w:rPr>
                <w:sz w:val="1"/>
                <w:szCs w:val="1"/>
                <w:color w:val="auto"/>
              </w:rPr>
            </w:pPr>
          </w:p>
        </w:tc>
      </w:tr>
      <w:tr>
        <w:trPr>
          <w:trHeight w:val="163"/>
        </w:trPr>
        <w:tc>
          <w:tcPr>
            <w:tcW w:w="4220" w:type="dxa"/>
            <w:vAlign w:val="bottom"/>
          </w:tcPr>
          <w:p>
            <w:pPr>
              <w:spacing w:after="0"/>
              <w:rPr>
                <w:sz w:val="20"/>
                <w:szCs w:val="20"/>
                <w:color w:val="auto"/>
              </w:rPr>
            </w:pPr>
            <w:r>
              <w:rPr>
                <w:rFonts w:ascii="Times New Roman" w:cs="Times New Roman" w:eastAsia="Times New Roman" w:hAnsi="Times New Roman"/>
                <w:sz w:val="13"/>
                <w:szCs w:val="13"/>
                <w:color w:val="auto"/>
              </w:rPr>
              <w:t>Adjusted EBITDA</w:t>
            </w:r>
          </w:p>
        </w:tc>
        <w:tc>
          <w:tcPr>
            <w:tcW w:w="3700" w:type="dxa"/>
            <w:vAlign w:val="bottom"/>
          </w:tcPr>
          <w:p>
            <w:pPr>
              <w:spacing w:after="0"/>
              <w:rPr>
                <w:sz w:val="14"/>
                <w:szCs w:val="14"/>
                <w:color w:val="auto"/>
              </w:rPr>
            </w:pPr>
          </w:p>
        </w:tc>
        <w:tc>
          <w:tcPr>
            <w:tcW w:w="3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58,094</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51,294</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700" w:type="dxa"/>
            <w:vAlign w:val="bottom"/>
            <w:vMerge w:val="restart"/>
          </w:tcPr>
          <w:p>
            <w:pPr>
              <w:jc w:val="right"/>
              <w:ind w:right="2180"/>
              <w:spacing w:after="0"/>
              <w:rPr>
                <w:sz w:val="20"/>
                <w:szCs w:val="20"/>
                <w:color w:val="auto"/>
              </w:rPr>
            </w:pPr>
            <w:r>
              <w:rPr>
                <w:rFonts w:ascii="Times New Roman" w:cs="Times New Roman" w:eastAsia="Times New Roman" w:hAnsi="Times New Roman"/>
                <w:sz w:val="12"/>
                <w:szCs w:val="12"/>
                <w:color w:val="auto"/>
              </w:rPr>
              <w:t>3</w:t>
            </w: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9"/>
        </w:trPr>
        <w:tc>
          <w:tcPr>
            <w:tcW w:w="422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38" w:right="2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2"/>
          <w:szCs w:val="12"/>
          <w:color w:val="auto"/>
        </w:rPr>
        <w:t>EXHIBIT 99.1</w:t>
      </w:r>
    </w:p>
    <w:p>
      <w:pPr>
        <w:spacing w:after="0" w:line="38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3"/>
          <w:szCs w:val="13"/>
          <w:color w:val="auto"/>
        </w:rPr>
        <w:t>Further detail of certain of these adjustments, and where these items are recorded in our consolidated statements of operations, is provided below:</w:t>
      </w:r>
    </w:p>
    <w:p>
      <w:pPr>
        <w:spacing w:after="0" w:line="200" w:lineRule="exact"/>
        <w:rPr>
          <w:sz w:val="20"/>
          <w:szCs w:val="20"/>
          <w:color w:val="auto"/>
        </w:rPr>
      </w:pPr>
    </w:p>
    <w:p>
      <w:pPr>
        <w:ind w:left="7"/>
        <w:spacing w:after="0"/>
        <w:tabs>
          <w:tab w:leader="none" w:pos="8746" w:val="left"/>
        </w:tabs>
        <w:rPr>
          <w:sz w:val="20"/>
          <w:szCs w:val="20"/>
          <w:color w:val="auto"/>
        </w:rPr>
      </w:pPr>
      <w:r>
        <w:rPr>
          <w:rFonts w:ascii="Times New Roman" w:cs="Times New Roman" w:eastAsia="Times New Roman" w:hAnsi="Times New Roman"/>
          <w:sz w:val="13"/>
          <w:szCs w:val="13"/>
          <w:i w:val="1"/>
          <w:iCs w:val="1"/>
          <w:color w:val="auto"/>
        </w:rPr>
        <w:t>(in thousands)</w:t>
      </w:r>
      <w:r>
        <w:rPr>
          <w:sz w:val="20"/>
          <w:szCs w:val="20"/>
          <w:color w:val="auto"/>
        </w:rPr>
        <w:tab/>
      </w:r>
      <w:r>
        <w:rPr>
          <w:rFonts w:ascii="Times New Roman" w:cs="Times New Roman" w:eastAsia="Times New Roman" w:hAnsi="Times New Roman"/>
          <w:sz w:val="12"/>
          <w:szCs w:val="12"/>
          <w:b w:val="1"/>
          <w:bCs w:val="1"/>
          <w:color w:val="auto"/>
        </w:rPr>
        <w:t>Three Months Ended March 31,</w:t>
      </w:r>
    </w:p>
    <w:p>
      <w:pPr>
        <w:spacing w:after="0" w:line="29" w:lineRule="exact"/>
        <w:rPr>
          <w:sz w:val="20"/>
          <w:szCs w:val="20"/>
          <w:color w:val="auto"/>
        </w:rPr>
      </w:pPr>
    </w:p>
    <w:tbl>
      <w:tblPr>
        <w:tblLayout w:type="fixed"/>
        <w:tblInd w:w="7" w:type="dxa"/>
        <w:tblCellMar>
          <w:top w:w="0" w:type="dxa"/>
          <w:left w:w="0" w:type="dxa"/>
          <w:bottom w:w="0" w:type="dxa"/>
          <w:right w:w="0" w:type="dxa"/>
        </w:tblCellMar>
      </w:tblPr>
      <w:tr>
        <w:trPr>
          <w:trHeight w:val="160"/>
        </w:trPr>
        <w:tc>
          <w:tcPr>
            <w:tcW w:w="7900" w:type="dxa"/>
            <w:vAlign w:val="bottom"/>
          </w:tcPr>
          <w:p>
            <w:pPr>
              <w:spacing w:after="0"/>
              <w:rPr>
                <w:sz w:val="13"/>
                <w:szCs w:val="13"/>
                <w:color w:val="auto"/>
              </w:rPr>
            </w:pPr>
          </w:p>
        </w:tc>
        <w:tc>
          <w:tcPr>
            <w:tcW w:w="114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2026</w:t>
            </w:r>
          </w:p>
        </w:tc>
        <w:tc>
          <w:tcPr>
            <w:tcW w:w="5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45"/>
        </w:trPr>
        <w:tc>
          <w:tcPr>
            <w:tcW w:w="7900" w:type="dxa"/>
            <w:vAlign w:val="bottom"/>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Selling, general and administrative expenses (non-recurring):</w:t>
            </w: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71"/>
        </w:trPr>
        <w:tc>
          <w:tcPr>
            <w:tcW w:w="9040" w:type="dxa"/>
            <w:vAlign w:val="bottom"/>
            <w:gridSpan w:val="2"/>
          </w:tcPr>
          <w:p>
            <w:pPr>
              <w:ind w:left="140"/>
              <w:spacing w:after="0" w:line="171" w:lineRule="exact"/>
              <w:rPr>
                <w:sz w:val="20"/>
                <w:szCs w:val="20"/>
                <w:color w:val="auto"/>
              </w:rPr>
            </w:pPr>
            <w:r>
              <w:rPr>
                <w:rFonts w:ascii="Times New Roman" w:cs="Times New Roman" w:eastAsia="Times New Roman" w:hAnsi="Times New Roman"/>
                <w:sz w:val="13"/>
                <w:szCs w:val="13"/>
                <w:color w:val="auto"/>
              </w:rPr>
              <w:t>Legal fees</w:t>
            </w:r>
            <w:r>
              <w:rPr>
                <w:rFonts w:ascii="Times New Roman" w:cs="Times New Roman" w:eastAsia="Times New Roman" w:hAnsi="Times New Roman"/>
                <w:sz w:val="17"/>
                <w:szCs w:val="17"/>
                <w:color w:val="auto"/>
                <w:vertAlign w:val="superscript"/>
              </w:rPr>
              <w:t>(1)</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1,296</w:t>
            </w:r>
          </w:p>
        </w:tc>
      </w:tr>
      <w:tr>
        <w:trPr>
          <w:trHeight w:val="171"/>
        </w:trPr>
        <w:tc>
          <w:tcPr>
            <w:tcW w:w="9040" w:type="dxa"/>
            <w:vAlign w:val="bottom"/>
            <w:gridSpan w:val="2"/>
          </w:tcPr>
          <w:p>
            <w:pPr>
              <w:ind w:left="140"/>
              <w:spacing w:after="0" w:line="171" w:lineRule="exact"/>
              <w:rPr>
                <w:sz w:val="20"/>
                <w:szCs w:val="20"/>
                <w:color w:val="auto"/>
              </w:rPr>
            </w:pPr>
            <w:r>
              <w:rPr>
                <w:rFonts w:ascii="Times New Roman" w:cs="Times New Roman" w:eastAsia="Times New Roman" w:hAnsi="Times New Roman"/>
                <w:sz w:val="13"/>
                <w:szCs w:val="13"/>
                <w:color w:val="auto"/>
              </w:rPr>
              <w:t>Professional, accounting and consulting fees</w:t>
            </w:r>
            <w:r>
              <w:rPr>
                <w:rFonts w:ascii="Times New Roman" w:cs="Times New Roman" w:eastAsia="Times New Roman" w:hAnsi="Times New Roman"/>
                <w:sz w:val="17"/>
                <w:szCs w:val="17"/>
                <w:color w:val="auto"/>
                <w:vertAlign w:val="superscript"/>
              </w:rPr>
              <w:t>(2)</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1,044</w:t>
            </w:r>
          </w:p>
        </w:tc>
      </w:tr>
      <w:tr>
        <w:trPr>
          <w:trHeight w:val="171"/>
        </w:trPr>
        <w:tc>
          <w:tcPr>
            <w:tcW w:w="90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Other (income) expenses, net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74"/>
        </w:trPr>
        <w:tc>
          <w:tcPr>
            <w:tcW w:w="90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Litigation settlement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r>
      <w:tr>
        <w:trPr>
          <w:trHeight w:val="163"/>
        </w:trPr>
        <w:tc>
          <w:tcPr>
            <w:tcW w:w="790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9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3,969</w:t>
            </w:r>
          </w:p>
        </w:tc>
        <w:tc>
          <w:tcPr>
            <w:tcW w:w="8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2,199</w:t>
            </w:r>
          </w:p>
        </w:tc>
      </w:tr>
      <w:tr>
        <w:trPr>
          <w:trHeight w:val="20"/>
        </w:trPr>
        <w:tc>
          <w:tcPr>
            <w:tcW w:w="79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147" w:hanging="147"/>
        <w:spacing w:after="0"/>
        <w:tabs>
          <w:tab w:leader="none" w:pos="147"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These legal expenses primarily relate to litigation matters, mergers and acquisitions, and other transactions (e.g., the ongoing go-private project), all of which are non-recurring in nature.</w:t>
      </w:r>
    </w:p>
    <w:p>
      <w:pPr>
        <w:ind w:left="147" w:hanging="147"/>
        <w:spacing w:after="0"/>
        <w:tabs>
          <w:tab w:leader="none" w:pos="147"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These professional, accounting, and consulting fees are associated with non-recurring projects, including professional fees and incremental audit fees incurred for valuation and audit work related to acquisitions, disposals, and automation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307"/>
          </w:cols>
          <w:pgMar w:left="293" w:top="138" w:right="29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2"/>
          <w:szCs w:val="12"/>
          <w:color w:val="auto"/>
        </w:rPr>
        <w:t>EXHIBIT 99.1</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Adjusted Earnings Per Share (Adjusted EPS)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Adjusted EPS is a performance measure. Adjusted EPS is calculated by dividing adjusted net income attributable to common shareholders by weighted average number shares outstanding for the respective periods.</w:t>
      </w:r>
    </w:p>
    <w:p>
      <w:pPr>
        <w:spacing w:after="0" w:line="202" w:lineRule="exact"/>
        <w:rPr>
          <w:sz w:val="20"/>
          <w:szCs w:val="20"/>
          <w:color w:val="auto"/>
        </w:rPr>
      </w:pPr>
    </w:p>
    <w:p>
      <w:pPr>
        <w:ind w:right="40"/>
        <w:spacing w:after="0" w:line="324" w:lineRule="auto"/>
        <w:rPr>
          <w:sz w:val="20"/>
          <w:szCs w:val="20"/>
          <w:color w:val="auto"/>
        </w:rPr>
      </w:pPr>
      <w:r>
        <w:rPr>
          <w:rFonts w:ascii="Times New Roman" w:cs="Times New Roman" w:eastAsia="Times New Roman" w:hAnsi="Times New Roman"/>
          <w:sz w:val="13"/>
          <w:szCs w:val="13"/>
          <w:color w:val="auto"/>
        </w:rPr>
        <w:t>Adjusted net income attributable to common shareholders begins with net income attributable to common shareholders adjusted to exclude various items listed below. We believe that adjusted EPS is a measure that is useful to investors and management in understanding our ongoing profitability and in analysis of ongoing profitability trends.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0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36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gridSpan w:val="4"/>
          </w:tcPr>
          <w:p>
            <w:pPr>
              <w:jc w:val="right"/>
              <w:ind w:right="714"/>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0" w:type="dxa"/>
            <w:vAlign w:val="bottom"/>
          </w:tcPr>
          <w:p>
            <w:pPr>
              <w:spacing w:after="0"/>
              <w:rPr>
                <w:sz w:val="1"/>
                <w:szCs w:val="1"/>
                <w:color w:val="auto"/>
              </w:rPr>
            </w:pPr>
          </w:p>
        </w:tc>
      </w:tr>
      <w:tr>
        <w:trPr>
          <w:trHeight w:val="160"/>
        </w:trPr>
        <w:tc>
          <w:tcPr>
            <w:tcW w:w="80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Reconciliation of Adjusted EPS</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45"/>
        </w:trPr>
        <w:tc>
          <w:tcPr>
            <w:tcW w:w="80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80" w:type="dxa"/>
            <w:vAlign w:val="bottom"/>
          </w:tcPr>
          <w:p>
            <w:pPr>
              <w:spacing w:after="0"/>
              <w:rPr>
                <w:sz w:val="20"/>
                <w:szCs w:val="20"/>
                <w:color w:val="auto"/>
              </w:rPr>
            </w:pPr>
            <w:r>
              <w:rPr>
                <w:rFonts w:ascii="Times New Roman" w:cs="Times New Roman" w:eastAsia="Times New Roman" w:hAnsi="Times New Roman"/>
                <w:sz w:val="13"/>
                <w:szCs w:val="13"/>
                <w:color w:val="auto"/>
              </w:rPr>
              <w:t>Net income attributable to common shareholders</w:t>
            </w:r>
          </w:p>
        </w:tc>
        <w:tc>
          <w:tcPr>
            <w:tcW w:w="3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9,760</w:t>
            </w:r>
          </w:p>
        </w:tc>
        <w:tc>
          <w:tcPr>
            <w:tcW w:w="80" w:type="dxa"/>
            <w:vAlign w:val="bottom"/>
          </w:tcPr>
          <w:p>
            <w:pPr>
              <w:spacing w:after="0"/>
              <w:rPr>
                <w:sz w:val="14"/>
                <w:szCs w:val="14"/>
                <w:color w:val="auto"/>
              </w:rPr>
            </w:pPr>
          </w:p>
        </w:tc>
        <w:tc>
          <w:tcPr>
            <w:tcW w:w="3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8,268</w:t>
            </w:r>
          </w:p>
        </w:tc>
        <w:tc>
          <w:tcPr>
            <w:tcW w:w="0" w:type="dxa"/>
            <w:vAlign w:val="bottom"/>
          </w:tcPr>
          <w:p>
            <w:pPr>
              <w:spacing w:after="0"/>
              <w:rPr>
                <w:sz w:val="1"/>
                <w:szCs w:val="1"/>
                <w:color w:val="auto"/>
              </w:rPr>
            </w:pPr>
          </w:p>
        </w:tc>
      </w:tr>
      <w:tr>
        <w:trPr>
          <w:trHeight w:val="171"/>
        </w:trPr>
        <w:tc>
          <w:tcPr>
            <w:tcW w:w="8080" w:type="dxa"/>
            <w:vAlign w:val="bottom"/>
          </w:tcPr>
          <w:p>
            <w:pPr>
              <w:spacing w:after="0"/>
              <w:rPr>
                <w:sz w:val="20"/>
                <w:szCs w:val="20"/>
                <w:color w:val="auto"/>
              </w:rPr>
            </w:pPr>
            <w:r>
              <w:rPr>
                <w:rFonts w:ascii="Times New Roman" w:cs="Times New Roman" w:eastAsia="Times New Roman" w:hAnsi="Times New Roman"/>
                <w:sz w:val="13"/>
                <w:szCs w:val="13"/>
                <w:color w:val="auto"/>
              </w:rPr>
              <w:t>Debt extinguishment and modification costs</w:t>
            </w:r>
          </w:p>
        </w:tc>
        <w:tc>
          <w:tcPr>
            <w:tcW w:w="36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71"/>
        </w:trPr>
        <w:tc>
          <w:tcPr>
            <w:tcW w:w="8080" w:type="dxa"/>
            <w:vAlign w:val="bottom"/>
          </w:tcPr>
          <w:p>
            <w:pPr>
              <w:spacing w:after="0"/>
              <w:rPr>
                <w:sz w:val="20"/>
                <w:szCs w:val="20"/>
                <w:color w:val="auto"/>
              </w:rPr>
            </w:pPr>
            <w:r>
              <w:rPr>
                <w:rFonts w:ascii="Times New Roman" w:cs="Times New Roman" w:eastAsia="Times New Roman" w:hAnsi="Times New Roman"/>
                <w:sz w:val="13"/>
                <w:szCs w:val="13"/>
                <w:color w:val="auto"/>
              </w:rPr>
              <w:t>Stock based compensation</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1,586</w:t>
            </w:r>
          </w:p>
        </w:tc>
        <w:tc>
          <w:tcPr>
            <w:tcW w:w="0" w:type="dxa"/>
            <w:vAlign w:val="bottom"/>
          </w:tcPr>
          <w:p>
            <w:pPr>
              <w:spacing w:after="0"/>
              <w:rPr>
                <w:sz w:val="1"/>
                <w:szCs w:val="1"/>
                <w:color w:val="auto"/>
              </w:rPr>
            </w:pPr>
          </w:p>
        </w:tc>
      </w:tr>
      <w:tr>
        <w:trPr>
          <w:trHeight w:val="171"/>
        </w:trPr>
        <w:tc>
          <w:tcPr>
            <w:tcW w:w="8080" w:type="dxa"/>
            <w:vAlign w:val="bottom"/>
          </w:tcPr>
          <w:p>
            <w:pPr>
              <w:spacing w:after="0"/>
              <w:rPr>
                <w:sz w:val="20"/>
                <w:szCs w:val="20"/>
                <w:color w:val="auto"/>
              </w:rPr>
            </w:pPr>
            <w:r>
              <w:rPr>
                <w:rFonts w:ascii="Times New Roman" w:cs="Times New Roman" w:eastAsia="Times New Roman" w:hAnsi="Times New Roman"/>
                <w:sz w:val="13"/>
                <w:szCs w:val="13"/>
                <w:color w:val="auto"/>
              </w:rPr>
              <w:t>Other non-recurring expenses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2,199</w:t>
            </w:r>
          </w:p>
        </w:tc>
        <w:tc>
          <w:tcPr>
            <w:tcW w:w="0" w:type="dxa"/>
            <w:vAlign w:val="bottom"/>
          </w:tcPr>
          <w:p>
            <w:pPr>
              <w:spacing w:after="0"/>
              <w:rPr>
                <w:sz w:val="1"/>
                <w:szCs w:val="1"/>
                <w:color w:val="auto"/>
              </w:rPr>
            </w:pPr>
          </w:p>
        </w:tc>
      </w:tr>
      <w:tr>
        <w:trPr>
          <w:trHeight w:val="171"/>
        </w:trPr>
        <w:tc>
          <w:tcPr>
            <w:tcW w:w="8080" w:type="dxa"/>
            <w:vAlign w:val="bottom"/>
          </w:tcPr>
          <w:p>
            <w:pPr>
              <w:spacing w:after="0"/>
              <w:rPr>
                <w:sz w:val="20"/>
                <w:szCs w:val="20"/>
                <w:color w:val="auto"/>
              </w:rPr>
            </w:pPr>
            <w:r>
              <w:rPr>
                <w:rFonts w:ascii="Times New Roman" w:cs="Times New Roman" w:eastAsia="Times New Roman" w:hAnsi="Times New Roman"/>
                <w:sz w:val="13"/>
                <w:szCs w:val="13"/>
                <w:color w:val="auto"/>
              </w:rPr>
              <w:t>Amortization of acquisition related intangible assets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12,623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9,314</w:t>
            </w:r>
          </w:p>
        </w:tc>
        <w:tc>
          <w:tcPr>
            <w:tcW w:w="0" w:type="dxa"/>
            <w:vAlign w:val="bottom"/>
          </w:tcPr>
          <w:p>
            <w:pPr>
              <w:spacing w:after="0"/>
              <w:rPr>
                <w:sz w:val="1"/>
                <w:szCs w:val="1"/>
                <w:color w:val="auto"/>
              </w:rPr>
            </w:pPr>
          </w:p>
        </w:tc>
      </w:tr>
      <w:tr>
        <w:trPr>
          <w:trHeight w:val="177"/>
        </w:trPr>
        <w:tc>
          <w:tcPr>
            <w:tcW w:w="8080" w:type="dxa"/>
            <w:vAlign w:val="bottom"/>
          </w:tcPr>
          <w:p>
            <w:pPr>
              <w:spacing w:after="0" w:line="176" w:lineRule="exact"/>
              <w:rPr>
                <w:sz w:val="20"/>
                <w:szCs w:val="20"/>
                <w:color w:val="auto"/>
              </w:rPr>
            </w:pPr>
            <w:r>
              <w:rPr>
                <w:rFonts w:ascii="Times New Roman" w:cs="Times New Roman" w:eastAsia="Times New Roman" w:hAnsi="Times New Roman"/>
                <w:sz w:val="13"/>
                <w:szCs w:val="13"/>
                <w:color w:val="auto"/>
              </w:rPr>
              <w:t>Tax impact of adjustments</w:t>
            </w:r>
            <w:r>
              <w:rPr>
                <w:rFonts w:ascii="Times New Roman" w:cs="Times New Roman" w:eastAsia="Times New Roman" w:hAnsi="Times New Roman"/>
                <w:sz w:val="17"/>
                <w:szCs w:val="17"/>
                <w:color w:val="auto"/>
                <w:vertAlign w:val="superscript"/>
              </w:rPr>
              <w:t>(1)</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(4,857)</w:t>
            </w: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(3,416)</w:t>
            </w:r>
          </w:p>
        </w:tc>
        <w:tc>
          <w:tcPr>
            <w:tcW w:w="0" w:type="dxa"/>
            <w:vAlign w:val="bottom"/>
          </w:tcPr>
          <w:p>
            <w:pPr>
              <w:spacing w:after="0"/>
              <w:rPr>
                <w:sz w:val="1"/>
                <w:szCs w:val="1"/>
                <w:color w:val="auto"/>
              </w:rPr>
            </w:pPr>
          </w:p>
        </w:tc>
      </w:tr>
      <w:tr>
        <w:trPr>
          <w:trHeight w:val="160"/>
        </w:trPr>
        <w:tc>
          <w:tcPr>
            <w:tcW w:w="8080" w:type="dxa"/>
            <w:vAlign w:val="bottom"/>
          </w:tcPr>
          <w:p>
            <w:pPr>
              <w:spacing w:after="0"/>
              <w:rPr>
                <w:sz w:val="20"/>
                <w:szCs w:val="20"/>
                <w:color w:val="auto"/>
              </w:rPr>
            </w:pPr>
            <w:r>
              <w:rPr>
                <w:rFonts w:ascii="Times New Roman" w:cs="Times New Roman" w:eastAsia="Times New Roman" w:hAnsi="Times New Roman"/>
                <w:sz w:val="13"/>
                <w:szCs w:val="13"/>
                <w:color w:val="auto"/>
              </w:rPr>
              <w:t>Adjusted net income attributable to common share holders</w:t>
            </w:r>
          </w:p>
        </w:tc>
        <w:tc>
          <w:tcPr>
            <w:tcW w:w="3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23,583</w:t>
            </w:r>
          </w:p>
        </w:tc>
        <w:tc>
          <w:tcPr>
            <w:tcW w:w="80" w:type="dxa"/>
            <w:vAlign w:val="bottom"/>
          </w:tcPr>
          <w:p>
            <w:pPr>
              <w:spacing w:after="0"/>
              <w:rPr>
                <w:sz w:val="13"/>
                <w:szCs w:val="13"/>
                <w:color w:val="auto"/>
              </w:rPr>
            </w:pPr>
          </w:p>
        </w:tc>
        <w:tc>
          <w:tcPr>
            <w:tcW w:w="3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17,989</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Weighted average common shares outstanding (basic)</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80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81,373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78,774</w:t>
            </w:r>
          </w:p>
        </w:tc>
        <w:tc>
          <w:tcPr>
            <w:tcW w:w="0" w:type="dxa"/>
            <w:vAlign w:val="bottom"/>
          </w:tcPr>
          <w:p>
            <w:pPr>
              <w:spacing w:after="0"/>
              <w:rPr>
                <w:sz w:val="1"/>
                <w:szCs w:val="1"/>
                <w:color w:val="auto"/>
              </w:rPr>
            </w:pPr>
          </w:p>
        </w:tc>
      </w:tr>
      <w:tr>
        <w:trPr>
          <w:trHeight w:val="169"/>
        </w:trPr>
        <w:tc>
          <w:tcPr>
            <w:tcW w:w="80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Effect of dilutive potential common shares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1,083</w:t>
            </w:r>
          </w:p>
        </w:tc>
        <w:tc>
          <w:tcPr>
            <w:tcW w:w="0" w:type="dxa"/>
            <w:vAlign w:val="bottom"/>
          </w:tcPr>
          <w:p>
            <w:pPr>
              <w:spacing w:after="0"/>
              <w:rPr>
                <w:sz w:val="1"/>
                <w:szCs w:val="1"/>
                <w:color w:val="auto"/>
              </w:rPr>
            </w:pPr>
          </w:p>
        </w:tc>
      </w:tr>
      <w:tr>
        <w:trPr>
          <w:trHeight w:val="174"/>
        </w:trPr>
        <w:tc>
          <w:tcPr>
            <w:tcW w:w="80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Weighted average common shares outstanding (diluted)</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83,647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79,857</w:t>
            </w:r>
          </w:p>
        </w:tc>
        <w:tc>
          <w:tcPr>
            <w:tcW w:w="0" w:type="dxa"/>
            <w:vAlign w:val="bottom"/>
          </w:tcPr>
          <w:p>
            <w:pPr>
              <w:spacing w:after="0"/>
              <w:rPr>
                <w:sz w:val="1"/>
                <w:szCs w:val="1"/>
                <w:color w:val="auto"/>
              </w:rPr>
            </w:pPr>
          </w:p>
        </w:tc>
      </w:tr>
      <w:tr>
        <w:trPr>
          <w:trHeight w:val="350"/>
        </w:trPr>
        <w:tc>
          <w:tcPr>
            <w:tcW w:w="808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Earnings (loss) per common share:</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0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Basic</w:t>
            </w:r>
          </w:p>
        </w:tc>
        <w:tc>
          <w:tcPr>
            <w:tcW w:w="3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0.12</w:t>
            </w:r>
          </w:p>
        </w:tc>
        <w:tc>
          <w:tcPr>
            <w:tcW w:w="80" w:type="dxa"/>
            <w:vAlign w:val="bottom"/>
          </w:tcPr>
          <w:p>
            <w:pPr>
              <w:spacing w:after="0"/>
              <w:rPr>
                <w:sz w:val="14"/>
                <w:szCs w:val="14"/>
                <w:color w:val="auto"/>
              </w:rPr>
            </w:pPr>
          </w:p>
        </w:tc>
        <w:tc>
          <w:tcPr>
            <w:tcW w:w="3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0.10</w:t>
            </w:r>
          </w:p>
        </w:tc>
        <w:tc>
          <w:tcPr>
            <w:tcW w:w="0" w:type="dxa"/>
            <w:vAlign w:val="bottom"/>
          </w:tcPr>
          <w:p>
            <w:pPr>
              <w:spacing w:after="0"/>
              <w:rPr>
                <w:sz w:val="1"/>
                <w:szCs w:val="1"/>
                <w:color w:val="auto"/>
              </w:rPr>
            </w:pPr>
          </w:p>
        </w:tc>
      </w:tr>
      <w:tr>
        <w:trPr>
          <w:trHeight w:val="172"/>
        </w:trPr>
        <w:tc>
          <w:tcPr>
            <w:tcW w:w="80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Diluted</w:t>
            </w:r>
          </w:p>
        </w:tc>
        <w:tc>
          <w:tcPr>
            <w:tcW w:w="3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0.12</w:t>
            </w:r>
          </w:p>
        </w:tc>
        <w:tc>
          <w:tcPr>
            <w:tcW w:w="80" w:type="dxa"/>
            <w:vAlign w:val="bottom"/>
          </w:tcPr>
          <w:p>
            <w:pPr>
              <w:spacing w:after="0"/>
              <w:rPr>
                <w:sz w:val="14"/>
                <w:szCs w:val="14"/>
                <w:color w:val="auto"/>
              </w:rPr>
            </w:pPr>
          </w:p>
        </w:tc>
        <w:tc>
          <w:tcPr>
            <w:tcW w:w="3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0.10</w:t>
            </w:r>
          </w:p>
        </w:tc>
        <w:tc>
          <w:tcPr>
            <w:tcW w:w="0" w:type="dxa"/>
            <w:vAlign w:val="bottom"/>
          </w:tcPr>
          <w:p>
            <w:pPr>
              <w:spacing w:after="0"/>
              <w:rPr>
                <w:sz w:val="1"/>
                <w:szCs w:val="1"/>
                <w:color w:val="auto"/>
              </w:rPr>
            </w:pPr>
          </w:p>
        </w:tc>
      </w:tr>
      <w:tr>
        <w:trPr>
          <w:trHeight w:val="350"/>
        </w:trPr>
        <w:tc>
          <w:tcPr>
            <w:tcW w:w="80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Adjusted earnings per common share</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0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Basic</w:t>
            </w:r>
          </w:p>
        </w:tc>
        <w:tc>
          <w:tcPr>
            <w:tcW w:w="3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0.29</w:t>
            </w:r>
          </w:p>
        </w:tc>
        <w:tc>
          <w:tcPr>
            <w:tcW w:w="80" w:type="dxa"/>
            <w:vAlign w:val="bottom"/>
          </w:tcPr>
          <w:p>
            <w:pPr>
              <w:spacing w:after="0"/>
              <w:rPr>
                <w:sz w:val="14"/>
                <w:szCs w:val="14"/>
                <w:color w:val="auto"/>
              </w:rPr>
            </w:pPr>
          </w:p>
        </w:tc>
        <w:tc>
          <w:tcPr>
            <w:tcW w:w="3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0.23</w:t>
            </w:r>
          </w:p>
        </w:tc>
        <w:tc>
          <w:tcPr>
            <w:tcW w:w="0" w:type="dxa"/>
            <w:vAlign w:val="bottom"/>
          </w:tcPr>
          <w:p>
            <w:pPr>
              <w:spacing w:after="0"/>
              <w:rPr>
                <w:sz w:val="1"/>
                <w:szCs w:val="1"/>
                <w:color w:val="auto"/>
              </w:rPr>
            </w:pPr>
          </w:p>
        </w:tc>
      </w:tr>
      <w:tr>
        <w:trPr>
          <w:trHeight w:val="172"/>
        </w:trPr>
        <w:tc>
          <w:tcPr>
            <w:tcW w:w="80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Diluted</w:t>
            </w:r>
          </w:p>
        </w:tc>
        <w:tc>
          <w:tcPr>
            <w:tcW w:w="3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0.28</w:t>
            </w:r>
          </w:p>
        </w:tc>
        <w:tc>
          <w:tcPr>
            <w:tcW w:w="80" w:type="dxa"/>
            <w:vAlign w:val="bottom"/>
          </w:tcPr>
          <w:p>
            <w:pPr>
              <w:spacing w:after="0"/>
              <w:rPr>
                <w:sz w:val="14"/>
                <w:szCs w:val="14"/>
                <w:color w:val="auto"/>
              </w:rPr>
            </w:pPr>
          </w:p>
        </w:tc>
        <w:tc>
          <w:tcPr>
            <w:tcW w:w="3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0.22</w:t>
            </w: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The tax impact calculated using the blended statutory income tax rate (i.e. 26.0% for three months ended March 31, 2026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300"/>
          </w:cols>
          <w:pgMar w:left="300" w:top="138" w:right="29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2"/>
          <w:szCs w:val="12"/>
          <w:color w:val="auto"/>
        </w:rPr>
        <w:t>EXHIBIT 99.1</w:t>
      </w:r>
    </w:p>
    <w:p>
      <w:pPr>
        <w:spacing w:after="0" w:line="380"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3"/>
          <w:szCs w:val="13"/>
          <w:color w:val="auto"/>
        </w:rPr>
        <w:t>Priority does not provide a reconciliation of forward-looking non-GAAP financial measures to their comparable GAAP financial measures because it could not do so without unreasonable effort due to the unavailability of the information needed to calculate reconciling items and due to the variability, complexity and limited visibility of the adjusting items that would be excluded from the non-GAAP financial measures in future periods. When planning, forecasting and analyzing future periods, the Company does so primarily on a non-GAAP basis without preparing a GAAP analysis as that would require estimates for various cash and non-cash reconciling items that would be difficult to predict with reasonable accuracy. For example, stock-based compensation expense would be difficult to estimate because it depends on the Company's future hiring and retention needs, as well as the future fair market value of the Company's common stock, all of which are difficult to predict and subject to constant change. As a result, the Company does not believe that a GAAP reconciliation would provide meaningful supplemental information about the Company's outlook.</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300"/>
          </w:cols>
          <w:pgMar w:left="300" w:top="138" w:right="29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2"/>
          <w:szCs w:val="12"/>
          <w:color w:val="auto"/>
        </w:rPr>
        <w:t>EXHIBIT 99.1</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 xml:space="preserve">About Priority Technology </w:t>
      </w:r>
      <w:r>
        <w:rPr>
          <w:rFonts w:ascii="Times New Roman" w:cs="Times New Roman" w:eastAsia="Times New Roman" w:hAnsi="Times New Roman"/>
          <w:sz w:val="13"/>
          <w:szCs w:val="13"/>
          <w:b w:val="1"/>
          <w:bCs w:val="1"/>
          <w:u w:val="single" w:color="auto"/>
          <w:color w:val="0A0A0A"/>
        </w:rPr>
        <w:t>Holdings</w:t>
      </w:r>
      <w:r>
        <w:rPr>
          <w:rFonts w:ascii="Times New Roman" w:cs="Times New Roman" w:eastAsia="Times New Roman" w:hAnsi="Times New Roman"/>
          <w:sz w:val="13"/>
          <w:szCs w:val="13"/>
          <w:b w:val="1"/>
          <w:bCs w:val="1"/>
          <w:u w:val="single" w:color="auto"/>
          <w:color w:val="auto"/>
        </w:rPr>
        <w:t>, Inc.</w:t>
      </w:r>
    </w:p>
    <w:p>
      <w:pPr>
        <w:spacing w:after="0" w:line="168"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3"/>
          <w:szCs w:val="13"/>
          <w:color w:val="auto"/>
        </w:rPr>
        <w:t>Priority is the payments and banking solution that enables businesses to collect, store, lend and send funds through a unified commerce engine. Our platform combines payables, merchant solutions, and treasury solutions so leaders can streamline financial operations efficiently — and our innovative industry experts help businesses navigate and build momentum on the path to growth. With the Priority Commerce Engine, leaders can accelerate cash flow, optimize working capital, reduce unnecessary costs, and unlock new revenue opportunities. To learn more about Priority (NASDAQ: PRTH), visit prioritycommerce.com</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0A0A0A"/>
        </w:rPr>
        <w:t>Forward-Looking Statements</w:t>
      </w:r>
    </w:p>
    <w:p>
      <w:pPr>
        <w:spacing w:after="0" w:line="177"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3"/>
          <w:szCs w:val="13"/>
          <w:color w:val="auto"/>
        </w:rPr>
        <w:t>This press release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"may," "will," "should," "anticipates," "believes," "expects," "plans," "future," "intends," "could," "estimate," "predict," "projects," "targeting," "potential" or "contingent," "guidance," "outlook" or words of similar meaning. These forward-looking statements include, but are not limited to, our 2026 outlook and statements regarding our market and growth opportunities. Such forward-looking statements are based upon the current beliefs and expectations of our management and are inherently subject to significant business, economic and competitive risks, trends and uncertainties that could cause actual results to differ materially from those projected, expressed, or implied by such forward-looking statements. Our actual results could differ materially, and potentially adversely, from those discussed or implied herein.</w:t>
      </w:r>
    </w:p>
    <w:p>
      <w:pPr>
        <w:spacing w:after="0" w:line="117"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3"/>
          <w:szCs w:val="13"/>
          <w:color w:val="auto"/>
        </w:rPr>
        <w:t>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 filings, including our most recent Annual Report on Form 10-K filed with the SEC on March 10, 2026. These filings are available online at www.sec.gov or www.prioritycommerce.com.</w:t>
      </w:r>
    </w:p>
    <w:p>
      <w:pPr>
        <w:spacing w:after="0" w:line="10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3"/>
          <w:szCs w:val="13"/>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 we expect. You are cautioned not to place undue reliance on forward-looking statements as a predictor of future performance. The forward-looking statements included in this press release are made only as of the date hereof. We undertake no obligation to publicly update or revise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Priority Investor Inquiries: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priorityIR@icrinc.com</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1300"/>
          </w:cols>
          <w:pgMar w:left="300" w:top="138" w:right="299" w:bottom="1440" w:gutter="0" w:footer="0" w:header="0"/>
        </w:sectPr>
      </w:pPr>
    </w:p>
    <w:bookmarkStart w:id="10" w:name="page11"/>
    <w:bookmarkEnd w:id="10"/>
    <w:p>
      <w:pPr>
        <w:jc w:val="center"/>
        <w:ind w:right="-31"/>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p>
    <w:p>
      <w:pPr>
        <w:spacing w:after="0" w:line="24"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3"/>
          <w:szCs w:val="13"/>
          <w:b w:val="1"/>
          <w:bCs w:val="1"/>
          <w:color w:val="auto"/>
        </w:rPr>
        <w:t>Unaudited Consolidated Statements of Operations and Comprehensive Income</w:t>
      </w:r>
    </w:p>
    <w:p>
      <w:pPr>
        <w:spacing w:after="0" w:line="20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3"/>
          <w:szCs w:val="13"/>
          <w:i w:val="1"/>
          <w:iCs w:val="1"/>
          <w:color w:val="auto"/>
        </w:rPr>
        <w:t>(in thousands, except per share amounts)</w:t>
      </w:r>
    </w:p>
    <w:p>
      <w:pPr>
        <w:spacing w:after="0" w:line="203" w:lineRule="exact"/>
        <w:rPr>
          <w:sz w:val="20"/>
          <w:szCs w:val="20"/>
          <w:color w:val="auto"/>
        </w:rPr>
      </w:pPr>
    </w:p>
    <w:tbl>
      <w:tblPr>
        <w:tblLayout w:type="fixed"/>
        <w:tblInd w:w="52" w:type="dxa"/>
        <w:tblCellMar>
          <w:top w:w="0" w:type="dxa"/>
          <w:left w:w="0" w:type="dxa"/>
          <w:bottom w:w="0" w:type="dxa"/>
          <w:right w:w="0" w:type="dxa"/>
        </w:tblCellMar>
      </w:tblPr>
      <w:tr>
        <w:trPr>
          <w:trHeight w:val="159"/>
        </w:trPr>
        <w:tc>
          <w:tcPr>
            <w:tcW w:w="7500" w:type="dxa"/>
            <w:vAlign w:val="bottom"/>
          </w:tcPr>
          <w:p>
            <w:pPr>
              <w:spacing w:after="0"/>
              <w:rPr>
                <w:sz w:val="13"/>
                <w:szCs w:val="13"/>
                <w:color w:val="auto"/>
              </w:rPr>
            </w:pPr>
          </w:p>
        </w:tc>
        <w:tc>
          <w:tcPr>
            <w:tcW w:w="2680" w:type="dxa"/>
            <w:vAlign w:val="bottom"/>
            <w:tcBorders>
              <w:bottom w:val="single" w:sz="8" w:color="auto"/>
            </w:tcBorders>
            <w:gridSpan w:val="4"/>
          </w:tcPr>
          <w:p>
            <w:pPr>
              <w:jc w:val="right"/>
              <w:ind w:right="159"/>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500" w:type="dxa"/>
            <w:vAlign w:val="bottom"/>
          </w:tcPr>
          <w:p>
            <w:pPr>
              <w:spacing w:after="0"/>
              <w:rPr>
                <w:sz w:val="12"/>
                <w:szCs w:val="12"/>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b w:val="1"/>
                <w:bCs w:val="1"/>
                <w:color w:val="242424"/>
              </w:rPr>
              <w:t>2026</w:t>
            </w: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2025</w:t>
            </w:r>
          </w:p>
        </w:tc>
        <w:tc>
          <w:tcPr>
            <w:tcW w:w="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5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100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rPr>
              <w:t>249,558</w:t>
            </w:r>
          </w:p>
        </w:tc>
        <w:tc>
          <w:tcPr>
            <w:tcW w:w="80" w:type="dxa"/>
            <w:vAlign w:val="bottom"/>
          </w:tcPr>
          <w:p>
            <w:pPr>
              <w:spacing w:after="0"/>
              <w:rPr>
                <w:sz w:val="12"/>
                <w:szCs w:val="12"/>
                <w:color w:val="auto"/>
              </w:rPr>
            </w:pPr>
          </w:p>
        </w:tc>
        <w:tc>
          <w:tcPr>
            <w:tcW w:w="100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rPr>
              <w:t>224,630</w:t>
            </w:r>
          </w:p>
        </w:tc>
        <w:tc>
          <w:tcPr>
            <w:tcW w:w="0" w:type="dxa"/>
            <w:vAlign w:val="bottom"/>
          </w:tcPr>
          <w:p>
            <w:pPr>
              <w:spacing w:after="0"/>
              <w:rPr>
                <w:sz w:val="1"/>
                <w:szCs w:val="1"/>
                <w:color w:val="auto"/>
              </w:rPr>
            </w:pPr>
          </w:p>
        </w:tc>
      </w:tr>
      <w:tr>
        <w:trPr>
          <w:trHeight w:val="131"/>
        </w:trPr>
        <w:tc>
          <w:tcPr>
            <w:tcW w:w="750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Operating expenses</w:t>
            </w: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5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Cost of revenue (excludes depreciation and amortization)</w:t>
            </w:r>
          </w:p>
        </w:tc>
        <w:tc>
          <w:tcPr>
            <w:tcW w:w="1000" w:type="dxa"/>
            <w:vAlign w:val="bottom"/>
          </w:tcPr>
          <w:p>
            <w:pPr>
              <w:spacing w:after="0"/>
              <w:rPr>
                <w:sz w:val="13"/>
                <w:szCs w:val="13"/>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150,787</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137,353</w:t>
            </w:r>
          </w:p>
        </w:tc>
        <w:tc>
          <w:tcPr>
            <w:tcW w:w="0" w:type="dxa"/>
            <w:vAlign w:val="bottom"/>
          </w:tcPr>
          <w:p>
            <w:pPr>
              <w:spacing w:after="0"/>
              <w:rPr>
                <w:sz w:val="1"/>
                <w:szCs w:val="1"/>
                <w:color w:val="auto"/>
              </w:rPr>
            </w:pPr>
          </w:p>
        </w:tc>
      </w:tr>
      <w:tr>
        <w:trPr>
          <w:trHeight w:val="153"/>
        </w:trPr>
        <w:tc>
          <w:tcPr>
            <w:tcW w:w="75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Salary and employee benefits</w:t>
            </w:r>
          </w:p>
        </w:tc>
        <w:tc>
          <w:tcPr>
            <w:tcW w:w="1000" w:type="dxa"/>
            <w:vAlign w:val="bottom"/>
          </w:tcPr>
          <w:p>
            <w:pPr>
              <w:spacing w:after="0"/>
              <w:rPr>
                <w:sz w:val="13"/>
                <w:szCs w:val="13"/>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28,522</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25,775</w:t>
            </w:r>
          </w:p>
        </w:tc>
        <w:tc>
          <w:tcPr>
            <w:tcW w:w="0" w:type="dxa"/>
            <w:vAlign w:val="bottom"/>
          </w:tcPr>
          <w:p>
            <w:pPr>
              <w:spacing w:after="0"/>
              <w:rPr>
                <w:sz w:val="1"/>
                <w:szCs w:val="1"/>
                <w:color w:val="auto"/>
              </w:rPr>
            </w:pPr>
          </w:p>
        </w:tc>
      </w:tr>
      <w:tr>
        <w:trPr>
          <w:trHeight w:val="153"/>
        </w:trPr>
        <w:tc>
          <w:tcPr>
            <w:tcW w:w="75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000" w:type="dxa"/>
            <w:vAlign w:val="bottom"/>
          </w:tcPr>
          <w:p>
            <w:pPr>
              <w:spacing w:after="0"/>
              <w:rPr>
                <w:sz w:val="13"/>
                <w:szCs w:val="13"/>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17,615</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13,777</w:t>
            </w:r>
          </w:p>
        </w:tc>
        <w:tc>
          <w:tcPr>
            <w:tcW w:w="0" w:type="dxa"/>
            <w:vAlign w:val="bottom"/>
          </w:tcPr>
          <w:p>
            <w:pPr>
              <w:spacing w:after="0"/>
              <w:rPr>
                <w:sz w:val="1"/>
                <w:szCs w:val="1"/>
                <w:color w:val="auto"/>
              </w:rPr>
            </w:pPr>
          </w:p>
        </w:tc>
      </w:tr>
      <w:tr>
        <w:trPr>
          <w:trHeight w:val="155"/>
        </w:trPr>
        <w:tc>
          <w:tcPr>
            <w:tcW w:w="75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10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rPr>
              <w:t>19,244</w:t>
            </w:r>
          </w:p>
        </w:tc>
        <w:tc>
          <w:tcPr>
            <w:tcW w:w="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rPr>
              <w:t>15,100</w:t>
            </w:r>
          </w:p>
        </w:tc>
        <w:tc>
          <w:tcPr>
            <w:tcW w:w="0" w:type="dxa"/>
            <w:vAlign w:val="bottom"/>
          </w:tcPr>
          <w:p>
            <w:pPr>
              <w:spacing w:after="0"/>
              <w:rPr>
                <w:sz w:val="1"/>
                <w:szCs w:val="1"/>
                <w:color w:val="auto"/>
              </w:rPr>
            </w:pPr>
          </w:p>
        </w:tc>
      </w:tr>
      <w:tr>
        <w:trPr>
          <w:trHeight w:val="142"/>
        </w:trPr>
        <w:tc>
          <w:tcPr>
            <w:tcW w:w="75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Total operating expenses</w:t>
            </w:r>
          </w:p>
        </w:tc>
        <w:tc>
          <w:tcPr>
            <w:tcW w:w="10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rPr>
              <w:t>216,168</w:t>
            </w:r>
          </w:p>
        </w:tc>
        <w:tc>
          <w:tcPr>
            <w:tcW w:w="8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192,005</w:t>
            </w:r>
          </w:p>
        </w:tc>
        <w:tc>
          <w:tcPr>
            <w:tcW w:w="0" w:type="dxa"/>
            <w:vAlign w:val="bottom"/>
          </w:tcPr>
          <w:p>
            <w:pPr>
              <w:spacing w:after="0"/>
              <w:rPr>
                <w:sz w:val="1"/>
                <w:szCs w:val="1"/>
                <w:color w:val="auto"/>
              </w:rPr>
            </w:pPr>
          </w:p>
        </w:tc>
      </w:tr>
      <w:tr>
        <w:trPr>
          <w:trHeight w:val="142"/>
        </w:trPr>
        <w:tc>
          <w:tcPr>
            <w:tcW w:w="75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income</w:t>
            </w:r>
          </w:p>
        </w:tc>
        <w:tc>
          <w:tcPr>
            <w:tcW w:w="10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rPr>
              <w:t>33,390</w:t>
            </w:r>
          </w:p>
        </w:tc>
        <w:tc>
          <w:tcPr>
            <w:tcW w:w="8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32,625</w:t>
            </w:r>
          </w:p>
        </w:tc>
        <w:tc>
          <w:tcPr>
            <w:tcW w:w="0" w:type="dxa"/>
            <w:vAlign w:val="bottom"/>
          </w:tcPr>
          <w:p>
            <w:pPr>
              <w:spacing w:after="0"/>
              <w:rPr>
                <w:sz w:val="1"/>
                <w:szCs w:val="1"/>
                <w:color w:val="auto"/>
              </w:rPr>
            </w:pPr>
          </w:p>
        </w:tc>
      </w:tr>
      <w:tr>
        <w:trPr>
          <w:trHeight w:val="131"/>
        </w:trPr>
        <w:tc>
          <w:tcPr>
            <w:tcW w:w="750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Other expense</w:t>
            </w: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5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Interest expense</w:t>
            </w:r>
          </w:p>
        </w:tc>
        <w:tc>
          <w:tcPr>
            <w:tcW w:w="1000" w:type="dxa"/>
            <w:vAlign w:val="bottom"/>
          </w:tcPr>
          <w:p>
            <w:pPr>
              <w:spacing w:after="0"/>
              <w:rPr>
                <w:sz w:val="13"/>
                <w:szCs w:val="13"/>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(21,016)</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(23,176)</w:t>
            </w:r>
          </w:p>
        </w:tc>
        <w:tc>
          <w:tcPr>
            <w:tcW w:w="0" w:type="dxa"/>
            <w:vAlign w:val="bottom"/>
          </w:tcPr>
          <w:p>
            <w:pPr>
              <w:spacing w:after="0"/>
              <w:rPr>
                <w:sz w:val="1"/>
                <w:szCs w:val="1"/>
                <w:color w:val="auto"/>
              </w:rPr>
            </w:pPr>
          </w:p>
        </w:tc>
      </w:tr>
      <w:tr>
        <w:trPr>
          <w:trHeight w:val="153"/>
        </w:trPr>
        <w:tc>
          <w:tcPr>
            <w:tcW w:w="75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Debt extinguishment and modification costs</w:t>
            </w:r>
          </w:p>
        </w:tc>
        <w:tc>
          <w:tcPr>
            <w:tcW w:w="100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spacing w:after="0"/>
              <w:rPr>
                <w:sz w:val="13"/>
                <w:szCs w:val="13"/>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(38)</w:t>
            </w:r>
          </w:p>
        </w:tc>
        <w:tc>
          <w:tcPr>
            <w:tcW w:w="0" w:type="dxa"/>
            <w:vAlign w:val="bottom"/>
          </w:tcPr>
          <w:p>
            <w:pPr>
              <w:spacing w:after="0"/>
              <w:rPr>
                <w:sz w:val="1"/>
                <w:szCs w:val="1"/>
                <w:color w:val="auto"/>
              </w:rPr>
            </w:pPr>
          </w:p>
        </w:tc>
      </w:tr>
      <w:tr>
        <w:trPr>
          <w:trHeight w:val="155"/>
        </w:trPr>
        <w:tc>
          <w:tcPr>
            <w:tcW w:w="75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 income, net</w:t>
            </w:r>
          </w:p>
        </w:tc>
        <w:tc>
          <w:tcPr>
            <w:tcW w:w="10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rPr>
              <w:t>1,032</w:t>
            </w:r>
          </w:p>
        </w:tc>
        <w:tc>
          <w:tcPr>
            <w:tcW w:w="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rPr>
              <w:t>1,107</w:t>
            </w:r>
          </w:p>
        </w:tc>
        <w:tc>
          <w:tcPr>
            <w:tcW w:w="0" w:type="dxa"/>
            <w:vAlign w:val="bottom"/>
          </w:tcPr>
          <w:p>
            <w:pPr>
              <w:spacing w:after="0"/>
              <w:rPr>
                <w:sz w:val="1"/>
                <w:szCs w:val="1"/>
                <w:color w:val="auto"/>
              </w:rPr>
            </w:pPr>
          </w:p>
        </w:tc>
      </w:tr>
      <w:tr>
        <w:trPr>
          <w:trHeight w:val="142"/>
        </w:trPr>
        <w:tc>
          <w:tcPr>
            <w:tcW w:w="75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Total other expense, net</w:t>
            </w:r>
          </w:p>
        </w:tc>
        <w:tc>
          <w:tcPr>
            <w:tcW w:w="10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rPr>
              <w:t>(19,984)</w:t>
            </w:r>
          </w:p>
        </w:tc>
        <w:tc>
          <w:tcPr>
            <w:tcW w:w="8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rPr>
              <w:t>(22,107)</w:t>
            </w:r>
          </w:p>
        </w:tc>
        <w:tc>
          <w:tcPr>
            <w:tcW w:w="0" w:type="dxa"/>
            <w:vAlign w:val="bottom"/>
          </w:tcPr>
          <w:p>
            <w:pPr>
              <w:spacing w:after="0"/>
              <w:rPr>
                <w:sz w:val="1"/>
                <w:szCs w:val="1"/>
                <w:color w:val="auto"/>
              </w:rPr>
            </w:pPr>
          </w:p>
        </w:tc>
      </w:tr>
      <w:tr>
        <w:trPr>
          <w:trHeight w:val="140"/>
        </w:trPr>
        <w:tc>
          <w:tcPr>
            <w:tcW w:w="7500" w:type="dxa"/>
            <w:vAlign w:val="bottom"/>
          </w:tcPr>
          <w:p>
            <w:pPr>
              <w:spacing w:after="0"/>
              <w:rPr>
                <w:sz w:val="20"/>
                <w:szCs w:val="20"/>
                <w:color w:val="auto"/>
              </w:rPr>
            </w:pPr>
            <w:r>
              <w:rPr>
                <w:rFonts w:ascii="Times New Roman" w:cs="Times New Roman" w:eastAsia="Times New Roman" w:hAnsi="Times New Roman"/>
                <w:sz w:val="12"/>
                <w:szCs w:val="12"/>
                <w:color w:val="auto"/>
              </w:rPr>
              <w:t>Income before income taxes</w:t>
            </w:r>
          </w:p>
        </w:tc>
        <w:tc>
          <w:tcPr>
            <w:tcW w:w="1000" w:type="dxa"/>
            <w:vAlign w:val="bottom"/>
          </w:tcPr>
          <w:p>
            <w:pPr>
              <w:spacing w:after="0"/>
              <w:rPr>
                <w:sz w:val="12"/>
                <w:szCs w:val="12"/>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13,406</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rPr>
              <w:t>10,518</w:t>
            </w:r>
          </w:p>
        </w:tc>
        <w:tc>
          <w:tcPr>
            <w:tcW w:w="0" w:type="dxa"/>
            <w:vAlign w:val="bottom"/>
          </w:tcPr>
          <w:p>
            <w:pPr>
              <w:spacing w:after="0"/>
              <w:rPr>
                <w:sz w:val="1"/>
                <w:szCs w:val="1"/>
                <w:color w:val="auto"/>
              </w:rPr>
            </w:pPr>
          </w:p>
        </w:tc>
      </w:tr>
      <w:tr>
        <w:trPr>
          <w:trHeight w:val="155"/>
        </w:trPr>
        <w:tc>
          <w:tcPr>
            <w:tcW w:w="750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10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rPr>
              <w:t>3,646</w:t>
            </w:r>
          </w:p>
        </w:tc>
        <w:tc>
          <w:tcPr>
            <w:tcW w:w="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2,250</w:t>
            </w:r>
          </w:p>
        </w:tc>
        <w:tc>
          <w:tcPr>
            <w:tcW w:w="0" w:type="dxa"/>
            <w:vAlign w:val="bottom"/>
          </w:tcPr>
          <w:p>
            <w:pPr>
              <w:spacing w:after="0"/>
              <w:rPr>
                <w:sz w:val="1"/>
                <w:szCs w:val="1"/>
                <w:color w:val="auto"/>
              </w:rPr>
            </w:pPr>
          </w:p>
        </w:tc>
      </w:tr>
      <w:tr>
        <w:trPr>
          <w:trHeight w:val="136"/>
        </w:trPr>
        <w:tc>
          <w:tcPr>
            <w:tcW w:w="7500" w:type="dxa"/>
            <w:vAlign w:val="bottom"/>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Net income attributable to common stockholders</w:t>
            </w:r>
          </w:p>
        </w:tc>
        <w:tc>
          <w:tcPr>
            <w:tcW w:w="1000" w:type="dxa"/>
            <w:vAlign w:val="bottom"/>
          </w:tcPr>
          <w:p>
            <w:pPr>
              <w:jc w:val="right"/>
              <w:ind w:right="859"/>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ind w:right="39"/>
              <w:spacing w:after="0" w:line="136" w:lineRule="exact"/>
              <w:rPr>
                <w:sz w:val="20"/>
                <w:szCs w:val="20"/>
                <w:color w:val="auto"/>
              </w:rPr>
            </w:pPr>
            <w:r>
              <w:rPr>
                <w:rFonts w:ascii="Times New Roman" w:cs="Times New Roman" w:eastAsia="Times New Roman" w:hAnsi="Times New Roman"/>
                <w:sz w:val="12"/>
                <w:szCs w:val="12"/>
                <w:color w:val="auto"/>
              </w:rPr>
              <w:t>9,760</w:t>
            </w:r>
          </w:p>
        </w:tc>
        <w:tc>
          <w:tcPr>
            <w:tcW w:w="80" w:type="dxa"/>
            <w:vAlign w:val="bottom"/>
          </w:tcPr>
          <w:p>
            <w:pPr>
              <w:spacing w:after="0"/>
              <w:rPr>
                <w:sz w:val="11"/>
                <w:szCs w:val="11"/>
                <w:color w:val="auto"/>
              </w:rPr>
            </w:pPr>
          </w:p>
        </w:tc>
        <w:tc>
          <w:tcPr>
            <w:tcW w:w="1000" w:type="dxa"/>
            <w:vAlign w:val="bottom"/>
          </w:tcPr>
          <w:p>
            <w:pPr>
              <w:jc w:val="right"/>
              <w:ind w:right="859"/>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ind w:right="39"/>
              <w:spacing w:after="0" w:line="136" w:lineRule="exact"/>
              <w:rPr>
                <w:sz w:val="20"/>
                <w:szCs w:val="20"/>
                <w:color w:val="auto"/>
              </w:rPr>
            </w:pPr>
            <w:r>
              <w:rPr>
                <w:rFonts w:ascii="Times New Roman" w:cs="Times New Roman" w:eastAsia="Times New Roman" w:hAnsi="Times New Roman"/>
                <w:sz w:val="12"/>
                <w:szCs w:val="12"/>
                <w:color w:val="auto"/>
              </w:rPr>
              <w:t>8,268</w:t>
            </w: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Other comprehensive income</w:t>
            </w: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5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Foreign currency translation adjustments</w:t>
            </w:r>
          </w:p>
        </w:tc>
        <w:tc>
          <w:tcPr>
            <w:tcW w:w="10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(353)</w:t>
            </w:r>
          </w:p>
        </w:tc>
        <w:tc>
          <w:tcPr>
            <w:tcW w:w="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0" w:type="dxa"/>
            <w:vAlign w:val="bottom"/>
          </w:tcPr>
          <w:p>
            <w:pPr>
              <w:spacing w:after="0"/>
              <w:rPr>
                <w:sz w:val="1"/>
                <w:szCs w:val="1"/>
                <w:color w:val="auto"/>
              </w:rPr>
            </w:pPr>
          </w:p>
        </w:tc>
      </w:tr>
      <w:tr>
        <w:trPr>
          <w:trHeight w:val="142"/>
        </w:trPr>
        <w:tc>
          <w:tcPr>
            <w:tcW w:w="75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Comprehensive income</w:t>
            </w:r>
          </w:p>
        </w:tc>
        <w:tc>
          <w:tcPr>
            <w:tcW w:w="100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b w:val="1"/>
                <w:bCs w:val="1"/>
                <w:color w:val="auto"/>
              </w:rPr>
              <w:t>9,407</w:t>
            </w:r>
          </w:p>
        </w:tc>
        <w:tc>
          <w:tcPr>
            <w:tcW w:w="80" w:type="dxa"/>
            <w:vAlign w:val="bottom"/>
          </w:tcPr>
          <w:p>
            <w:pPr>
              <w:spacing w:after="0"/>
              <w:rPr>
                <w:sz w:val="12"/>
                <w:szCs w:val="12"/>
                <w:color w:val="auto"/>
              </w:rPr>
            </w:pPr>
          </w:p>
        </w:tc>
        <w:tc>
          <w:tcPr>
            <w:tcW w:w="100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b w:val="1"/>
                <w:bCs w:val="1"/>
                <w:color w:val="auto"/>
              </w:rPr>
              <w:t>8,311</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Earnings per common share:</w:t>
            </w: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5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75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Basic</w:t>
            </w:r>
          </w:p>
        </w:tc>
        <w:tc>
          <w:tcPr>
            <w:tcW w:w="1000" w:type="dxa"/>
            <w:vAlign w:val="bottom"/>
          </w:tcPr>
          <w:p>
            <w:pPr>
              <w:jc w:val="right"/>
              <w:ind w:right="859"/>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0.12</w:t>
            </w:r>
          </w:p>
        </w:tc>
        <w:tc>
          <w:tcPr>
            <w:tcW w:w="80" w:type="dxa"/>
            <w:vAlign w:val="bottom"/>
          </w:tcPr>
          <w:p>
            <w:pPr>
              <w:spacing w:after="0"/>
              <w:rPr>
                <w:sz w:val="13"/>
                <w:szCs w:val="13"/>
                <w:color w:val="auto"/>
              </w:rPr>
            </w:pPr>
          </w:p>
        </w:tc>
        <w:tc>
          <w:tcPr>
            <w:tcW w:w="1000" w:type="dxa"/>
            <w:vAlign w:val="bottom"/>
          </w:tcPr>
          <w:p>
            <w:pPr>
              <w:jc w:val="right"/>
              <w:ind w:right="859"/>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0.10</w:t>
            </w:r>
          </w:p>
        </w:tc>
        <w:tc>
          <w:tcPr>
            <w:tcW w:w="0" w:type="dxa"/>
            <w:vAlign w:val="bottom"/>
          </w:tcPr>
          <w:p>
            <w:pPr>
              <w:spacing w:after="0"/>
              <w:rPr>
                <w:sz w:val="1"/>
                <w:szCs w:val="1"/>
                <w:color w:val="auto"/>
              </w:rPr>
            </w:pPr>
          </w:p>
        </w:tc>
      </w:tr>
      <w:tr>
        <w:trPr>
          <w:trHeight w:val="155"/>
        </w:trPr>
        <w:tc>
          <w:tcPr>
            <w:tcW w:w="75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Diluted</w:t>
            </w:r>
          </w:p>
        </w:tc>
        <w:tc>
          <w:tcPr>
            <w:tcW w:w="1000" w:type="dxa"/>
            <w:vAlign w:val="bottom"/>
          </w:tcPr>
          <w:p>
            <w:pPr>
              <w:jc w:val="right"/>
              <w:ind w:right="859"/>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0.12</w:t>
            </w:r>
          </w:p>
        </w:tc>
        <w:tc>
          <w:tcPr>
            <w:tcW w:w="80" w:type="dxa"/>
            <w:vAlign w:val="bottom"/>
          </w:tcPr>
          <w:p>
            <w:pPr>
              <w:spacing w:after="0"/>
              <w:rPr>
                <w:sz w:val="13"/>
                <w:szCs w:val="13"/>
                <w:color w:val="auto"/>
              </w:rPr>
            </w:pPr>
          </w:p>
        </w:tc>
        <w:tc>
          <w:tcPr>
            <w:tcW w:w="1000" w:type="dxa"/>
            <w:vAlign w:val="bottom"/>
          </w:tcPr>
          <w:p>
            <w:pPr>
              <w:jc w:val="right"/>
              <w:ind w:right="859"/>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0.10</w:t>
            </w:r>
          </w:p>
        </w:tc>
        <w:tc>
          <w:tcPr>
            <w:tcW w:w="0" w:type="dxa"/>
            <w:vAlign w:val="bottom"/>
          </w:tcPr>
          <w:p>
            <w:pPr>
              <w:spacing w:after="0"/>
              <w:rPr>
                <w:sz w:val="1"/>
                <w:szCs w:val="1"/>
                <w:color w:val="auto"/>
              </w:rPr>
            </w:pPr>
          </w:p>
        </w:tc>
      </w:tr>
      <w:tr>
        <w:trPr>
          <w:trHeight w:val="349"/>
        </w:trPr>
        <w:tc>
          <w:tcPr>
            <w:tcW w:w="75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Adjusted earnings per common share</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2"/>
                <w:szCs w:val="12"/>
                <w:b w:val="1"/>
                <w:bCs w:val="1"/>
                <w:color w:val="auto"/>
              </w:rPr>
              <w:t>:</w:t>
            </w:r>
          </w:p>
        </w:tc>
        <w:tc>
          <w:tcPr>
            <w:tcW w:w="1000" w:type="dxa"/>
            <w:vAlign w:val="bottom"/>
            <w:vMerge w:val="restart"/>
          </w:tcPr>
          <w:p>
            <w:pPr>
              <w:jc w:val="right"/>
              <w:ind w:right="859"/>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0.29</w:t>
            </w:r>
          </w:p>
        </w:tc>
        <w:tc>
          <w:tcPr>
            <w:tcW w:w="80" w:type="dxa"/>
            <w:vAlign w:val="bottom"/>
          </w:tcPr>
          <w:p>
            <w:pPr>
              <w:spacing w:after="0"/>
              <w:rPr>
                <w:sz w:val="24"/>
                <w:szCs w:val="24"/>
                <w:color w:val="auto"/>
              </w:rPr>
            </w:pPr>
          </w:p>
        </w:tc>
        <w:tc>
          <w:tcPr>
            <w:tcW w:w="1000" w:type="dxa"/>
            <w:vAlign w:val="bottom"/>
            <w:vMerge w:val="restart"/>
          </w:tcPr>
          <w:p>
            <w:pPr>
              <w:jc w:val="right"/>
              <w:ind w:right="859"/>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0.23</w:t>
            </w:r>
          </w:p>
        </w:tc>
        <w:tc>
          <w:tcPr>
            <w:tcW w:w="0" w:type="dxa"/>
            <w:vAlign w:val="bottom"/>
          </w:tcPr>
          <w:p>
            <w:pPr>
              <w:spacing w:after="0"/>
              <w:rPr>
                <w:sz w:val="1"/>
                <w:szCs w:val="1"/>
                <w:color w:val="auto"/>
              </w:rPr>
            </w:pPr>
          </w:p>
        </w:tc>
      </w:tr>
      <w:tr>
        <w:trPr>
          <w:trHeight w:val="149"/>
        </w:trPr>
        <w:tc>
          <w:tcPr>
            <w:tcW w:w="75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Basic</w:t>
            </w:r>
          </w:p>
        </w:tc>
        <w:tc>
          <w:tcPr>
            <w:tcW w:w="100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75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Diluted</w:t>
            </w:r>
          </w:p>
        </w:tc>
        <w:tc>
          <w:tcPr>
            <w:tcW w:w="1000" w:type="dxa"/>
            <w:vAlign w:val="bottom"/>
          </w:tcPr>
          <w:p>
            <w:pPr>
              <w:jc w:val="right"/>
              <w:ind w:right="859"/>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0.28</w:t>
            </w:r>
          </w:p>
        </w:tc>
        <w:tc>
          <w:tcPr>
            <w:tcW w:w="80" w:type="dxa"/>
            <w:vAlign w:val="bottom"/>
          </w:tcPr>
          <w:p>
            <w:pPr>
              <w:spacing w:after="0"/>
              <w:rPr>
                <w:sz w:val="15"/>
                <w:szCs w:val="15"/>
                <w:color w:val="auto"/>
              </w:rPr>
            </w:pPr>
          </w:p>
        </w:tc>
        <w:tc>
          <w:tcPr>
            <w:tcW w:w="1000" w:type="dxa"/>
            <w:vAlign w:val="bottom"/>
          </w:tcPr>
          <w:p>
            <w:pPr>
              <w:jc w:val="right"/>
              <w:ind w:right="859"/>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0.22</w:t>
            </w:r>
          </w:p>
        </w:tc>
        <w:tc>
          <w:tcPr>
            <w:tcW w:w="0" w:type="dxa"/>
            <w:vAlign w:val="bottom"/>
          </w:tcPr>
          <w:p>
            <w:pPr>
              <w:spacing w:after="0"/>
              <w:rPr>
                <w:sz w:val="1"/>
                <w:szCs w:val="1"/>
                <w:color w:val="auto"/>
              </w:rPr>
            </w:pPr>
          </w:p>
        </w:tc>
      </w:tr>
      <w:tr>
        <w:trPr>
          <w:trHeight w:val="331"/>
        </w:trPr>
        <w:tc>
          <w:tcPr>
            <w:tcW w:w="75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Weighted-average common shares outstanding:</w:t>
            </w: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75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Basic</w:t>
            </w:r>
          </w:p>
        </w:tc>
        <w:tc>
          <w:tcPr>
            <w:tcW w:w="10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81,373</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78,774</w:t>
            </w:r>
          </w:p>
        </w:tc>
        <w:tc>
          <w:tcPr>
            <w:tcW w:w="0" w:type="dxa"/>
            <w:vAlign w:val="bottom"/>
          </w:tcPr>
          <w:p>
            <w:pPr>
              <w:spacing w:after="0"/>
              <w:rPr>
                <w:sz w:val="1"/>
                <w:szCs w:val="1"/>
                <w:color w:val="auto"/>
              </w:rPr>
            </w:pPr>
          </w:p>
        </w:tc>
      </w:tr>
      <w:tr>
        <w:trPr>
          <w:trHeight w:val="155"/>
        </w:trPr>
        <w:tc>
          <w:tcPr>
            <w:tcW w:w="75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Diluted</w:t>
            </w:r>
          </w:p>
        </w:tc>
        <w:tc>
          <w:tcPr>
            <w:tcW w:w="10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83,647</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79,857</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212" w:hanging="212"/>
        <w:spacing w:after="0"/>
        <w:tabs>
          <w:tab w:leader="none" w:pos="212" w:val="left"/>
        </w:tabs>
        <w:numPr>
          <w:ilvl w:val="0"/>
          <w:numId w:val="6"/>
        </w:numPr>
        <w:rPr>
          <w:rFonts w:ascii="Times New Roman" w:cs="Times New Roman" w:eastAsia="Times New Roman" w:hAnsi="Times New Roman"/>
          <w:sz w:val="16"/>
          <w:szCs w:val="16"/>
          <w:i w:val="1"/>
          <w:iCs w:val="1"/>
          <w:color w:val="auto"/>
          <w:vertAlign w:val="superscript"/>
        </w:rPr>
      </w:pPr>
      <w:r>
        <w:rPr>
          <w:rFonts w:ascii="Times New Roman" w:cs="Times New Roman" w:eastAsia="Times New Roman" w:hAnsi="Times New Roman"/>
          <w:sz w:val="12"/>
          <w:szCs w:val="12"/>
          <w:i w:val="1"/>
          <w:iCs w:val="1"/>
          <w:color w:val="auto"/>
        </w:rPr>
        <w:t>Adjusted EPS in a non-GAAP earnings measure. See Adjusted EPS reconciliation for further detail.</w:t>
      </w:r>
    </w:p>
    <w:p>
      <w:pPr>
        <w:spacing w:after="0" w:line="34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0832"/>
          </w:cols>
          <w:pgMar w:left="508" w:top="285" w:right="5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 Consolidated Balance Sheets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6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520" w:type="dxa"/>
            <w:vAlign w:val="bottom"/>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March 31, 2026</w:t>
            </w:r>
          </w:p>
        </w:tc>
        <w:tc>
          <w:tcPr>
            <w:tcW w:w="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0" w:type="dxa"/>
            <w:vAlign w:val="bottom"/>
          </w:tcPr>
          <w:p>
            <w:pPr>
              <w:spacing w:after="0"/>
              <w:rPr>
                <w:sz w:val="1"/>
                <w:szCs w:val="1"/>
                <w:color w:val="auto"/>
              </w:rPr>
            </w:pPr>
          </w:p>
        </w:tc>
      </w:tr>
      <w:tr>
        <w:trPr>
          <w:trHeight w:val="131"/>
        </w:trPr>
        <w:tc>
          <w:tcPr>
            <w:tcW w:w="4660" w:type="dxa"/>
            <w:vAlign w:val="bottom"/>
            <w:vMerge w:val="continue"/>
          </w:tcPr>
          <w:p>
            <w:pPr>
              <w:spacing w:after="0"/>
              <w:rPr>
                <w:sz w:val="11"/>
                <w:szCs w:val="11"/>
                <w:color w:val="auto"/>
              </w:rPr>
            </w:pPr>
          </w:p>
        </w:tc>
        <w:tc>
          <w:tcPr>
            <w:tcW w:w="25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2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3980" w:type="dxa"/>
            <w:vAlign w:val="bottom"/>
            <w:gridSpan w:val="2"/>
          </w:tcPr>
          <w:p>
            <w:pPr>
              <w:jc w:val="right"/>
              <w:ind w:right="13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92,152</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77,192</w:t>
            </w: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Restricted cash</w:t>
            </w:r>
          </w:p>
        </w:tc>
        <w:tc>
          <w:tcPr>
            <w:tcW w:w="2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16,403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16,457</w:t>
            </w: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Accounts receivable, net of allowances</w:t>
            </w:r>
          </w:p>
        </w:tc>
        <w:tc>
          <w:tcPr>
            <w:tcW w:w="2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88,547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91,300</w:t>
            </w: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2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29,357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32,145</w:t>
            </w: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Current portion of notes receivable, net of allowance</w:t>
            </w:r>
          </w:p>
        </w:tc>
        <w:tc>
          <w:tcPr>
            <w:tcW w:w="2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2,062</w:t>
            </w:r>
          </w:p>
        </w:tc>
        <w:tc>
          <w:tcPr>
            <w:tcW w:w="0" w:type="dxa"/>
            <w:vAlign w:val="bottom"/>
          </w:tcPr>
          <w:p>
            <w:pPr>
              <w:spacing w:after="0"/>
              <w:rPr>
                <w:sz w:val="1"/>
                <w:szCs w:val="1"/>
                <w:color w:val="auto"/>
              </w:rPr>
            </w:pPr>
          </w:p>
        </w:tc>
      </w:tr>
      <w:tr>
        <w:trPr>
          <w:trHeight w:val="155"/>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Settlement assets</w:t>
            </w:r>
          </w:p>
        </w:tc>
        <w:tc>
          <w:tcPr>
            <w:tcW w:w="2520" w:type="dxa"/>
            <w:vAlign w:val="bottom"/>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1,355,757</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1,295,896</w:t>
            </w:r>
          </w:p>
        </w:tc>
        <w:tc>
          <w:tcPr>
            <w:tcW w:w="0" w:type="dxa"/>
            <w:vAlign w:val="bottom"/>
          </w:tcPr>
          <w:p>
            <w:pPr>
              <w:spacing w:after="0"/>
              <w:rPr>
                <w:sz w:val="1"/>
                <w:szCs w:val="1"/>
                <w:color w:val="auto"/>
              </w:rPr>
            </w:pPr>
          </w:p>
        </w:tc>
      </w:tr>
      <w:tr>
        <w:trPr>
          <w:trHeight w:val="140"/>
        </w:trPr>
        <w:tc>
          <w:tcPr>
            <w:tcW w:w="466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Total current assets</w:t>
            </w:r>
          </w:p>
        </w:tc>
        <w:tc>
          <w:tcPr>
            <w:tcW w:w="25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1,584,626</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1,515,052</w:t>
            </w:r>
          </w:p>
        </w:tc>
        <w:tc>
          <w:tcPr>
            <w:tcW w:w="0" w:type="dxa"/>
            <w:vAlign w:val="bottom"/>
          </w:tcPr>
          <w:p>
            <w:pPr>
              <w:spacing w:after="0"/>
              <w:rPr>
                <w:sz w:val="1"/>
                <w:szCs w:val="1"/>
                <w:color w:val="auto"/>
              </w:rPr>
            </w:pPr>
          </w:p>
        </w:tc>
      </w:tr>
      <w:tr>
        <w:trPr>
          <w:trHeight w:val="153"/>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Notes receivable, less current portion</w:t>
            </w:r>
          </w:p>
        </w:tc>
        <w:tc>
          <w:tcPr>
            <w:tcW w:w="2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25,340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17,629</w:t>
            </w:r>
          </w:p>
        </w:tc>
        <w:tc>
          <w:tcPr>
            <w:tcW w:w="0" w:type="dxa"/>
            <w:vAlign w:val="bottom"/>
          </w:tcPr>
          <w:p>
            <w:pPr>
              <w:spacing w:after="0"/>
              <w:rPr>
                <w:sz w:val="1"/>
                <w:szCs w:val="1"/>
                <w:color w:val="auto"/>
              </w:rPr>
            </w:pPr>
          </w:p>
        </w:tc>
      </w:tr>
      <w:tr>
        <w:trPr>
          <w:trHeight w:val="153"/>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Property, equipment and software, net</w:t>
            </w:r>
          </w:p>
        </w:tc>
        <w:tc>
          <w:tcPr>
            <w:tcW w:w="2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59,785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58,636</w:t>
            </w:r>
          </w:p>
        </w:tc>
        <w:tc>
          <w:tcPr>
            <w:tcW w:w="0" w:type="dxa"/>
            <w:vAlign w:val="bottom"/>
          </w:tcPr>
          <w:p>
            <w:pPr>
              <w:spacing w:after="0"/>
              <w:rPr>
                <w:sz w:val="1"/>
                <w:szCs w:val="1"/>
                <w:color w:val="auto"/>
              </w:rPr>
            </w:pPr>
          </w:p>
        </w:tc>
      </w:tr>
      <w:tr>
        <w:trPr>
          <w:trHeight w:val="153"/>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Goodwill</w:t>
            </w:r>
          </w:p>
        </w:tc>
        <w:tc>
          <w:tcPr>
            <w:tcW w:w="2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416,535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416,641</w:t>
            </w:r>
          </w:p>
        </w:tc>
        <w:tc>
          <w:tcPr>
            <w:tcW w:w="0" w:type="dxa"/>
            <w:vAlign w:val="bottom"/>
          </w:tcPr>
          <w:p>
            <w:pPr>
              <w:spacing w:after="0"/>
              <w:rPr>
                <w:sz w:val="1"/>
                <w:szCs w:val="1"/>
                <w:color w:val="auto"/>
              </w:rPr>
            </w:pPr>
          </w:p>
        </w:tc>
      </w:tr>
      <w:tr>
        <w:trPr>
          <w:trHeight w:val="153"/>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2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302,518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315,190</w:t>
            </w:r>
          </w:p>
        </w:tc>
        <w:tc>
          <w:tcPr>
            <w:tcW w:w="0" w:type="dxa"/>
            <w:vAlign w:val="bottom"/>
          </w:tcPr>
          <w:p>
            <w:pPr>
              <w:spacing w:after="0"/>
              <w:rPr>
                <w:sz w:val="1"/>
                <w:szCs w:val="1"/>
                <w:color w:val="auto"/>
              </w:rPr>
            </w:pPr>
          </w:p>
        </w:tc>
      </w:tr>
      <w:tr>
        <w:trPr>
          <w:trHeight w:val="153"/>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Deferred income taxes, net</w:t>
            </w:r>
          </w:p>
        </w:tc>
        <w:tc>
          <w:tcPr>
            <w:tcW w:w="2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47,102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46,350</w:t>
            </w:r>
          </w:p>
        </w:tc>
        <w:tc>
          <w:tcPr>
            <w:tcW w:w="0" w:type="dxa"/>
            <w:vAlign w:val="bottom"/>
          </w:tcPr>
          <w:p>
            <w:pPr>
              <w:spacing w:after="0"/>
              <w:rPr>
                <w:sz w:val="1"/>
                <w:szCs w:val="1"/>
                <w:color w:val="auto"/>
              </w:rPr>
            </w:pPr>
          </w:p>
        </w:tc>
      </w:tr>
      <w:tr>
        <w:trPr>
          <w:trHeight w:val="155"/>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Other noncurrent assets</w:t>
            </w:r>
          </w:p>
        </w:tc>
        <w:tc>
          <w:tcPr>
            <w:tcW w:w="2520" w:type="dxa"/>
            <w:vAlign w:val="bottom"/>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30,300</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29,306</w:t>
            </w:r>
          </w:p>
        </w:tc>
        <w:tc>
          <w:tcPr>
            <w:tcW w:w="0" w:type="dxa"/>
            <w:vAlign w:val="bottom"/>
          </w:tcPr>
          <w:p>
            <w:pPr>
              <w:spacing w:after="0"/>
              <w:rPr>
                <w:sz w:val="1"/>
                <w:szCs w:val="1"/>
                <w:color w:val="auto"/>
              </w:rPr>
            </w:pPr>
          </w:p>
        </w:tc>
      </w:tr>
      <w:tr>
        <w:trPr>
          <w:trHeight w:val="142"/>
        </w:trPr>
        <w:tc>
          <w:tcPr>
            <w:tcW w:w="466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2520" w:type="dxa"/>
            <w:vAlign w:val="bottom"/>
          </w:tcPr>
          <w:p>
            <w:pPr>
              <w:spacing w:after="0"/>
              <w:rPr>
                <w:sz w:val="12"/>
                <w:szCs w:val="12"/>
                <w:color w:val="auto"/>
              </w:rPr>
            </w:pPr>
          </w:p>
        </w:tc>
        <w:tc>
          <w:tcPr>
            <w:tcW w:w="1460" w:type="dxa"/>
            <w:vAlign w:val="bottom"/>
            <w:tcBorders>
              <w:bottom w:val="single" w:sz="8" w:color="auto"/>
            </w:tcBorders>
          </w:tcPr>
          <w:p>
            <w:pPr>
              <w:jc w:val="right"/>
              <w:ind w:right="13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2,466,206</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2,398,804</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Liabilities, Stockholders' Deficit and Non-controlling interest</w:t>
            </w:r>
          </w:p>
        </w:tc>
        <w:tc>
          <w:tcPr>
            <w:tcW w:w="25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660" w:type="dxa"/>
            <w:vAlign w:val="bottom"/>
            <w:vMerge w:val="continue"/>
          </w:tcPr>
          <w:p>
            <w:pPr>
              <w:spacing w:after="0"/>
              <w:rPr>
                <w:sz w:val="9"/>
                <w:szCs w:val="9"/>
                <w:color w:val="auto"/>
              </w:rPr>
            </w:pPr>
          </w:p>
        </w:tc>
        <w:tc>
          <w:tcPr>
            <w:tcW w:w="25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2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3980" w:type="dxa"/>
            <w:vAlign w:val="bottom"/>
            <w:gridSpan w:val="2"/>
          </w:tcPr>
          <w:p>
            <w:pPr>
              <w:jc w:val="right"/>
              <w:ind w:right="13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58,754</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70,636</w:t>
            </w: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Accrued residual commissions</w:t>
            </w:r>
          </w:p>
        </w:tc>
        <w:tc>
          <w:tcPr>
            <w:tcW w:w="2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43,558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40,463</w:t>
            </w: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Customer deposits and advance payments</w:t>
            </w:r>
          </w:p>
        </w:tc>
        <w:tc>
          <w:tcPr>
            <w:tcW w:w="2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2,728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1,972</w:t>
            </w: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Current portion of long-term debt</w:t>
            </w:r>
          </w:p>
        </w:tc>
        <w:tc>
          <w:tcPr>
            <w:tcW w:w="2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5"/>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Settlement obligations</w:t>
            </w:r>
          </w:p>
        </w:tc>
        <w:tc>
          <w:tcPr>
            <w:tcW w:w="2520" w:type="dxa"/>
            <w:vAlign w:val="bottom"/>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1,356,128</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1,297,263</w:t>
            </w:r>
          </w:p>
        </w:tc>
        <w:tc>
          <w:tcPr>
            <w:tcW w:w="0" w:type="dxa"/>
            <w:vAlign w:val="bottom"/>
          </w:tcPr>
          <w:p>
            <w:pPr>
              <w:spacing w:after="0"/>
              <w:rPr>
                <w:sz w:val="1"/>
                <w:szCs w:val="1"/>
                <w:color w:val="auto"/>
              </w:rPr>
            </w:pPr>
          </w:p>
        </w:tc>
      </w:tr>
      <w:tr>
        <w:trPr>
          <w:trHeight w:val="140"/>
        </w:trPr>
        <w:tc>
          <w:tcPr>
            <w:tcW w:w="466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25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1,461,693</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1,410,334</w:t>
            </w:r>
          </w:p>
        </w:tc>
        <w:tc>
          <w:tcPr>
            <w:tcW w:w="0" w:type="dxa"/>
            <w:vAlign w:val="bottom"/>
          </w:tcPr>
          <w:p>
            <w:pPr>
              <w:spacing w:after="0"/>
              <w:rPr>
                <w:sz w:val="1"/>
                <w:szCs w:val="1"/>
                <w:color w:val="auto"/>
              </w:rPr>
            </w:pPr>
          </w:p>
        </w:tc>
      </w:tr>
      <w:tr>
        <w:trPr>
          <w:trHeight w:val="153"/>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Long-term debt, net of current portion, discounts and debt issuance costs</w:t>
            </w:r>
          </w:p>
        </w:tc>
        <w:tc>
          <w:tcPr>
            <w:tcW w:w="2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1,045,909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1,039,358</w:t>
            </w:r>
          </w:p>
        </w:tc>
        <w:tc>
          <w:tcPr>
            <w:tcW w:w="0" w:type="dxa"/>
            <w:vAlign w:val="bottom"/>
          </w:tcPr>
          <w:p>
            <w:pPr>
              <w:spacing w:after="0"/>
              <w:rPr>
                <w:sz w:val="1"/>
                <w:szCs w:val="1"/>
                <w:color w:val="auto"/>
              </w:rPr>
            </w:pPr>
          </w:p>
        </w:tc>
      </w:tr>
      <w:tr>
        <w:trPr>
          <w:trHeight w:val="155"/>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2520" w:type="dxa"/>
            <w:vAlign w:val="bottom"/>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40,440</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41,484</w:t>
            </w:r>
          </w:p>
        </w:tc>
        <w:tc>
          <w:tcPr>
            <w:tcW w:w="0" w:type="dxa"/>
            <w:vAlign w:val="bottom"/>
          </w:tcPr>
          <w:p>
            <w:pPr>
              <w:spacing w:after="0"/>
              <w:rPr>
                <w:sz w:val="1"/>
                <w:szCs w:val="1"/>
                <w:color w:val="auto"/>
              </w:rPr>
            </w:pPr>
          </w:p>
        </w:tc>
      </w:tr>
      <w:tr>
        <w:trPr>
          <w:trHeight w:val="142"/>
        </w:trPr>
        <w:tc>
          <w:tcPr>
            <w:tcW w:w="466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2520" w:type="dxa"/>
            <w:vAlign w:val="bottom"/>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2,548,042</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2,491,176</w:t>
            </w:r>
          </w:p>
        </w:tc>
        <w:tc>
          <w:tcPr>
            <w:tcW w:w="0" w:type="dxa"/>
            <w:vAlign w:val="bottom"/>
          </w:tcPr>
          <w:p>
            <w:pPr>
              <w:spacing w:after="0"/>
              <w:rPr>
                <w:sz w:val="1"/>
                <w:szCs w:val="1"/>
                <w:color w:val="auto"/>
              </w:rPr>
            </w:pPr>
          </w:p>
        </w:tc>
      </w:tr>
      <w:tr>
        <w:trPr>
          <w:trHeight w:val="131"/>
        </w:trPr>
        <w:tc>
          <w:tcPr>
            <w:tcW w:w="466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Stockholders' deficit:</w:t>
            </w:r>
          </w:p>
        </w:tc>
        <w:tc>
          <w:tcPr>
            <w:tcW w:w="25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Preferred stock</w:t>
            </w:r>
          </w:p>
        </w:tc>
        <w:tc>
          <w:tcPr>
            <w:tcW w:w="2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Common stock</w:t>
            </w:r>
          </w:p>
        </w:tc>
        <w:tc>
          <w:tcPr>
            <w:tcW w:w="2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Treasury stock, at cost</w:t>
            </w:r>
          </w:p>
        </w:tc>
        <w:tc>
          <w:tcPr>
            <w:tcW w:w="2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(23,643)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(22,759)</w:t>
            </w: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2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15,902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13,925</w:t>
            </w: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2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w:t>
            </w:r>
          </w:p>
        </w:tc>
        <w:tc>
          <w:tcPr>
            <w:tcW w:w="0" w:type="dxa"/>
            <w:vAlign w:val="bottom"/>
          </w:tcPr>
          <w:p>
            <w:pPr>
              <w:spacing w:after="0"/>
              <w:rPr>
                <w:sz w:val="1"/>
                <w:szCs w:val="1"/>
                <w:color w:val="auto"/>
              </w:rPr>
            </w:pPr>
          </w:p>
        </w:tc>
      </w:tr>
      <w:tr>
        <w:trPr>
          <w:trHeight w:val="155"/>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Accumulated deficit</w:t>
            </w:r>
          </w:p>
        </w:tc>
        <w:tc>
          <w:tcPr>
            <w:tcW w:w="2520" w:type="dxa"/>
            <w:vAlign w:val="bottom"/>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(81,693)</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(91,453)</w:t>
            </w:r>
          </w:p>
        </w:tc>
        <w:tc>
          <w:tcPr>
            <w:tcW w:w="0" w:type="dxa"/>
            <w:vAlign w:val="bottom"/>
          </w:tcPr>
          <w:p>
            <w:pPr>
              <w:spacing w:after="0"/>
              <w:rPr>
                <w:sz w:val="1"/>
                <w:szCs w:val="1"/>
                <w:color w:val="auto"/>
              </w:rPr>
            </w:pPr>
          </w:p>
        </w:tc>
      </w:tr>
      <w:tr>
        <w:trPr>
          <w:trHeight w:val="140"/>
        </w:trPr>
        <w:tc>
          <w:tcPr>
            <w:tcW w:w="466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Total stockholders' deficit attributable to stockholders of Priority</w:t>
            </w:r>
          </w:p>
        </w:tc>
        <w:tc>
          <w:tcPr>
            <w:tcW w:w="25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(89,915)</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(100,415)</w:t>
            </w:r>
          </w:p>
        </w:tc>
        <w:tc>
          <w:tcPr>
            <w:tcW w:w="0" w:type="dxa"/>
            <w:vAlign w:val="bottom"/>
          </w:tcPr>
          <w:p>
            <w:pPr>
              <w:spacing w:after="0"/>
              <w:rPr>
                <w:sz w:val="1"/>
                <w:szCs w:val="1"/>
                <w:color w:val="auto"/>
              </w:rPr>
            </w:pPr>
          </w:p>
        </w:tc>
      </w:tr>
      <w:tr>
        <w:trPr>
          <w:trHeight w:val="155"/>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Non-controlling interests in consolidated subsidiaries</w:t>
            </w:r>
          </w:p>
        </w:tc>
        <w:tc>
          <w:tcPr>
            <w:tcW w:w="2520" w:type="dxa"/>
            <w:vAlign w:val="bottom"/>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8,079</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8,043</w:t>
            </w:r>
          </w:p>
        </w:tc>
        <w:tc>
          <w:tcPr>
            <w:tcW w:w="0" w:type="dxa"/>
            <w:vAlign w:val="bottom"/>
          </w:tcPr>
          <w:p>
            <w:pPr>
              <w:spacing w:after="0"/>
              <w:rPr>
                <w:sz w:val="1"/>
                <w:szCs w:val="1"/>
                <w:color w:val="auto"/>
              </w:rPr>
            </w:pPr>
          </w:p>
        </w:tc>
      </w:tr>
      <w:tr>
        <w:trPr>
          <w:trHeight w:val="142"/>
        </w:trPr>
        <w:tc>
          <w:tcPr>
            <w:tcW w:w="46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Total stockholders' deficit</w:t>
            </w:r>
          </w:p>
        </w:tc>
        <w:tc>
          <w:tcPr>
            <w:tcW w:w="2520" w:type="dxa"/>
            <w:vAlign w:val="bottom"/>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(81,836)</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(92,372)</w:t>
            </w:r>
          </w:p>
        </w:tc>
        <w:tc>
          <w:tcPr>
            <w:tcW w:w="0" w:type="dxa"/>
            <w:vAlign w:val="bottom"/>
          </w:tcPr>
          <w:p>
            <w:pPr>
              <w:spacing w:after="0"/>
              <w:rPr>
                <w:sz w:val="1"/>
                <w:szCs w:val="1"/>
                <w:color w:val="auto"/>
              </w:rPr>
            </w:pPr>
          </w:p>
        </w:tc>
      </w:tr>
      <w:tr>
        <w:trPr>
          <w:trHeight w:val="142"/>
        </w:trPr>
        <w:tc>
          <w:tcPr>
            <w:tcW w:w="46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Total liabilities, stockholders' deficit and Non-controlling interest</w:t>
            </w:r>
          </w:p>
        </w:tc>
        <w:tc>
          <w:tcPr>
            <w:tcW w:w="2520" w:type="dxa"/>
            <w:vAlign w:val="bottom"/>
          </w:tcPr>
          <w:p>
            <w:pPr>
              <w:spacing w:after="0"/>
              <w:rPr>
                <w:sz w:val="12"/>
                <w:szCs w:val="12"/>
                <w:color w:val="auto"/>
              </w:rPr>
            </w:pPr>
          </w:p>
        </w:tc>
        <w:tc>
          <w:tcPr>
            <w:tcW w:w="1460" w:type="dxa"/>
            <w:vAlign w:val="bottom"/>
            <w:tcBorders>
              <w:bottom w:val="single" w:sz="8" w:color="auto"/>
            </w:tcBorders>
          </w:tcPr>
          <w:p>
            <w:pPr>
              <w:jc w:val="right"/>
              <w:ind w:right="13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2,466,206</w:t>
            </w:r>
          </w:p>
        </w:tc>
        <w:tc>
          <w:tcPr>
            <w:tcW w:w="8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2,398,804</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520" w:type="dxa"/>
            <w:vAlign w:val="bottom"/>
            <w:vMerge w:val="restart"/>
          </w:tcPr>
          <w:p>
            <w:pPr>
              <w:jc w:val="right"/>
              <w:ind w:right="1440"/>
              <w:spacing w:after="0"/>
              <w:rPr>
                <w:sz w:val="20"/>
                <w:szCs w:val="20"/>
                <w:color w:val="auto"/>
              </w:rPr>
            </w:pPr>
            <w:r>
              <w:rPr>
                <w:rFonts w:ascii="Times New Roman" w:cs="Times New Roman" w:eastAsia="Times New Roman" w:hAnsi="Times New Roman"/>
                <w:sz w:val="12"/>
                <w:szCs w:val="12"/>
                <w:color w:val="auto"/>
              </w:rPr>
              <w:t>9</w:t>
            </w:r>
          </w:p>
        </w:tc>
        <w:tc>
          <w:tcPr>
            <w:tcW w:w="1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66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85" w:right="319" w:bottom="1440" w:gutter="0" w:footer="0" w:header="0"/>
        </w:sectPr>
      </w:pPr>
    </w:p>
    <w:bookmarkStart w:id="12" w:name="page13"/>
    <w:bookmarkEnd w:id="12"/>
    <w:p>
      <w:pPr>
        <w:ind w:left="4680"/>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r>
        <w:rPr>
          <w:rFonts w:ascii="Times New Roman" w:cs="Times New Roman" w:eastAsia="Times New Roman" w:hAnsi="Times New Roman"/>
          <w:sz w:val="13"/>
          <w:szCs w:val="13"/>
          <w:color w:val="auto"/>
        </w:rPr>
        <w:t>.</w:t>
      </w:r>
    </w:p>
    <w:p>
      <w:pPr>
        <w:spacing w:after="0" w:line="2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3"/>
          <w:szCs w:val="13"/>
          <w:b w:val="1"/>
          <w:bCs w:val="1"/>
          <w:color w:val="auto"/>
        </w:rPr>
        <w:t>Unaudited Consolidated Statements of Cash Flows</w:t>
      </w:r>
    </w:p>
    <w:p>
      <w:pPr>
        <w:jc w:val="center"/>
        <w:ind w:right="20"/>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7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640" w:type="dxa"/>
            <w:vAlign w:val="bottom"/>
            <w:tcBorders>
              <w:bottom w:val="single" w:sz="8" w:color="auto"/>
            </w:tcBorders>
            <w:gridSpan w:val="4"/>
          </w:tcPr>
          <w:p>
            <w:pPr>
              <w:jc w:val="right"/>
              <w:ind w:right="145"/>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7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3280" w:type="dxa"/>
            <w:vAlign w:val="bottom"/>
          </w:tcPr>
          <w:p>
            <w:pPr>
              <w:spacing w:after="0"/>
              <w:rPr>
                <w:sz w:val="12"/>
                <w:szCs w:val="12"/>
                <w:color w:val="auto"/>
              </w:rPr>
            </w:pPr>
          </w:p>
        </w:tc>
        <w:tc>
          <w:tcPr>
            <w:tcW w:w="9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2"/>
                <w:szCs w:val="12"/>
                <w:b w:val="1"/>
                <w:bCs w:val="1"/>
                <w:color w:val="auto"/>
              </w:rPr>
              <w:t>2026</w:t>
            </w: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2"/>
                <w:szCs w:val="12"/>
                <w:b w:val="1"/>
                <w:bCs w:val="1"/>
                <w:color w:val="auto"/>
              </w:rPr>
              <w:t>2025</w:t>
            </w:r>
          </w:p>
        </w:tc>
        <w:tc>
          <w:tcPr>
            <w:tcW w:w="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780" w:type="dxa"/>
            <w:vAlign w:val="bottom"/>
            <w:vMerge w:val="continue"/>
          </w:tcPr>
          <w:p>
            <w:pPr>
              <w:spacing w:after="0"/>
              <w:rPr>
                <w:sz w:val="11"/>
                <w:szCs w:val="11"/>
                <w:color w:val="auto"/>
              </w:rPr>
            </w:pPr>
          </w:p>
        </w:tc>
        <w:tc>
          <w:tcPr>
            <w:tcW w:w="3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income</w:t>
            </w:r>
          </w:p>
        </w:tc>
        <w:tc>
          <w:tcPr>
            <w:tcW w:w="4260" w:type="dxa"/>
            <w:vAlign w:val="bottom"/>
            <w:gridSpan w:val="2"/>
          </w:tcPr>
          <w:p>
            <w:pPr>
              <w:jc w:val="right"/>
              <w:ind w:right="863"/>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9,760</w:t>
            </w:r>
          </w:p>
        </w:tc>
        <w:tc>
          <w:tcPr>
            <w:tcW w:w="80" w:type="dxa"/>
            <w:vAlign w:val="bottom"/>
          </w:tcPr>
          <w:p>
            <w:pPr>
              <w:spacing w:after="0"/>
              <w:rPr>
                <w:sz w:val="13"/>
                <w:szCs w:val="13"/>
                <w:color w:val="auto"/>
              </w:rPr>
            </w:pPr>
          </w:p>
        </w:tc>
        <w:tc>
          <w:tcPr>
            <w:tcW w:w="980" w:type="dxa"/>
            <w:vAlign w:val="bottom"/>
          </w:tcPr>
          <w:p>
            <w:pPr>
              <w:jc w:val="right"/>
              <w:ind w:right="86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8,268</w:t>
            </w:r>
          </w:p>
        </w:tc>
        <w:tc>
          <w:tcPr>
            <w:tcW w:w="0" w:type="dxa"/>
            <w:vAlign w:val="bottom"/>
          </w:tcPr>
          <w:p>
            <w:pPr>
              <w:spacing w:after="0"/>
              <w:rPr>
                <w:sz w:val="1"/>
                <w:szCs w:val="1"/>
                <w:color w:val="auto"/>
              </w:rPr>
            </w:pPr>
          </w:p>
        </w:tc>
      </w:tr>
      <w:tr>
        <w:trPr>
          <w:trHeight w:val="153"/>
        </w:trPr>
        <w:tc>
          <w:tcPr>
            <w:tcW w:w="4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Adjustments to reconcile net income to net cash provided by operating activities:</w:t>
            </w:r>
          </w:p>
        </w:tc>
        <w:tc>
          <w:tcPr>
            <w:tcW w:w="3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 of assets</w:t>
            </w:r>
          </w:p>
        </w:tc>
        <w:tc>
          <w:tcPr>
            <w:tcW w:w="3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17,615</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13,777</w:t>
            </w:r>
          </w:p>
        </w:tc>
        <w:tc>
          <w:tcPr>
            <w:tcW w:w="0" w:type="dxa"/>
            <w:vAlign w:val="bottom"/>
          </w:tcPr>
          <w:p>
            <w:pPr>
              <w:spacing w:after="0"/>
              <w:rPr>
                <w:sz w:val="1"/>
                <w:szCs w:val="1"/>
                <w:color w:val="auto"/>
              </w:rPr>
            </w:pPr>
          </w:p>
        </w:tc>
      </w:tr>
      <w:tr>
        <w:trPr>
          <w:trHeight w:val="153"/>
        </w:trPr>
        <w:tc>
          <w:tcPr>
            <w:tcW w:w="47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Stock-based compensation, ESPP, and incentive units compensation</w:t>
            </w:r>
          </w:p>
        </w:tc>
        <w:tc>
          <w:tcPr>
            <w:tcW w:w="3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2,088</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1,586</w:t>
            </w:r>
          </w:p>
        </w:tc>
        <w:tc>
          <w:tcPr>
            <w:tcW w:w="0" w:type="dxa"/>
            <w:vAlign w:val="bottom"/>
          </w:tcPr>
          <w:p>
            <w:pPr>
              <w:spacing w:after="0"/>
              <w:rPr>
                <w:sz w:val="1"/>
                <w:szCs w:val="1"/>
                <w:color w:val="auto"/>
              </w:rPr>
            </w:pPr>
          </w:p>
        </w:tc>
      </w:tr>
      <w:tr>
        <w:trPr>
          <w:trHeight w:val="153"/>
        </w:trPr>
        <w:tc>
          <w:tcPr>
            <w:tcW w:w="47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Amortization of debt issuance costs and discounts</w:t>
            </w:r>
          </w:p>
        </w:tc>
        <w:tc>
          <w:tcPr>
            <w:tcW w:w="3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467</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434</w:t>
            </w:r>
          </w:p>
        </w:tc>
        <w:tc>
          <w:tcPr>
            <w:tcW w:w="0" w:type="dxa"/>
            <w:vAlign w:val="bottom"/>
          </w:tcPr>
          <w:p>
            <w:pPr>
              <w:spacing w:after="0"/>
              <w:rPr>
                <w:sz w:val="1"/>
                <w:szCs w:val="1"/>
                <w:color w:val="auto"/>
              </w:rPr>
            </w:pPr>
          </w:p>
        </w:tc>
      </w:tr>
      <w:tr>
        <w:trPr>
          <w:trHeight w:val="153"/>
        </w:trPr>
        <w:tc>
          <w:tcPr>
            <w:tcW w:w="47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Debt extinguishment and modification costs</w:t>
            </w:r>
          </w:p>
        </w:tc>
        <w:tc>
          <w:tcPr>
            <w:tcW w:w="3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0" w:type="dxa"/>
            <w:vAlign w:val="bottom"/>
          </w:tcPr>
          <w:p>
            <w:pPr>
              <w:spacing w:after="0"/>
              <w:rPr>
                <w:sz w:val="1"/>
                <w:szCs w:val="1"/>
                <w:color w:val="auto"/>
              </w:rPr>
            </w:pPr>
          </w:p>
        </w:tc>
      </w:tr>
      <w:tr>
        <w:trPr>
          <w:trHeight w:val="153"/>
        </w:trPr>
        <w:tc>
          <w:tcPr>
            <w:tcW w:w="47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Deferred income tax</w:t>
            </w:r>
          </w:p>
        </w:tc>
        <w:tc>
          <w:tcPr>
            <w:tcW w:w="3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(752)</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(2,236)</w:t>
            </w:r>
          </w:p>
        </w:tc>
        <w:tc>
          <w:tcPr>
            <w:tcW w:w="0" w:type="dxa"/>
            <w:vAlign w:val="bottom"/>
          </w:tcPr>
          <w:p>
            <w:pPr>
              <w:spacing w:after="0"/>
              <w:rPr>
                <w:sz w:val="1"/>
                <w:szCs w:val="1"/>
                <w:color w:val="auto"/>
              </w:rPr>
            </w:pPr>
          </w:p>
        </w:tc>
      </w:tr>
      <w:tr>
        <w:trPr>
          <w:trHeight w:val="153"/>
        </w:trPr>
        <w:tc>
          <w:tcPr>
            <w:tcW w:w="47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Change in contingent consideration</w:t>
            </w:r>
          </w:p>
        </w:tc>
        <w:tc>
          <w:tcPr>
            <w:tcW w:w="3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428</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1,006</w:t>
            </w:r>
          </w:p>
        </w:tc>
        <w:tc>
          <w:tcPr>
            <w:tcW w:w="0" w:type="dxa"/>
            <w:vAlign w:val="bottom"/>
          </w:tcPr>
          <w:p>
            <w:pPr>
              <w:spacing w:after="0"/>
              <w:rPr>
                <w:sz w:val="1"/>
                <w:szCs w:val="1"/>
                <w:color w:val="auto"/>
              </w:rPr>
            </w:pPr>
          </w:p>
        </w:tc>
      </w:tr>
      <w:tr>
        <w:trPr>
          <w:trHeight w:val="153"/>
        </w:trPr>
        <w:tc>
          <w:tcPr>
            <w:tcW w:w="47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Other non-cash items, net</w:t>
            </w:r>
          </w:p>
        </w:tc>
        <w:tc>
          <w:tcPr>
            <w:tcW w:w="3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(204)</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0" w:type="dxa"/>
            <w:vAlign w:val="bottom"/>
          </w:tcPr>
          <w:p>
            <w:pPr>
              <w:spacing w:after="0"/>
              <w:rPr>
                <w:sz w:val="1"/>
                <w:szCs w:val="1"/>
                <w:color w:val="auto"/>
              </w:rPr>
            </w:pPr>
          </w:p>
        </w:tc>
      </w:tr>
      <w:tr>
        <w:trPr>
          <w:trHeight w:val="153"/>
        </w:trPr>
        <w:tc>
          <w:tcPr>
            <w:tcW w:w="4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Change in operating assets and liabilities:</w:t>
            </w:r>
          </w:p>
        </w:tc>
        <w:tc>
          <w:tcPr>
            <w:tcW w:w="3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Accounts receivable</w:t>
            </w:r>
          </w:p>
        </w:tc>
        <w:tc>
          <w:tcPr>
            <w:tcW w:w="3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2,753</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(12,182)</w:t>
            </w:r>
          </w:p>
        </w:tc>
        <w:tc>
          <w:tcPr>
            <w:tcW w:w="0" w:type="dxa"/>
            <w:vAlign w:val="bottom"/>
          </w:tcPr>
          <w:p>
            <w:pPr>
              <w:spacing w:after="0"/>
              <w:rPr>
                <w:sz w:val="1"/>
                <w:szCs w:val="1"/>
                <w:color w:val="auto"/>
              </w:rPr>
            </w:pPr>
          </w:p>
        </w:tc>
      </w:tr>
      <w:tr>
        <w:trPr>
          <w:trHeight w:val="153"/>
        </w:trPr>
        <w:tc>
          <w:tcPr>
            <w:tcW w:w="47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3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(2,991)</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0" w:type="dxa"/>
            <w:vAlign w:val="bottom"/>
          </w:tcPr>
          <w:p>
            <w:pPr>
              <w:spacing w:after="0"/>
              <w:rPr>
                <w:sz w:val="1"/>
                <w:szCs w:val="1"/>
                <w:color w:val="auto"/>
              </w:rPr>
            </w:pPr>
          </w:p>
        </w:tc>
      </w:tr>
      <w:tr>
        <w:trPr>
          <w:trHeight w:val="153"/>
        </w:trPr>
        <w:tc>
          <w:tcPr>
            <w:tcW w:w="47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Income taxes</w:t>
            </w:r>
          </w:p>
        </w:tc>
        <w:tc>
          <w:tcPr>
            <w:tcW w:w="3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4,188</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4,429</w:t>
            </w:r>
          </w:p>
        </w:tc>
        <w:tc>
          <w:tcPr>
            <w:tcW w:w="0" w:type="dxa"/>
            <w:vAlign w:val="bottom"/>
          </w:tcPr>
          <w:p>
            <w:pPr>
              <w:spacing w:after="0"/>
              <w:rPr>
                <w:sz w:val="1"/>
                <w:szCs w:val="1"/>
                <w:color w:val="auto"/>
              </w:rPr>
            </w:pPr>
          </w:p>
        </w:tc>
      </w:tr>
      <w:tr>
        <w:trPr>
          <w:trHeight w:val="153"/>
        </w:trPr>
        <w:tc>
          <w:tcPr>
            <w:tcW w:w="47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3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(11,743)</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(8,777)</w:t>
            </w:r>
          </w:p>
        </w:tc>
        <w:tc>
          <w:tcPr>
            <w:tcW w:w="0" w:type="dxa"/>
            <w:vAlign w:val="bottom"/>
          </w:tcPr>
          <w:p>
            <w:pPr>
              <w:spacing w:after="0"/>
              <w:rPr>
                <w:sz w:val="1"/>
                <w:szCs w:val="1"/>
                <w:color w:val="auto"/>
              </w:rPr>
            </w:pPr>
          </w:p>
        </w:tc>
      </w:tr>
      <w:tr>
        <w:trPr>
          <w:trHeight w:val="153"/>
        </w:trPr>
        <w:tc>
          <w:tcPr>
            <w:tcW w:w="47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Accrued residual commissions</w:t>
            </w:r>
          </w:p>
        </w:tc>
        <w:tc>
          <w:tcPr>
            <w:tcW w:w="3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3,095</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2,981</w:t>
            </w:r>
          </w:p>
        </w:tc>
        <w:tc>
          <w:tcPr>
            <w:tcW w:w="0" w:type="dxa"/>
            <w:vAlign w:val="bottom"/>
          </w:tcPr>
          <w:p>
            <w:pPr>
              <w:spacing w:after="0"/>
              <w:rPr>
                <w:sz w:val="1"/>
                <w:szCs w:val="1"/>
                <w:color w:val="auto"/>
              </w:rPr>
            </w:pPr>
          </w:p>
        </w:tc>
      </w:tr>
      <w:tr>
        <w:trPr>
          <w:trHeight w:val="153"/>
        </w:trPr>
        <w:tc>
          <w:tcPr>
            <w:tcW w:w="47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Customer deposits and advance payments</w:t>
            </w:r>
          </w:p>
        </w:tc>
        <w:tc>
          <w:tcPr>
            <w:tcW w:w="3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756</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260</w:t>
            </w:r>
          </w:p>
        </w:tc>
        <w:tc>
          <w:tcPr>
            <w:tcW w:w="0" w:type="dxa"/>
            <w:vAlign w:val="bottom"/>
          </w:tcPr>
          <w:p>
            <w:pPr>
              <w:spacing w:after="0"/>
              <w:rPr>
                <w:sz w:val="1"/>
                <w:szCs w:val="1"/>
                <w:color w:val="auto"/>
              </w:rPr>
            </w:pPr>
          </w:p>
        </w:tc>
      </w:tr>
      <w:tr>
        <w:trPr>
          <w:trHeight w:val="153"/>
        </w:trPr>
        <w:tc>
          <w:tcPr>
            <w:tcW w:w="47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Other assets, net</w:t>
            </w:r>
          </w:p>
        </w:tc>
        <w:tc>
          <w:tcPr>
            <w:tcW w:w="3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548</w:t>
            </w:r>
          </w:p>
        </w:tc>
        <w:tc>
          <w:tcPr>
            <w:tcW w:w="0" w:type="dxa"/>
            <w:vAlign w:val="bottom"/>
          </w:tcPr>
          <w:p>
            <w:pPr>
              <w:spacing w:after="0"/>
              <w:rPr>
                <w:sz w:val="1"/>
                <w:szCs w:val="1"/>
                <w:color w:val="auto"/>
              </w:rPr>
            </w:pPr>
          </w:p>
        </w:tc>
      </w:tr>
      <w:tr>
        <w:trPr>
          <w:trHeight w:val="155"/>
        </w:trPr>
        <w:tc>
          <w:tcPr>
            <w:tcW w:w="47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Other liabilities, net</w:t>
            </w:r>
          </w:p>
        </w:tc>
        <w:tc>
          <w:tcPr>
            <w:tcW w:w="328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(1,606)</w:t>
            </w:r>
          </w:p>
        </w:tc>
        <w:tc>
          <w:tcPr>
            <w:tcW w:w="8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(83)</w:t>
            </w:r>
          </w:p>
        </w:tc>
        <w:tc>
          <w:tcPr>
            <w:tcW w:w="0" w:type="dxa"/>
            <w:vAlign w:val="bottom"/>
          </w:tcPr>
          <w:p>
            <w:pPr>
              <w:spacing w:after="0"/>
              <w:rPr>
                <w:sz w:val="1"/>
                <w:szCs w:val="1"/>
                <w:color w:val="auto"/>
              </w:rPr>
            </w:pPr>
          </w:p>
        </w:tc>
      </w:tr>
      <w:tr>
        <w:trPr>
          <w:trHeight w:val="142"/>
        </w:trPr>
        <w:tc>
          <w:tcPr>
            <w:tcW w:w="478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Net cash provided by operating activities</w:t>
            </w:r>
          </w:p>
        </w:tc>
        <w:tc>
          <w:tcPr>
            <w:tcW w:w="328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23,839</w:t>
            </w:r>
          </w:p>
        </w:tc>
        <w:tc>
          <w:tcPr>
            <w:tcW w:w="8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9,956</w:t>
            </w:r>
          </w:p>
        </w:tc>
        <w:tc>
          <w:tcPr>
            <w:tcW w:w="0" w:type="dxa"/>
            <w:vAlign w:val="bottom"/>
          </w:tcPr>
          <w:p>
            <w:pPr>
              <w:spacing w:after="0"/>
              <w:rPr>
                <w:sz w:val="1"/>
                <w:szCs w:val="1"/>
                <w:color w:val="auto"/>
              </w:rPr>
            </w:pPr>
          </w:p>
        </w:tc>
      </w:tr>
      <w:tr>
        <w:trPr>
          <w:trHeight w:val="131"/>
        </w:trPr>
        <w:tc>
          <w:tcPr>
            <w:tcW w:w="478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3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Acquisition of business, net of cash acquired</w:t>
            </w:r>
          </w:p>
        </w:tc>
        <w:tc>
          <w:tcPr>
            <w:tcW w:w="3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(4,473)</w:t>
            </w:r>
          </w:p>
        </w:tc>
        <w:tc>
          <w:tcPr>
            <w:tcW w:w="0" w:type="dxa"/>
            <w:vAlign w:val="bottom"/>
          </w:tcPr>
          <w:p>
            <w:pPr>
              <w:spacing w:after="0"/>
              <w:rPr>
                <w:sz w:val="1"/>
                <w:szCs w:val="1"/>
                <w:color w:val="auto"/>
              </w:rPr>
            </w:pPr>
          </w:p>
        </w:tc>
      </w:tr>
      <w:tr>
        <w:trPr>
          <w:trHeight w:val="153"/>
        </w:trPr>
        <w:tc>
          <w:tcPr>
            <w:tcW w:w="4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Additions to property, equipment and software</w:t>
            </w:r>
          </w:p>
        </w:tc>
        <w:tc>
          <w:tcPr>
            <w:tcW w:w="3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(5,523)</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(5,095)</w:t>
            </w:r>
          </w:p>
        </w:tc>
        <w:tc>
          <w:tcPr>
            <w:tcW w:w="0" w:type="dxa"/>
            <w:vAlign w:val="bottom"/>
          </w:tcPr>
          <w:p>
            <w:pPr>
              <w:spacing w:after="0"/>
              <w:rPr>
                <w:sz w:val="1"/>
                <w:szCs w:val="1"/>
                <w:color w:val="auto"/>
              </w:rPr>
            </w:pPr>
          </w:p>
        </w:tc>
      </w:tr>
      <w:tr>
        <w:trPr>
          <w:trHeight w:val="153"/>
        </w:trPr>
        <w:tc>
          <w:tcPr>
            <w:tcW w:w="4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Notes receivable, net</w:t>
            </w:r>
          </w:p>
        </w:tc>
        <w:tc>
          <w:tcPr>
            <w:tcW w:w="3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(8,059)</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w:t>
            </w:r>
          </w:p>
        </w:tc>
        <w:tc>
          <w:tcPr>
            <w:tcW w:w="0" w:type="dxa"/>
            <w:vAlign w:val="bottom"/>
          </w:tcPr>
          <w:p>
            <w:pPr>
              <w:spacing w:after="0"/>
              <w:rPr>
                <w:sz w:val="1"/>
                <w:szCs w:val="1"/>
                <w:color w:val="auto"/>
              </w:rPr>
            </w:pPr>
          </w:p>
        </w:tc>
      </w:tr>
      <w:tr>
        <w:trPr>
          <w:trHeight w:val="155"/>
        </w:trPr>
        <w:tc>
          <w:tcPr>
            <w:tcW w:w="4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Short-term investments</w:t>
            </w:r>
          </w:p>
        </w:tc>
        <w:tc>
          <w:tcPr>
            <w:tcW w:w="328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25,000</w:t>
            </w:r>
          </w:p>
        </w:tc>
        <w:tc>
          <w:tcPr>
            <w:tcW w:w="8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478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Net cash provided by/(used in) investing activities</w:t>
            </w:r>
          </w:p>
        </w:tc>
        <w:tc>
          <w:tcPr>
            <w:tcW w:w="328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11,418</w:t>
            </w:r>
          </w:p>
        </w:tc>
        <w:tc>
          <w:tcPr>
            <w:tcW w:w="8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(9,715)</w:t>
            </w:r>
          </w:p>
        </w:tc>
        <w:tc>
          <w:tcPr>
            <w:tcW w:w="0" w:type="dxa"/>
            <w:vAlign w:val="bottom"/>
          </w:tcPr>
          <w:p>
            <w:pPr>
              <w:spacing w:after="0"/>
              <w:rPr>
                <w:sz w:val="1"/>
                <w:szCs w:val="1"/>
                <w:color w:val="auto"/>
              </w:rPr>
            </w:pPr>
          </w:p>
        </w:tc>
      </w:tr>
      <w:tr>
        <w:trPr>
          <w:trHeight w:val="131"/>
        </w:trPr>
        <w:tc>
          <w:tcPr>
            <w:tcW w:w="4780" w:type="dxa"/>
            <w:vAlign w:val="bottom"/>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3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Proceeds from issuance of long-term debt</w:t>
            </w:r>
          </w:p>
        </w:tc>
        <w:tc>
          <w:tcPr>
            <w:tcW w:w="3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6,800</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Debt issuance and modification costs paid</w:t>
            </w:r>
          </w:p>
        </w:tc>
        <w:tc>
          <w:tcPr>
            <w:tcW w:w="3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0" w:type="dxa"/>
            <w:vAlign w:val="bottom"/>
          </w:tcPr>
          <w:p>
            <w:pPr>
              <w:spacing w:after="0"/>
              <w:rPr>
                <w:sz w:val="1"/>
                <w:szCs w:val="1"/>
                <w:color w:val="auto"/>
              </w:rPr>
            </w:pPr>
          </w:p>
        </w:tc>
      </w:tr>
      <w:tr>
        <w:trPr>
          <w:trHeight w:val="153"/>
        </w:trPr>
        <w:tc>
          <w:tcPr>
            <w:tcW w:w="4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Repayments of long-term debt</w:t>
            </w:r>
          </w:p>
        </w:tc>
        <w:tc>
          <w:tcPr>
            <w:tcW w:w="3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(10,000)</w:t>
            </w:r>
          </w:p>
        </w:tc>
        <w:tc>
          <w:tcPr>
            <w:tcW w:w="0" w:type="dxa"/>
            <w:vAlign w:val="bottom"/>
          </w:tcPr>
          <w:p>
            <w:pPr>
              <w:spacing w:after="0"/>
              <w:rPr>
                <w:sz w:val="1"/>
                <w:szCs w:val="1"/>
                <w:color w:val="auto"/>
              </w:rPr>
            </w:pPr>
          </w:p>
        </w:tc>
      </w:tr>
      <w:tr>
        <w:trPr>
          <w:trHeight w:val="153"/>
        </w:trPr>
        <w:tc>
          <w:tcPr>
            <w:tcW w:w="4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Shares withheld for taxes</w:t>
            </w:r>
          </w:p>
        </w:tc>
        <w:tc>
          <w:tcPr>
            <w:tcW w:w="3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(884)</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(1,470)</w:t>
            </w:r>
          </w:p>
        </w:tc>
        <w:tc>
          <w:tcPr>
            <w:tcW w:w="0" w:type="dxa"/>
            <w:vAlign w:val="bottom"/>
          </w:tcPr>
          <w:p>
            <w:pPr>
              <w:spacing w:after="0"/>
              <w:rPr>
                <w:sz w:val="1"/>
                <w:szCs w:val="1"/>
                <w:color w:val="auto"/>
              </w:rPr>
            </w:pPr>
          </w:p>
        </w:tc>
      </w:tr>
      <w:tr>
        <w:trPr>
          <w:trHeight w:val="153"/>
        </w:trPr>
        <w:tc>
          <w:tcPr>
            <w:tcW w:w="4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Proceeds from exercise of stock options</w:t>
            </w:r>
          </w:p>
        </w:tc>
        <w:tc>
          <w:tcPr>
            <w:tcW w:w="3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w:t>
            </w:r>
          </w:p>
        </w:tc>
        <w:tc>
          <w:tcPr>
            <w:tcW w:w="0" w:type="dxa"/>
            <w:vAlign w:val="bottom"/>
          </w:tcPr>
          <w:p>
            <w:pPr>
              <w:spacing w:after="0"/>
              <w:rPr>
                <w:sz w:val="1"/>
                <w:szCs w:val="1"/>
                <w:color w:val="auto"/>
              </w:rPr>
            </w:pPr>
          </w:p>
        </w:tc>
      </w:tr>
      <w:tr>
        <w:trPr>
          <w:trHeight w:val="153"/>
        </w:trPr>
        <w:tc>
          <w:tcPr>
            <w:tcW w:w="4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Settlement obligations, net</w:t>
            </w:r>
          </w:p>
        </w:tc>
        <w:tc>
          <w:tcPr>
            <w:tcW w:w="3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64,981</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59,060</w:t>
            </w:r>
          </w:p>
        </w:tc>
        <w:tc>
          <w:tcPr>
            <w:tcW w:w="0" w:type="dxa"/>
            <w:vAlign w:val="bottom"/>
          </w:tcPr>
          <w:p>
            <w:pPr>
              <w:spacing w:after="0"/>
              <w:rPr>
                <w:sz w:val="1"/>
                <w:szCs w:val="1"/>
                <w:color w:val="auto"/>
              </w:rPr>
            </w:pPr>
          </w:p>
        </w:tc>
      </w:tr>
      <w:tr>
        <w:trPr>
          <w:trHeight w:val="155"/>
        </w:trPr>
        <w:tc>
          <w:tcPr>
            <w:tcW w:w="4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Payment of deferred/contingent consideration</w:t>
            </w:r>
          </w:p>
        </w:tc>
        <w:tc>
          <w:tcPr>
            <w:tcW w:w="328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8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(400)</w:t>
            </w:r>
          </w:p>
        </w:tc>
        <w:tc>
          <w:tcPr>
            <w:tcW w:w="0" w:type="dxa"/>
            <w:vAlign w:val="bottom"/>
          </w:tcPr>
          <w:p>
            <w:pPr>
              <w:spacing w:after="0"/>
              <w:rPr>
                <w:sz w:val="1"/>
                <w:szCs w:val="1"/>
                <w:color w:val="auto"/>
              </w:rPr>
            </w:pPr>
          </w:p>
        </w:tc>
      </w:tr>
      <w:tr>
        <w:trPr>
          <w:trHeight w:val="142"/>
        </w:trPr>
        <w:tc>
          <w:tcPr>
            <w:tcW w:w="478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Net cash provided by financing activities</w:t>
            </w:r>
          </w:p>
        </w:tc>
        <w:tc>
          <w:tcPr>
            <w:tcW w:w="328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70,626</w:t>
            </w:r>
          </w:p>
        </w:tc>
        <w:tc>
          <w:tcPr>
            <w:tcW w:w="8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47,260</w:t>
            </w:r>
          </w:p>
        </w:tc>
        <w:tc>
          <w:tcPr>
            <w:tcW w:w="0" w:type="dxa"/>
            <w:vAlign w:val="bottom"/>
          </w:tcPr>
          <w:p>
            <w:pPr>
              <w:spacing w:after="0"/>
              <w:rPr>
                <w:sz w:val="1"/>
                <w:szCs w:val="1"/>
                <w:color w:val="auto"/>
              </w:rPr>
            </w:pPr>
          </w:p>
        </w:tc>
      </w:tr>
      <w:tr>
        <w:trPr>
          <w:trHeight w:val="131"/>
        </w:trPr>
        <w:tc>
          <w:tcPr>
            <w:tcW w:w="4780" w:type="dxa"/>
            <w:vAlign w:val="bottom"/>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rPr>
              <w:t>Net change in cash and cash equivalents and restricted cash:</w:t>
            </w:r>
          </w:p>
        </w:tc>
        <w:tc>
          <w:tcPr>
            <w:tcW w:w="3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increase in cash and cash equivalents, and restricted cash</w:t>
            </w:r>
          </w:p>
        </w:tc>
        <w:tc>
          <w:tcPr>
            <w:tcW w:w="3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105,883</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47,501</w:t>
            </w:r>
          </w:p>
        </w:tc>
        <w:tc>
          <w:tcPr>
            <w:tcW w:w="0" w:type="dxa"/>
            <w:vAlign w:val="bottom"/>
          </w:tcPr>
          <w:p>
            <w:pPr>
              <w:spacing w:after="0"/>
              <w:rPr>
                <w:sz w:val="1"/>
                <w:szCs w:val="1"/>
                <w:color w:val="auto"/>
              </w:rPr>
            </w:pPr>
          </w:p>
        </w:tc>
      </w:tr>
      <w:tr>
        <w:trPr>
          <w:trHeight w:val="155"/>
        </w:trPr>
        <w:tc>
          <w:tcPr>
            <w:tcW w:w="4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and cash equivalents and restricted cash at beginning of period</w:t>
            </w:r>
          </w:p>
        </w:tc>
        <w:tc>
          <w:tcPr>
            <w:tcW w:w="328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1,345,998</w:t>
            </w:r>
          </w:p>
        </w:tc>
        <w:tc>
          <w:tcPr>
            <w:tcW w:w="8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993,864</w:t>
            </w:r>
          </w:p>
        </w:tc>
        <w:tc>
          <w:tcPr>
            <w:tcW w:w="0" w:type="dxa"/>
            <w:vAlign w:val="bottom"/>
          </w:tcPr>
          <w:p>
            <w:pPr>
              <w:spacing w:after="0"/>
              <w:rPr>
                <w:sz w:val="1"/>
                <w:szCs w:val="1"/>
                <w:color w:val="auto"/>
              </w:rPr>
            </w:pPr>
          </w:p>
        </w:tc>
      </w:tr>
      <w:tr>
        <w:trPr>
          <w:trHeight w:val="142"/>
        </w:trPr>
        <w:tc>
          <w:tcPr>
            <w:tcW w:w="47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and cash equivalents and restricted cash at end of period</w:t>
            </w:r>
          </w:p>
        </w:tc>
        <w:tc>
          <w:tcPr>
            <w:tcW w:w="3280" w:type="dxa"/>
            <w:vAlign w:val="bottom"/>
          </w:tcPr>
          <w:p>
            <w:pPr>
              <w:spacing w:after="0"/>
              <w:rPr>
                <w:sz w:val="12"/>
                <w:szCs w:val="12"/>
                <w:color w:val="auto"/>
              </w:rPr>
            </w:pPr>
          </w:p>
        </w:tc>
        <w:tc>
          <w:tcPr>
            <w:tcW w:w="980" w:type="dxa"/>
            <w:vAlign w:val="bottom"/>
            <w:tcBorders>
              <w:bottom w:val="single" w:sz="8" w:color="auto"/>
            </w:tcBorders>
          </w:tcPr>
          <w:p>
            <w:pPr>
              <w:jc w:val="right"/>
              <w:ind w:right="8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1,451,881</w:t>
            </w:r>
          </w:p>
        </w:tc>
        <w:tc>
          <w:tcPr>
            <w:tcW w:w="80" w:type="dxa"/>
            <w:vAlign w:val="bottom"/>
          </w:tcPr>
          <w:p>
            <w:pPr>
              <w:spacing w:after="0"/>
              <w:rPr>
                <w:sz w:val="12"/>
                <w:szCs w:val="12"/>
                <w:color w:val="auto"/>
              </w:rPr>
            </w:pPr>
          </w:p>
        </w:tc>
        <w:tc>
          <w:tcPr>
            <w:tcW w:w="980" w:type="dxa"/>
            <w:vAlign w:val="bottom"/>
            <w:tcBorders>
              <w:bottom w:val="single" w:sz="8" w:color="auto"/>
            </w:tcBorders>
          </w:tcPr>
          <w:p>
            <w:pPr>
              <w:jc w:val="right"/>
              <w:ind w:right="8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1,041,365</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Reconciliation of cash and cash equivalents, and restricted cash:</w:t>
            </w:r>
          </w:p>
        </w:tc>
        <w:tc>
          <w:tcPr>
            <w:tcW w:w="3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80" w:type="dxa"/>
            <w:vAlign w:val="bottom"/>
            <w:vMerge w:val="continue"/>
          </w:tcPr>
          <w:p>
            <w:pPr>
              <w:spacing w:after="0"/>
              <w:rPr>
                <w:sz w:val="18"/>
                <w:szCs w:val="18"/>
                <w:color w:val="auto"/>
              </w:rPr>
            </w:pPr>
          </w:p>
        </w:tc>
        <w:tc>
          <w:tcPr>
            <w:tcW w:w="3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4260" w:type="dxa"/>
            <w:vAlign w:val="bottom"/>
            <w:gridSpan w:val="2"/>
          </w:tcPr>
          <w:p>
            <w:pPr>
              <w:jc w:val="right"/>
              <w:ind w:right="863"/>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92,152</w:t>
            </w:r>
          </w:p>
        </w:tc>
        <w:tc>
          <w:tcPr>
            <w:tcW w:w="80" w:type="dxa"/>
            <w:vAlign w:val="bottom"/>
          </w:tcPr>
          <w:p>
            <w:pPr>
              <w:spacing w:after="0"/>
              <w:rPr>
                <w:sz w:val="13"/>
                <w:szCs w:val="13"/>
                <w:color w:val="auto"/>
              </w:rPr>
            </w:pPr>
          </w:p>
        </w:tc>
        <w:tc>
          <w:tcPr>
            <w:tcW w:w="980" w:type="dxa"/>
            <w:vAlign w:val="bottom"/>
          </w:tcPr>
          <w:p>
            <w:pPr>
              <w:jc w:val="right"/>
              <w:ind w:right="86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47,587</w:t>
            </w:r>
          </w:p>
        </w:tc>
        <w:tc>
          <w:tcPr>
            <w:tcW w:w="0" w:type="dxa"/>
            <w:vAlign w:val="bottom"/>
          </w:tcPr>
          <w:p>
            <w:pPr>
              <w:spacing w:after="0"/>
              <w:rPr>
                <w:sz w:val="1"/>
                <w:szCs w:val="1"/>
                <w:color w:val="auto"/>
              </w:rPr>
            </w:pPr>
          </w:p>
        </w:tc>
      </w:tr>
      <w:tr>
        <w:trPr>
          <w:trHeight w:val="153"/>
        </w:trPr>
        <w:tc>
          <w:tcPr>
            <w:tcW w:w="4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Restricted cash</w:t>
            </w:r>
          </w:p>
        </w:tc>
        <w:tc>
          <w:tcPr>
            <w:tcW w:w="3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16,403</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11,490</w:t>
            </w:r>
          </w:p>
        </w:tc>
        <w:tc>
          <w:tcPr>
            <w:tcW w:w="0" w:type="dxa"/>
            <w:vAlign w:val="bottom"/>
          </w:tcPr>
          <w:p>
            <w:pPr>
              <w:spacing w:after="0"/>
              <w:rPr>
                <w:sz w:val="1"/>
                <w:szCs w:val="1"/>
                <w:color w:val="auto"/>
              </w:rPr>
            </w:pPr>
          </w:p>
        </w:tc>
      </w:tr>
      <w:tr>
        <w:trPr>
          <w:trHeight w:val="155"/>
        </w:trPr>
        <w:tc>
          <w:tcPr>
            <w:tcW w:w="4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and cash equivalents included in settlement assets (restricted in nature)</w:t>
            </w:r>
          </w:p>
        </w:tc>
        <w:tc>
          <w:tcPr>
            <w:tcW w:w="328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1,343,326</w:t>
            </w:r>
          </w:p>
        </w:tc>
        <w:tc>
          <w:tcPr>
            <w:tcW w:w="8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982,288</w:t>
            </w:r>
          </w:p>
        </w:tc>
        <w:tc>
          <w:tcPr>
            <w:tcW w:w="0" w:type="dxa"/>
            <w:vAlign w:val="bottom"/>
          </w:tcPr>
          <w:p>
            <w:pPr>
              <w:spacing w:after="0"/>
              <w:rPr>
                <w:sz w:val="1"/>
                <w:szCs w:val="1"/>
                <w:color w:val="auto"/>
              </w:rPr>
            </w:pPr>
          </w:p>
        </w:tc>
      </w:tr>
      <w:tr>
        <w:trPr>
          <w:trHeight w:val="142"/>
        </w:trPr>
        <w:tc>
          <w:tcPr>
            <w:tcW w:w="47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cash and cash equivalents, and restricted cash</w:t>
            </w:r>
          </w:p>
        </w:tc>
        <w:tc>
          <w:tcPr>
            <w:tcW w:w="3280" w:type="dxa"/>
            <w:vAlign w:val="bottom"/>
          </w:tcPr>
          <w:p>
            <w:pPr>
              <w:spacing w:after="0"/>
              <w:rPr>
                <w:sz w:val="12"/>
                <w:szCs w:val="12"/>
                <w:color w:val="auto"/>
              </w:rPr>
            </w:pPr>
          </w:p>
        </w:tc>
        <w:tc>
          <w:tcPr>
            <w:tcW w:w="980" w:type="dxa"/>
            <w:vAlign w:val="bottom"/>
            <w:tcBorders>
              <w:bottom w:val="single" w:sz="8" w:color="auto"/>
            </w:tcBorders>
          </w:tcPr>
          <w:p>
            <w:pPr>
              <w:jc w:val="right"/>
              <w:ind w:right="8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1,451,881</w:t>
            </w:r>
          </w:p>
        </w:tc>
        <w:tc>
          <w:tcPr>
            <w:tcW w:w="80" w:type="dxa"/>
            <w:vAlign w:val="bottom"/>
          </w:tcPr>
          <w:p>
            <w:pPr>
              <w:spacing w:after="0"/>
              <w:rPr>
                <w:sz w:val="12"/>
                <w:szCs w:val="12"/>
                <w:color w:val="auto"/>
              </w:rPr>
            </w:pPr>
          </w:p>
        </w:tc>
        <w:tc>
          <w:tcPr>
            <w:tcW w:w="980" w:type="dxa"/>
            <w:vAlign w:val="bottom"/>
            <w:tcBorders>
              <w:bottom w:val="single" w:sz="8" w:color="auto"/>
            </w:tcBorders>
          </w:tcPr>
          <w:p>
            <w:pPr>
              <w:jc w:val="right"/>
              <w:ind w:right="8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1,041,365</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280" w:type="dxa"/>
            <w:vAlign w:val="bottom"/>
            <w:vMerge w:val="restart"/>
          </w:tcPr>
          <w:p>
            <w:pPr>
              <w:jc w:val="right"/>
              <w:ind w:right="2300"/>
              <w:spacing w:after="0"/>
              <w:rPr>
                <w:sz w:val="20"/>
                <w:szCs w:val="20"/>
                <w:color w:val="auto"/>
              </w:rPr>
            </w:pPr>
            <w:r>
              <w:rPr>
                <w:rFonts w:ascii="Times New Roman" w:cs="Times New Roman" w:eastAsia="Times New Roman" w:hAnsi="Times New Roman"/>
                <w:sz w:val="12"/>
                <w:szCs w:val="12"/>
                <w:color w:val="auto"/>
              </w:rPr>
              <w:t>10</w:t>
            </w: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478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2" w:right="299" w:bottom="1440" w:gutter="0" w:footer="0" w:header="0"/>
        </w:sectPr>
      </w:pPr>
    </w:p>
    <w:bookmarkStart w:id="13" w:name="page14"/>
    <w:bookmarkEnd w:id="13"/>
    <w:p>
      <w:pPr>
        <w:ind w:left="4680"/>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r>
        <w:rPr>
          <w:rFonts w:ascii="Times New Roman" w:cs="Times New Roman" w:eastAsia="Times New Roman" w:hAnsi="Times New Roman"/>
          <w:sz w:val="13"/>
          <w:szCs w:val="13"/>
          <w:color w:val="auto"/>
        </w:rPr>
        <w:t>.</w:t>
      </w:r>
    </w:p>
    <w:p>
      <w:pPr>
        <w:spacing w:after="0" w:line="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b w:val="1"/>
          <w:bCs w:val="1"/>
          <w:color w:val="auto"/>
        </w:rPr>
        <w:t>Unaudited Reportable Segments' Results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13"/>
                <w:szCs w:val="13"/>
                <w:color w:val="auto"/>
              </w:rPr>
            </w:pPr>
          </w:p>
        </w:tc>
        <w:tc>
          <w:tcPr>
            <w:tcW w:w="24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2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Merchant Solutions: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2026</w:t>
            </w: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824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2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Revenues</w:t>
            </w:r>
          </w:p>
        </w:tc>
        <w:tc>
          <w:tcPr>
            <w:tcW w:w="9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161,786</w:t>
            </w:r>
          </w:p>
        </w:tc>
        <w:tc>
          <w:tcPr>
            <w:tcW w:w="80" w:type="dxa"/>
            <w:vAlign w:val="bottom"/>
          </w:tcPr>
          <w:p>
            <w:pPr>
              <w:spacing w:after="0"/>
              <w:rPr>
                <w:sz w:val="13"/>
                <w:szCs w:val="13"/>
                <w:color w:val="auto"/>
              </w:rPr>
            </w:pPr>
          </w:p>
        </w:tc>
        <w:tc>
          <w:tcPr>
            <w:tcW w:w="86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151,690</w:t>
            </w:r>
          </w:p>
        </w:tc>
        <w:tc>
          <w:tcPr>
            <w:tcW w:w="0" w:type="dxa"/>
            <w:vAlign w:val="bottom"/>
          </w:tcPr>
          <w:p>
            <w:pPr>
              <w:spacing w:after="0"/>
              <w:rPr>
                <w:sz w:val="1"/>
                <w:szCs w:val="1"/>
                <w:color w:val="auto"/>
              </w:rPr>
            </w:pPr>
          </w:p>
        </w:tc>
      </w:tr>
      <w:tr>
        <w:trPr>
          <w:trHeight w:val="155"/>
        </w:trPr>
        <w:tc>
          <w:tcPr>
            <w:tcW w:w="82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Adjusted EBITDA</w:t>
            </w:r>
          </w:p>
        </w:tc>
        <w:tc>
          <w:tcPr>
            <w:tcW w:w="9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27,740</w:t>
            </w:r>
          </w:p>
        </w:tc>
        <w:tc>
          <w:tcPr>
            <w:tcW w:w="80" w:type="dxa"/>
            <w:vAlign w:val="bottom"/>
          </w:tcPr>
          <w:p>
            <w:pPr>
              <w:spacing w:after="0"/>
              <w:rPr>
                <w:sz w:val="13"/>
                <w:szCs w:val="13"/>
                <w:color w:val="auto"/>
              </w:rPr>
            </w:pPr>
          </w:p>
        </w:tc>
        <w:tc>
          <w:tcPr>
            <w:tcW w:w="86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25,705</w:t>
            </w:r>
          </w:p>
        </w:tc>
        <w:tc>
          <w:tcPr>
            <w:tcW w:w="0" w:type="dxa"/>
            <w:vAlign w:val="bottom"/>
          </w:tcPr>
          <w:p>
            <w:pPr>
              <w:spacing w:after="0"/>
              <w:rPr>
                <w:sz w:val="1"/>
                <w:szCs w:val="1"/>
                <w:color w:val="auto"/>
              </w:rPr>
            </w:pPr>
          </w:p>
        </w:tc>
      </w:tr>
      <w:tr>
        <w:trPr>
          <w:trHeight w:val="331"/>
        </w:trPr>
        <w:tc>
          <w:tcPr>
            <w:tcW w:w="824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Key Indicators:</w:t>
            </w: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82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card processing dollar value</w:t>
            </w:r>
          </w:p>
        </w:tc>
        <w:tc>
          <w:tcPr>
            <w:tcW w:w="9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18,130,401</w:t>
            </w:r>
          </w:p>
        </w:tc>
        <w:tc>
          <w:tcPr>
            <w:tcW w:w="80" w:type="dxa"/>
            <w:vAlign w:val="bottom"/>
          </w:tcPr>
          <w:p>
            <w:pPr>
              <w:spacing w:after="0"/>
              <w:rPr>
                <w:sz w:val="13"/>
                <w:szCs w:val="13"/>
                <w:color w:val="auto"/>
              </w:rPr>
            </w:pPr>
          </w:p>
        </w:tc>
        <w:tc>
          <w:tcPr>
            <w:tcW w:w="86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17,685,491</w:t>
            </w:r>
          </w:p>
        </w:tc>
        <w:tc>
          <w:tcPr>
            <w:tcW w:w="0" w:type="dxa"/>
            <w:vAlign w:val="bottom"/>
          </w:tcPr>
          <w:p>
            <w:pPr>
              <w:spacing w:after="0"/>
              <w:rPr>
                <w:sz w:val="1"/>
                <w:szCs w:val="1"/>
                <w:color w:val="auto"/>
              </w:rPr>
            </w:pPr>
          </w:p>
        </w:tc>
      </w:tr>
      <w:tr>
        <w:trPr>
          <w:trHeight w:val="155"/>
        </w:trPr>
        <w:tc>
          <w:tcPr>
            <w:tcW w:w="82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card transaction count</w:t>
            </w:r>
          </w:p>
        </w:tc>
        <w:tc>
          <w:tcPr>
            <w:tcW w:w="9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211,244</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209,308</w:t>
            </w:r>
          </w:p>
        </w:tc>
        <w:tc>
          <w:tcPr>
            <w:tcW w:w="0" w:type="dxa"/>
            <w:vAlign w:val="bottom"/>
          </w:tcPr>
          <w:p>
            <w:pPr>
              <w:spacing w:after="0"/>
              <w:rPr>
                <w:sz w:val="1"/>
                <w:szCs w:val="1"/>
                <w:color w:val="auto"/>
              </w:rPr>
            </w:pPr>
          </w:p>
        </w:tc>
      </w:tr>
      <w:tr>
        <w:trPr>
          <w:trHeight w:val="331"/>
        </w:trPr>
        <w:tc>
          <w:tcPr>
            <w:tcW w:w="8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Payables:</w:t>
            </w: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82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Revenues</w:t>
            </w:r>
          </w:p>
        </w:tc>
        <w:tc>
          <w:tcPr>
            <w:tcW w:w="9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32,441</w:t>
            </w:r>
          </w:p>
        </w:tc>
        <w:tc>
          <w:tcPr>
            <w:tcW w:w="80" w:type="dxa"/>
            <w:vAlign w:val="bottom"/>
          </w:tcPr>
          <w:p>
            <w:pPr>
              <w:spacing w:after="0"/>
              <w:rPr>
                <w:sz w:val="13"/>
                <w:szCs w:val="13"/>
                <w:color w:val="auto"/>
              </w:rPr>
            </w:pPr>
          </w:p>
        </w:tc>
        <w:tc>
          <w:tcPr>
            <w:tcW w:w="86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23,918</w:t>
            </w:r>
          </w:p>
        </w:tc>
        <w:tc>
          <w:tcPr>
            <w:tcW w:w="0" w:type="dxa"/>
            <w:vAlign w:val="bottom"/>
          </w:tcPr>
          <w:p>
            <w:pPr>
              <w:spacing w:after="0"/>
              <w:rPr>
                <w:sz w:val="1"/>
                <w:szCs w:val="1"/>
                <w:color w:val="auto"/>
              </w:rPr>
            </w:pPr>
          </w:p>
        </w:tc>
      </w:tr>
      <w:tr>
        <w:trPr>
          <w:trHeight w:val="155"/>
        </w:trPr>
        <w:tc>
          <w:tcPr>
            <w:tcW w:w="82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Adjusted EBITDA</w:t>
            </w:r>
          </w:p>
        </w:tc>
        <w:tc>
          <w:tcPr>
            <w:tcW w:w="9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5,454</w:t>
            </w:r>
          </w:p>
        </w:tc>
        <w:tc>
          <w:tcPr>
            <w:tcW w:w="80" w:type="dxa"/>
            <w:vAlign w:val="bottom"/>
          </w:tcPr>
          <w:p>
            <w:pPr>
              <w:spacing w:after="0"/>
              <w:rPr>
                <w:sz w:val="13"/>
                <w:szCs w:val="13"/>
                <w:color w:val="auto"/>
              </w:rPr>
            </w:pPr>
          </w:p>
        </w:tc>
        <w:tc>
          <w:tcPr>
            <w:tcW w:w="86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3,516</w:t>
            </w:r>
          </w:p>
        </w:tc>
        <w:tc>
          <w:tcPr>
            <w:tcW w:w="0" w:type="dxa"/>
            <w:vAlign w:val="bottom"/>
          </w:tcPr>
          <w:p>
            <w:pPr>
              <w:spacing w:after="0"/>
              <w:rPr>
                <w:sz w:val="1"/>
                <w:szCs w:val="1"/>
                <w:color w:val="auto"/>
              </w:rPr>
            </w:pPr>
          </w:p>
        </w:tc>
      </w:tr>
      <w:tr>
        <w:trPr>
          <w:trHeight w:val="295"/>
        </w:trPr>
        <w:tc>
          <w:tcPr>
            <w:tcW w:w="824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Key Indicators:</w:t>
            </w: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82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Buyer funded card processing dollar value</w:t>
            </w:r>
          </w:p>
        </w:tc>
        <w:tc>
          <w:tcPr>
            <w:tcW w:w="9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972,910</w:t>
            </w:r>
          </w:p>
        </w:tc>
        <w:tc>
          <w:tcPr>
            <w:tcW w:w="80" w:type="dxa"/>
            <w:vAlign w:val="bottom"/>
          </w:tcPr>
          <w:p>
            <w:pPr>
              <w:spacing w:after="0"/>
              <w:rPr>
                <w:sz w:val="13"/>
                <w:szCs w:val="13"/>
                <w:color w:val="auto"/>
              </w:rPr>
            </w:pPr>
          </w:p>
        </w:tc>
        <w:tc>
          <w:tcPr>
            <w:tcW w:w="86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716,900</w:t>
            </w:r>
          </w:p>
        </w:tc>
        <w:tc>
          <w:tcPr>
            <w:tcW w:w="0" w:type="dxa"/>
            <w:vAlign w:val="bottom"/>
          </w:tcPr>
          <w:p>
            <w:pPr>
              <w:spacing w:after="0"/>
              <w:rPr>
                <w:sz w:val="1"/>
                <w:szCs w:val="1"/>
                <w:color w:val="auto"/>
              </w:rPr>
            </w:pPr>
          </w:p>
        </w:tc>
      </w:tr>
      <w:tr>
        <w:trPr>
          <w:trHeight w:val="153"/>
        </w:trPr>
        <w:tc>
          <w:tcPr>
            <w:tcW w:w="82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Supplier funded issuing dollar value</w:t>
            </w:r>
          </w:p>
        </w:tc>
        <w:tc>
          <w:tcPr>
            <w:tcW w:w="9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242,387</w:t>
            </w:r>
          </w:p>
        </w:tc>
        <w:tc>
          <w:tcPr>
            <w:tcW w:w="80" w:type="dxa"/>
            <w:vAlign w:val="bottom"/>
          </w:tcPr>
          <w:p>
            <w:pPr>
              <w:spacing w:after="0"/>
              <w:rPr>
                <w:sz w:val="13"/>
                <w:szCs w:val="13"/>
                <w:color w:val="auto"/>
              </w:rPr>
            </w:pPr>
          </w:p>
        </w:tc>
        <w:tc>
          <w:tcPr>
            <w:tcW w:w="86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237,290</w:t>
            </w:r>
          </w:p>
        </w:tc>
        <w:tc>
          <w:tcPr>
            <w:tcW w:w="0" w:type="dxa"/>
            <w:vAlign w:val="bottom"/>
          </w:tcPr>
          <w:p>
            <w:pPr>
              <w:spacing w:after="0"/>
              <w:rPr>
                <w:sz w:val="1"/>
                <w:szCs w:val="1"/>
                <w:color w:val="auto"/>
              </w:rPr>
            </w:pPr>
          </w:p>
        </w:tc>
      </w:tr>
      <w:tr>
        <w:trPr>
          <w:trHeight w:val="155"/>
        </w:trPr>
        <w:tc>
          <w:tcPr>
            <w:tcW w:w="82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ACH transaction count</w:t>
            </w:r>
          </w:p>
        </w:tc>
        <w:tc>
          <w:tcPr>
            <w:tcW w:w="9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5,059</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4,641</w:t>
            </w:r>
          </w:p>
        </w:tc>
        <w:tc>
          <w:tcPr>
            <w:tcW w:w="0" w:type="dxa"/>
            <w:vAlign w:val="bottom"/>
          </w:tcPr>
          <w:p>
            <w:pPr>
              <w:spacing w:after="0"/>
              <w:rPr>
                <w:sz w:val="1"/>
                <w:szCs w:val="1"/>
                <w:color w:val="auto"/>
              </w:rPr>
            </w:pPr>
          </w:p>
        </w:tc>
      </w:tr>
      <w:tr>
        <w:trPr>
          <w:trHeight w:val="331"/>
        </w:trPr>
        <w:tc>
          <w:tcPr>
            <w:tcW w:w="8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Treasury Solutions:</w:t>
            </w: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82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Revenues</w:t>
            </w:r>
          </w:p>
        </w:tc>
        <w:tc>
          <w:tcPr>
            <w:tcW w:w="9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58,840</w:t>
            </w:r>
          </w:p>
        </w:tc>
        <w:tc>
          <w:tcPr>
            <w:tcW w:w="80" w:type="dxa"/>
            <w:vAlign w:val="bottom"/>
          </w:tcPr>
          <w:p>
            <w:pPr>
              <w:spacing w:after="0"/>
              <w:rPr>
                <w:sz w:val="13"/>
                <w:szCs w:val="13"/>
                <w:color w:val="auto"/>
              </w:rPr>
            </w:pPr>
          </w:p>
        </w:tc>
        <w:tc>
          <w:tcPr>
            <w:tcW w:w="86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50,088</w:t>
            </w:r>
          </w:p>
        </w:tc>
        <w:tc>
          <w:tcPr>
            <w:tcW w:w="0" w:type="dxa"/>
            <w:vAlign w:val="bottom"/>
          </w:tcPr>
          <w:p>
            <w:pPr>
              <w:spacing w:after="0"/>
              <w:rPr>
                <w:sz w:val="1"/>
                <w:szCs w:val="1"/>
                <w:color w:val="auto"/>
              </w:rPr>
            </w:pPr>
          </w:p>
        </w:tc>
      </w:tr>
      <w:tr>
        <w:trPr>
          <w:trHeight w:val="155"/>
        </w:trPr>
        <w:tc>
          <w:tcPr>
            <w:tcW w:w="82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Adjusted EBITDA</w:t>
            </w:r>
          </w:p>
        </w:tc>
        <w:tc>
          <w:tcPr>
            <w:tcW w:w="9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46,671</w:t>
            </w:r>
          </w:p>
        </w:tc>
        <w:tc>
          <w:tcPr>
            <w:tcW w:w="80" w:type="dxa"/>
            <w:vAlign w:val="bottom"/>
          </w:tcPr>
          <w:p>
            <w:pPr>
              <w:spacing w:after="0"/>
              <w:rPr>
                <w:sz w:val="13"/>
                <w:szCs w:val="13"/>
                <w:color w:val="auto"/>
              </w:rPr>
            </w:pPr>
          </w:p>
        </w:tc>
        <w:tc>
          <w:tcPr>
            <w:tcW w:w="86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42,442</w:t>
            </w:r>
          </w:p>
        </w:tc>
        <w:tc>
          <w:tcPr>
            <w:tcW w:w="0" w:type="dxa"/>
            <w:vAlign w:val="bottom"/>
          </w:tcPr>
          <w:p>
            <w:pPr>
              <w:spacing w:after="0"/>
              <w:rPr>
                <w:sz w:val="1"/>
                <w:szCs w:val="1"/>
                <w:color w:val="auto"/>
              </w:rPr>
            </w:pPr>
          </w:p>
        </w:tc>
      </w:tr>
      <w:tr>
        <w:trPr>
          <w:trHeight w:val="322"/>
        </w:trPr>
        <w:tc>
          <w:tcPr>
            <w:tcW w:w="824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Key Indicators:</w:t>
            </w: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82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Average CFTPay billed clients</w:t>
            </w:r>
          </w:p>
        </w:tc>
        <w:tc>
          <w:tcPr>
            <w:tcW w:w="9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1,128,935</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940,463</w:t>
            </w:r>
          </w:p>
        </w:tc>
        <w:tc>
          <w:tcPr>
            <w:tcW w:w="0" w:type="dxa"/>
            <w:vAlign w:val="bottom"/>
          </w:tcPr>
          <w:p>
            <w:pPr>
              <w:spacing w:after="0"/>
              <w:rPr>
                <w:sz w:val="1"/>
                <w:szCs w:val="1"/>
                <w:color w:val="auto"/>
              </w:rPr>
            </w:pPr>
          </w:p>
        </w:tc>
      </w:tr>
      <w:tr>
        <w:trPr>
          <w:trHeight w:val="149"/>
        </w:trPr>
        <w:tc>
          <w:tcPr>
            <w:tcW w:w="82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Average CFTPay monthly enrollments</w:t>
            </w:r>
          </w:p>
        </w:tc>
        <w:tc>
          <w:tcPr>
            <w:tcW w:w="9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50,429</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55,946</w:t>
            </w:r>
          </w:p>
        </w:tc>
        <w:tc>
          <w:tcPr>
            <w:tcW w:w="0" w:type="dxa"/>
            <w:vAlign w:val="bottom"/>
          </w:tcPr>
          <w:p>
            <w:pPr>
              <w:spacing w:after="0"/>
              <w:rPr>
                <w:sz w:val="1"/>
                <w:szCs w:val="1"/>
                <w:color w:val="auto"/>
              </w:rPr>
            </w:pPr>
          </w:p>
        </w:tc>
      </w:tr>
      <w:tr>
        <w:trPr>
          <w:trHeight w:val="204"/>
        </w:trPr>
        <w:tc>
          <w:tcPr>
            <w:tcW w:w="82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Average total account balances</w:t>
            </w:r>
            <w:r>
              <w:rPr>
                <w:rFonts w:ascii="Times New Roman" w:cs="Times New Roman" w:eastAsia="Times New Roman" w:hAnsi="Times New Roman"/>
                <w:sz w:val="15"/>
                <w:szCs w:val="15"/>
                <w:color w:val="auto"/>
                <w:vertAlign w:val="superscript"/>
              </w:rPr>
              <w:t>(1)</w:t>
            </w:r>
          </w:p>
        </w:tc>
        <w:tc>
          <w:tcPr>
            <w:tcW w:w="9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1,419,288</w:t>
            </w:r>
          </w:p>
        </w:tc>
        <w:tc>
          <w:tcPr>
            <w:tcW w:w="80" w:type="dxa"/>
            <w:vAlign w:val="bottom"/>
          </w:tcPr>
          <w:p>
            <w:pPr>
              <w:spacing w:after="0"/>
              <w:rPr>
                <w:sz w:val="17"/>
                <w:szCs w:val="17"/>
                <w:color w:val="auto"/>
              </w:rPr>
            </w:pPr>
          </w:p>
        </w:tc>
        <w:tc>
          <w:tcPr>
            <w:tcW w:w="86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1,041,346</w:t>
            </w:r>
          </w:p>
        </w:tc>
        <w:tc>
          <w:tcPr>
            <w:tcW w:w="0" w:type="dxa"/>
            <w:vAlign w:val="bottom"/>
          </w:tcPr>
          <w:p>
            <w:pPr>
              <w:spacing w:after="0"/>
              <w:rPr>
                <w:sz w:val="1"/>
                <w:szCs w:val="1"/>
                <w:color w:val="auto"/>
              </w:rPr>
            </w:pPr>
          </w:p>
        </w:tc>
      </w:tr>
    </w:tbl>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 This represents the average total account balance in the Treasury Solutions segment, and excludes the deposits maintained in the Merchant Solutions and Payables segments. The total account and deposit balances as of March 31, 2026 and 2025, were $1.8 billion and $1.3 billion,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11280"/>
          </w:cols>
          <w:pgMar w:left="300" w:top="122" w:right="319" w:bottom="1440" w:gutter="0" w:footer="0" w:header="0"/>
        </w:sectPr>
      </w:pPr>
    </w:p>
    <w:bookmarkStart w:id="14" w:name="page15"/>
    <w:bookmarkEnd w:id="14"/>
    <w:p>
      <w:pPr>
        <w:ind w:left="4680"/>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r>
        <w:rPr>
          <w:rFonts w:ascii="Times New Roman" w:cs="Times New Roman" w:eastAsia="Times New Roman" w:hAnsi="Times New Roman"/>
          <w:sz w:val="13"/>
          <w:szCs w:val="13"/>
          <w:color w:val="auto"/>
        </w:rPr>
        <w:t>.</w:t>
      </w:r>
    </w:p>
    <w:p>
      <w:pPr>
        <w:spacing w:after="0" w:line="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b w:val="1"/>
          <w:bCs w:val="1"/>
          <w:color w:val="auto"/>
        </w:rPr>
        <w:t>Unaudited Reportable Segments' Results</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9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460" w:type="dxa"/>
            <w:vAlign w:val="bottom"/>
            <w:tcBorders>
              <w:bottom w:val="single" w:sz="8" w:color="auto"/>
            </w:tcBorders>
            <w:gridSpan w:val="8"/>
          </w:tcPr>
          <w:p>
            <w:pPr>
              <w:ind w:left="700"/>
              <w:spacing w:after="0"/>
              <w:rPr>
                <w:sz w:val="20"/>
                <w:szCs w:val="20"/>
                <w:color w:val="auto"/>
              </w:rPr>
            </w:pPr>
            <w:r>
              <w:rPr>
                <w:rFonts w:ascii="Times New Roman" w:cs="Times New Roman" w:eastAsia="Times New Roman" w:hAnsi="Times New Roman"/>
                <w:sz w:val="12"/>
                <w:szCs w:val="12"/>
                <w:b w:val="1"/>
                <w:bCs w:val="1"/>
                <w:color w:val="auto"/>
              </w:rPr>
              <w:t>Three Months Ended March 31, 2026</w:t>
            </w: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9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80" w:type="dxa"/>
            <w:vAlign w:val="bottom"/>
          </w:tcPr>
          <w:p>
            <w:pPr>
              <w:spacing w:after="0"/>
              <w:rPr>
                <w:sz w:val="12"/>
                <w:szCs w:val="12"/>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Merchant Solutions</w:t>
            </w:r>
          </w:p>
        </w:tc>
        <w:tc>
          <w:tcPr>
            <w:tcW w:w="200" w:type="dxa"/>
            <w:vAlign w:val="bottom"/>
          </w:tcPr>
          <w:p>
            <w:pPr>
              <w:spacing w:after="0"/>
              <w:rPr>
                <w:sz w:val="12"/>
                <w:szCs w:val="12"/>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Payables</w:t>
            </w:r>
          </w:p>
        </w:tc>
        <w:tc>
          <w:tcPr>
            <w:tcW w:w="100" w:type="dxa"/>
            <w:vAlign w:val="bottom"/>
          </w:tcPr>
          <w:p>
            <w:pPr>
              <w:spacing w:after="0"/>
              <w:rPr>
                <w:sz w:val="12"/>
                <w:szCs w:val="12"/>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Treasury Solutions</w:t>
            </w:r>
          </w:p>
        </w:tc>
        <w:tc>
          <w:tcPr>
            <w:tcW w:w="180" w:type="dxa"/>
            <w:vAlign w:val="bottom"/>
          </w:tcPr>
          <w:p>
            <w:pPr>
              <w:spacing w:after="0"/>
              <w:rPr>
                <w:sz w:val="12"/>
                <w:szCs w:val="12"/>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120" w:type="dxa"/>
            <w:vAlign w:val="bottom"/>
          </w:tcPr>
          <w:p>
            <w:pPr>
              <w:spacing w:after="0"/>
              <w:rPr>
                <w:sz w:val="12"/>
                <w:szCs w:val="12"/>
                <w:color w:val="auto"/>
              </w:rPr>
            </w:pPr>
          </w:p>
        </w:tc>
        <w:tc>
          <w:tcPr>
            <w:tcW w:w="122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Total Consolidated</w:t>
            </w:r>
          </w:p>
        </w:tc>
        <w:tc>
          <w:tcPr>
            <w:tcW w:w="0" w:type="dxa"/>
            <w:vAlign w:val="bottom"/>
          </w:tcPr>
          <w:p>
            <w:pPr>
              <w:spacing w:after="0"/>
              <w:rPr>
                <w:sz w:val="1"/>
                <w:szCs w:val="1"/>
                <w:color w:val="auto"/>
              </w:rPr>
            </w:pPr>
          </w:p>
        </w:tc>
      </w:tr>
      <w:tr>
        <w:trPr>
          <w:trHeight w:val="131"/>
        </w:trPr>
        <w:tc>
          <w:tcPr>
            <w:tcW w:w="4940" w:type="dxa"/>
            <w:vAlign w:val="bottom"/>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27,740</w:t>
            </w:r>
          </w:p>
        </w:tc>
        <w:tc>
          <w:tcPr>
            <w:tcW w:w="8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5,454</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46,671</w:t>
            </w:r>
          </w:p>
        </w:tc>
        <w:tc>
          <w:tcPr>
            <w:tcW w:w="8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(21,771)</w:t>
            </w:r>
          </w:p>
        </w:tc>
        <w:tc>
          <w:tcPr>
            <w:tcW w:w="80" w:type="dxa"/>
            <w:vAlign w:val="bottom"/>
          </w:tcPr>
          <w:p>
            <w:pPr>
              <w:spacing w:after="0"/>
              <w:rPr>
                <w:sz w:val="13"/>
                <w:szCs w:val="13"/>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58,094</w:t>
            </w: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(19,521)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(21,016)</w:t>
            </w: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(9,917)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(5,203)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(17,615)</w:t>
            </w: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8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(3,969)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(3,969)</w:t>
            </w:r>
          </w:p>
        </w:tc>
        <w:tc>
          <w:tcPr>
            <w:tcW w:w="0" w:type="dxa"/>
            <w:vAlign w:val="bottom"/>
          </w:tcPr>
          <w:p>
            <w:pPr>
              <w:spacing w:after="0"/>
              <w:rPr>
                <w:sz w:val="1"/>
                <w:szCs w:val="1"/>
                <w:color w:val="auto"/>
              </w:rPr>
            </w:pPr>
          </w:p>
        </w:tc>
      </w:tr>
      <w:tr>
        <w:trPr>
          <w:trHeight w:val="155"/>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Non-cash stock based compensation</w:t>
            </w:r>
          </w:p>
        </w:tc>
        <w:tc>
          <w:tcPr>
            <w:tcW w:w="8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(2,088)</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Income (loss) before taxes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16,741</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4,130</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41,054</w:t>
            </w: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(48,519)</w:t>
            </w:r>
          </w:p>
        </w:tc>
        <w:tc>
          <w:tcPr>
            <w:tcW w:w="80" w:type="dxa"/>
            <w:vAlign w:val="bottom"/>
          </w:tcPr>
          <w:p>
            <w:pPr>
              <w:spacing w:after="0"/>
              <w:rPr>
                <w:sz w:val="12"/>
                <w:szCs w:val="12"/>
                <w:color w:val="auto"/>
              </w:rPr>
            </w:pPr>
          </w:p>
        </w:tc>
        <w:tc>
          <w:tcPr>
            <w:tcW w:w="1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13,406</w:t>
            </w:r>
          </w:p>
        </w:tc>
        <w:tc>
          <w:tcPr>
            <w:tcW w:w="0" w:type="dxa"/>
            <w:vAlign w:val="bottom"/>
          </w:tcPr>
          <w:p>
            <w:pPr>
              <w:spacing w:after="0"/>
              <w:rPr>
                <w:sz w:val="1"/>
                <w:szCs w:val="1"/>
                <w:color w:val="auto"/>
              </w:rPr>
            </w:pPr>
          </w:p>
        </w:tc>
      </w:tr>
      <w:tr>
        <w:trPr>
          <w:trHeight w:val="133"/>
        </w:trPr>
        <w:tc>
          <w:tcPr>
            <w:tcW w:w="49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Income tax expense</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(3,646)</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9,760</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60" w:type="dxa"/>
            <w:vAlign w:val="bottom"/>
            <w:gridSpan w:val="8"/>
            <w:vMerge w:val="restart"/>
          </w:tcPr>
          <w:p>
            <w:pPr>
              <w:ind w:left="700"/>
              <w:spacing w:after="0"/>
              <w:rPr>
                <w:sz w:val="20"/>
                <w:szCs w:val="20"/>
                <w:color w:val="auto"/>
              </w:rPr>
            </w:pPr>
            <w:r>
              <w:rPr>
                <w:rFonts w:ascii="Times New Roman" w:cs="Times New Roman" w:eastAsia="Times New Roman" w:hAnsi="Times New Roman"/>
                <w:sz w:val="12"/>
                <w:szCs w:val="12"/>
                <w:b w:val="1"/>
                <w:bCs w:val="1"/>
                <w:color w:val="auto"/>
              </w:rPr>
              <w:t>Three Months Ended March 31, 2025</w:t>
            </w: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9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8"/>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9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80" w:type="dxa"/>
            <w:vAlign w:val="bottom"/>
          </w:tcPr>
          <w:p>
            <w:pPr>
              <w:spacing w:after="0"/>
              <w:rPr>
                <w:sz w:val="12"/>
                <w:szCs w:val="12"/>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Merchant Solutions</w:t>
            </w:r>
          </w:p>
        </w:tc>
        <w:tc>
          <w:tcPr>
            <w:tcW w:w="200" w:type="dxa"/>
            <w:vAlign w:val="bottom"/>
          </w:tcPr>
          <w:p>
            <w:pPr>
              <w:spacing w:after="0"/>
              <w:rPr>
                <w:sz w:val="12"/>
                <w:szCs w:val="12"/>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Payables</w:t>
            </w:r>
          </w:p>
        </w:tc>
        <w:tc>
          <w:tcPr>
            <w:tcW w:w="100" w:type="dxa"/>
            <w:vAlign w:val="bottom"/>
          </w:tcPr>
          <w:p>
            <w:pPr>
              <w:spacing w:after="0"/>
              <w:rPr>
                <w:sz w:val="12"/>
                <w:szCs w:val="12"/>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Treasury Solutions</w:t>
            </w:r>
          </w:p>
        </w:tc>
        <w:tc>
          <w:tcPr>
            <w:tcW w:w="180" w:type="dxa"/>
            <w:vAlign w:val="bottom"/>
          </w:tcPr>
          <w:p>
            <w:pPr>
              <w:spacing w:after="0"/>
              <w:rPr>
                <w:sz w:val="12"/>
                <w:szCs w:val="12"/>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120" w:type="dxa"/>
            <w:vAlign w:val="bottom"/>
          </w:tcPr>
          <w:p>
            <w:pPr>
              <w:spacing w:after="0"/>
              <w:rPr>
                <w:sz w:val="12"/>
                <w:szCs w:val="12"/>
                <w:color w:val="auto"/>
              </w:rPr>
            </w:pPr>
          </w:p>
        </w:tc>
        <w:tc>
          <w:tcPr>
            <w:tcW w:w="122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Total Consolidated</w:t>
            </w:r>
          </w:p>
        </w:tc>
        <w:tc>
          <w:tcPr>
            <w:tcW w:w="0" w:type="dxa"/>
            <w:vAlign w:val="bottom"/>
          </w:tcPr>
          <w:p>
            <w:pPr>
              <w:spacing w:after="0"/>
              <w:rPr>
                <w:sz w:val="1"/>
                <w:szCs w:val="1"/>
                <w:color w:val="auto"/>
              </w:rPr>
            </w:pPr>
          </w:p>
        </w:tc>
      </w:tr>
      <w:tr>
        <w:trPr>
          <w:trHeight w:val="131"/>
        </w:trPr>
        <w:tc>
          <w:tcPr>
            <w:tcW w:w="4940" w:type="dxa"/>
            <w:vAlign w:val="bottom"/>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25,705</w:t>
            </w:r>
          </w:p>
        </w:tc>
        <w:tc>
          <w:tcPr>
            <w:tcW w:w="8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3,516</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42,442</w:t>
            </w:r>
          </w:p>
        </w:tc>
        <w:tc>
          <w:tcPr>
            <w:tcW w:w="8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(20,369)</w:t>
            </w:r>
          </w:p>
        </w:tc>
        <w:tc>
          <w:tcPr>
            <w:tcW w:w="80" w:type="dxa"/>
            <w:vAlign w:val="bottom"/>
          </w:tcPr>
          <w:p>
            <w:pPr>
              <w:spacing w:after="0"/>
              <w:rPr>
                <w:sz w:val="13"/>
                <w:szCs w:val="13"/>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51,294</w:t>
            </w: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8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(22,170)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(23,176)</w:t>
            </w: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(6,625)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(4,642)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(13,777)</w:t>
            </w: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Debt modification and extinguishment expenses</w:t>
            </w:r>
          </w:p>
        </w:tc>
        <w:tc>
          <w:tcPr>
            <w:tcW w:w="8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0" w:type="dxa"/>
            <w:vAlign w:val="bottom"/>
          </w:tcPr>
          <w:p>
            <w:pPr>
              <w:spacing w:after="0"/>
              <w:rPr>
                <w:sz w:val="1"/>
                <w:szCs w:val="1"/>
                <w:color w:val="auto"/>
              </w:rPr>
            </w:pP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8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(2,199)</w:t>
            </w:r>
          </w:p>
        </w:tc>
        <w:tc>
          <w:tcPr>
            <w:tcW w:w="0" w:type="dxa"/>
            <w:vAlign w:val="bottom"/>
          </w:tcPr>
          <w:p>
            <w:pPr>
              <w:spacing w:after="0"/>
              <w:rPr>
                <w:sz w:val="1"/>
                <w:szCs w:val="1"/>
                <w:color w:val="auto"/>
              </w:rPr>
            </w:pPr>
          </w:p>
        </w:tc>
      </w:tr>
      <w:tr>
        <w:trPr>
          <w:trHeight w:val="155"/>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Non-cash stock based compensation</w:t>
            </w: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(1,466)</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(1,586)</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Income (loss) before taxes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19,076</w:t>
            </w:r>
          </w:p>
        </w:tc>
        <w:tc>
          <w:tcPr>
            <w:tcW w:w="80" w:type="dxa"/>
            <w:vAlign w:val="bottom"/>
          </w:tcPr>
          <w:p>
            <w:pPr>
              <w:spacing w:after="0"/>
              <w:rPr>
                <w:sz w:val="12"/>
                <w:szCs w:val="12"/>
                <w:color w:val="auto"/>
              </w:rPr>
            </w:pP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1,165</w:t>
            </w: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37,768</w:t>
            </w:r>
          </w:p>
        </w:tc>
        <w:tc>
          <w:tcPr>
            <w:tcW w:w="80" w:type="dxa"/>
            <w:vAlign w:val="bottom"/>
          </w:tcPr>
          <w:p>
            <w:pPr>
              <w:spacing w:after="0"/>
              <w:rPr>
                <w:sz w:val="12"/>
                <w:szCs w:val="12"/>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(47,491)</w:t>
            </w:r>
          </w:p>
        </w:tc>
        <w:tc>
          <w:tcPr>
            <w:tcW w:w="8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10,518</w:t>
            </w:r>
          </w:p>
        </w:tc>
        <w:tc>
          <w:tcPr>
            <w:tcW w:w="0" w:type="dxa"/>
            <w:vAlign w:val="bottom"/>
          </w:tcPr>
          <w:p>
            <w:pPr>
              <w:spacing w:after="0"/>
              <w:rPr>
                <w:sz w:val="1"/>
                <w:szCs w:val="1"/>
                <w:color w:val="auto"/>
              </w:rPr>
            </w:pPr>
          </w:p>
        </w:tc>
      </w:tr>
      <w:tr>
        <w:trPr>
          <w:trHeight w:val="133"/>
        </w:trPr>
        <w:tc>
          <w:tcPr>
            <w:tcW w:w="49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Income tax expense</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(2,250)</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8,268</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12</w:t>
      </w:r>
    </w:p>
    <w:p>
      <w:pPr>
        <w:sectPr>
          <w:pgSz w:w="11900" w:h="16838" w:orient="portrait"/>
          <w:cols w:equalWidth="0" w:num="1">
            <w:col w:w="11220"/>
          </w:cols>
          <w:pgMar w:left="300" w:top="122" w:right="379" w:bottom="1440"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2026-05-11T06:50:13Z</dcterms:created>
  <dcterms:modified xsi:type="dcterms:W3CDTF">2026-05-11T06:50:13Z</dcterms:modified>
</cp:coreProperties>
</file>