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6"/>
          <w:szCs w:val="16"/>
          <w:b w:val="1"/>
          <w:bCs w:val="1"/>
          <w:color w:val="auto"/>
        </w:rPr>
        <w:t>Filed Pursuant to Rule 424(b)(4)</w:t>
      </w:r>
    </w:p>
    <w:p>
      <w:pPr>
        <w:spacing w:after="0" w:line="32" w:lineRule="exact"/>
        <w:rPr>
          <w:sz w:val="24"/>
          <w:szCs w:val="24"/>
          <w:color w:val="auto"/>
        </w:rPr>
      </w:pPr>
    </w:p>
    <w:p>
      <w:pPr>
        <w:jc w:val="right"/>
        <w:ind w:right="459"/>
        <w:spacing w:after="0"/>
        <w:rPr>
          <w:sz w:val="20"/>
          <w:szCs w:val="20"/>
          <w:color w:val="auto"/>
        </w:rPr>
      </w:pPr>
      <w:r>
        <w:rPr>
          <w:rFonts w:ascii="Arial" w:cs="Arial" w:eastAsia="Arial" w:hAnsi="Arial"/>
          <w:sz w:val="16"/>
          <w:szCs w:val="16"/>
          <w:b w:val="1"/>
          <w:bCs w:val="1"/>
          <w:color w:val="auto"/>
        </w:rPr>
        <w:t>Registration No. 333-212675</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5"/>
          <w:szCs w:val="25"/>
          <w:b w:val="1"/>
          <w:bCs w:val="1"/>
          <w:color w:val="auto"/>
        </w:rPr>
        <w:t>5,000,000 Units</w:t>
      </w:r>
    </w:p>
    <w:p>
      <w:pPr>
        <w:spacing w:after="0" w:line="53" w:lineRule="exact"/>
        <w:rPr>
          <w:sz w:val="24"/>
          <w:szCs w:val="24"/>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38" w:lineRule="exact"/>
        <w:rPr>
          <w:sz w:val="24"/>
          <w:szCs w:val="24"/>
          <w:color w:val="auto"/>
        </w:rPr>
      </w:pPr>
    </w:p>
    <w:p>
      <w:pPr>
        <w:jc w:val="both"/>
        <w:ind w:left="460" w:right="459"/>
        <w:spacing w:after="0" w:line="352"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share of common stock and one warrant. Each warrant entitles the holder thereof to purchase one share of our common stock. The warrants are exercisable at a price of $11.50 per share of common stock, subject to adjustment as described in this prospectus.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up to 21 months from the closing of this offering if we extend the period of time to consummate a business combination, as described in more detail in this prospectus,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46" w:lineRule="exact"/>
        <w:rPr>
          <w:sz w:val="24"/>
          <w:szCs w:val="24"/>
          <w:color w:val="auto"/>
        </w:rPr>
      </w:pPr>
    </w:p>
    <w:p>
      <w:pPr>
        <w:jc w:val="both"/>
        <w:ind w:left="460" w:right="459"/>
        <w:spacing w:after="0" w:line="326" w:lineRule="auto"/>
        <w:rPr>
          <w:sz w:val="20"/>
          <w:szCs w:val="20"/>
          <w:color w:val="auto"/>
        </w:rPr>
      </w:pPr>
      <w:r>
        <w:rPr>
          <w:rFonts w:ascii="Arial" w:cs="Arial" w:eastAsia="Arial" w:hAnsi="Arial"/>
          <w:sz w:val="14"/>
          <w:szCs w:val="14"/>
          <w:color w:val="auto"/>
        </w:rPr>
        <w:t>Our insiders (and/or their designees) have committed to purchase from us an aggregate of 402,500 units, or “private units,” at $10.00 per unit, (for a total purchase price of $4,025,000).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45,000 private units) that is necessary to maintain in the trust account described below an amount equal to $10.30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60" w:lineRule="exact"/>
        <w:rPr>
          <w:sz w:val="24"/>
          <w:szCs w:val="24"/>
          <w:color w:val="auto"/>
        </w:rPr>
      </w:pPr>
    </w:p>
    <w:p>
      <w:pPr>
        <w:jc w:val="both"/>
        <w:ind w:left="460" w:right="459"/>
        <w:spacing w:after="0" w:line="365" w:lineRule="auto"/>
        <w:rPr>
          <w:sz w:val="20"/>
          <w:szCs w:val="20"/>
          <w:color w:val="auto"/>
        </w:rPr>
      </w:pPr>
      <w:r>
        <w:rPr>
          <w:rFonts w:ascii="Arial" w:cs="Arial" w:eastAsia="Arial" w:hAnsi="Arial"/>
          <w:sz w:val="13"/>
          <w:szCs w:val="13"/>
          <w:color w:val="auto"/>
        </w:rPr>
        <w:t>There is presently no public market for our units, shares of common stock or warrants. Our units have been listed on the Nasdaq Capital Market, or Nasdaq, under the symbol “MACQU”. The common stock and warrants comprising the units will begin separate trading on the</w:t>
      </w:r>
    </w:p>
    <w:p>
      <w:pPr>
        <w:spacing w:after="0" w:line="1" w:lineRule="exact"/>
        <w:rPr>
          <w:sz w:val="24"/>
          <w:szCs w:val="24"/>
          <w:color w:val="auto"/>
        </w:rPr>
      </w:pPr>
    </w:p>
    <w:p>
      <w:pPr>
        <w:jc w:val="both"/>
        <w:ind w:left="460" w:right="459"/>
        <w:spacing w:after="0" w:line="299" w:lineRule="auto"/>
        <w:rPr>
          <w:sz w:val="20"/>
          <w:szCs w:val="20"/>
          <w:color w:val="auto"/>
        </w:rPr>
      </w:pPr>
      <w:r>
        <w:rPr>
          <w:rFonts w:ascii="Arial" w:cs="Arial" w:eastAsia="Arial" w:hAnsi="Arial"/>
          <w:sz w:val="14"/>
          <w:szCs w:val="14"/>
          <w:color w:val="auto"/>
        </w:rPr>
        <w:t>90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“MACQ” and “MACQW,” respectively. We cannot assure you that our securities will continue to be listed on Nasdaq after this offering.</w:t>
      </w:r>
    </w:p>
    <w:p>
      <w:pPr>
        <w:spacing w:after="0" w:line="76" w:lineRule="exact"/>
        <w:rPr>
          <w:sz w:val="24"/>
          <w:szCs w:val="24"/>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and therefore will be subject to reduced reporting requirements.</w:t>
      </w:r>
    </w:p>
    <w:p>
      <w:pPr>
        <w:spacing w:after="0" w:line="36" w:lineRule="exact"/>
        <w:rPr>
          <w:sz w:val="24"/>
          <w:szCs w:val="24"/>
          <w:color w:val="auto"/>
        </w:rPr>
      </w:pPr>
    </w:p>
    <w:p>
      <w:pPr>
        <w:jc w:val="both"/>
        <w:ind w:left="460" w:right="459"/>
        <w:spacing w:after="0" w:line="340" w:lineRule="auto"/>
        <w:rPr>
          <w:sz w:val="20"/>
          <w:szCs w:val="20"/>
          <w:color w:val="auto"/>
        </w:rPr>
      </w:pPr>
      <w:r>
        <w:rPr>
          <w:rFonts w:ascii="Arial" w:cs="Arial" w:eastAsia="Arial" w:hAnsi="Arial"/>
          <w:sz w:val="14"/>
          <w:szCs w:val="14"/>
          <w:b w:val="1"/>
          <w:bCs w:val="1"/>
          <w:color w:val="auto"/>
        </w:rPr>
        <w:t>Investing in our securities involves a high degree of risk. See “Risks Factors” beginning on page 20 for a discussion of information that should be considered in connection with an investment in our securities. Investors will not be entitled to protections normally afforded to investors in Rule 419 blank check offerings.</w:t>
      </w:r>
    </w:p>
    <w:p>
      <w:pPr>
        <w:spacing w:after="0" w:line="45" w:lineRule="exact"/>
        <w:rPr>
          <w:sz w:val="24"/>
          <w:szCs w:val="24"/>
          <w:color w:val="auto"/>
        </w:rPr>
      </w:pPr>
    </w:p>
    <w:p>
      <w:pPr>
        <w:jc w:val="both"/>
        <w:ind w:left="460" w:right="459"/>
        <w:spacing w:after="0" w:line="40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87"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Underwriting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80"/>
              </w:rPr>
              <w:t>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61"/>
        </w:trPr>
        <w:tc>
          <w:tcPr>
            <w:tcW w:w="2860" w:type="dxa"/>
            <w:vAlign w:val="bottom"/>
            <w:vMerge w:val="restart"/>
          </w:tcPr>
          <w:p>
            <w:pPr>
              <w:spacing w:after="0"/>
              <w:rPr>
                <w:sz w:val="20"/>
                <w:szCs w:val="20"/>
                <w:color w:val="auto"/>
              </w:rPr>
            </w:pPr>
            <w:r>
              <w:rPr>
                <w:rFonts w:ascii="Arial" w:cs="Arial" w:eastAsia="Arial" w:hAnsi="Arial"/>
                <w:sz w:val="18"/>
                <w:szCs w:val="18"/>
                <w:color w:val="auto"/>
              </w:rPr>
              <w:t>Per Unit</w:t>
            </w:r>
          </w:p>
        </w:tc>
        <w:tc>
          <w:tcPr>
            <w:tcW w:w="202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Price to Public</w:t>
            </w:r>
          </w:p>
        </w:tc>
        <w:tc>
          <w:tcPr>
            <w:tcW w:w="1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4"/>
                <w:szCs w:val="14"/>
                <w:b w:val="1"/>
                <w:bCs w:val="1"/>
                <w:color w:val="auto"/>
                <w:w w:val="81"/>
              </w:rPr>
              <w:t>Commissions</w:t>
            </w:r>
            <w:r>
              <w:rPr>
                <w:rFonts w:ascii="Arial" w:cs="Arial" w:eastAsia="Arial" w:hAnsi="Arial"/>
                <w:sz w:val="17"/>
                <w:szCs w:val="17"/>
                <w:b w:val="1"/>
                <w:bCs w:val="1"/>
                <w:color w:val="auto"/>
                <w:w w:val="81"/>
                <w:vertAlign w:val="superscript"/>
              </w:rPr>
              <w:t>(1)</w:t>
            </w: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Expenses, to us</w:t>
            </w:r>
          </w:p>
        </w:tc>
        <w:tc>
          <w:tcPr>
            <w:tcW w:w="0" w:type="dxa"/>
            <w:vAlign w:val="bottom"/>
          </w:tcPr>
          <w:p>
            <w:pPr>
              <w:spacing w:after="0"/>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0.50</w:t>
            </w:r>
            <w:r>
              <w:rPr>
                <w:rFonts w:ascii="Arial" w:cs="Arial" w:eastAsia="Arial" w:hAnsi="Arial"/>
                <w:sz w:val="8"/>
                <w:szCs w:val="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w w:val="97"/>
              </w:rPr>
              <w:t>2,500,000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47,500,000</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4"/>
                <w:szCs w:val="14"/>
                <w:color w:val="auto"/>
              </w:rPr>
              <w:t>____________</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37" w:lineRule="auto"/>
        <w:tabs>
          <w:tab w:leader="none" w:pos="738" w:val="left"/>
        </w:tabs>
        <w:numPr>
          <w:ilvl w:val="0"/>
          <w:numId w:val="1"/>
        </w:numPr>
        <w:rPr>
          <w:rFonts w:ascii="Arial" w:cs="Arial" w:eastAsia="Arial" w:hAnsi="Arial"/>
          <w:sz w:val="14"/>
          <w:szCs w:val="14"/>
          <w:color w:val="auto"/>
        </w:rPr>
      </w:pPr>
      <w:r>
        <w:rPr>
          <w:rFonts w:ascii="Arial" w:cs="Arial" w:eastAsia="Arial" w:hAnsi="Arial"/>
          <w:sz w:val="14"/>
          <w:szCs w:val="14"/>
          <w:color w:val="auto"/>
        </w:rPr>
        <w:t>Please see the section titled “Underwriting” for further information relating to the underwriting arrangements agreed to between us and the underwriters.</w:t>
      </w:r>
    </w:p>
    <w:p>
      <w:pPr>
        <w:spacing w:after="0" w:line="7" w:lineRule="exact"/>
        <w:rPr>
          <w:rFonts w:ascii="Arial" w:cs="Arial" w:eastAsia="Arial" w:hAnsi="Arial"/>
          <w:sz w:val="14"/>
          <w:szCs w:val="14"/>
          <w:color w:val="auto"/>
        </w:rPr>
      </w:pPr>
    </w:p>
    <w:p>
      <w:pPr>
        <w:jc w:val="both"/>
        <w:ind w:left="780" w:right="459" w:hanging="318"/>
        <w:spacing w:after="0" w:line="360" w:lineRule="auto"/>
        <w:tabs>
          <w:tab w:leader="none" w:pos="765"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27" w:lineRule="exact"/>
        <w:rPr>
          <w:sz w:val="24"/>
          <w:szCs w:val="24"/>
          <w:color w:val="auto"/>
        </w:rPr>
      </w:pPr>
    </w:p>
    <w:p>
      <w:pPr>
        <w:jc w:val="both"/>
        <w:ind w:left="460" w:right="459"/>
        <w:spacing w:after="0" w:line="327" w:lineRule="auto"/>
        <w:rPr>
          <w:sz w:val="20"/>
          <w:szCs w:val="20"/>
          <w:color w:val="auto"/>
        </w:rPr>
      </w:pPr>
      <w:r>
        <w:rPr>
          <w:rFonts w:ascii="Arial" w:cs="Arial" w:eastAsia="Arial" w:hAnsi="Arial"/>
          <w:sz w:val="14"/>
          <w:szCs w:val="14"/>
          <w:color w:val="auto"/>
        </w:rPr>
        <w:t>Upon consummation of the offering, $10.30 per unit sold to the public in this offering (whether or not the underwriters’ over-allotment option has been exercised in full or part) will be deposited into a United States-based trust account at JP Morgan Chase, maintained by American Stock Transfer &amp; Trust Company, LLC,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w:t>
      </w:r>
    </w:p>
    <w:p>
      <w:pPr>
        <w:spacing w:after="0" w:line="45" w:lineRule="exact"/>
        <w:rPr>
          <w:sz w:val="24"/>
          <w:szCs w:val="24"/>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The underwriters are offering the units on a firm commitment basis. Chardan Capital Markets, LLC, acting as the representative of the underwriters, expects to deliver the units to purchasers on or about September 19, 201 6.</w:t>
      </w:r>
    </w:p>
    <w:p>
      <w:pPr>
        <w:sectPr>
          <w:pgSz w:w="11900" w:h="16838" w:orient="portrait"/>
          <w:cols w:equalWidth="0" w:num="1">
            <w:col w:w="9019"/>
          </w:cols>
          <w:pgMar w:left="1440" w:top="558" w:right="1440" w:bottom="0" w:gutter="0" w:footer="0" w:header="0"/>
        </w:sectPr>
      </w:pPr>
    </w:p>
    <w:p>
      <w:pPr>
        <w:spacing w:after="0" w:line="130" w:lineRule="exact"/>
        <w:rPr>
          <w:sz w:val="24"/>
          <w:szCs w:val="24"/>
          <w:color w:val="auto"/>
        </w:rPr>
      </w:pPr>
    </w:p>
    <w:p>
      <w:pPr>
        <w:ind w:left="460"/>
        <w:spacing w:after="0"/>
        <w:rPr>
          <w:sz w:val="20"/>
          <w:szCs w:val="20"/>
          <w:color w:val="auto"/>
        </w:rPr>
      </w:pPr>
      <w:r>
        <w:rPr>
          <w:rFonts w:ascii="Arial" w:cs="Arial" w:eastAsia="Arial" w:hAnsi="Arial"/>
          <w:sz w:val="14"/>
          <w:szCs w:val="14"/>
          <w:b w:val="1"/>
          <w:bCs w:val="1"/>
          <w:i w:val="1"/>
          <w:iCs w:val="1"/>
          <w:color w:val="auto"/>
        </w:rPr>
        <w:t>Sole Book-Running Manager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Co-Manager</w:t>
      </w:r>
    </w:p>
    <w:p>
      <w:pPr>
        <w:spacing w:after="0" w:line="69" w:lineRule="exact"/>
        <w:rPr>
          <w:sz w:val="24"/>
          <w:szCs w:val="24"/>
          <w:color w:val="auto"/>
        </w:rPr>
      </w:pPr>
    </w:p>
    <w:p>
      <w:pPr>
        <w:sectPr>
          <w:pgSz w:w="11900" w:h="16838" w:orient="portrait"/>
          <w:cols w:equalWidth="0" w:num="2">
            <w:col w:w="7000" w:space="720"/>
            <w:col w:w="1299"/>
          </w:cols>
          <w:pgMar w:left="1440" w:top="558" w:right="1440" w:bottom="0" w:gutter="0" w:footer="0" w:header="0"/>
          <w:type w:val="continuous"/>
        </w:sectPr>
      </w:pPr>
    </w:p>
    <w:p>
      <w:pPr>
        <w:ind w:left="460"/>
        <w:spacing w:after="0"/>
        <w:rPr>
          <w:sz w:val="20"/>
          <w:szCs w:val="20"/>
          <w:color w:val="auto"/>
        </w:rPr>
      </w:pPr>
      <w:r>
        <w:rPr>
          <w:rFonts w:ascii="Arial" w:cs="Arial" w:eastAsia="Arial" w:hAnsi="Arial"/>
          <w:sz w:val="23"/>
          <w:szCs w:val="23"/>
          <w:b w:val="1"/>
          <w:bCs w:val="1"/>
          <w:color w:val="auto"/>
        </w:rPr>
        <w:t>Chardan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4"/>
          <w:szCs w:val="24"/>
          <w:b w:val="1"/>
          <w:bCs w:val="1"/>
          <w:color w:val="auto"/>
        </w:rPr>
        <w:t>Maxim Group LLC</w:t>
      </w:r>
    </w:p>
    <w:p>
      <w:pPr>
        <w:spacing w:after="0" w:line="156" w:lineRule="exact"/>
        <w:rPr>
          <w:sz w:val="24"/>
          <w:szCs w:val="24"/>
          <w:color w:val="auto"/>
        </w:rPr>
      </w:pPr>
    </w:p>
    <w:p>
      <w:pPr>
        <w:sectPr>
          <w:pgSz w:w="11900" w:h="16838" w:orient="portrait"/>
          <w:cols w:equalWidth="0" w:num="2">
            <w:col w:w="5720" w:space="720"/>
            <w:col w:w="2579"/>
          </w:cols>
          <w:pgMar w:left="1440" w:top="558" w:right="1440" w:bottom="0" w:gutter="0" w:footer="0" w:header="0"/>
          <w:type w:val="continuous"/>
        </w:sectPr>
      </w:pPr>
    </w:p>
    <w:p>
      <w:pPr>
        <w:ind w:left="7720"/>
        <w:spacing w:after="0"/>
        <w:rPr>
          <w:sz w:val="20"/>
          <w:szCs w:val="20"/>
          <w:color w:val="auto"/>
        </w:rPr>
      </w:pPr>
      <w:r>
        <w:rPr>
          <w:rFonts w:ascii="Arial" w:cs="Arial" w:eastAsia="Arial" w:hAnsi="Arial"/>
          <w:sz w:val="14"/>
          <w:szCs w:val="14"/>
          <w:b w:val="1"/>
          <w:bCs w:val="1"/>
          <w:i w:val="1"/>
          <w:iCs w:val="1"/>
          <w:color w:val="auto"/>
        </w:rPr>
        <w:t>Co-Manager</w:t>
      </w:r>
    </w:p>
    <w:p>
      <w:pPr>
        <w:sectPr>
          <w:pgSz w:w="11900" w:h="16838" w:orient="portrait"/>
          <w:cols w:equalWidth="0" w:num="1">
            <w:col w:w="9019"/>
          </w:cols>
          <w:pgMar w:left="1440" w:top="558" w:right="1440" w:bottom="0" w:gutter="0" w:footer="0" w:header="0"/>
          <w:type w:val="continuous"/>
        </w:sectPr>
      </w:pPr>
    </w:p>
    <w:bookmarkStart w:id="1" w:name="page2"/>
    <w:bookmarkEnd w:id="1"/>
    <w:p>
      <w:pPr>
        <w:jc w:val="right"/>
        <w:ind w:right="459"/>
        <w:spacing w:after="0"/>
        <w:rPr>
          <w:sz w:val="20"/>
          <w:szCs w:val="20"/>
          <w:color w:val="auto"/>
        </w:rPr>
      </w:pPr>
      <w:r>
        <w:rPr>
          <w:rFonts w:ascii="Arial" w:cs="Arial" w:eastAsia="Arial" w:hAnsi="Arial"/>
          <w:sz w:val="25"/>
          <w:szCs w:val="25"/>
          <w:b w:val="1"/>
          <w:bCs w:val="1"/>
          <w:color w:val="auto"/>
        </w:rPr>
        <w:t>I-Bankers Securities, Inc.</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September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273050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center"/>
              <w:ind w:left="730"/>
              <w:spacing w:after="0"/>
              <w:rPr>
                <w:sz w:val="20"/>
                <w:szCs w:val="20"/>
                <w:color w:val="auto"/>
              </w:rPr>
            </w:pPr>
            <w:r>
              <w:rPr>
                <w:rFonts w:ascii="Arial" w:cs="Arial" w:eastAsia="Arial" w:hAnsi="Arial"/>
                <w:sz w:val="16"/>
                <w:szCs w:val="16"/>
                <w:b w:val="1"/>
                <w:bCs w:val="1"/>
                <w:color w:val="auto"/>
                <w:w w:val="96"/>
              </w:rPr>
              <w:t>PAGE</w:t>
            </w:r>
          </w:p>
        </w:tc>
      </w:tr>
      <w:tr>
        <w:trPr>
          <w:trHeight w:val="195"/>
        </w:trPr>
        <w:tc>
          <w:tcPr>
            <w:tcW w:w="6680" w:type="dxa"/>
            <w:vAlign w:val="bottom"/>
            <w:gridSpan w:val="22"/>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260" w:type="dxa"/>
            <w:vAlign w:val="bottom"/>
          </w:tcPr>
          <w:p>
            <w:pPr>
              <w:jc w:val="center"/>
              <w:ind w:left="710"/>
              <w:spacing w:after="0" w:line="195" w:lineRule="exact"/>
              <w:rPr>
                <w:sz w:val="20"/>
                <w:szCs w:val="20"/>
                <w:color w:val="auto"/>
              </w:rPr>
            </w:pPr>
            <w:r>
              <w:rPr>
                <w:rFonts w:ascii="Arial" w:cs="Arial" w:eastAsia="Arial" w:hAnsi="Arial"/>
                <w:sz w:val="18"/>
                <w:szCs w:val="18"/>
                <w:color w:val="auto"/>
                <w:w w:val="99"/>
              </w:rPr>
              <w:t>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SUMMARY FINANCIAL DATA</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19</w:t>
            </w:r>
          </w:p>
        </w:tc>
      </w:tr>
      <w:tr>
        <w:trPr>
          <w:trHeight w:val="237"/>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1180" w:type="dxa"/>
            <w:vAlign w:val="bottom"/>
            <w:tcBorders>
              <w:top w:val="single" w:sz="8" w:color="0000EE"/>
            </w:tcBorders>
            <w:gridSpan w:val="12"/>
          </w:tcPr>
          <w:p>
            <w:pPr>
              <w:spacing w:after="0"/>
              <w:rPr>
                <w:sz w:val="20"/>
                <w:szCs w:val="20"/>
                <w:color w:val="auto"/>
              </w:rPr>
            </w:pPr>
          </w:p>
        </w:tc>
        <w:tc>
          <w:tcPr>
            <w:tcW w:w="4240" w:type="dxa"/>
            <w:vAlign w:val="bottom"/>
            <w:gridSpan w:val="6"/>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20</w:t>
            </w:r>
          </w:p>
        </w:tc>
      </w:tr>
      <w:tr>
        <w:trPr>
          <w:trHeight w:val="237"/>
        </w:trPr>
        <w:tc>
          <w:tcPr>
            <w:tcW w:w="578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CAUTIONARY NOTE REGARDING FORWARD LOOKING STATEMENTS</w:t>
              </w:r>
            </w:hyperlink>
          </w:p>
        </w:tc>
        <w:tc>
          <w:tcPr>
            <w:tcW w:w="900" w:type="dxa"/>
            <w:vAlign w:val="bottom"/>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37</w:t>
            </w:r>
          </w:p>
        </w:tc>
      </w:tr>
      <w:tr>
        <w:trPr>
          <w:trHeight w:val="237"/>
        </w:trPr>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USE OF PROCEEDS</w:t>
              </w:r>
            </w:hyperlink>
          </w:p>
        </w:tc>
        <w:tc>
          <w:tcPr>
            <w:tcW w:w="5080" w:type="dxa"/>
            <w:vAlign w:val="bottom"/>
            <w:gridSpan w:val="12"/>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38</w:t>
            </w:r>
          </w:p>
        </w:tc>
      </w:tr>
      <w:tr>
        <w:trPr>
          <w:trHeight w:val="237"/>
        </w:trPr>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DIVIDEND POLICY</w:t>
              </w:r>
            </w:hyperlink>
          </w:p>
        </w:tc>
        <w:tc>
          <w:tcPr>
            <w:tcW w:w="5100" w:type="dxa"/>
            <w:vAlign w:val="bottom"/>
            <w:gridSpan w:val="13"/>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41</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DILUTION</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42</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CAPITALIZATION</w:t>
              </w:r>
            </w:hyperlink>
          </w:p>
        </w:tc>
        <w:tc>
          <w:tcPr>
            <w:tcW w:w="5200" w:type="dxa"/>
            <w:vAlign w:val="bottom"/>
            <w:gridSpan w:val="14"/>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44</w:t>
            </w:r>
          </w:p>
        </w:tc>
      </w:tr>
      <w:tr>
        <w:trPr>
          <w:trHeight w:val="237"/>
        </w:trPr>
        <w:tc>
          <w:tcPr>
            <w:tcW w:w="66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MANAGEMENT’S DISCUSSION AND ANALYSIS OF FINANCIAL CONDITION AND</w:t>
              </w:r>
            </w:hyperlink>
          </w:p>
        </w:tc>
        <w:tc>
          <w:tcPr>
            <w:tcW w:w="126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650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RESULTS OF OPERATIONS</w:t>
              </w:r>
            </w:hyperlink>
          </w:p>
        </w:tc>
        <w:tc>
          <w:tcPr>
            <w:tcW w:w="1260" w:type="dxa"/>
            <w:vAlign w:val="bottom"/>
          </w:tcPr>
          <w:p>
            <w:pPr>
              <w:jc w:val="center"/>
              <w:ind w:left="710"/>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PROPOSED BUSINESS</w:t>
              </w:r>
            </w:hyperlink>
          </w:p>
        </w:tc>
        <w:tc>
          <w:tcPr>
            <w:tcW w:w="4860" w:type="dxa"/>
            <w:vAlign w:val="bottom"/>
            <w:gridSpan w:val="11"/>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49</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MANAGEMENT</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66</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2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PRINCIPAL STOCKHOLDERS</w:t>
              </w:r>
            </w:hyperlink>
          </w:p>
        </w:tc>
        <w:tc>
          <w:tcPr>
            <w:tcW w:w="4300" w:type="dxa"/>
            <w:vAlign w:val="bottom"/>
            <w:gridSpan w:val="7"/>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73</w:t>
            </w:r>
          </w:p>
        </w:tc>
      </w:tr>
      <w:tr>
        <w:trPr>
          <w:trHeight w:val="237"/>
        </w:trPr>
        <w:tc>
          <w:tcPr>
            <w:tcW w:w="21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CERTAIN TRANSACTIONS</w:t>
              </w:r>
            </w:hyperlink>
          </w:p>
        </w:tc>
        <w:tc>
          <w:tcPr>
            <w:tcW w:w="4500" w:type="dxa"/>
            <w:vAlign w:val="bottom"/>
            <w:gridSpan w:val="9"/>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75</w:t>
            </w:r>
          </w:p>
        </w:tc>
      </w:tr>
      <w:tr>
        <w:trPr>
          <w:trHeight w:val="237"/>
        </w:trPr>
        <w:tc>
          <w:tcPr>
            <w:tcW w:w="25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DESCRIPTION OF SECURITIES</w:t>
              </w:r>
            </w:hyperlink>
          </w:p>
        </w:tc>
        <w:tc>
          <w:tcPr>
            <w:tcW w:w="4160" w:type="dxa"/>
            <w:vAlign w:val="bottom"/>
            <w:gridSpan w:val="5"/>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78</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SHARES ELIGIBLE FOR FUTURE SALE</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83</w:t>
            </w:r>
          </w:p>
        </w:tc>
      </w:tr>
      <w:tr>
        <w:trPr>
          <w:trHeight w:val="237"/>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3"/>
          </w:tcPr>
          <w:p>
            <w:pPr>
              <w:spacing w:after="0"/>
              <w:rPr>
                <w:sz w:val="20"/>
                <w:szCs w:val="20"/>
                <w:color w:val="auto"/>
              </w:rPr>
            </w:pPr>
          </w:p>
        </w:tc>
        <w:tc>
          <w:tcPr>
            <w:tcW w:w="3500" w:type="dxa"/>
            <w:vAlign w:val="bottom"/>
            <w:gridSpan w:val="3"/>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85</w:t>
            </w:r>
          </w:p>
        </w:tc>
      </w:tr>
      <w:tr>
        <w:trPr>
          <w:trHeight w:val="237"/>
        </w:trPr>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LEGAL MATTERS</w:t>
              </w:r>
            </w:hyperlink>
          </w:p>
        </w:tc>
        <w:tc>
          <w:tcPr>
            <w:tcW w:w="5220" w:type="dxa"/>
            <w:vAlign w:val="bottom"/>
            <w:gridSpan w:val="15"/>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92</w:t>
            </w:r>
          </w:p>
        </w:tc>
      </w:tr>
      <w:tr>
        <w:trPr>
          <w:trHeight w:val="237"/>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EXPERTS</w:t>
              </w:r>
            </w:hyperlink>
          </w:p>
        </w:tc>
        <w:tc>
          <w:tcPr>
            <w:tcW w:w="5900" w:type="dxa"/>
            <w:vAlign w:val="bottom"/>
            <w:gridSpan w:val="20"/>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92</w:t>
            </w:r>
          </w:p>
        </w:tc>
      </w:tr>
      <w:tr>
        <w:trPr>
          <w:trHeight w:val="237"/>
        </w:trPr>
        <w:tc>
          <w:tcPr>
            <w:tcW w:w="44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6">
              <w:r>
                <w:rPr>
                  <w:rFonts w:ascii="Arial" w:cs="Arial" w:eastAsia="Arial" w:hAnsi="Arial"/>
                  <w:sz w:val="18"/>
                  <w:szCs w:val="18"/>
                  <w:color w:val="0000EE"/>
                  <w:w w:val="98"/>
                </w:rPr>
                <w:t>WHERE YOU CAN FIND ADDITIONAL INFORMATION</w:t>
              </w:r>
            </w:hyperlink>
          </w:p>
        </w:tc>
        <w:tc>
          <w:tcPr>
            <w:tcW w:w="2260" w:type="dxa"/>
            <w:vAlign w:val="bottom"/>
            <w:gridSpan w:val="2"/>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92</w:t>
            </w:r>
          </w:p>
        </w:tc>
      </w:tr>
      <w:tr>
        <w:trPr>
          <w:trHeight w:val="237"/>
        </w:trPr>
        <w:tc>
          <w:tcPr>
            <w:tcW w:w="3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INDEX TO FINANCIAL STATEMENTS</w:t>
              </w:r>
            </w:hyperlink>
          </w:p>
        </w:tc>
        <w:tc>
          <w:tcPr>
            <w:tcW w:w="3640" w:type="dxa"/>
            <w:vAlign w:val="bottom"/>
            <w:gridSpan w:val="4"/>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96"/>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-3352800</wp:posOffset>
            </wp:positionV>
            <wp:extent cx="574675" cy="3395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 cy="339598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PROSPECTUS SUMMARY</w:t>
      </w:r>
    </w:p>
    <w:p>
      <w:pPr>
        <w:spacing w:after="0" w:line="189"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98" w:lineRule="exact"/>
        <w:rPr>
          <w:sz w:val="20"/>
          <w:szCs w:val="20"/>
          <w:color w:val="auto"/>
        </w:rPr>
      </w:pPr>
    </w:p>
    <w:p>
      <w:pPr>
        <w:ind w:left="1160" w:hanging="28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184" w:lineRule="exact"/>
        <w:rPr>
          <w:rFonts w:ascii="Arial" w:cs="Arial" w:eastAsia="Arial" w:hAnsi="Arial"/>
          <w:sz w:val="18"/>
          <w:szCs w:val="18"/>
          <w:color w:val="auto"/>
        </w:rPr>
      </w:pPr>
    </w:p>
    <w:p>
      <w:pPr>
        <w:jc w:val="both"/>
        <w:ind w:left="1200" w:right="539" w:hanging="324"/>
        <w:spacing w:after="0" w:line="259" w:lineRule="auto"/>
        <w:tabs>
          <w:tab w:leader="none" w:pos="118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not exercised in full or in part;</w:t>
      </w:r>
    </w:p>
    <w:p>
      <w:pPr>
        <w:spacing w:after="0" w:line="146" w:lineRule="exact"/>
        <w:rPr>
          <w:rFonts w:ascii="Arial" w:cs="Arial" w:eastAsia="Arial" w:hAnsi="Arial"/>
          <w:sz w:val="18"/>
          <w:szCs w:val="18"/>
          <w:color w:val="auto"/>
        </w:rPr>
      </w:pPr>
    </w:p>
    <w:p>
      <w:pPr>
        <w:jc w:val="both"/>
        <w:ind w:left="1200" w:right="539" w:hanging="324"/>
        <w:spacing w:after="0" w:line="279" w:lineRule="auto"/>
        <w:tabs>
          <w:tab w:leader="none" w:pos="1168"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“private units” refer to the 402,500 units (or 447,500 units if the over-allotment option is exercised in full) we are selling privately to our insiders (and/or their designees) upon consummation of this offering and references to “private shares” and “private warrants” refers to the shares of common stock and warrants, respectively, included within the private units;</w:t>
      </w:r>
    </w:p>
    <w:p>
      <w:pPr>
        <w:spacing w:after="0" w:line="144" w:lineRule="exact"/>
        <w:rPr>
          <w:rFonts w:ascii="Arial" w:cs="Arial" w:eastAsia="Arial" w:hAnsi="Arial"/>
          <w:sz w:val="17"/>
          <w:szCs w:val="17"/>
          <w:color w:val="auto"/>
        </w:rPr>
      </w:pPr>
    </w:p>
    <w:p>
      <w:pPr>
        <w:ind w:left="1160" w:hanging="28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184" w:lineRule="exact"/>
        <w:rPr>
          <w:rFonts w:ascii="Arial" w:cs="Arial" w:eastAsia="Arial" w:hAnsi="Arial"/>
          <w:sz w:val="18"/>
          <w:szCs w:val="18"/>
          <w:color w:val="auto"/>
        </w:rPr>
      </w:pPr>
    </w:p>
    <w:p>
      <w:pPr>
        <w:jc w:val="both"/>
        <w:ind w:left="1200" w:right="539" w:hanging="324"/>
        <w:spacing w:after="0" w:line="257" w:lineRule="auto"/>
        <w:tabs>
          <w:tab w:leader="none" w:pos="11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47" w:lineRule="exact"/>
        <w:rPr>
          <w:rFonts w:ascii="Arial" w:cs="Arial" w:eastAsia="Arial" w:hAnsi="Arial"/>
          <w:sz w:val="18"/>
          <w:szCs w:val="18"/>
          <w:color w:val="auto"/>
        </w:rPr>
      </w:pPr>
    </w:p>
    <w:p>
      <w:pPr>
        <w:ind w:left="1200" w:right="559" w:hanging="324"/>
        <w:spacing w:after="0" w:line="277" w:lineRule="auto"/>
        <w:tabs>
          <w:tab w:leader="none" w:pos="11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143" w:lineRule="exact"/>
        <w:rPr>
          <w:rFonts w:ascii="Arial" w:cs="Arial" w:eastAsia="Arial" w:hAnsi="Arial"/>
          <w:sz w:val="18"/>
          <w:szCs w:val="18"/>
          <w:color w:val="auto"/>
        </w:rPr>
      </w:pPr>
    </w:p>
    <w:p>
      <w:pPr>
        <w:ind w:left="1160" w:hanging="28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185"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Except as specifically provided otherwise, the information in this prospectus assumes that the underwriters will not exercise their over-allotment option.</w:t>
      </w:r>
    </w:p>
    <w:p>
      <w:pPr>
        <w:spacing w:after="0" w:line="130"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2" w:lineRule="exact"/>
        <w:rPr>
          <w:sz w:val="20"/>
          <w:szCs w:val="20"/>
          <w:color w:val="auto"/>
        </w:rPr>
      </w:pPr>
    </w:p>
    <w:p>
      <w:pPr>
        <w:jc w:val="both"/>
        <w:ind w:left="560" w:right="539"/>
        <w:spacing w:after="0" w:line="254" w:lineRule="auto"/>
        <w:rPr>
          <w:sz w:val="20"/>
          <w:szCs w:val="20"/>
          <w:color w:val="auto"/>
        </w:rPr>
      </w:pPr>
      <w:r>
        <w:rPr>
          <w:rFonts w:ascii="Arial" w:cs="Arial" w:eastAsia="Arial" w:hAnsi="Arial"/>
          <w:sz w:val="18"/>
          <w:szCs w:val="18"/>
          <w:color w:val="auto"/>
        </w:rPr>
        <w:t>Our executive officers and directors have extensive experience in technology, media and telecommunications industries as managers, principals, advisors or directors of companies operating in those industries.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w:t>
      </w:r>
    </w:p>
    <w:p>
      <w:pPr>
        <w:sectPr>
          <w:pgSz w:w="11900" w:h="16838" w:orient="portrait"/>
          <w:cols w:equalWidth="0" w:num="1">
            <w:col w:w="9019"/>
          </w:cols>
          <w:pgMar w:left="1440" w:top="540"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4" w:name="page5"/>
    <w:bookmarkEnd w:id="4"/>
    <w:p>
      <w:pPr>
        <w:jc w:val="both"/>
        <w:ind w:left="56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69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9169400"/>
                    </a:xfrm>
                    <a:prstGeom prst="rect">
                      <a:avLst/>
                    </a:prstGeom>
                    <a:noFill/>
                  </pic:spPr>
                </pic:pic>
              </a:graphicData>
            </a:graphic>
          </wp:anchor>
        </w:drawing>
        <w:t>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w:t>
      </w:r>
    </w:p>
    <w:p>
      <w:pPr>
        <w:spacing w:after="0" w:line="124"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54"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our initial business combination cannot be determined at this time.</w:t>
      </w:r>
    </w:p>
    <w:p>
      <w:pPr>
        <w:spacing w:after="0" w:line="153" w:lineRule="exact"/>
        <w:rPr>
          <w:sz w:val="20"/>
          <w:szCs w:val="20"/>
          <w:color w:val="auto"/>
        </w:rPr>
      </w:pPr>
    </w:p>
    <w:p>
      <w:pPr>
        <w:jc w:val="both"/>
        <w:ind w:left="560" w:right="539"/>
        <w:spacing w:after="0" w:line="284" w:lineRule="auto"/>
        <w:rPr>
          <w:sz w:val="20"/>
          <w:szCs w:val="20"/>
          <w:color w:val="auto"/>
        </w:rPr>
      </w:pPr>
      <w:r>
        <w:rPr>
          <w:rFonts w:ascii="Arial" w:cs="Arial" w:eastAsia="Arial" w:hAnsi="Arial"/>
          <w:sz w:val="16"/>
          <w:szCs w:val="16"/>
          <w:color w:val="auto"/>
        </w:rPr>
        <w:t>We will have until 18 months from the closing of this offering to consummate our initial business combination.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American Stock Transfer &amp; Trust Company, LLC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tax purposes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200" w:lineRule="exact"/>
        <w:rPr>
          <w:sz w:val="20"/>
          <w:szCs w:val="20"/>
          <w:color w:val="auto"/>
        </w:rPr>
      </w:pPr>
    </w:p>
    <w:p>
      <w:pPr>
        <w:spacing w:after="0" w:line="364"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61"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7"/>
          <w:szCs w:val="17"/>
          <w:color w:val="auto"/>
        </w:rPr>
        <w:t>The initial per public share redemption or conversion price will be $10.30 per share, regardless of whether the over-allotment option is exercised. However, we may not be able to distribute such amounts as a result of claims of creditors which may take priority over the claims of our public stockholders.</w:t>
      </w:r>
    </w:p>
    <w:p>
      <w:pPr>
        <w:sectPr>
          <w:pgSz w:w="11900" w:h="16838" w:orient="portrait"/>
          <w:cols w:equalWidth="0" w:num="1">
            <w:col w:w="9019"/>
          </w:cols>
          <w:pgMar w:left="1440" w:top="503"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5" w:name="page6"/>
    <w:bookmarkEnd w:id="5"/>
    <w:p>
      <w:pPr>
        <w:jc w:val="both"/>
        <w:ind w:left="560" w:right="53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766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850" cy="8766810"/>
                    </a:xfrm>
                    <a:prstGeom prst="rect">
                      <a:avLst/>
                    </a:prstGeom>
                    <a:noFill/>
                  </pic:spPr>
                </pic:pic>
              </a:graphicData>
            </a:graphic>
          </wp:anchor>
        </w:drawing>
        <w:t>Pursuant to the rules of the Nasdaq Stock Market, our initial business combination must occur with one or more target businesses having an aggregate fair market value of at least 80% of the value of the trust account (excluding any deferred underwriter’s fees and taxes payable on the income earned on the trust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 If we are no longer listed on Nasdaq, we will not be required to satisfy the 80% test.</w:t>
      </w:r>
    </w:p>
    <w:p>
      <w:pPr>
        <w:spacing w:after="0" w:line="12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w:t>
      </w:r>
    </w:p>
    <w:p>
      <w:pPr>
        <w:spacing w:after="0" w:line="163"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53"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66" w:lineRule="exact"/>
        <w:rPr>
          <w:sz w:val="20"/>
          <w:szCs w:val="20"/>
          <w:color w:val="auto"/>
        </w:rPr>
      </w:pPr>
    </w:p>
    <w:p>
      <w:pPr>
        <w:jc w:val="both"/>
        <w:ind w:left="560" w:right="539"/>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w:t>
      </w:r>
      <w:r>
        <w:rPr>
          <w:rFonts w:ascii="Arial" w:cs="Arial" w:eastAsia="Arial" w:hAnsi="Arial"/>
          <w:sz w:val="8"/>
          <w:szCs w:val="8"/>
          <w:color w:val="auto"/>
        </w:rPr>
        <w:t>th</w:t>
      </w:r>
      <w:r>
        <w:rPr>
          <w:rFonts w:ascii="Arial" w:cs="Arial" w:eastAsia="Arial" w:hAnsi="Arial"/>
          <w:sz w:val="18"/>
          <w:szCs w:val="18"/>
          <w:color w:val="auto"/>
        </w:rPr>
        <w:t>, and (2) the date on which we have issued more than $1.0 billion in non-convertible debt during the prior three-year period. References herein to “emerging growth company” shall have the meaning associated with it in the JOBS Act.</w:t>
      </w:r>
    </w:p>
    <w:p>
      <w:pPr>
        <w:sectPr>
          <w:pgSz w:w="11900" w:h="16838" w:orient="portrait"/>
          <w:cols w:equalWidth="0" w:num="1">
            <w:col w:w="9019"/>
          </w:cols>
          <w:pgMar w:left="1440" w:top="50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09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8809355"/>
                    </a:xfrm>
                    <a:prstGeom prst="rect">
                      <a:avLst/>
                    </a:prstGeom>
                    <a:noFill/>
                  </pic:spPr>
                </pic:pic>
              </a:graphicData>
            </a:graphic>
          </wp:anchor>
        </w:drawing>
        <w:t>Private Placements</w:t>
      </w:r>
    </w:p>
    <w:p>
      <w:pPr>
        <w:spacing w:after="0" w:line="189"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2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w:t>
      </w:r>
    </w:p>
    <w:p>
      <w:pPr>
        <w:spacing w:after="0" w:line="16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On the date of this prospectus, the insider shares will be placed into an escrow account maintained in New York, New York by American Stock Transfer &amp; Trust Company, LLC,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48"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In addition, M SPAC LLC, M SPAC Holdings I LLC and M SPAC Holdings II LLC, entities controlled by Joshua Sason, our Chief Executive Officer, (and/or its designees) has committed to purchase an aggregate of 402,500 private units at a price of $10.00 per unit ($4,025,000 in the aggregate) in a private placement that will occur simultaneously with the closing of this offering. M SPAC LLC, M SPAC Holdings I LLC and M SPAC Holdings II LLC have also agreed that if the over-allotment option is exercised by the underwriters,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the trust account.</w:t>
      </w:r>
    </w:p>
    <w:p>
      <w:pPr>
        <w:sectPr>
          <w:pgSz w:w="11900" w:h="16838" w:orient="portrait"/>
          <w:cols w:equalWidth="0" w:num="1">
            <w:col w:w="9019"/>
          </w:cols>
          <w:pgMar w:left="1440" w:top="540"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7" w:name="page8"/>
    <w:bookmarkEnd w:id="7"/>
    <w:p>
      <w:pPr>
        <w:jc w:val="both"/>
        <w:ind w:left="560" w:right="53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444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4444365"/>
                    </a:xfrm>
                    <a:prstGeom prst="rect">
                      <a:avLst/>
                    </a:prstGeom>
                    <a:noFill/>
                  </pic:spPr>
                </pic:pic>
              </a:graphicData>
            </a:graphic>
          </wp:anchor>
        </w:drawing>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45" w:lineRule="exact"/>
        <w:rPr>
          <w:sz w:val="20"/>
          <w:szCs w:val="20"/>
          <w:color w:val="auto"/>
        </w:rPr>
      </w:pPr>
    </w:p>
    <w:p>
      <w:pPr>
        <w:jc w:val="both"/>
        <w:ind w:left="560" w:right="559"/>
        <w:spacing w:after="0" w:line="259" w:lineRule="auto"/>
        <w:rPr>
          <w:sz w:val="20"/>
          <w:szCs w:val="20"/>
          <w:color w:val="auto"/>
        </w:rPr>
      </w:pPr>
      <w:r>
        <w:rPr>
          <w:rFonts w:ascii="Arial" w:cs="Arial" w:eastAsia="Arial" w:hAnsi="Arial"/>
          <w:sz w:val="18"/>
          <w:szCs w:val="18"/>
          <w:color w:val="auto"/>
        </w:rPr>
        <w:t>We have also agreed to sell to Chardan Capital Markets, LLC (and/or its designees), for $100, an option to purchase up to a total of 300,000 units exercisable at $12.00 per unit (or an aggregate exercise price of $3,600,000) commencing on the later of the consummation of a business combination and six months from the date of this prospectus.</w:t>
      </w:r>
    </w:p>
    <w:p>
      <w:pPr>
        <w:spacing w:after="0" w:line="173" w:lineRule="exact"/>
        <w:rPr>
          <w:sz w:val="20"/>
          <w:szCs w:val="20"/>
          <w:color w:val="auto"/>
        </w:rPr>
      </w:pPr>
    </w:p>
    <w:p>
      <w:pPr>
        <w:jc w:val="both"/>
        <w:ind w:left="560" w:right="539"/>
        <w:spacing w:after="0" w:line="277" w:lineRule="auto"/>
        <w:rPr>
          <w:sz w:val="20"/>
          <w:szCs w:val="20"/>
          <w:color w:val="auto"/>
        </w:rPr>
      </w:pPr>
      <w:r>
        <w:rPr>
          <w:rFonts w:ascii="Arial" w:cs="Arial" w:eastAsia="Arial" w:hAnsi="Arial"/>
          <w:sz w:val="18"/>
          <w:szCs w:val="18"/>
          <w:color w:val="auto"/>
        </w:rPr>
        <w:t>Our executive offices are located at 40 Wall Street, 58</w:t>
      </w:r>
      <w:r>
        <w:rPr>
          <w:rFonts w:ascii="Arial" w:cs="Arial" w:eastAsia="Arial" w:hAnsi="Arial"/>
          <w:sz w:val="8"/>
          <w:szCs w:val="8"/>
          <w:color w:val="auto"/>
        </w:rPr>
        <w:t>th</w:t>
      </w:r>
      <w:r>
        <w:rPr>
          <w:rFonts w:ascii="Arial" w:cs="Arial" w:eastAsia="Arial" w:hAnsi="Arial"/>
          <w:sz w:val="18"/>
          <w:szCs w:val="18"/>
          <w:color w:val="auto"/>
        </w:rPr>
        <w:t xml:space="preserve"> Floor, New York, NY 10005 and our telephone number is (347) 491-4240.</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18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8818245"/>
                    </a:xfrm>
                    <a:prstGeom prst="rect">
                      <a:avLst/>
                    </a:prstGeom>
                    <a:noFill/>
                  </pic:spPr>
                </pic:pic>
              </a:graphicData>
            </a:graphic>
          </wp:anchor>
        </w:drawing>
        <w:t>The Offering</w:t>
      </w:r>
    </w:p>
    <w:p>
      <w:pPr>
        <w:spacing w:after="0" w:line="189"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pacing w:after="0" w:line="134" w:lineRule="exact"/>
        <w:rPr>
          <w:sz w:val="20"/>
          <w:szCs w:val="20"/>
          <w:color w:val="auto"/>
        </w:rPr>
      </w:pPr>
    </w:p>
    <w:p>
      <w:pPr>
        <w:ind w:left="560"/>
        <w:spacing w:after="0"/>
        <w:tabs>
          <w:tab w:leader="none" w:pos="362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5,000,000 Units, at $10.00 per unit, each unit consisting of one</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share of common stock and one warrant entitling the holder</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thereof to purchase one share of our common stock at a price of</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$11.50 per share, subject to adjustment as described in this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prospectus.</w:t>
      </w:r>
    </w:p>
    <w:p>
      <w:pPr>
        <w:spacing w:after="0" w:line="234" w:lineRule="exact"/>
        <w:rPr>
          <w:sz w:val="20"/>
          <w:szCs w:val="20"/>
          <w:color w:val="auto"/>
        </w:rPr>
      </w:pPr>
    </w:p>
    <w:p>
      <w:pPr>
        <w:ind w:left="560"/>
        <w:spacing w:after="0"/>
        <w:tabs>
          <w:tab w:leader="none" w:pos="3620" w:val="left"/>
        </w:tabs>
        <w:rPr>
          <w:sz w:val="20"/>
          <w:szCs w:val="20"/>
          <w:color w:val="auto"/>
        </w:rPr>
      </w:pPr>
      <w:r>
        <w:rPr>
          <w:rFonts w:ascii="Arial" w:cs="Arial" w:eastAsia="Arial" w:hAnsi="Arial"/>
          <w:sz w:val="18"/>
          <w:szCs w:val="18"/>
          <w:b w:val="1"/>
          <w:bCs w:val="1"/>
          <w:color w:val="auto"/>
        </w:rPr>
        <w:t>Proposed Nasdaq symbols</w:t>
      </w:r>
      <w:r>
        <w:rPr>
          <w:sz w:val="20"/>
          <w:szCs w:val="20"/>
          <w:color w:val="auto"/>
        </w:rPr>
        <w:tab/>
      </w:r>
      <w:r>
        <w:rPr>
          <w:rFonts w:ascii="Arial" w:cs="Arial" w:eastAsia="Arial" w:hAnsi="Arial"/>
          <w:sz w:val="16"/>
          <w:szCs w:val="16"/>
          <w:color w:val="auto"/>
        </w:rPr>
        <w:t>The units and the shares of common stock and warrants, once they</w:t>
      </w:r>
    </w:p>
    <w:p>
      <w:pPr>
        <w:spacing w:after="0" w:line="27" w:lineRule="exact"/>
        <w:rPr>
          <w:sz w:val="20"/>
          <w:szCs w:val="20"/>
          <w:color w:val="auto"/>
        </w:rPr>
      </w:pPr>
    </w:p>
    <w:p>
      <w:pPr>
        <w:ind w:left="3640" w:right="559"/>
        <w:spacing w:after="0" w:line="261" w:lineRule="auto"/>
        <w:rPr>
          <w:sz w:val="20"/>
          <w:szCs w:val="20"/>
          <w:color w:val="auto"/>
        </w:rPr>
      </w:pPr>
      <w:r>
        <w:rPr>
          <w:rFonts w:ascii="Arial" w:cs="Arial" w:eastAsia="Arial" w:hAnsi="Arial"/>
          <w:sz w:val="18"/>
          <w:szCs w:val="18"/>
          <w:color w:val="auto"/>
        </w:rPr>
        <w:t>begin separate trading, will be listed on Nasdaq under the symbols “MACQU,” “MACQ” and “MACQW,” respectively.</w:t>
      </w:r>
    </w:p>
    <w:p>
      <w:pPr>
        <w:sectPr>
          <w:pgSz w:w="11900" w:h="16838" w:orient="portrait"/>
          <w:cols w:equalWidth="0" w:num="1">
            <w:col w:w="9019"/>
          </w:cols>
          <w:pgMar w:left="1440" w:top="540" w:right="1440" w:bottom="1440" w:gutter="0" w:footer="0" w:header="0"/>
        </w:sectPr>
      </w:pPr>
    </w:p>
    <w:p>
      <w:pPr>
        <w:spacing w:after="0" w:line="207" w:lineRule="exact"/>
        <w:rPr>
          <w:sz w:val="20"/>
          <w:szCs w:val="20"/>
          <w:color w:val="auto"/>
        </w:rPr>
      </w:pPr>
    </w:p>
    <w:p>
      <w:pPr>
        <w:ind w:left="740" w:hanging="179"/>
        <w:spacing w:after="0" w:line="266"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w:t>
      </w:r>
      <w:r>
        <w:rPr>
          <w:rFonts w:ascii="Arial" w:cs="Arial" w:eastAsia="Arial" w:hAnsi="Arial"/>
          <w:sz w:val="7"/>
          <w:szCs w:val="7"/>
          <w:color w:val="auto"/>
        </w:rPr>
        <w:t>th</w:t>
      </w:r>
      <w:r>
        <w:rPr>
          <w:rFonts w:ascii="Arial" w:cs="Arial" w:eastAsia="Arial" w:hAnsi="Arial"/>
          <w:sz w:val="16"/>
          <w:szCs w:val="16"/>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sheet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w:t>
      </w:r>
      <w:r>
        <w:rPr>
          <w:rFonts w:ascii="Arial" w:cs="Arial" w:eastAsia="Arial" w:hAnsi="Arial"/>
          <w:sz w:val="7"/>
          <w:szCs w:val="7"/>
          <w:color w:val="auto"/>
        </w:rPr>
        <w:t>th</w:t>
      </w:r>
      <w:r>
        <w:rPr>
          <w:rFonts w:ascii="Arial" w:cs="Arial" w:eastAsia="Arial" w:hAnsi="Arial"/>
          <w:sz w:val="16"/>
          <w:szCs w:val="16"/>
          <w:color w:val="auto"/>
        </w:rPr>
        <w:t xml:space="preserve"> day after the date of this prospectus.</w:t>
      </w:r>
    </w:p>
    <w:p>
      <w:pPr>
        <w:spacing w:after="0" w:line="646" w:lineRule="exact"/>
        <w:rPr>
          <w:sz w:val="20"/>
          <w:szCs w:val="20"/>
          <w:color w:val="auto"/>
        </w:rPr>
      </w:pPr>
    </w:p>
    <w:p>
      <w:pPr>
        <w:sectPr>
          <w:pgSz w:w="11900" w:h="16838" w:orient="portrait"/>
          <w:cols w:equalWidth="0" w:num="2">
            <w:col w:w="3440" w:space="200"/>
            <w:col w:w="5379"/>
          </w:cols>
          <w:pgMar w:left="1440" w:top="540" w:right="1440" w:bottom="1440" w:gutter="0" w:footer="0" w:header="0"/>
          <w:type w:val="continuous"/>
        </w:sectPr>
      </w:pP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Number outstanding before this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9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41"/>
        </w:trPr>
        <w:tc>
          <w:tcPr>
            <w:tcW w:w="3020" w:type="dxa"/>
            <w:vAlign w:val="bottom"/>
          </w:tcPr>
          <w:p>
            <w:pPr>
              <w:spacing w:after="0"/>
              <w:rPr>
                <w:sz w:val="20"/>
                <w:szCs w:val="20"/>
                <w:color w:val="auto"/>
              </w:rPr>
            </w:pPr>
            <w:r>
              <w:rPr>
                <w:rFonts w:ascii="Arial" w:cs="Arial" w:eastAsia="Arial" w:hAnsi="Arial"/>
                <w:sz w:val="18"/>
                <w:szCs w:val="18"/>
                <w:b w:val="1"/>
                <w:bCs w:val="1"/>
                <w:color w:val="auto"/>
                <w:w w:val="91"/>
              </w:rPr>
              <w:t>Number outstanding after this offering</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w w:val="84"/>
              </w:rPr>
              <w:t>5,402,500</w:t>
            </w:r>
            <w:r>
              <w:rPr>
                <w:rFonts w:ascii="Arial" w:cs="Arial" w:eastAsia="Arial" w:hAnsi="Arial"/>
                <w:sz w:val="30"/>
                <w:szCs w:val="30"/>
                <w:color w:val="auto"/>
                <w:w w:val="84"/>
                <w:vertAlign w:val="superscript"/>
              </w:rPr>
              <w:t>(1)</w:t>
            </w: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r>
              <w:rPr>
                <w:rFonts w:ascii="Arial" w:cs="Arial" w:eastAsia="Arial" w:hAnsi="Arial"/>
                <w:sz w:val="18"/>
                <w:szCs w:val="18"/>
                <w:b w:val="1"/>
                <w:bCs w:val="1"/>
                <w:color w:val="auto"/>
              </w:rPr>
              <w:t>and sale of private units</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8"/>
          <w:szCs w:val="18"/>
          <w:color w:val="auto"/>
        </w:rPr>
        <w:t>____________</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 Assumes the over-allotment option has not been exercised.</w:t>
      </w:r>
    </w:p>
    <w:p>
      <w:pPr>
        <w:sectPr>
          <w:pgSz w:w="11900" w:h="16838" w:orient="portrait"/>
          <w:cols w:equalWidth="0" w:num="1">
            <w:col w:w="9019"/>
          </w:cols>
          <w:pgMar w:left="1440" w:top="540"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ind w:left="560"/>
        <w:spacing w:after="0"/>
        <w:rPr>
          <w:sz w:val="20"/>
          <w:szCs w:val="20"/>
          <w:color w:val="auto"/>
        </w:rPr>
      </w:pPr>
      <w:r>
        <w:rPr>
          <w:rFonts w:ascii="Arial" w:cs="Arial" w:eastAsia="Arial" w:hAnsi="Arial"/>
          <w:sz w:val="18"/>
          <w:szCs w:val="18"/>
          <w:b w:val="1"/>
          <w:bCs w:val="1"/>
          <w:color w:val="auto"/>
        </w:rPr>
        <w:t>Shares of common stock:</w:t>
      </w:r>
    </w:p>
    <w:p>
      <w:pPr>
        <w:spacing w:after="0" w:line="3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Warrants included as part of units: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1,437,500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-450850</wp:posOffset>
            </wp:positionV>
            <wp:extent cx="5149850" cy="10035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1003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6,652,500 shares</w:t>
      </w:r>
      <w:r>
        <w:rPr>
          <w:rFonts w:ascii="Arial" w:cs="Arial" w:eastAsia="Arial" w:hAnsi="Arial"/>
          <w:sz w:val="24"/>
          <w:szCs w:val="24"/>
          <w:color w:val="auto"/>
          <w:vertAlign w:val="superscript"/>
        </w:rPr>
        <w:t>(3)</w:t>
      </w:r>
    </w:p>
    <w:p>
      <w:pPr>
        <w:spacing w:after="0" w:line="599" w:lineRule="exact"/>
        <w:rPr>
          <w:sz w:val="20"/>
          <w:szCs w:val="20"/>
          <w:color w:val="auto"/>
        </w:rPr>
      </w:pPr>
    </w:p>
    <w:p>
      <w:pPr>
        <w:sectPr>
          <w:pgSz w:w="11900" w:h="16838" w:orient="portrait"/>
          <w:cols w:equalWidth="0" w:num="2">
            <w:col w:w="3500" w:space="140"/>
            <w:col w:w="5379"/>
          </w:cols>
          <w:pgMar w:left="1440" w:top="324" w:right="1440" w:bottom="0" w:gutter="0" w:footer="0" w:header="0"/>
        </w:sectPr>
      </w:pPr>
    </w:p>
    <w:p>
      <w:pPr>
        <w:spacing w:after="0" w:line="11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right="160" w:hanging="179"/>
        <w:spacing w:after="0" w:line="261" w:lineRule="auto"/>
        <w:rPr>
          <w:sz w:val="20"/>
          <w:szCs w:val="20"/>
          <w:color w:val="auto"/>
        </w:rPr>
      </w:pPr>
      <w:r>
        <w:rPr>
          <w:rFonts w:ascii="Arial" w:cs="Arial" w:eastAsia="Arial" w:hAnsi="Arial"/>
          <w:sz w:val="18"/>
          <w:szCs w:val="18"/>
          <w:b w:val="1"/>
          <w:bCs w:val="1"/>
          <w:color w:val="auto"/>
        </w:rPr>
        <w:t>Number of private warrants to be sold as</w:t>
      </w:r>
    </w:p>
    <w:p>
      <w:pPr>
        <w:ind w:left="920"/>
        <w:spacing w:after="0" w:line="302" w:lineRule="auto"/>
        <w:rPr>
          <w:sz w:val="20"/>
          <w:szCs w:val="20"/>
          <w:color w:val="auto"/>
        </w:rPr>
      </w:pPr>
      <w:r>
        <w:rPr>
          <w:rFonts w:ascii="Arial" w:cs="Arial" w:eastAsia="Arial" w:hAnsi="Arial"/>
          <w:sz w:val="16"/>
          <w:szCs w:val="16"/>
          <w:b w:val="1"/>
          <w:bCs w:val="1"/>
          <w:color w:val="auto"/>
        </w:rPr>
        <w:t>part of the private units in a private placement simultaneously with this offering</w:t>
      </w:r>
    </w:p>
    <w:p>
      <w:pPr>
        <w:spacing w:after="0" w:line="21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68" w:lineRule="exact"/>
        <w:rPr>
          <w:sz w:val="20"/>
          <w:szCs w:val="20"/>
          <w:color w:val="auto"/>
        </w:rPr>
      </w:pPr>
    </w:p>
    <w:p>
      <w:pPr>
        <w:ind w:left="740" w:right="60" w:hanging="179"/>
        <w:spacing w:after="0" w:line="282" w:lineRule="auto"/>
        <w:rPr>
          <w:sz w:val="20"/>
          <w:szCs w:val="20"/>
          <w:color w:val="auto"/>
        </w:rPr>
      </w:pPr>
      <w:r>
        <w:rPr>
          <w:rFonts w:ascii="Arial" w:cs="Arial" w:eastAsia="Arial" w:hAnsi="Arial"/>
          <w:sz w:val="18"/>
          <w:szCs w:val="18"/>
          <w:b w:val="1"/>
          <w:bCs w:val="1"/>
          <w:color w:val="auto"/>
        </w:rPr>
        <w:t>Exercise price of public warrants and private warrants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Exercise Period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402,500 warrants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5,402,500 warrants</w:t>
      </w:r>
      <w:r>
        <w:rPr>
          <w:rFonts w:ascii="Arial" w:cs="Arial" w:eastAsia="Arial" w:hAnsi="Arial"/>
          <w:sz w:val="30"/>
          <w:szCs w:val="30"/>
          <w:color w:val="auto"/>
          <w:vertAlign w:val="superscript"/>
        </w:rPr>
        <w:t>(4)</w:t>
      </w:r>
    </w:p>
    <w:p>
      <w:pPr>
        <w:spacing w:after="0" w:line="15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Each public warrant and private warrant is exercisable to purchase one share of our common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$11.50 per share, subject to adjustments as described herein.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become exercisable on the later of:</w:t>
      </w:r>
    </w:p>
    <w:p>
      <w:pPr>
        <w:spacing w:after="0" w:line="252" w:lineRule="exact"/>
        <w:rPr>
          <w:sz w:val="20"/>
          <w:szCs w:val="20"/>
          <w:color w:val="auto"/>
        </w:rPr>
      </w:pPr>
    </w:p>
    <w:p>
      <w:pPr>
        <w:ind w:left="440" w:right="559" w:hanging="214"/>
        <w:spacing w:after="0" w:line="277" w:lineRule="auto"/>
        <w:tabs>
          <w:tab w:leader="none" w:pos="683"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4" w:lineRule="exact"/>
        <w:rPr>
          <w:rFonts w:ascii="Arial" w:cs="Arial" w:eastAsia="Arial" w:hAnsi="Arial"/>
          <w:sz w:val="18"/>
          <w:szCs w:val="18"/>
          <w:color w:val="auto"/>
        </w:rPr>
      </w:pPr>
    </w:p>
    <w:p>
      <w:pPr>
        <w:ind w:left="440" w:hanging="21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00" w:lineRule="exact"/>
        <w:rPr>
          <w:sz w:val="20"/>
          <w:szCs w:val="20"/>
          <w:color w:val="auto"/>
        </w:rPr>
      </w:pPr>
    </w:p>
    <w:p>
      <w:pPr>
        <w:sectPr>
          <w:pgSz w:w="11900" w:h="16838" w:orient="portrait"/>
          <w:cols w:equalWidth="0" w:num="2">
            <w:col w:w="3500" w:space="140"/>
            <w:col w:w="5379"/>
          </w:cols>
          <w:pgMar w:left="1440" w:top="324" w:right="1440" w:bottom="0" w:gutter="0" w:footer="0" w:header="0"/>
          <w:type w:val="continuous"/>
        </w:sectPr>
      </w:pPr>
    </w:p>
    <w:p>
      <w:pPr>
        <w:spacing w:after="0" w:line="52" w:lineRule="exact"/>
        <w:rPr>
          <w:sz w:val="20"/>
          <w:szCs w:val="20"/>
          <w:color w:val="auto"/>
        </w:rPr>
      </w:pPr>
    </w:p>
    <w:p>
      <w:pPr>
        <w:jc w:val="both"/>
        <w:ind w:left="3640" w:right="539"/>
        <w:spacing w:after="0" w:line="293"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92" w:lineRule="exact"/>
        <w:rPr>
          <w:sz w:val="20"/>
          <w:szCs w:val="20"/>
          <w:color w:val="auto"/>
        </w:rPr>
      </w:pPr>
    </w:p>
    <w:p>
      <w:pPr>
        <w:jc w:val="both"/>
        <w:ind w:left="3640" w:right="539"/>
        <w:spacing w:after="0" w:line="305" w:lineRule="auto"/>
        <w:rPr>
          <w:sz w:val="20"/>
          <w:szCs w:val="20"/>
          <w:color w:val="auto"/>
        </w:rPr>
      </w:pPr>
      <w:r>
        <w:rPr>
          <w:rFonts w:ascii="Arial" w:cs="Arial" w:eastAsia="Arial" w:hAnsi="Arial"/>
          <w:sz w:val="15"/>
          <w:szCs w:val="15"/>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w:t>
      </w:r>
      <w:r>
        <w:rPr>
          <w:rFonts w:ascii="Arial" w:cs="Arial" w:eastAsia="Arial" w:hAnsi="Arial"/>
          <w:sz w:val="7"/>
          <w:szCs w:val="7"/>
          <w:color w:val="auto"/>
        </w:rPr>
        <w:t>th</w:t>
      </w:r>
      <w:r>
        <w:rPr>
          <w:rFonts w:ascii="Arial" w:cs="Arial" w:eastAsia="Arial" w:hAnsi="Arial"/>
          <w:sz w:val="15"/>
          <w:szCs w:val="15"/>
          <w:color w:val="auto"/>
        </w:rPr>
        <w:t xml:space="preserve">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3(a)(9) of the Securities Act.</w:t>
      </w:r>
    </w:p>
    <w:p>
      <w:pPr>
        <w:spacing w:after="0" w:line="200" w:lineRule="exact"/>
        <w:rPr>
          <w:sz w:val="20"/>
          <w:szCs w:val="20"/>
          <w:color w:val="auto"/>
        </w:rPr>
      </w:pPr>
    </w:p>
    <w:p>
      <w:pPr>
        <w:spacing w:after="0" w:line="209" w:lineRule="exact"/>
        <w:rPr>
          <w:sz w:val="20"/>
          <w:szCs w:val="20"/>
          <w:color w:val="auto"/>
        </w:rPr>
      </w:pPr>
    </w:p>
    <w:p>
      <w:pPr>
        <w:jc w:val="both"/>
        <w:ind w:left="3640" w:right="559"/>
        <w:spacing w:after="0" w:line="271" w:lineRule="auto"/>
        <w:rPr>
          <w:sz w:val="20"/>
          <w:szCs w:val="20"/>
          <w:color w:val="auto"/>
        </w:rPr>
      </w:pPr>
      <w:r>
        <w:rPr>
          <w:rFonts w:ascii="Arial" w:cs="Arial" w:eastAsia="Arial" w:hAnsi="Arial"/>
          <w:sz w:val="17"/>
          <w:szCs w:val="17"/>
          <w:color w:val="auto"/>
        </w:rPr>
        <w:t>The public and private warrants will expire five years after the completion of our initial business combination, at 5:00 p.m., New York City time, or earlier upon redemption or liquidation.</w:t>
      </w:r>
    </w:p>
    <w:p>
      <w:pPr>
        <w:ind w:left="5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80" w:right="539" w:hanging="328"/>
        <w:spacing w:after="0" w:line="250"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ind w:left="880" w:right="559" w:hanging="328"/>
        <w:spacing w:after="0" w:line="250"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ind w:left="880" w:hanging="32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ectPr>
          <w:pgSz w:w="11900" w:h="16838" w:orient="portrait"/>
          <w:cols w:equalWidth="0" w:num="1">
            <w:col w:w="9019"/>
          </w:cols>
          <w:pgMar w:left="1440" w:top="32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0" w:name="page11"/>
    <w:bookmarkEnd w:id="10"/>
    <w:tbl>
      <w:tblPr>
        <w:tblLayout w:type="fixed"/>
        <w:tblInd w:w="56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1020" w:type="dxa"/>
            <w:vAlign w:val="bottom"/>
          </w:tcPr>
          <w:p>
            <w:pPr>
              <w:ind w:left="600"/>
              <w:spacing w:after="0"/>
              <w:rPr>
                <w:sz w:val="20"/>
                <w:szCs w:val="20"/>
                <w:color w:val="auto"/>
              </w:rPr>
            </w:pPr>
            <w:r>
              <w:rPr>
                <w:rFonts w:ascii="Arial" w:cs="Arial" w:eastAsia="Arial" w:hAnsi="Arial"/>
                <w:sz w:val="18"/>
                <w:szCs w:val="18"/>
                <w:color w:val="auto"/>
                <w:w w:val="92"/>
              </w:rPr>
              <w:t>Once</w:t>
            </w:r>
          </w:p>
        </w:tc>
        <w:tc>
          <w:tcPr>
            <w:tcW w:w="4420" w:type="dxa"/>
            <w:vAlign w:val="bottom"/>
          </w:tcPr>
          <w:p>
            <w:pPr>
              <w:jc w:val="right"/>
              <w:spacing w:after="0"/>
              <w:rPr>
                <w:sz w:val="20"/>
                <w:szCs w:val="20"/>
                <w:color w:val="auto"/>
              </w:rPr>
            </w:pPr>
            <w:r>
              <w:rPr>
                <w:rFonts w:ascii="Arial" w:cs="Arial" w:eastAsia="Arial" w:hAnsi="Arial"/>
                <w:sz w:val="18"/>
                <w:szCs w:val="18"/>
                <w:color w:val="auto"/>
              </w:rPr>
              <w:t>the warrants become exercisable, we may redeem the</w:t>
            </w:r>
          </w:p>
        </w:tc>
      </w:tr>
      <w:tr>
        <w:trPr>
          <w:trHeight w:val="230"/>
        </w:trPr>
        <w:tc>
          <w:tcPr>
            <w:tcW w:w="2480" w:type="dxa"/>
            <w:vAlign w:val="bottom"/>
          </w:tcPr>
          <w:p>
            <w:pPr>
              <w:spacing w:after="0"/>
              <w:rPr>
                <w:sz w:val="20"/>
                <w:szCs w:val="20"/>
                <w:color w:val="auto"/>
              </w:rPr>
            </w:pPr>
          </w:p>
        </w:tc>
        <w:tc>
          <w:tcPr>
            <w:tcW w:w="5440" w:type="dxa"/>
            <w:vAlign w:val="bottom"/>
            <w:gridSpan w:val="2"/>
          </w:tcPr>
          <w:p>
            <w:pPr>
              <w:ind w:left="600"/>
              <w:spacing w:after="0"/>
              <w:rPr>
                <w:sz w:val="20"/>
                <w:szCs w:val="20"/>
                <w:color w:val="auto"/>
              </w:rPr>
            </w:pPr>
            <w:r>
              <w:rPr>
                <w:rFonts w:ascii="Arial" w:cs="Arial" w:eastAsia="Arial" w:hAnsi="Arial"/>
                <w:sz w:val="18"/>
                <w:szCs w:val="18"/>
                <w:color w:val="auto"/>
              </w:rPr>
              <w:t>outstanding warrants:</w:t>
            </w:r>
          </w:p>
        </w:tc>
      </w:tr>
      <w:tr>
        <w:trPr>
          <w:trHeight w:val="445"/>
        </w:trPr>
        <w:tc>
          <w:tcPr>
            <w:tcW w:w="2480" w:type="dxa"/>
            <w:vAlign w:val="bottom"/>
          </w:tcPr>
          <w:p>
            <w:pPr>
              <w:spacing w:after="0"/>
              <w:rPr>
                <w:sz w:val="24"/>
                <w:szCs w:val="24"/>
                <w:color w:val="auto"/>
              </w:rPr>
            </w:pPr>
          </w:p>
        </w:tc>
        <w:tc>
          <w:tcPr>
            <w:tcW w:w="5440" w:type="dxa"/>
            <w:vAlign w:val="bottom"/>
            <w:gridSpan w:val="2"/>
          </w:tcPr>
          <w:p>
            <w:pPr>
              <w:ind w:left="820"/>
              <w:spacing w:after="0"/>
              <w:rPr>
                <w:sz w:val="20"/>
                <w:szCs w:val="20"/>
                <w:color w:val="auto"/>
              </w:rPr>
            </w:pPr>
            <w:r>
              <w:rPr>
                <w:rFonts w:ascii="Arial" w:cs="Arial" w:eastAsia="Arial" w:hAnsi="Arial"/>
                <w:sz w:val="18"/>
                <w:szCs w:val="18"/>
                <w:color w:val="auto"/>
              </w:rPr>
              <w:t>•  in whole or in part</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820"/>
              <w:spacing w:after="0"/>
              <w:rPr>
                <w:sz w:val="20"/>
                <w:szCs w:val="20"/>
                <w:color w:val="auto"/>
              </w:rPr>
            </w:pPr>
            <w:r>
              <w:rPr>
                <w:rFonts w:ascii="Arial" w:cs="Arial" w:eastAsia="Arial" w:hAnsi="Arial"/>
                <w:sz w:val="18"/>
                <w:szCs w:val="18"/>
                <w:color w:val="auto"/>
              </w:rPr>
              <w:t>•  at a price of $0.01 per warrant;</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20" w:type="dxa"/>
            <w:vAlign w:val="bottom"/>
          </w:tcPr>
          <w:p>
            <w:pPr>
              <w:jc w:val="right"/>
              <w:spacing w:after="0"/>
              <w:rPr>
                <w:sz w:val="20"/>
                <w:szCs w:val="20"/>
                <w:color w:val="auto"/>
              </w:rPr>
            </w:pPr>
            <w:r>
              <w:rPr>
                <w:rFonts w:ascii="Arial" w:cs="Arial" w:eastAsia="Arial" w:hAnsi="Arial"/>
                <w:sz w:val="18"/>
                <w:szCs w:val="18"/>
                <w:color w:val="auto"/>
              </w:rPr>
              <w:t>upon a minimum of 30 days’ prior written notice of</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w w:val="98"/>
              </w:rPr>
              <w:t>redemption, which we refer to as the 30-day redemption</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period; and</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20" w:type="dxa"/>
            <w:vAlign w:val="bottom"/>
          </w:tcPr>
          <w:p>
            <w:pPr>
              <w:jc w:val="right"/>
              <w:spacing w:after="0"/>
              <w:rPr>
                <w:sz w:val="20"/>
                <w:szCs w:val="20"/>
                <w:color w:val="auto"/>
              </w:rPr>
            </w:pPr>
            <w:r>
              <w:rPr>
                <w:rFonts w:ascii="Arial" w:cs="Arial" w:eastAsia="Arial" w:hAnsi="Arial"/>
                <w:sz w:val="18"/>
                <w:szCs w:val="18"/>
                <w:color w:val="auto"/>
              </w:rPr>
              <w:t>if, and only if, the last sale price of our common stock</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w w:val="92"/>
              </w:rPr>
              <w:t>equals or exceeds $16.00 per share for any 20 trading days</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w w:val="97"/>
              </w:rPr>
              <w:t>within a 30-trading day period ending on the third trading</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redemption to the warrant holders.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255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9255125"/>
                    </a:xfrm>
                    <a:prstGeom prst="rect">
                      <a:avLst/>
                    </a:prstGeom>
                    <a:noFill/>
                  </pic:spPr>
                </pic:pic>
              </a:graphicData>
            </a:graphic>
          </wp:anchor>
        </w:drawing>
      </w:r>
    </w:p>
    <w:p>
      <w:pPr>
        <w:jc w:val="both"/>
        <w:ind w:left="3640" w:right="539"/>
        <w:spacing w:after="0" w:line="269" w:lineRule="auto"/>
        <w:rPr>
          <w:sz w:val="20"/>
          <w:szCs w:val="20"/>
          <w:color w:val="auto"/>
        </w:rPr>
      </w:pPr>
      <w:r>
        <w:rPr>
          <w:rFonts w:ascii="Arial" w:cs="Arial" w:eastAsia="Arial" w:hAnsi="Arial"/>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0" w:lineRule="exact"/>
        <w:rPr>
          <w:sz w:val="20"/>
          <w:szCs w:val="20"/>
          <w:color w:val="auto"/>
        </w:rPr>
      </w:pPr>
    </w:p>
    <w:p>
      <w:pPr>
        <w:jc w:val="both"/>
        <w:ind w:left="3640" w:right="559"/>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w:t>
      </w:r>
    </w:p>
    <w:p>
      <w:pPr>
        <w:spacing w:after="0" w:line="5" w:lineRule="exact"/>
        <w:rPr>
          <w:sz w:val="20"/>
          <w:szCs w:val="20"/>
          <w:color w:val="auto"/>
        </w:rPr>
      </w:pPr>
    </w:p>
    <w:p>
      <w:pPr>
        <w:jc w:val="both"/>
        <w:ind w:left="3640" w:right="539" w:firstLine="10"/>
        <w:spacing w:after="0" w:line="281" w:lineRule="auto"/>
        <w:tabs>
          <w:tab w:leader="none" w:pos="39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w:t>
      </w:r>
    </w:p>
    <w:p>
      <w:pPr>
        <w:spacing w:after="0" w:line="5" w:lineRule="exact"/>
        <w:rPr>
          <w:rFonts w:ascii="Arial" w:cs="Arial" w:eastAsia="Arial" w:hAnsi="Arial"/>
          <w:sz w:val="16"/>
          <w:szCs w:val="16"/>
          <w:color w:val="auto"/>
        </w:rPr>
      </w:pPr>
    </w:p>
    <w:p>
      <w:pPr>
        <w:ind w:left="3640" w:right="559"/>
        <w:spacing w:after="0" w:line="261" w:lineRule="auto"/>
        <w:rPr>
          <w:rFonts w:ascii="Arial" w:cs="Arial" w:eastAsia="Arial" w:hAnsi="Arial"/>
          <w:sz w:val="16"/>
          <w:szCs w:val="16"/>
          <w:color w:val="auto"/>
        </w:rPr>
      </w:pPr>
      <w:r>
        <w:rPr>
          <w:rFonts w:ascii="Arial" w:cs="Arial" w:eastAsia="Arial" w:hAnsi="Arial"/>
          <w:sz w:val="18"/>
          <w:szCs w:val="18"/>
          <w:color w:val="auto"/>
        </w:rPr>
        <w:t>— Warrants — Public Stockholders’ Warrants” for additional information.</w:t>
      </w:r>
    </w:p>
    <w:p>
      <w:pPr>
        <w:spacing w:after="0" w:line="211"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4" w:lineRule="exact"/>
        <w:rPr>
          <w:sz w:val="20"/>
          <w:szCs w:val="20"/>
          <w:color w:val="auto"/>
        </w:rPr>
      </w:pPr>
    </w:p>
    <w:p>
      <w:pPr>
        <w:ind w:left="560"/>
        <w:spacing w:after="0"/>
        <w:tabs>
          <w:tab w:leader="none" w:pos="3620" w:val="left"/>
        </w:tabs>
        <w:rPr>
          <w:sz w:val="20"/>
          <w:szCs w:val="20"/>
          <w:color w:val="auto"/>
        </w:rPr>
      </w:pPr>
      <w:r>
        <w:rPr>
          <w:rFonts w:ascii="Arial" w:cs="Arial" w:eastAsia="Arial" w:hAnsi="Arial"/>
          <w:sz w:val="18"/>
          <w:szCs w:val="18"/>
          <w:b w:val="1"/>
          <w:bCs w:val="1"/>
          <w:color w:val="auto"/>
        </w:rPr>
        <w:t>Offering proceeds to be held in the</w:t>
      </w:r>
      <w:r>
        <w:rPr>
          <w:sz w:val="20"/>
          <w:szCs w:val="20"/>
          <w:color w:val="auto"/>
        </w:rPr>
        <w:tab/>
      </w:r>
      <w:r>
        <w:rPr>
          <w:rFonts w:ascii="Arial" w:cs="Arial" w:eastAsia="Arial" w:hAnsi="Arial"/>
          <w:sz w:val="17"/>
          <w:szCs w:val="17"/>
          <w:color w:val="auto"/>
        </w:rPr>
        <w:t>$51,500,000  (or  $59,225,000  if  the  over-allotment  option  is</w:t>
      </w:r>
    </w:p>
    <w:p>
      <w:pPr>
        <w:spacing w:after="0" w:line="27" w:lineRule="exact"/>
        <w:rPr>
          <w:sz w:val="20"/>
          <w:szCs w:val="20"/>
          <w:color w:val="auto"/>
        </w:rPr>
      </w:pPr>
    </w:p>
    <w:p>
      <w:pPr>
        <w:jc w:val="both"/>
        <w:ind w:left="3640" w:right="539" w:hanging="2912"/>
        <w:spacing w:after="0" w:line="251" w:lineRule="auto"/>
        <w:tabs>
          <w:tab w:leader="none" w:pos="3620" w:val="left"/>
        </w:tabs>
        <w:rPr>
          <w:sz w:val="20"/>
          <w:szCs w:val="20"/>
          <w:color w:val="auto"/>
        </w:rPr>
      </w:pPr>
      <w:r>
        <w:rPr>
          <w:rFonts w:ascii="Arial" w:cs="Arial" w:eastAsia="Arial" w:hAnsi="Arial"/>
          <w:sz w:val="18"/>
          <w:szCs w:val="18"/>
          <w:b w:val="1"/>
          <w:bCs w:val="1"/>
          <w:color w:val="auto"/>
        </w:rPr>
        <w:t>trust account</w:t>
      </w:r>
      <w:r>
        <w:rPr>
          <w:sz w:val="20"/>
          <w:szCs w:val="20"/>
          <w:color w:val="auto"/>
        </w:rPr>
        <w:tab/>
      </w:r>
      <w:r>
        <w:rPr>
          <w:rFonts w:ascii="Arial" w:cs="Arial" w:eastAsia="Arial" w:hAnsi="Arial"/>
          <w:sz w:val="18"/>
          <w:szCs w:val="18"/>
          <w:color w:val="auto"/>
        </w:rPr>
        <w:t>exercised in full) of the net proceeds of this offering and the proceeds we will receive from the sale of the private units, or $10.30 per unit sold to the public in this offering, will be placed in a trust account in the United States at JP Morgan Chase, maintained by American Stock Transfer &amp; Trust Company, LLC,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ectPr>
          <w:pgSz w:w="11900" w:h="16838" w:orient="portrait"/>
          <w:cols w:equalWidth="0" w:num="1">
            <w:col w:w="9019"/>
          </w:cols>
          <w:pgMar w:left="1440" w:top="324" w:right="1440"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1" w:name="page12"/>
    <w:bookmarkEnd w:id="11"/>
    <w:tbl>
      <w:tblPr>
        <w:tblLayout w:type="fixed"/>
        <w:tblInd w:w="5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Except as set forth below, the proceeds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will not be released until the earlier of: (1) the completion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initial business combination within the required time period and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(2) our redemption of 100% of the outstanding public shares if we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have not completed a business combination in the required time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period.  Therefore,  unless  and  until  our  initial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 is consummated, the proceeds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account will not be available for our use for any expenses related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to this offering or expenses which we may incur related to the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0"/>
              </w:rPr>
              <w:t>investigation and selection of a target business and the negotiation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an  agreement  in  connection  with  our  initial  business</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w:t>
            </w:r>
          </w:p>
        </w:tc>
      </w:tr>
      <w:tr>
        <w:trPr>
          <w:trHeight w:val="445"/>
        </w:trPr>
        <w:tc>
          <w:tcPr>
            <w:tcW w:w="2100" w:type="dxa"/>
            <w:vAlign w:val="bottom"/>
          </w:tcPr>
          <w:p>
            <w:pPr>
              <w:spacing w:after="0"/>
              <w:rPr>
                <w:sz w:val="24"/>
                <w:szCs w:val="24"/>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Notwithstanding the foregoing, there can be released to us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the trust account any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account that we need to pay our income or other tax obligations.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With this exception, expenses incurred by us may be paid prior to</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1"/>
              </w:rPr>
              <w:t>a business combination only from the net proceeds of this offering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not held in the trust account of approximately $525,000; provided,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however, that in order to meet our working capital needs following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 consummation of this offering, if the funds not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1"/>
              </w:rPr>
              <w:t>account are insufficient, our insiders, officers and directors or their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affiliates may, but are not obligated to, loan us funds, from time to</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time or at any time, in whatever amount they deem reasonable in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their  sole  discretion.  Each  loan  would  be  evidenced  by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promissory  note.  The  notes  would  either  be  paid  upon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consummation  of  our  initial  business  combination,  without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interest, or, at the lender’s discretion, up to $200,000 of the notes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may  be  converted  upon  consummation  of  our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combination into additional private units at a price of $10.00 per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unit. Our stockholders have approved the issuance of the private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units upon conversion of such notes, to the extent the holder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wishes to so convert such notes at the time of the consummation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our initial business combination. If we do not complete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business  combination,  any  other  outstanding  loans  from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insiders, officers and directors or their affiliates, will be repaid</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only from amounts remaining outside our trust account, if any.</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Insider Shares</w:t>
            </w: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 April 2015, we sold an aggregate of 1,437,500 shares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common stock for $25,000, or approximately $.02 per share, to 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SPAC LLC, which is controlled by Joshua Sason. On July 20,</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2016, M SPAC LLC sold back 494,480 shares to us at a price</w:t>
            </w:r>
          </w:p>
        </w:tc>
      </w:tr>
    </w:tbl>
    <w:p>
      <w:pPr>
        <w:jc w:val="both"/>
        <w:ind w:left="3640" w:right="53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2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8929370"/>
                    </a:xfrm>
                    <a:prstGeom prst="rect">
                      <a:avLst/>
                    </a:prstGeom>
                    <a:noFill/>
                  </pic:spPr>
                </pic:pic>
              </a:graphicData>
            </a:graphic>
          </wp:anchor>
        </w:drawing>
        <w:t>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 The purchase price of the insider shares was determined by dividing the amount of cash contributed to the company by the number of insider shares issued.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our stockholders prior to this offering at 25% of the number of shares sold in this offering. Our insiders will collectively beneficially own</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2" w:name="page13"/>
    <w:bookmarkEnd w:id="12"/>
    <w:p>
      <w:pPr>
        <w:jc w:val="both"/>
        <w:ind w:left="3640" w:right="5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701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9701530"/>
                    </a:xfrm>
                    <a:prstGeom prst="rect">
                      <a:avLst/>
                    </a:prstGeom>
                    <a:noFill/>
                  </pic:spPr>
                </pic:pic>
              </a:graphicData>
            </a:graphic>
          </wp:anchor>
        </w:drawing>
        <w:t>approximately 24.8% of our issued and outstanding shares after this offering (assuming they do not purchase any public units in this offering and the underwriters do not exercise all or a portion of the over-allotment option). Up to 187,500 insider shares will be subject to forfeiture by our insiders and their designees (and/or their permitted transferees) depending on the extent to which the underwriters’ over-allotment option is exercised.</w:t>
      </w:r>
    </w:p>
    <w:p>
      <w:pPr>
        <w:spacing w:after="0" w:line="205" w:lineRule="exact"/>
        <w:rPr>
          <w:sz w:val="20"/>
          <w:szCs w:val="20"/>
          <w:color w:val="auto"/>
        </w:rPr>
      </w:pPr>
    </w:p>
    <w:p>
      <w:pPr>
        <w:jc w:val="both"/>
        <w:ind w:left="3640" w:right="559"/>
        <w:spacing w:after="0" w:line="308"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except that:</w:t>
      </w:r>
    </w:p>
    <w:p>
      <w:pPr>
        <w:spacing w:after="0" w:line="174" w:lineRule="exact"/>
        <w:rPr>
          <w:sz w:val="20"/>
          <w:szCs w:val="20"/>
          <w:color w:val="auto"/>
        </w:rPr>
      </w:pPr>
    </w:p>
    <w:p>
      <w:pPr>
        <w:jc w:val="both"/>
        <w:ind w:left="4080" w:right="559" w:hanging="215"/>
        <w:spacing w:after="0" w:line="277" w:lineRule="auto"/>
        <w:rPr>
          <w:sz w:val="20"/>
          <w:szCs w:val="20"/>
          <w:color w:val="auto"/>
        </w:rPr>
      </w:pPr>
      <w:r>
        <w:rPr>
          <w:rFonts w:ascii="Arial" w:cs="Arial" w:eastAsia="Arial" w:hAnsi="Arial"/>
          <w:sz w:val="18"/>
          <w:szCs w:val="18"/>
          <w:color w:val="auto"/>
        </w:rPr>
        <w:t>the insider shares are subject to certain transfer restrictions, as described in more detail below, and</w:t>
      </w:r>
    </w:p>
    <w:p>
      <w:pPr>
        <w:spacing w:after="0" w:line="197" w:lineRule="exact"/>
        <w:rPr>
          <w:sz w:val="20"/>
          <w:szCs w:val="20"/>
          <w:color w:val="auto"/>
        </w:rPr>
      </w:pPr>
    </w:p>
    <w:p>
      <w:pPr>
        <w:jc w:val="both"/>
        <w:ind w:left="4080" w:right="539" w:hanging="215"/>
        <w:spacing w:after="0" w:line="287" w:lineRule="auto"/>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insiders, officers and directors have entered into letter agreements with us, pursuant to which they have agreed (i) to waive their conversion rights with respect to their insider shares and any public shares they purchase in connection with the completion of our initial business combination and (ii) to waive their redemption rights with respect to their insider shares if we fail to complete our initial business combination within 18 months (or 21 months, as applicable) from the closing of this offering (although they will be entitled to redemption rights with respect to any public shares they hold if we fail to complete our business combination within the prescribed time frame).</w:t>
      </w:r>
    </w:p>
    <w:p>
      <w:pPr>
        <w:spacing w:after="0" w:line="196" w:lineRule="exact"/>
        <w:rPr>
          <w:sz w:val="20"/>
          <w:szCs w:val="20"/>
          <w:color w:val="auto"/>
        </w:rPr>
      </w:pPr>
    </w:p>
    <w:p>
      <w:pPr>
        <w:jc w:val="both"/>
        <w:ind w:left="4080" w:right="559" w:hanging="215"/>
        <w:spacing w:after="0" w:line="257" w:lineRule="auto"/>
        <w:tabs>
          <w:tab w:leader="none" w:pos="4060" w:val="left"/>
        </w:tabs>
        <w:rPr>
          <w:sz w:val="20"/>
          <w:szCs w:val="20"/>
          <w:color w:val="auto"/>
        </w:rPr>
      </w:pPr>
      <w:r>
        <w:rPr>
          <w:rFonts w:ascii="Arial" w:cs="Arial" w:eastAsia="Arial" w:hAnsi="Arial"/>
          <w:sz w:val="18"/>
          <w:szCs w:val="18"/>
          <w:color w:val="auto"/>
        </w:rPr>
        <w:t>•</w:t>
        <w:tab/>
        <w:t>If we submit our initial business combination to our public stockholders for a vote, our insiders have agreed to vote their insider shares, private shares and any public shares purchased during or after this offering in favor of our initial business combination.</w:t>
      </w:r>
    </w:p>
    <w:p>
      <w:pPr>
        <w:spacing w:after="0" w:line="211" w:lineRule="exact"/>
        <w:rPr>
          <w:sz w:val="20"/>
          <w:szCs w:val="20"/>
          <w:color w:val="auto"/>
        </w:rPr>
      </w:pPr>
    </w:p>
    <w:p>
      <w:pPr>
        <w:jc w:val="both"/>
        <w:ind w:left="3640" w:right="539" w:hanging="3092"/>
        <w:spacing w:after="0" w:line="283" w:lineRule="auto"/>
        <w:tabs>
          <w:tab w:leader="none" w:pos="3620" w:val="left"/>
        </w:tabs>
        <w:rPr>
          <w:sz w:val="20"/>
          <w:szCs w:val="20"/>
          <w:color w:val="auto"/>
        </w:rPr>
      </w:pPr>
      <w:r>
        <w:rPr>
          <w:rFonts w:ascii="Arial" w:cs="Arial" w:eastAsia="Arial" w:hAnsi="Arial"/>
          <w:sz w:val="18"/>
          <w:szCs w:val="18"/>
          <w:b w:val="1"/>
          <w:bCs w:val="1"/>
          <w:color w:val="auto"/>
        </w:rPr>
        <w:t>Transfer restrictions on insider shares</w:t>
      </w:r>
      <w:r>
        <w:rPr>
          <w:sz w:val="20"/>
          <w:szCs w:val="20"/>
          <w:color w:val="auto"/>
        </w:rPr>
        <w:tab/>
      </w:r>
      <w:r>
        <w:rPr>
          <w:rFonts w:ascii="Arial" w:cs="Arial" w:eastAsia="Arial" w:hAnsi="Arial"/>
          <w:sz w:val="16"/>
          <w:szCs w:val="16"/>
          <w:color w:val="auto"/>
        </w:rPr>
        <w:t>Our insiders have agreed not to transfer, assign or sell any of the insider shares (except to certain permitted transferees) until, with respect to 50% of the insider shares, the earlier of six months after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with respect to the remaining 50% of the insider shares, six months after the date of the consummation of our initial business combination, or earlier in each case if, subsequent to our initial business combination, we complete a liquidation, merger, stock exchange or other similar transaction which results in all of our stockholders having the right to exchange their shares of common stock for cash, securities or other property. The insider shares will be held in escrow with American Stock Transfer &amp; Trust Company, LLC during the period in which</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5860" w:type="dxa"/>
            <w:vAlign w:val="bottom"/>
          </w:tcPr>
          <w:p>
            <w:pPr>
              <w:ind w:left="1040"/>
              <w:spacing w:after="0"/>
              <w:rPr>
                <w:sz w:val="20"/>
                <w:szCs w:val="20"/>
                <w:color w:val="auto"/>
              </w:rPr>
            </w:pPr>
            <w:r>
              <w:rPr>
                <w:rFonts w:ascii="Arial" w:cs="Arial" w:eastAsia="Arial" w:hAnsi="Arial"/>
                <w:sz w:val="18"/>
                <w:szCs w:val="18"/>
                <w:color w:val="auto"/>
              </w:rPr>
              <w:t>they are subject to the transfer restrictions described above.</w:t>
            </w:r>
          </w:p>
        </w:tc>
      </w:tr>
      <w:tr>
        <w:trPr>
          <w:trHeight w:val="431"/>
        </w:trPr>
        <w:tc>
          <w:tcPr>
            <w:tcW w:w="204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860" w:type="dxa"/>
            <w:vAlign w:val="bottom"/>
          </w:tcPr>
          <w:p>
            <w:pPr>
              <w:ind w:left="1040"/>
              <w:spacing w:after="0"/>
              <w:rPr>
                <w:sz w:val="20"/>
                <w:szCs w:val="20"/>
                <w:color w:val="auto"/>
              </w:rPr>
            </w:pPr>
            <w:r>
              <w:rPr>
                <w:rFonts w:ascii="Arial" w:cs="Arial" w:eastAsia="Arial" w:hAnsi="Arial"/>
                <w:sz w:val="18"/>
                <w:szCs w:val="18"/>
                <w:color w:val="auto"/>
                <w:w w:val="94"/>
              </w:rPr>
              <w:t>M SPAC LLC, M SPAC Holdings I LLC and M SPAC Holdings II</w:t>
            </w:r>
          </w:p>
        </w:tc>
      </w:tr>
      <w:tr>
        <w:trPr>
          <w:trHeight w:val="230"/>
        </w:trPr>
        <w:tc>
          <w:tcPr>
            <w:tcW w:w="2040" w:type="dxa"/>
            <w:vAlign w:val="bottom"/>
          </w:tcPr>
          <w:p>
            <w:pPr>
              <w:spacing w:after="0"/>
              <w:rPr>
                <w:sz w:val="20"/>
                <w:szCs w:val="20"/>
                <w:color w:val="auto"/>
              </w:rPr>
            </w:pPr>
          </w:p>
        </w:tc>
        <w:tc>
          <w:tcPr>
            <w:tcW w:w="5860" w:type="dxa"/>
            <w:vAlign w:val="bottom"/>
          </w:tcPr>
          <w:p>
            <w:pPr>
              <w:ind w:left="1040"/>
              <w:spacing w:after="0"/>
              <w:rPr>
                <w:sz w:val="20"/>
                <w:szCs w:val="20"/>
                <w:color w:val="auto"/>
              </w:rPr>
            </w:pPr>
            <w:r>
              <w:rPr>
                <w:rFonts w:ascii="Arial" w:cs="Arial" w:eastAsia="Arial" w:hAnsi="Arial"/>
                <w:sz w:val="18"/>
                <w:szCs w:val="18"/>
                <w:color w:val="auto"/>
                <w:w w:val="95"/>
              </w:rPr>
              <w:t>LLC, an entity controlled by Joshua Sason, our Chief Executive</w:t>
            </w:r>
          </w:p>
        </w:tc>
      </w:tr>
    </w:tbl>
    <w:p>
      <w:pPr>
        <w:jc w:val="both"/>
        <w:ind w:left="3640" w:right="559"/>
        <w:spacing w:after="0" w:line="267" w:lineRule="auto"/>
        <w:rPr>
          <w:sz w:val="20"/>
          <w:szCs w:val="20"/>
          <w:color w:val="auto"/>
        </w:rPr>
      </w:pPr>
      <w:r>
        <w:rPr>
          <w:rFonts w:ascii="Arial" w:cs="Arial" w:eastAsia="Arial" w:hAnsi="Arial"/>
          <w:sz w:val="17"/>
          <w:szCs w:val="17"/>
          <w:color w:val="auto"/>
        </w:rPr>
        <w:t>Officer, (and/or its designees) has committed, pursuant to a written agreement, to purchase an aggregate of 402,500 private units (or 447,500 if the over-allotment option is exercised in full) at a price of $10.00 per unit ($4,025,000 or $4,475,000 if the over-allotment option is exercised in full) in a private placement that will occur simultaneously with the closing of this offering. The purchase price of the private units will be added to the proceeds from this offering to pay for the expenses of this offering and to be held in the trust account. If we do not complete our initial business combination within 18 months from the closing of this offering (or 21 months, as applicable), the proceeds of the sale of the private units will be used to fund the redemption of our public shares (subject to the requirements of applicable law) and the private units will be worthless.</w:t>
      </w:r>
    </w:p>
    <w:p>
      <w:pPr>
        <w:sectPr>
          <w:pgSz w:w="11900" w:h="16838" w:orient="portrait"/>
          <w:cols w:equalWidth="0" w:num="1">
            <w:col w:w="9019"/>
          </w:cols>
          <w:pgMar w:left="1440" w:top="328" w:right="1440" w:bottom="501"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501" w:gutter="0" w:footer="0" w:header="0"/>
          <w:type w:val="continuous"/>
        </w:sectPr>
      </w:pPr>
    </w:p>
    <w:bookmarkStart w:id="13" w:name="page14"/>
    <w:bookmarkEnd w:id="13"/>
    <w:p>
      <w:pPr>
        <w:ind w:left="560"/>
        <w:spacing w:after="0"/>
        <w:tabs>
          <w:tab w:leader="none" w:pos="3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015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9015095"/>
                    </a:xfrm>
                    <a:prstGeom prst="rect">
                      <a:avLst/>
                    </a:prstGeom>
                    <a:noFill/>
                  </pic:spPr>
                </pic:pic>
              </a:graphicData>
            </a:graphic>
          </wp:anchor>
        </w:drawing>
        <w:t>Limited payments to insiders</w:t>
      </w:r>
      <w:r>
        <w:rPr>
          <w:sz w:val="20"/>
          <w:szCs w:val="20"/>
          <w:color w:val="auto"/>
        </w:rPr>
        <w:tab/>
      </w:r>
      <w:r>
        <w:rPr>
          <w:rFonts w:ascii="Arial" w:cs="Arial" w:eastAsia="Arial" w:hAnsi="Arial"/>
          <w:sz w:val="16"/>
          <w:szCs w:val="16"/>
          <w:color w:val="auto"/>
        </w:rPr>
        <w:t>There will be no fees, reimbursements or other cash payments paid</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to our insiders or any of the members of our management team prior</w:t>
      </w:r>
    </w:p>
    <w:p>
      <w:pPr>
        <w:spacing w:after="0" w:line="4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to, or for any services they render in order to effectuate, the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consummation of our initial business combination (regardless of the</w:t>
      </w:r>
    </w:p>
    <w:p>
      <w:pPr>
        <w:spacing w:after="0" w:line="3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type of transaction that it is) other than:</w:t>
      </w:r>
    </w:p>
    <w:p>
      <w:pPr>
        <w:spacing w:after="0" w:line="238" w:lineRule="exact"/>
        <w:rPr>
          <w:sz w:val="20"/>
          <w:szCs w:val="20"/>
          <w:color w:val="auto"/>
        </w:rPr>
      </w:pPr>
    </w:p>
    <w:p>
      <w:pPr>
        <w:ind w:left="3860"/>
        <w:spacing w:after="0"/>
        <w:tabs>
          <w:tab w:leader="none" w:pos="41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at the closing of this offering of non-interest</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bearing loans in an amount of $35,000 made by M SPAC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LLC, an entity controlled by Joshua Sason, our Chief</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3860"/>
        <w:spacing w:after="0"/>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Magna Management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 company wholly owned by our insiders, for office space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and related services, subject to deferral as described herein;</w:t>
      </w:r>
    </w:p>
    <w:p>
      <w:pPr>
        <w:spacing w:after="0" w:line="261" w:lineRule="exact"/>
        <w:rPr>
          <w:sz w:val="20"/>
          <w:szCs w:val="20"/>
          <w:color w:val="auto"/>
        </w:rPr>
      </w:pPr>
    </w:p>
    <w:p>
      <w:pPr>
        <w:ind w:left="3860"/>
        <w:spacing w:after="0"/>
        <w:tabs>
          <w:tab w:leader="none" w:pos="4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insiders, officers, directors or any of its or their affiliates in</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connection with certain activities on our behalf, such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identifying and investigating possible business targets and</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business combinations; and</w:t>
      </w:r>
    </w:p>
    <w:p>
      <w:pPr>
        <w:spacing w:after="0" w:line="238" w:lineRule="exact"/>
        <w:rPr>
          <w:sz w:val="20"/>
          <w:szCs w:val="20"/>
          <w:color w:val="auto"/>
        </w:rPr>
      </w:pPr>
    </w:p>
    <w:p>
      <w:pPr>
        <w:ind w:left="3860"/>
        <w:spacing w:after="0"/>
        <w:tabs>
          <w:tab w:leader="none" w:pos="4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insiders,</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officers, directors or any of its or their affiliates to finance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transaction  costs  in  connection  with  an  initial  business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combination, the terms of which have not been determined.</w:t>
      </w:r>
    </w:p>
    <w:p>
      <w:pPr>
        <w:spacing w:after="0" w:line="261" w:lineRule="exact"/>
        <w:rPr>
          <w:sz w:val="20"/>
          <w:szCs w:val="20"/>
          <w:color w:val="auto"/>
        </w:rPr>
      </w:pPr>
    </w:p>
    <w:p>
      <w:pPr>
        <w:jc w:val="both"/>
        <w:ind w:left="3640" w:right="559"/>
        <w:spacing w:after="0" w:line="268" w:lineRule="auto"/>
        <w:rPr>
          <w:sz w:val="20"/>
          <w:szCs w:val="20"/>
          <w:color w:val="auto"/>
        </w:rPr>
      </w:pPr>
      <w:r>
        <w:rPr>
          <w:rFonts w:ascii="Arial" w:cs="Arial" w:eastAsia="Arial" w:hAnsi="Arial"/>
          <w:sz w:val="17"/>
          <w:szCs w:val="17"/>
          <w:color w:val="auto"/>
        </w:rPr>
        <w:t>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Potential revisions to agreements with</w:t>
      </w:r>
    </w:p>
    <w:p>
      <w:pPr>
        <w:spacing w:after="0" w:line="27" w:lineRule="exact"/>
        <w:rPr>
          <w:sz w:val="20"/>
          <w:szCs w:val="20"/>
          <w:color w:val="auto"/>
        </w:rPr>
      </w:pPr>
    </w:p>
    <w:p>
      <w:pPr>
        <w:jc w:val="both"/>
        <w:ind w:left="3640" w:right="539" w:hanging="3079"/>
        <w:spacing w:after="0" w:line="266" w:lineRule="auto"/>
        <w:tabs>
          <w:tab w:leader="none" w:pos="3620" w:val="left"/>
        </w:tabs>
        <w:rPr>
          <w:sz w:val="20"/>
          <w:szCs w:val="20"/>
          <w:color w:val="auto"/>
        </w:rPr>
      </w:pPr>
      <w:r>
        <w:rPr>
          <w:rFonts w:ascii="Arial" w:cs="Arial" w:eastAsia="Arial" w:hAnsi="Arial"/>
          <w:sz w:val="17"/>
          <w:szCs w:val="17"/>
          <w:b w:val="1"/>
          <w:bCs w:val="1"/>
          <w:color w:val="auto"/>
        </w:rPr>
        <w:t>insiders</w:t>
      </w:r>
      <w:r>
        <w:rPr>
          <w:sz w:val="20"/>
          <w:szCs w:val="20"/>
          <w:color w:val="auto"/>
        </w:rPr>
        <w:tab/>
      </w:r>
      <w:r>
        <w:rPr>
          <w:rFonts w:ascii="Arial" w:cs="Arial" w:eastAsia="Arial" w:hAnsi="Arial"/>
          <w:sz w:val="17"/>
          <w:szCs w:val="17"/>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4" w:name="page15"/>
    <w:bookmarkEnd w:id="14"/>
    <w:p>
      <w:pPr>
        <w:ind w:left="740" w:hanging="179"/>
        <w:spacing w:after="0" w:line="314" w:lineRule="auto"/>
        <w:rPr>
          <w:sz w:val="20"/>
          <w:szCs w:val="20"/>
          <w:color w:val="auto"/>
        </w:rPr>
      </w:pPr>
      <w:r>
        <w:rPr>
          <w:rFonts w:ascii="Arial" w:cs="Arial" w:eastAsia="Arial" w:hAnsi="Arial"/>
          <w:sz w:val="16"/>
          <w:szCs w:val="16"/>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3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-3849370</wp:posOffset>
            </wp:positionV>
            <wp:extent cx="5149850" cy="10147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10147300"/>
                    </a:xfrm>
                    <a:prstGeom prst="rect">
                      <a:avLst/>
                    </a:prstGeom>
                    <a:noFill/>
                  </pic:spPr>
                </pic:pic>
              </a:graphicData>
            </a:graphic>
          </wp:anchor>
        </w:drawing>
      </w:r>
    </w:p>
    <w:p>
      <w:pPr>
        <w:spacing w:after="0" w:line="398"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that this offering is not subject to Rule 419 promulgated under the Securities Act) or if we do not satisfy any greater net tangible asset or cash requirement which may be contained in the agreement relating to our initial business combination. For example, the proposed business combination may require: (i) cash consideration to be paid to the target or its owners,</w:t>
      </w:r>
    </w:p>
    <w:p>
      <w:pPr>
        <w:spacing w:after="0" w:line="7" w:lineRule="exact"/>
        <w:rPr>
          <w:sz w:val="20"/>
          <w:szCs w:val="20"/>
          <w:color w:val="auto"/>
        </w:rPr>
      </w:pPr>
    </w:p>
    <w:p>
      <w:pPr>
        <w:jc w:val="both"/>
        <w:ind w:right="539" w:firstLine="10"/>
        <w:spacing w:after="0" w:line="283" w:lineRule="auto"/>
        <w:tabs>
          <w:tab w:leader="none" w:pos="272"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will not complete the business combination (as we may be required to have a lesser number of shares converted). As a result, we may not be able to locate another suitable target within the applicable time period, if at all. However, if we seek stockholder approval of a business combination and if a significant number of public stockholders properly seek to convert their public shares in connection with a proposed business combination, we or our insiders or their affiliates could purchase some or all of such shares in the open market or in private transactions in order to seek to satisfy the cash conditions.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and their affiliates will not make purchases of shares of common</w:t>
      </w:r>
    </w:p>
    <w:p>
      <w:pPr>
        <w:spacing w:after="0" w:line="200" w:lineRule="exact"/>
        <w:rPr>
          <w:sz w:val="20"/>
          <w:szCs w:val="20"/>
          <w:color w:val="auto"/>
        </w:rPr>
      </w:pPr>
    </w:p>
    <w:p>
      <w:pPr>
        <w:sectPr>
          <w:pgSz w:w="11900" w:h="16838" w:orient="portrait"/>
          <w:cols w:equalWidth="0" w:num="2">
            <w:col w:w="3220" w:space="420"/>
            <w:col w:w="5379"/>
          </w:cols>
          <w:pgMar w:left="1440" w:top="324" w:right="1440" w:bottom="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5" w:name="page16"/>
    <w:bookmarkEnd w:id="15"/>
    <w:p>
      <w:pPr>
        <w:jc w:val="both"/>
        <w:ind w:left="364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95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495790"/>
                    </a:xfrm>
                    <a:prstGeom prst="rect">
                      <a:avLst/>
                    </a:prstGeom>
                    <a:noFill/>
                  </pic:spPr>
                </pic:pic>
              </a:graphicData>
            </a:graphic>
          </wp:anchor>
        </w:drawing>
        <w:t>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w:t>
      </w:r>
    </w:p>
    <w:p>
      <w:pPr>
        <w:spacing w:after="0" w:line="192" w:lineRule="exact"/>
        <w:rPr>
          <w:sz w:val="20"/>
          <w:szCs w:val="20"/>
          <w:color w:val="auto"/>
        </w:rPr>
      </w:pPr>
    </w:p>
    <w:p>
      <w:pPr>
        <w:jc w:val="both"/>
        <w:ind w:left="3640" w:right="539"/>
        <w:spacing w:after="0" w:line="283" w:lineRule="auto"/>
        <w:rPr>
          <w:sz w:val="20"/>
          <w:szCs w:val="20"/>
          <w:color w:val="auto"/>
        </w:rPr>
      </w:pPr>
      <w:r>
        <w:rPr>
          <w:rFonts w:ascii="Arial" w:cs="Arial" w:eastAsia="Arial" w:hAnsi="Arial"/>
          <w:sz w:val="16"/>
          <w:szCs w:val="16"/>
          <w:color w:val="auto"/>
        </w:rPr>
        <w:t>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202" w:lineRule="exact"/>
        <w:rPr>
          <w:sz w:val="20"/>
          <w:szCs w:val="20"/>
          <w:color w:val="auto"/>
        </w:rPr>
      </w:pPr>
    </w:p>
    <w:p>
      <w:pPr>
        <w:jc w:val="both"/>
        <w:ind w:left="3640" w:right="559"/>
        <w:spacing w:after="0" w:line="287" w:lineRule="auto"/>
        <w:rPr>
          <w:sz w:val="20"/>
          <w:szCs w:val="20"/>
          <w:color w:val="auto"/>
        </w:rPr>
      </w:pPr>
      <w:r>
        <w:rPr>
          <w:rFonts w:ascii="Arial" w:cs="Arial" w:eastAsia="Arial" w:hAnsi="Arial"/>
          <w:sz w:val="16"/>
          <w:szCs w:val="16"/>
          <w:color w:val="auto"/>
        </w:rPr>
        <w:t>None of our insiders, officers, directors, director nominees or their affiliates has committed to purchase units in this offering or any units or shares of common stock in the open market or in private transactions. In addition, if a significant number of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ectPr>
          <w:pgSz w:w="11900" w:h="16838" w:orient="portrait"/>
          <w:cols w:equalWidth="0" w:num="1">
            <w:col w:w="9019"/>
          </w:cols>
          <w:pgMar w:left="1440" w:top="328" w:right="1440" w:bottom="825"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825" w:gutter="0" w:footer="0" w:header="0"/>
          <w:type w:val="continuous"/>
        </w:sectPr>
      </w:pPr>
    </w:p>
    <w:bookmarkStart w:id="16" w:name="page17"/>
    <w:bookmarkEnd w:id="16"/>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5"/>
              </w:rPr>
              <w:t>Conditions to completing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rPr>
              <w:t>There is no limitation on our ability to raise funds privately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through loans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Our initial business combination must occur with one or more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89"/>
              </w:rPr>
              <w:t>target businesses that together have an aggregate fair market value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of at least 80% of the value of the trust account (excluding any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deferred underwriter’s fees and taxes payable on the income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earned on the trust account) at the time of the agreement to enter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into the initial business combination. If we are no longer listed on</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Nasdaq, we will not be required to satisfy the 80% test.</w:t>
            </w:r>
          </w:p>
        </w:tc>
      </w:tr>
      <w:tr>
        <w:trPr>
          <w:trHeight w:val="445"/>
        </w:trPr>
        <w:tc>
          <w:tcPr>
            <w:tcW w:w="292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If our board is not able to independently determine the fair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market value of the target business or businesses, we may obtain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an  opinion  from  an  independent  investment  banking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accounting firm as to the fair market value of the target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We will complete our initial business combination only if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post-transaction company in which our public stockholders own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shares will own or acquire 50% or more of the outstanding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securities of the target or otherwise acquires a controlling interest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8"/>
              </w:rPr>
              <w:t>in the target sufficient for it not to be required to register as an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investment company under the Investment Company Act. Even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the post-transaction company owns 50% or more of the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securities of the target, our stockholders prior to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combination may collectively own a minority interest in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business combination company, depending on valuations ascribed</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to the target and us in the business combination transaction.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less than 100% of the equity interests or assets of a target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 or businesses are owned or acquired by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transaction company, the portion of such business or businesses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that is owned or acquired is what will be valued for purposes of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8"/>
              </w:rPr>
              <w:t>the  80%  test,  provided  that  in  the  event that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combination involves more than one target business, the 80% test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will  be  based  on  the  aggregate  value  of  all  of  the  target</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businesses.</w:t>
            </w:r>
          </w:p>
        </w:tc>
      </w:tr>
      <w:tr>
        <w:trPr>
          <w:trHeight w:val="445"/>
        </w:trPr>
        <w:tc>
          <w:tcPr>
            <w:tcW w:w="292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In connection with a business combination, public stockholders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will have the right to convert their shares into an amount equal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(1) the number of public shares being converted by such public</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holder divided by the total number of public shares multiplied by</w:t>
            </w:r>
          </w:p>
        </w:tc>
      </w:tr>
    </w:tbl>
    <w:p>
      <w:pPr>
        <w:jc w:val="both"/>
        <w:ind w:left="3640" w:right="55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5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9357995"/>
                    </a:xfrm>
                    <a:prstGeom prst="rect">
                      <a:avLst/>
                    </a:prstGeom>
                    <a:noFill/>
                  </pic:spPr>
                </pic:pic>
              </a:graphicData>
            </a:graphic>
          </wp:anchor>
        </w:drawing>
        <w:t>(2) the amount then in the trust account (initially $10.30 per share), which includes the deferred underwriting commission, plus a pro rata portion of any interest earned on the funds held in the trust account and not previously released to us or necessary to pay our taxes. At any meeting called to approve an initial business combination, public stockholders may elect to convert their share regardless of whether or not they vote to approve the business combination.</w:t>
      </w:r>
    </w:p>
    <w:p>
      <w:pPr>
        <w:spacing w:after="0" w:line="211"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if stockholders owning approximately 89.3% (or approximately 90.5%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the underwriters in an amount equal to 2% of the total gross proceeds raised in the offering as described elsewhere</w:t>
      </w:r>
    </w:p>
    <w:p>
      <w:pPr>
        <w:sectPr>
          <w:pgSz w:w="11900" w:h="16838" w:orient="portrait"/>
          <w:cols w:equalWidth="0" w:num="1">
            <w:col w:w="9019"/>
          </w:cols>
          <w:pgMar w:left="1440" w:top="324" w:right="1440" w:bottom="1041"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41" w:gutter="0" w:footer="0" w:header="0"/>
          <w:type w:val="continuous"/>
        </w:sectPr>
      </w:pPr>
    </w:p>
    <w:bookmarkStart w:id="17" w:name="page18"/>
    <w:bookmarkEnd w:id="17"/>
    <w:p>
      <w:pPr>
        <w:jc w:val="both"/>
        <w:ind w:left="36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202" w:lineRule="exact"/>
        <w:rPr>
          <w:sz w:val="20"/>
          <w:szCs w:val="20"/>
          <w:color w:val="auto"/>
        </w:rPr>
      </w:pPr>
    </w:p>
    <w:p>
      <w:pPr>
        <w:jc w:val="both"/>
        <w:ind w:left="3640" w:right="539"/>
        <w:spacing w:after="0" w:line="285"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prevent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5" w:lineRule="exact"/>
        <w:rPr>
          <w:sz w:val="20"/>
          <w:szCs w:val="20"/>
          <w:color w:val="auto"/>
        </w:rPr>
      </w:pPr>
    </w:p>
    <w:p>
      <w:pPr>
        <w:jc w:val="both"/>
        <w:ind w:left="3640" w:right="539"/>
        <w:spacing w:after="0" w:line="284"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ectPr>
          <w:pgSz w:w="11900" w:h="16838" w:orient="portrait"/>
          <w:cols w:equalWidth="0" w:num="1">
            <w:col w:w="9019"/>
          </w:cols>
          <w:pgMar w:left="1440" w:top="328"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8" w:name="page19"/>
    <w:bookmarkEnd w:id="18"/>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3"/>
              </w:rPr>
              <w:t>Release of funds in trust account on</w:t>
            </w:r>
          </w:p>
        </w:tc>
        <w:tc>
          <w:tcPr>
            <w:tcW w:w="5000" w:type="dxa"/>
            <w:vAlign w:val="bottom"/>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closing of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On the completion of our initial business combination, all amounts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held in the trust account will be released to us. We will use these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funds to pay amounts due to any public stockholders who exercise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their conversion rights as described above under “— Conversion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rights,”  to  pay  the  underwriters  their  deferred  underwriting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commissions, to pay all or a portion of the consideration payable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the target or targets or owners of the target or targets of our initial</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business combination and to pay other expenses associated with</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our initial business combination. If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is paid for using stock or debt securities, or not all of the funds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released from the trust account are used for payment of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consideration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we may apply the balance of the cash released to us from the trust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account for general corporate purposes, including for maintenance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or expansion of operations of post-transaction businesses,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payment of principal or interest due on indebtedness incurred 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completing our initial business combination, to fund the purchase</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of other companies or for working capital.</w:t>
            </w:r>
          </w:p>
        </w:tc>
      </w:tr>
      <w:tr>
        <w:trPr>
          <w:trHeight w:val="441"/>
        </w:trPr>
        <w:tc>
          <w:tcPr>
            <w:tcW w:w="2920" w:type="dxa"/>
            <w:vAlign w:val="bottom"/>
          </w:tcPr>
          <w:p>
            <w:pPr>
              <w:spacing w:after="0"/>
              <w:rPr>
                <w:sz w:val="20"/>
                <w:szCs w:val="20"/>
                <w:color w:val="auto"/>
              </w:rPr>
            </w:pPr>
            <w:r>
              <w:rPr>
                <w:rFonts w:ascii="Arial" w:cs="Arial" w:eastAsia="Arial" w:hAnsi="Arial"/>
                <w:sz w:val="18"/>
                <w:szCs w:val="18"/>
                <w:b w:val="1"/>
                <w:bCs w:val="1"/>
                <w:color w:val="auto"/>
              </w:rPr>
              <w:t>Liquidation if no business</w:t>
            </w:r>
          </w:p>
        </w:tc>
        <w:tc>
          <w:tcPr>
            <w:tcW w:w="5000" w:type="dxa"/>
            <w:vAlign w:val="bottom"/>
          </w:tcPr>
          <w:p>
            <w:pPr>
              <w:ind w:left="160"/>
              <w:spacing w:after="0"/>
              <w:rPr>
                <w:sz w:val="20"/>
                <w:szCs w:val="20"/>
                <w:color w:val="auto"/>
              </w:rPr>
            </w:pPr>
            <w:r>
              <w:rPr>
                <w:rFonts w:ascii="Arial" w:cs="Arial" w:eastAsia="Arial" w:hAnsi="Arial"/>
                <w:sz w:val="18"/>
                <w:szCs w:val="18"/>
                <w:color w:val="auto"/>
              </w:rPr>
              <w:t>If we are unable to complete our initial business combination</w:t>
            </w: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combination</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within 18 months from the closing of this offering (or 21 months</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from the closing of this offering if we extend the period of time to</w:t>
            </w:r>
          </w:p>
        </w:tc>
      </w:tr>
    </w:tbl>
    <w:p>
      <w:pPr>
        <w:jc w:val="both"/>
        <w:ind w:left="3640" w:right="53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0164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9850" cy="10164445"/>
                    </a:xfrm>
                    <a:prstGeom prst="rect">
                      <a:avLst/>
                    </a:prstGeom>
                    <a:noFill/>
                  </pic:spPr>
                </pic:pic>
              </a:graphicData>
            </a:graphic>
          </wp:anchor>
        </w:drawing>
        <w:t>consummate a business combination, as described in more detail below),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American Stock Transfer &amp; Trust Company, LLC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w:t>
      </w:r>
    </w:p>
    <w:p>
      <w:pPr>
        <w:sectPr>
          <w:pgSz w:w="11900" w:h="16838" w:orient="portrait"/>
          <w:cols w:equalWidth="0" w:num="1">
            <w:col w:w="9019"/>
          </w:cols>
          <w:pgMar w:left="1440" w:top="3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9" w:name="page20"/>
    <w:bookmarkEnd w:id="19"/>
    <w:p>
      <w:pPr>
        <w:jc w:val="both"/>
        <w:ind w:left="3640" w:right="53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020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8020685"/>
                    </a:xfrm>
                    <a:prstGeom prst="rect">
                      <a:avLst/>
                    </a:prstGeom>
                    <a:noFill/>
                  </pic:spPr>
                </pic:pic>
              </a:graphicData>
            </a:graphic>
          </wp:anchor>
        </w:drawing>
        <w:t>In connection with our redemption of 100% of our outstanding public shares, each holder will receive an amount equal to (1) the number of public shares being converted by such public holder divided by the total number of public shares multiplied by (2) the amount then in the trust account (initially $10.30 per share), which includes the deferred underwriting commission, plus a pro rata portion of any interest earned on the funds held in the trust account and not previously released to us or necessary to pay our taxes (subject in each case to our obligations under Delaware law to provide for claims of creditors). Holders of warrants will receive no proceeds in connection with the liquidation with respect to such warrants, which will expire worthless.</w:t>
      </w:r>
    </w:p>
    <w:p>
      <w:pPr>
        <w:spacing w:after="0" w:line="196" w:lineRule="exact"/>
        <w:rPr>
          <w:sz w:val="20"/>
          <w:szCs w:val="20"/>
          <w:color w:val="auto"/>
        </w:rPr>
      </w:pPr>
    </w:p>
    <w:p>
      <w:pPr>
        <w:jc w:val="both"/>
        <w:ind w:left="3640" w:right="539"/>
        <w:spacing w:after="0" w:line="305" w:lineRule="auto"/>
        <w:rPr>
          <w:sz w:val="20"/>
          <w:szCs w:val="20"/>
          <w:color w:val="auto"/>
        </w:rPr>
      </w:pPr>
      <w:r>
        <w:rPr>
          <w:rFonts w:ascii="Arial" w:cs="Arial" w:eastAsia="Arial" w:hAnsi="Arial"/>
          <w:sz w:val="15"/>
          <w:szCs w:val="15"/>
          <w:color w:val="auto"/>
        </w:rPr>
        <w:t>The proceeds deposited in the trust account could, however, become subject to claims of our creditors that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$10.30.</w:t>
      </w:r>
    </w:p>
    <w:p>
      <w:pPr>
        <w:spacing w:after="0" w:line="200" w:lineRule="exact"/>
        <w:rPr>
          <w:sz w:val="20"/>
          <w:szCs w:val="20"/>
          <w:color w:val="auto"/>
        </w:rPr>
      </w:pPr>
    </w:p>
    <w:p>
      <w:pPr>
        <w:spacing w:after="0" w:line="206"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208" w:lineRule="exact"/>
        <w:rPr>
          <w:sz w:val="20"/>
          <w:szCs w:val="20"/>
          <w:color w:val="auto"/>
        </w:rPr>
      </w:pPr>
    </w:p>
    <w:p>
      <w:pPr>
        <w:jc w:val="both"/>
        <w:ind w:left="3640" w:right="539"/>
        <w:spacing w:after="0" w:line="276"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$10.30.</w:t>
      </w:r>
    </w:p>
    <w:p>
      <w:pPr>
        <w:spacing w:after="0" w:line="200" w:lineRule="exact"/>
        <w:rPr>
          <w:sz w:val="20"/>
          <w:szCs w:val="20"/>
          <w:color w:val="auto"/>
        </w:rPr>
      </w:pPr>
    </w:p>
    <w:p>
      <w:pPr>
        <w:jc w:val="both"/>
        <w:ind w:left="3640" w:right="559"/>
        <w:spacing w:after="0" w:line="293" w:lineRule="auto"/>
        <w:rPr>
          <w:sz w:val="20"/>
          <w:szCs w:val="20"/>
          <w:color w:val="auto"/>
        </w:rPr>
      </w:pPr>
      <w:r>
        <w:rPr>
          <w:rFonts w:ascii="Arial" w:cs="Arial" w:eastAsia="Arial" w:hAnsi="Arial"/>
          <w:sz w:val="16"/>
          <w:szCs w:val="16"/>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2" w:lineRule="exact"/>
        <w:rPr>
          <w:sz w:val="20"/>
          <w:szCs w:val="20"/>
          <w:color w:val="auto"/>
        </w:rPr>
      </w:pPr>
    </w:p>
    <w:p>
      <w:pPr>
        <w:jc w:val="both"/>
        <w:ind w:left="3640" w:right="539"/>
        <w:spacing w:after="0" w:line="255" w:lineRule="auto"/>
        <w:rPr>
          <w:sz w:val="20"/>
          <w:szCs w:val="20"/>
          <w:color w:val="auto"/>
        </w:rPr>
      </w:pPr>
      <w:r>
        <w:rPr>
          <w:rFonts w:ascii="Arial" w:cs="Arial" w:eastAsia="Arial" w:hAnsi="Arial"/>
          <w:sz w:val="18"/>
          <w:szCs w:val="18"/>
          <w:color w:val="auto"/>
        </w:rPr>
        <w:t>The underwriters have agreed to waive their rights to the deferred underwriting commissions held in the trust account in the event we do not consummate a business combination within 18 months from the closing of this offering (or 21 months, as applicable) and in such event, such amounts will be included with the funds held in the trust account that will be available to fund the redemption of our public shares.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017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9850" cy="2017395"/>
                    </a:xfrm>
                    <a:prstGeom prst="rect">
                      <a:avLst/>
                    </a:prstGeom>
                    <a:noFill/>
                  </pic:spPr>
                </pic:pic>
              </a:graphicData>
            </a:graphic>
          </wp:anchor>
        </w:drawing>
        <w:t>Risks</w:t>
      </w:r>
    </w:p>
    <w:p>
      <w:pPr>
        <w:spacing w:after="0" w:line="189"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20 of this prospectus.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550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9850" cy="5550535"/>
                    </a:xfrm>
                    <a:prstGeom prst="rect">
                      <a:avLst/>
                    </a:prstGeom>
                    <a:noFill/>
                  </pic:spPr>
                </pic:pic>
              </a:graphicData>
            </a:graphic>
          </wp:anchor>
        </w:drawing>
        <w:t>SUMMARY FINANCIAL DATA</w:t>
      </w:r>
    </w:p>
    <w:p>
      <w:pPr>
        <w:spacing w:after="0" w:line="189"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920" w:type="dxa"/>
            <w:vAlign w:val="bottom"/>
          </w:tcPr>
          <w:p>
            <w:pPr>
              <w:jc w:val="center"/>
              <w:ind w:left="373"/>
              <w:spacing w:after="0"/>
              <w:rPr>
                <w:sz w:val="20"/>
                <w:szCs w:val="20"/>
                <w:color w:val="auto"/>
              </w:rPr>
            </w:pPr>
            <w:r>
              <w:rPr>
                <w:rFonts w:ascii="Arial" w:cs="Arial" w:eastAsia="Arial" w:hAnsi="Arial"/>
                <w:sz w:val="16"/>
                <w:szCs w:val="16"/>
                <w:b w:val="1"/>
                <w:bCs w:val="1"/>
                <w:color w:val="auto"/>
                <w:w w:val="90"/>
              </w:rPr>
              <w:t>December 31,</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920" w:type="dxa"/>
            <w:vAlign w:val="bottom"/>
          </w:tcPr>
          <w:p>
            <w:pPr>
              <w:jc w:val="center"/>
              <w:ind w:left="393"/>
              <w:spacing w:after="0"/>
              <w:rPr>
                <w:sz w:val="20"/>
                <w:szCs w:val="20"/>
                <w:color w:val="auto"/>
              </w:rPr>
            </w:pPr>
            <w:r>
              <w:rPr>
                <w:rFonts w:ascii="Arial" w:cs="Arial" w:eastAsia="Arial" w:hAnsi="Arial"/>
                <w:sz w:val="16"/>
                <w:szCs w:val="16"/>
                <w:b w:val="1"/>
                <w:bCs w:val="1"/>
                <w:color w:val="auto"/>
                <w:w w:val="89"/>
              </w:rPr>
              <w:t>2015</w:t>
            </w:r>
          </w:p>
        </w:tc>
        <w:tc>
          <w:tcPr>
            <w:tcW w:w="2220" w:type="dxa"/>
            <w:vAlign w:val="bottom"/>
            <w:gridSpan w:val="2"/>
          </w:tcPr>
          <w:p>
            <w:pPr>
              <w:jc w:val="right"/>
              <w:ind w:right="591"/>
              <w:spacing w:after="0"/>
              <w:rPr>
                <w:sz w:val="20"/>
                <w:szCs w:val="20"/>
                <w:color w:val="auto"/>
              </w:rPr>
            </w:pPr>
            <w:r>
              <w:rPr>
                <w:rFonts w:ascii="Arial" w:cs="Arial" w:eastAsia="Arial" w:hAnsi="Arial"/>
                <w:sz w:val="16"/>
                <w:szCs w:val="16"/>
                <w:b w:val="1"/>
                <w:bCs w:val="1"/>
                <w:color w:val="auto"/>
              </w:rPr>
              <w:t>June 30, 2016</w:t>
            </w:r>
          </w:p>
        </w:tc>
      </w:tr>
      <w:tr>
        <w:trPr>
          <w:trHeight w:val="258"/>
        </w:trPr>
        <w:tc>
          <w:tcPr>
            <w:tcW w:w="3780" w:type="dxa"/>
            <w:vAlign w:val="bottom"/>
          </w:tcPr>
          <w:p>
            <w:pPr>
              <w:spacing w:after="0"/>
              <w:rPr>
                <w:sz w:val="22"/>
                <w:szCs w:val="22"/>
                <w:color w:val="auto"/>
              </w:rPr>
            </w:pPr>
          </w:p>
        </w:tc>
        <w:tc>
          <w:tcPr>
            <w:tcW w:w="1920" w:type="dxa"/>
            <w:vAlign w:val="bottom"/>
          </w:tcPr>
          <w:p>
            <w:pPr>
              <w:jc w:val="center"/>
              <w:ind w:left="373"/>
              <w:spacing w:after="0"/>
              <w:rPr>
                <w:sz w:val="20"/>
                <w:szCs w:val="20"/>
                <w:color w:val="auto"/>
              </w:rPr>
            </w:pPr>
            <w:r>
              <w:rPr>
                <w:rFonts w:ascii="Arial" w:cs="Arial" w:eastAsia="Arial" w:hAnsi="Arial"/>
                <w:sz w:val="16"/>
                <w:szCs w:val="16"/>
                <w:b w:val="1"/>
                <w:bCs w:val="1"/>
                <w:color w:val="auto"/>
                <w:w w:val="93"/>
              </w:rPr>
              <w:t>Actual</w:t>
            </w: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Actual</w:t>
            </w:r>
          </w:p>
        </w:tc>
        <w:tc>
          <w:tcPr>
            <w:tcW w:w="1160" w:type="dxa"/>
            <w:vAlign w:val="bottom"/>
          </w:tcPr>
          <w:p>
            <w:pPr>
              <w:jc w:val="right"/>
              <w:spacing w:after="0" w:line="258" w:lineRule="exact"/>
              <w:rPr>
                <w:sz w:val="20"/>
                <w:szCs w:val="20"/>
                <w:color w:val="auto"/>
              </w:rPr>
            </w:pPr>
            <w:r>
              <w:rPr>
                <w:rFonts w:ascii="Arial" w:cs="Arial" w:eastAsia="Arial" w:hAnsi="Arial"/>
                <w:sz w:val="16"/>
                <w:szCs w:val="16"/>
                <w:b w:val="1"/>
                <w:bCs w:val="1"/>
                <w:color w:val="auto"/>
                <w:w w:val="93"/>
              </w:rPr>
              <w:t>As Adjusted</w:t>
            </w:r>
            <w:r>
              <w:rPr>
                <w:rFonts w:ascii="Arial" w:cs="Arial" w:eastAsia="Arial" w:hAnsi="Arial"/>
                <w:sz w:val="27"/>
                <w:szCs w:val="27"/>
                <w:b w:val="1"/>
                <w:bCs w:val="1"/>
                <w:color w:val="auto"/>
                <w:w w:val="93"/>
                <w:vertAlign w:val="superscript"/>
              </w:rPr>
              <w:t>(1)</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920" w:type="dxa"/>
            <w:vAlign w:val="bottom"/>
          </w:tcPr>
          <w:p>
            <w:pPr>
              <w:jc w:val="right"/>
              <w:ind w:right="133"/>
              <w:spacing w:after="0"/>
              <w:rPr>
                <w:sz w:val="20"/>
                <w:szCs w:val="20"/>
                <w:color w:val="auto"/>
              </w:rPr>
            </w:pPr>
            <w:r>
              <w:rPr>
                <w:rFonts w:ascii="Arial" w:cs="Arial" w:eastAsia="Arial" w:hAnsi="Arial"/>
                <w:sz w:val="18"/>
                <w:szCs w:val="18"/>
                <w:color w:val="auto"/>
              </w:rPr>
              <w:t>(164,183)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(186,447)</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51,032,610</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183,957</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194,230</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52,032,610</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169,183</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186,720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15"/>
                <w:szCs w:val="15"/>
                <w:color w:val="auto"/>
              </w:rPr>
              <w:t>(2)</w:t>
            </w:r>
          </w:p>
        </w:tc>
      </w:tr>
      <w:tr>
        <w:trPr>
          <w:trHeight w:val="242"/>
        </w:trPr>
        <w:tc>
          <w:tcPr>
            <w:tcW w:w="3780" w:type="dxa"/>
            <w:vAlign w:val="bottom"/>
          </w:tcPr>
          <w:p>
            <w:pPr>
              <w:spacing w:after="0"/>
              <w:rPr>
                <w:sz w:val="20"/>
                <w:szCs w:val="20"/>
                <w:color w:val="auto"/>
              </w:rPr>
            </w:pPr>
            <w:r>
              <w:rPr>
                <w:rFonts w:ascii="Arial" w:cs="Arial" w:eastAsia="Arial" w:hAnsi="Arial"/>
                <w:sz w:val="18"/>
                <w:szCs w:val="18"/>
                <w:color w:val="auto"/>
              </w:rPr>
              <w:t>Value of common stock subject to possible</w:t>
            </w:r>
          </w:p>
        </w:tc>
        <w:tc>
          <w:tcPr>
            <w:tcW w:w="1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conversion/tender</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46,032,606</w:t>
            </w:r>
            <w:r>
              <w:rPr>
                <w:rFonts w:ascii="Arial" w:cs="Arial" w:eastAsia="Arial" w:hAnsi="Arial"/>
                <w:sz w:val="8"/>
                <w:szCs w:val="8"/>
                <w:color w:val="auto"/>
              </w:rPr>
              <w:t>(3)</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Stockholders’ equity</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14,774</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7,510</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5,000,004</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____________</w:t>
            </w:r>
          </w:p>
        </w:tc>
        <w:tc>
          <w:tcPr>
            <w:tcW w:w="1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ind w:left="880" w:hanging="328"/>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$4,025,000 we will receive from the sale of the private units.</w:t>
      </w:r>
    </w:p>
    <w:p>
      <w:pPr>
        <w:spacing w:after="0" w:line="9" w:lineRule="exact"/>
        <w:rPr>
          <w:rFonts w:ascii="Arial" w:cs="Arial" w:eastAsia="Arial" w:hAnsi="Arial"/>
          <w:sz w:val="18"/>
          <w:szCs w:val="18"/>
          <w:color w:val="auto"/>
        </w:rPr>
      </w:pPr>
    </w:p>
    <w:p>
      <w:pPr>
        <w:ind w:left="880" w:hanging="328"/>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9" w:lineRule="exact"/>
        <w:rPr>
          <w:rFonts w:ascii="Arial" w:cs="Arial" w:eastAsia="Arial" w:hAnsi="Arial"/>
          <w:sz w:val="18"/>
          <w:szCs w:val="18"/>
          <w:color w:val="auto"/>
        </w:rPr>
      </w:pPr>
    </w:p>
    <w:p>
      <w:pPr>
        <w:jc w:val="both"/>
        <w:ind w:left="880" w:right="539" w:hanging="328"/>
        <w:spacing w:after="0" w:line="273"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“as adjusted” value of common stock which may be subject to possible conversion/tender for cash is derived by taking 4,469,185 shares of common stock which may be converted, representing the maximum number of shares that may be converted or sold while maintaining at least $5,000,001 in net tangible assets after this offering, multiplied by a conversion price of $10.30.</w:t>
      </w:r>
    </w:p>
    <w:p>
      <w:pPr>
        <w:spacing w:after="0" w:line="150"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4"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The “as adjusted” working capital amount includes the $51,500,000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$51,500,000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for claims of creditors).</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7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 of June 30, 2016, we had $273 in cash and a working capital deficiency of $186,447.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our public stockholders may be forced to wait more than 21 months before receiving distributions from the trust account.</w:t>
      </w:r>
    </w:p>
    <w:p>
      <w:pPr>
        <w:spacing w:after="0" w:line="13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will have until 18 months from the closing of this offering (or 21 months from the closing of this offering if we extend the period of time to consummate a business combination, as described in more detail elsewhere in this prospectus)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23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w:t>
      </w:r>
    </w:p>
    <w:p>
      <w:pPr>
        <w:sectPr>
          <w:pgSz w:w="11900" w:h="16838" w:orient="portrait"/>
          <w:cols w:equalWidth="0" w:num="1">
            <w:col w:w="9019"/>
          </w:cols>
          <w:pgMar w:left="1440" w:top="33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3" w:name="page24"/>
    <w:bookmarkEnd w:id="23"/>
    <w:p>
      <w:pPr>
        <w:jc w:val="both"/>
        <w:ind w:left="460" w:right="459"/>
        <w:spacing w:after="0" w:line="255" w:lineRule="auto"/>
        <w:rPr>
          <w:sz w:val="20"/>
          <w:szCs w:val="20"/>
          <w:color w:val="auto"/>
        </w:rPr>
      </w:pPr>
      <w:r>
        <w:rPr>
          <w:rFonts w:ascii="Arial" w:cs="Arial" w:eastAsia="Arial" w:hAnsi="Arial"/>
          <w:sz w:val="18"/>
          <w:szCs w:val="18"/>
          <w:color w:val="auto"/>
        </w:rPr>
        <w:t>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21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determine to amend certain agreements made by our management team, many of the disclosures contained in this prospectus regarding those agreements would no longer apply.</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4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4" w:name="page25"/>
    <w:bookmarkEnd w:id="24"/>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8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currently authorizes the issuance of up to 30,000,000 shares of common stock, par value $0.001 per share, and 1,000,000 shares of preferred stock, par value $0.001 per share. Immediately after this offering and the purchase of the private units (assuming no exercise of the underwriters’ over-allotment option), there will be approximately 16,945,000 authorized but unissued shares of common stock available for issuance (after appropriate reservation for the issuance of the shares (i) underlying the public warrants and private warrants issuable upon consummation of our initial business combination, and</w:t>
      </w:r>
    </w:p>
    <w:p>
      <w:pPr>
        <w:spacing w:after="0" w:line="5" w:lineRule="exact"/>
        <w:rPr>
          <w:sz w:val="20"/>
          <w:szCs w:val="20"/>
          <w:color w:val="auto"/>
        </w:rPr>
      </w:pPr>
    </w:p>
    <w:p>
      <w:pPr>
        <w:jc w:val="both"/>
        <w:ind w:left="460" w:right="459" w:firstLine="2"/>
        <w:spacing w:after="0" w:line="253" w:lineRule="auto"/>
        <w:tabs>
          <w:tab w:leader="none" w:pos="74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77" w:lineRule="exact"/>
        <w:rPr>
          <w:rFonts w:ascii="Arial" w:cs="Arial" w:eastAsia="Arial" w:hAnsi="Arial"/>
          <w:sz w:val="18"/>
          <w:szCs w:val="18"/>
          <w:color w:val="auto"/>
        </w:rPr>
      </w:pPr>
    </w:p>
    <w:p>
      <w:pPr>
        <w:ind w:left="1080" w:hanging="293"/>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211" w:lineRule="exact"/>
        <w:rPr>
          <w:rFonts w:ascii="Arial" w:cs="Arial" w:eastAsia="Arial" w:hAnsi="Arial"/>
          <w:sz w:val="18"/>
          <w:szCs w:val="18"/>
          <w:color w:val="auto"/>
        </w:rPr>
      </w:pPr>
    </w:p>
    <w:p>
      <w:pPr>
        <w:ind w:left="1120" w:right="459" w:hanging="333"/>
        <w:spacing w:after="0" w:line="277" w:lineRule="auto"/>
        <w:tabs>
          <w:tab w:leader="none" w:pos="1129" w:val="left"/>
        </w:tabs>
        <w:numPr>
          <w:ilvl w:val="1"/>
          <w:numId w:val="8"/>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43" w:lineRule="exact"/>
        <w:rPr>
          <w:rFonts w:ascii="Arial" w:cs="Arial" w:eastAsia="Arial" w:hAnsi="Arial"/>
          <w:sz w:val="18"/>
          <w:szCs w:val="18"/>
          <w:color w:val="auto"/>
        </w:rPr>
      </w:pPr>
    </w:p>
    <w:p>
      <w:pPr>
        <w:jc w:val="both"/>
        <w:ind w:left="1120" w:right="459" w:hanging="333"/>
        <w:spacing w:after="0" w:line="286" w:lineRule="auto"/>
        <w:tabs>
          <w:tab w:leader="none" w:pos="1169" w:val="left"/>
        </w:tabs>
        <w:numPr>
          <w:ilvl w:val="1"/>
          <w:numId w:val="8"/>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52" w:lineRule="exact"/>
        <w:rPr>
          <w:rFonts w:ascii="Arial" w:cs="Arial" w:eastAsia="Arial" w:hAnsi="Arial"/>
          <w:sz w:val="17"/>
          <w:szCs w:val="17"/>
          <w:color w:val="auto"/>
        </w:rPr>
      </w:pPr>
    </w:p>
    <w:p>
      <w:pPr>
        <w:ind w:left="1080" w:hanging="293"/>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3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5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39" w:lineRule="exact"/>
        <w:rPr>
          <w:sz w:val="20"/>
          <w:szCs w:val="20"/>
          <w:color w:val="auto"/>
        </w:rPr>
      </w:pPr>
    </w:p>
    <w:p>
      <w:pPr>
        <w:ind w:left="1120" w:right="459" w:hanging="333"/>
        <w:spacing w:after="0" w:line="277" w:lineRule="auto"/>
        <w:tabs>
          <w:tab w:leader="none" w:pos="108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102"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 limited to the funds held outside of the trust account to fund our search for target businesses, to pay our tax obligations and to complete our initial business combination.</w:t>
      </w:r>
    </w:p>
    <w:p>
      <w:pPr>
        <w:spacing w:after="0" w:line="15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Of the net proceeds of this offering, $525,000 is anticipated to be available to us initially outside the trust account to fund our working capital requirements. We will depend on sufficient interest being earned on the proceeds held in the trust account to pay any tax obligations that we may owe. Interest rates on permissible investments for us have been less than 1% over the last several years. Accordingly, if we use all of the funds held outside of the trust account, we may not have sufficient funds available with which to structure, negotiate or close our initial business combination. In such event, we would need to borrow funds from our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 w:name="page26"/>
    <w:bookmarkEnd w:id="25"/>
    <w:p>
      <w:pPr>
        <w:jc w:val="both"/>
        <w:ind w:left="460" w:right="459"/>
        <w:spacing w:after="0" w:line="312" w:lineRule="auto"/>
        <w:rPr>
          <w:sz w:val="20"/>
          <w:szCs w:val="20"/>
          <w:color w:val="auto"/>
        </w:rPr>
      </w:pPr>
      <w:r>
        <w:rPr>
          <w:rFonts w:ascii="Arial" w:cs="Arial" w:eastAsia="Arial" w:hAnsi="Arial"/>
          <w:sz w:val="16"/>
          <w:szCs w:val="16"/>
          <w:color w:val="auto"/>
        </w:rPr>
        <w:t>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have sufficient working capital to cover our operating expenses.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8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3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price received by stockholders may be less than approximately $10.30.</w:t>
      </w:r>
    </w:p>
    <w:p>
      <w:pPr>
        <w:spacing w:after="0" w:line="12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w:t>
      </w:r>
    </w:p>
    <w:p>
      <w:pPr>
        <w:sectPr>
          <w:pgSz w:w="11900" w:h="16838" w:orient="portrait"/>
          <w:cols w:equalWidth="0" w:num="1">
            <w:col w:w="9019"/>
          </w:cols>
          <w:pgMar w:left="1440" w:top="328"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6" w:name="page27"/>
    <w:bookmarkEnd w:id="26"/>
    <w:p>
      <w:pPr>
        <w:jc w:val="both"/>
        <w:ind w:left="460" w:right="459"/>
        <w:spacing w:after="0" w:line="259" w:lineRule="auto"/>
        <w:rPr>
          <w:sz w:val="20"/>
          <w:szCs w:val="20"/>
          <w:color w:val="auto"/>
        </w:rPr>
      </w:pPr>
      <w:r>
        <w:rPr>
          <w:rFonts w:ascii="Arial" w:cs="Arial" w:eastAsia="Arial" w:hAnsi="Arial"/>
          <w:sz w:val="18"/>
          <w:szCs w:val="18"/>
          <w:color w:val="auto"/>
        </w:rPr>
        <w:t>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$10.30 due to such claims.</w:t>
      </w:r>
    </w:p>
    <w:p>
      <w:pPr>
        <w:spacing w:after="0" w:line="160"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have not completed our initial business combination within 18 months from the closing of this offering (or 21 months from the closing of this offering if we extend the period of time to consummate a business combination, as described in more detail elsewhere in this prospectus),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83"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2"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warrants will not have redemption rights.</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ectPr>
          <w:pgSz w:w="11900" w:h="16838" w:orient="portrait"/>
          <w:cols w:equalWidth="0" w:num="1">
            <w:col w:w="9019"/>
          </w:cols>
          <w:pgMar w:left="1440" w:top="301"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7" w:name="page28"/>
    <w:bookmarkEnd w:id="27"/>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8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Nasdaq, we will not be required to satisfy the 80% test.</w:t>
      </w:r>
    </w:p>
    <w:p>
      <w:pPr>
        <w:spacing w:after="0" w:line="17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w:t>
      </w:r>
    </w:p>
    <w:p>
      <w:pPr>
        <w:sectPr>
          <w:pgSz w:w="11900" w:h="16838" w:orient="portrait"/>
          <w:cols w:equalWidth="0" w:num="1">
            <w:col w:w="9019"/>
          </w:cols>
          <w:pgMar w:left="1440" w:top="34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8" w:name="page29"/>
    <w:bookmarkEnd w:id="28"/>
    <w:p>
      <w:pPr>
        <w:jc w:val="both"/>
        <w:ind w:left="460" w:right="459"/>
        <w:spacing w:after="0" w:line="259" w:lineRule="auto"/>
        <w:rPr>
          <w:sz w:val="20"/>
          <w:szCs w:val="20"/>
          <w:color w:val="auto"/>
        </w:rPr>
      </w:pPr>
      <w:r>
        <w:rPr>
          <w:rFonts w:ascii="Arial" w:cs="Arial" w:eastAsia="Arial" w:hAnsi="Arial"/>
          <w:sz w:val="18"/>
          <w:szCs w:val="18"/>
          <w:color w:val="auto"/>
        </w:rPr>
        <w:t>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4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5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6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w:t>
      </w:r>
    </w:p>
    <w:p>
      <w:pPr>
        <w:sectPr>
          <w:pgSz w:w="11900" w:h="16838" w:orient="portrait"/>
          <w:cols w:equalWidth="0" w:num="1">
            <w:col w:w="9019"/>
          </w:cols>
          <w:pgMar w:left="1440" w:top="301"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9" w:name="page30"/>
    <w:bookmarkEnd w:id="29"/>
    <w:p>
      <w:pPr>
        <w:jc w:val="both"/>
        <w:ind w:left="460" w:right="459"/>
        <w:spacing w:after="0" w:line="268" w:lineRule="auto"/>
        <w:rPr>
          <w:sz w:val="20"/>
          <w:szCs w:val="20"/>
          <w:color w:val="auto"/>
        </w:rPr>
      </w:pPr>
      <w:r>
        <w:rPr>
          <w:rFonts w:ascii="Arial" w:cs="Arial" w:eastAsia="Arial" w:hAnsi="Arial"/>
          <w:sz w:val="17"/>
          <w:szCs w:val="17"/>
          <w:color w:val="auto"/>
        </w:rPr>
        <w:t>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3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30" w:lineRule="exact"/>
        <w:rPr>
          <w:sz w:val="20"/>
          <w:szCs w:val="20"/>
          <w:color w:val="auto"/>
        </w:rPr>
      </w:pPr>
    </w:p>
    <w:p>
      <w:pPr>
        <w:ind w:left="1080" w:hanging="29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ectPr>
          <w:pgSz w:w="11900" w:h="16838" w:orient="portrait"/>
          <w:cols w:equalWidth="0" w:num="1">
            <w:col w:w="9019"/>
          </w:cols>
          <w:pgMar w:left="1440" w:top="30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0" w:name="page31"/>
    <w:bookmarkEnd w:id="30"/>
    <w:p>
      <w:pPr>
        <w:ind w:left="1080" w:hanging="29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98" w:lineRule="exact"/>
        <w:rPr>
          <w:rFonts w:ascii="Arial" w:cs="Arial" w:eastAsia="Arial" w:hAnsi="Arial"/>
          <w:sz w:val="18"/>
          <w:szCs w:val="18"/>
          <w:color w:val="auto"/>
        </w:rPr>
      </w:pPr>
    </w:p>
    <w:p>
      <w:pPr>
        <w:jc w:val="both"/>
        <w:ind w:left="1120" w:right="459" w:hanging="333"/>
        <w:spacing w:after="0" w:line="264" w:lineRule="auto"/>
        <w:tabs>
          <w:tab w:leader="none" w:pos="11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5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7" w:lineRule="exact"/>
        <w:rPr>
          <w:sz w:val="20"/>
          <w:szCs w:val="20"/>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their conversion rights may not allow us to effectuate the most desirable business combination or optimize our capital structure.</w:t>
      </w:r>
    </w:p>
    <w:p>
      <w:pPr>
        <w:spacing w:after="0" w:line="13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w:t>
      </w:r>
    </w:p>
    <w:p>
      <w:pPr>
        <w:sectPr>
          <w:pgSz w:w="11900" w:h="16838" w:orient="portrait"/>
          <w:cols w:equalWidth="0" w:num="1">
            <w:col w:w="9019"/>
          </w:cols>
          <w:pgMar w:left="1440" w:top="30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1" w:name="page32"/>
    <w:bookmarkEnd w:id="31"/>
    <w:p>
      <w:pPr>
        <w:jc w:val="both"/>
        <w:ind w:left="460" w:right="459"/>
        <w:spacing w:after="0" w:line="257" w:lineRule="auto"/>
        <w:rPr>
          <w:sz w:val="20"/>
          <w:szCs w:val="20"/>
          <w:color w:val="auto"/>
        </w:rPr>
      </w:pPr>
      <w:r>
        <w:rPr>
          <w:rFonts w:ascii="Arial" w:cs="Arial" w:eastAsia="Arial" w:hAnsi="Arial"/>
          <w:sz w:val="18"/>
          <w:szCs w:val="18"/>
          <w:color w:val="auto"/>
        </w:rPr>
        <w:t>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18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4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90"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ectPr>
          <w:pgSz w:w="11900" w:h="16838" w:orient="portrait"/>
          <w:cols w:equalWidth="0" w:num="1">
            <w:col w:w="9019"/>
          </w:cols>
          <w:pgMar w:left="1440" w:top="301"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2" w:name="page33"/>
    <w:bookmarkEnd w:id="32"/>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insiders, officers and directors, will control a substantial interest in us and thus may influence certain actions requiring a stockholder vote.</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 immediately before this offering as well as the private shares and any shares of common stock acquired in this offering or in the aftermarket in favor of such proposed business combination, and therefore will have a significant influence on the vote.</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3" w:name="page34"/>
    <w:bookmarkEnd w:id="33"/>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3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4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b w:val="1"/>
          <w:bCs w:val="1"/>
          <w:i w:val="1"/>
          <w:i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77.1% or $7.71 per share (the difference between the pro forma net tangible book value per share of $2.29, and the initial offering price of $10.00 per share), taking into account that the net tangible book value per share prior to this offering was ($0.15). This is because investors in this offering will be contributing approximately 92.5% of the total amount paid to us for our outstanding shares of common stock after this offering but will only own 75.2% of our outstanding shares of common stock. Accordingly, the per-share purchase price you will be paying substantially exceeds our per share net tangible book value.</w:t>
      </w:r>
    </w:p>
    <w:p>
      <w:pPr>
        <w:spacing w:after="0" w:line="18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4" w:name="page35"/>
    <w:bookmarkEnd w:id="34"/>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4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6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0" w:lineRule="exact"/>
        <w:rPr>
          <w:sz w:val="20"/>
          <w:szCs w:val="20"/>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85" w:lineRule="exact"/>
        <w:rPr>
          <w:sz w:val="20"/>
          <w:szCs w:val="20"/>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w:t>
      </w:r>
    </w:p>
    <w:p>
      <w:pPr>
        <w:spacing w:after="0" w:line="20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w:t>
      </w:r>
    </w:p>
    <w:p>
      <w:pPr>
        <w:sectPr>
          <w:pgSz w:w="11900" w:h="16838" w:orient="portrait"/>
          <w:cols w:equalWidth="0" w:num="1">
            <w:col w:w="9019"/>
          </w:cols>
          <w:pgMar w:left="1440" w:top="341"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5" w:name="page36"/>
    <w:bookmarkEnd w:id="35"/>
    <w:p>
      <w:pPr>
        <w:jc w:val="both"/>
        <w:ind w:left="460" w:right="459"/>
        <w:spacing w:after="0" w:line="286" w:lineRule="auto"/>
        <w:rPr>
          <w:sz w:val="20"/>
          <w:szCs w:val="20"/>
          <w:color w:val="auto"/>
        </w:rPr>
      </w:pPr>
      <w:r>
        <w:rPr>
          <w:rFonts w:ascii="Arial" w:cs="Arial" w:eastAsia="Arial" w:hAnsi="Arial"/>
          <w:sz w:val="17"/>
          <w:szCs w:val="17"/>
          <w:color w:val="auto"/>
        </w:rPr>
        <w:t>have not allotted funds and may hinder our ability to complete a business combination. If we are unable to complete our initial business combination, our public stockholders may receive only approximately $10.30 per share on the liquidation of our trust account and our public warrants will expire worthless.</w:t>
      </w:r>
    </w:p>
    <w:p>
      <w:pPr>
        <w:spacing w:after="0" w:line="16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and the underwriter will own a number of our securities post initial public offering (as described elsewhere in this prospectus).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38" w:lineRule="exact"/>
        <w:rPr>
          <w:sz w:val="20"/>
          <w:szCs w:val="20"/>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4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18 months from the closing of this offering (or 21 months from the closing of this offering if we extend the period of time to consummate a business combination, as described in more detail elsewhere in this prospectus)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9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30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6" w:name="page37"/>
    <w:bookmarkEnd w:id="36"/>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4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3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4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7" w:name="page38"/>
    <w:bookmarkEnd w:id="37"/>
    <w:p>
      <w:pPr>
        <w:jc w:val="both"/>
        <w:ind w:left="460" w:right="459"/>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12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41" w:lineRule="exact"/>
        <w:rPr>
          <w:sz w:val="20"/>
          <w:szCs w:val="20"/>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019"/>
          </w:cols>
          <w:pgMar w:left="1440" w:top="301"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8" w:name="page39"/>
    <w:bookmarkEnd w:id="38"/>
    <w:p>
      <w:pPr>
        <w:jc w:val="both"/>
        <w:ind w:left="460" w:right="459"/>
        <w:spacing w:after="0" w:line="312"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30"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not appropriately allocate a tax basis to the components of the unit.</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55" w:lineRule="exact"/>
        <w:rPr>
          <w:sz w:val="20"/>
          <w:szCs w:val="20"/>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5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Allotment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Exercised</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Gross proceeds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50,000,000</w:t>
            </w:r>
          </w:p>
        </w:tc>
        <w:tc>
          <w:tcPr>
            <w:tcW w:w="1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57,500,000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8"/>
                <w:szCs w:val="18"/>
                <w:color w:val="auto"/>
              </w:rPr>
              <w:t>From sale of private units</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4,475,000</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54,025,000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61,975,000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8"/>
                <w:szCs w:val="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color w:val="auto"/>
              </w:rPr>
              <w:t>Non-contingent underwriting discount (3.0% of gross proceeds from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1,725,000</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w w:val="99"/>
              </w:rPr>
              <w:t>Deferred underwriting discount (2.0% of gross proceeds from offering)</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Nasdaq listing fee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SEC/FINRA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8"/>
                <w:szCs w:val="18"/>
                <w:color w:val="auto"/>
                <w:w w:val="95"/>
              </w:rPr>
              <w:t>Miscellaneous (includes $50,000 of underwriters’ accountable expenses)</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5580" w:type="dxa"/>
            <w:vAlign w:val="bottom"/>
          </w:tcPr>
          <w:p>
            <w:pPr>
              <w:spacing w:after="0"/>
              <w:rPr>
                <w:sz w:val="20"/>
                <w:szCs w:val="20"/>
                <w:color w:val="auto"/>
              </w:rPr>
            </w:pPr>
            <w:r>
              <w:rPr>
                <w:rFonts w:ascii="Arial" w:cs="Arial" w:eastAsia="Arial" w:hAnsi="Arial"/>
                <w:sz w:val="18"/>
                <w:szCs w:val="18"/>
                <w:color w:val="auto"/>
              </w:rPr>
              <w:t>Net proceeds</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51,025,000</w:t>
            </w: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58,600,000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Held in the trust account</w:t>
            </w:r>
            <w:r>
              <w:rPr>
                <w:rFonts w:ascii="Arial" w:cs="Arial" w:eastAsia="Arial" w:hAnsi="Arial"/>
                <w:sz w:val="8"/>
                <w:szCs w:val="8"/>
                <w:color w:val="auto"/>
              </w:rPr>
              <w:t>(3)</w:t>
            </w: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51,500,000</w:t>
            </w: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59,225,000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5580" w:type="dxa"/>
            <w:vAlign w:val="bottom"/>
          </w:tcPr>
          <w:p>
            <w:pPr>
              <w:spacing w:after="0"/>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8"/>
                <w:szCs w:val="8"/>
                <w:color w:val="auto"/>
              </w:rPr>
              <w:t>(4)(5)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1"/>
              </w:rPr>
              <w:t>Legal, accounting and other third party expenses attendant to the search for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4"/>
              </w:rPr>
              <w:t>target businesses and to the due diligence investigation, structuring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our initial business combination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6"/>
              </w:rPr>
              <w:t>Due diligence of prospective target businesses by officers, directors and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insiders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7"/>
              </w:rPr>
              <w:t>Payment of administrative fee to Magna Management LLC ($10,000 per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month for up to 21 months), subject to deferral as described herein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3"/>
              </w:rPr>
              <w:t>Working capital to cover miscellaneous expenses, D&amp;O insurance, general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780" w:right="459" w:hanging="318"/>
        <w:spacing w:after="0" w:line="250"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 w:lineRule="exact"/>
        <w:rPr>
          <w:rFonts w:ascii="Arial" w:cs="Arial" w:eastAsia="Arial" w:hAnsi="Arial"/>
          <w:sz w:val="18"/>
          <w:szCs w:val="18"/>
          <w:color w:val="auto"/>
        </w:rPr>
      </w:pPr>
    </w:p>
    <w:p>
      <w:pPr>
        <w:ind w:left="780" w:hanging="318"/>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9" w:lineRule="exact"/>
        <w:rPr>
          <w:rFonts w:ascii="Arial" w:cs="Arial" w:eastAsia="Arial" w:hAnsi="Arial"/>
          <w:sz w:val="18"/>
          <w:szCs w:val="18"/>
          <w:color w:val="auto"/>
        </w:rPr>
      </w:pPr>
    </w:p>
    <w:p>
      <w:pPr>
        <w:jc w:val="both"/>
        <w:ind w:left="780" w:right="459" w:hanging="318"/>
        <w:spacing w:after="0" w:line="267" w:lineRule="auto"/>
        <w:tabs>
          <w:tab w:leader="none" w:pos="8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funds held in the trust account may, but need not, be used to pay our expenses relating to completing our initial business combination, including a deferred underwriting commission payable to the underwriters in an amount equal to 2% of the total gross proceeds raised in the offering described below. We will have until 18 months from the closing of this offering to consummate our initial business combination.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American Stock Transfer &amp; Trust Company, LLC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w:t>
      </w:r>
    </w:p>
    <w:p>
      <w:pPr>
        <w:sectPr>
          <w:pgSz w:w="11900" w:h="16838" w:orient="portrait"/>
          <w:cols w:equalWidth="0" w:num="1">
            <w:col w:w="9019"/>
          </w:cols>
          <w:pgMar w:left="1440" w:top="337"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1" w:name="page42"/>
    <w:bookmarkEnd w:id="41"/>
    <w:p>
      <w:pPr>
        <w:ind w:left="780" w:right="459" w:hanging="318"/>
        <w:spacing w:after="0" w:line="258" w:lineRule="auto"/>
        <w:tabs>
          <w:tab w:leader="none" w:pos="7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proceeds not held in the trust account will remain constant at approximately $525,000 even if the over-allotment option is exercised.</w:t>
      </w:r>
    </w:p>
    <w:p>
      <w:pPr>
        <w:spacing w:after="0" w:line="1" w:lineRule="exact"/>
        <w:rPr>
          <w:rFonts w:ascii="Arial" w:cs="Arial" w:eastAsia="Arial" w:hAnsi="Arial"/>
          <w:sz w:val="18"/>
          <w:szCs w:val="18"/>
          <w:color w:val="auto"/>
        </w:rPr>
      </w:pPr>
    </w:p>
    <w:p>
      <w:pPr>
        <w:jc w:val="both"/>
        <w:ind w:left="780" w:right="459" w:hanging="318"/>
        <w:spacing w:after="0" w:line="253" w:lineRule="auto"/>
        <w:tabs>
          <w:tab w:leader="none" w:pos="7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pacing w:after="0" w:line="15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$4,025,000)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45,000 private units) that is necessary to maintain in the trust account an amount equal to $10.30 per share of common stock sold to the public in this offering. All of the proceeds we receive from these purchases will be placed in the trust account described below.</w:t>
      </w:r>
    </w:p>
    <w:p>
      <w:pPr>
        <w:spacing w:after="0" w:line="15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$51,500,000, or $59,225,000 if the over-allotment option is exercised in full, of net proceeds of this offering and the sale of the private units will be placed in a trust account in the United States at JP Morgan Chase, maintained by American Stock Transfer &amp; Trust Company, LLC,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45"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Regardless of whether the over-allotment option is exercised in full, the net proceeds from this offering available to us out of trust for our working capital requirements in searching for our initial business combination will be approximately $525,000.</w:t>
      </w:r>
    </w:p>
    <w:p>
      <w:pPr>
        <w:spacing w:after="0" w:line="15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allocation of the net proceeds available to us outside of the trust account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our insiders, members of our management team or third parties, but our insiders, members of our management team or third parties are not under any obligation to advance funds to, or invest in, us.</w:t>
      </w:r>
    </w:p>
    <w:p>
      <w:pPr>
        <w:sectPr>
          <w:pgSz w:w="11900" w:h="16838" w:orient="portrait"/>
          <w:cols w:equalWidth="0" w:num="1">
            <w:col w:w="9019"/>
          </w:cols>
          <w:pgMar w:left="1440" w:top="125"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2" w:name="page43"/>
    <w:bookmarkEnd w:id="42"/>
    <w:p>
      <w:pPr>
        <w:jc w:val="both"/>
        <w:ind w:left="460" w:right="459"/>
        <w:spacing w:after="0" w:line="270" w:lineRule="auto"/>
        <w:rPr>
          <w:sz w:val="20"/>
          <w:szCs w:val="20"/>
          <w:color w:val="auto"/>
        </w:rPr>
      </w:pPr>
      <w:r>
        <w:rPr>
          <w:rFonts w:ascii="Arial" w:cs="Arial" w:eastAsia="Arial" w:hAnsi="Arial"/>
          <w:sz w:val="17"/>
          <w:szCs w:val="17"/>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the underwriters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5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4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June 30, 2016, M SPAC LLC, an entity controlled by Joshua Sason, our Chief Executive Officer, had loaned to us $131,720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3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 June 30, 2016, our net tangible book value was $(186,447), or approximately ($0.15) per share assuming the underwriters do not exercise any portion of the over-allotment option and the forfeiture of 187,500 insider shares.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June 30, 2016 would have been $5,000,004 or $2.29 (or $2.06 if the underwriters exercise their over-allotment option in full) per share, representing an immediate increase in net tangible book value of $2.44 (or $2.21 if the underwriters exercise their over-allotment option in full) per share to our insiders and an immediate dilution of 77.1% (or 79.4% if the underwriters exercise their over-allotment option in full) per share or $7.71 (or $7.94 if the underwriters exercise their over-allotment option in full) to new investors not exercising their conversion rights. For purposes of presentation, our pro forma net tangible book value after this offering is $46,032,606 (or $53,607,607 if the underwriters exercise their over-allotment option in full) less than it otherwise would have been because if we effect our initial business combination, the conversion rights of the public stockholders (but not our insiders) may result in the conversion or tender of up to 4,469,185 (or 5,204,622 if the underwriters exercise their over-allotment option in full) shares sold in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5"/>
              </w:rPr>
              <w:t>Over-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Allotment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76"/>
        </w:trPr>
        <w:tc>
          <w:tcPr>
            <w:tcW w:w="5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(0.15)</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Arial" w:cs="Arial" w:eastAsia="Arial" w:hAnsi="Arial"/>
                <w:sz w:val="18"/>
                <w:szCs w:val="18"/>
                <w:color w:val="auto"/>
              </w:rPr>
              <w:t>Increase attributable to public stockholders and private investors</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 and the sale of the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420" w:type="dxa"/>
            <w:vAlign w:val="bottom"/>
          </w:tcPr>
          <w:p>
            <w:pPr>
              <w:ind w:left="180"/>
              <w:spacing w:after="0"/>
              <w:rPr>
                <w:sz w:val="20"/>
                <w:szCs w:val="20"/>
                <w:color w:val="auto"/>
              </w:rPr>
            </w:pPr>
            <w:r>
              <w:rPr>
                <w:rFonts w:ascii="Arial" w:cs="Arial" w:eastAsia="Arial" w:hAnsi="Arial"/>
                <w:sz w:val="18"/>
                <w:szCs w:val="18"/>
                <w:color w:val="auto"/>
              </w:rPr>
              <w:t>private units</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Dilution to new investors</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77.1</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79.4</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-1139825</wp:posOffset>
            </wp:positionV>
            <wp:extent cx="1595120" cy="11233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95120" cy="1123315"/>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7"/>
          </w:tcPr>
          <w:p>
            <w:pPr>
              <w:jc w:val="right"/>
              <w:ind w:right="477"/>
              <w:spacing w:after="0"/>
              <w:rPr>
                <w:sz w:val="20"/>
                <w:szCs w:val="20"/>
                <w:color w:val="auto"/>
              </w:rPr>
            </w:pPr>
            <w:r>
              <w:rPr>
                <w:rFonts w:ascii="Arial" w:cs="Arial" w:eastAsia="Arial" w:hAnsi="Arial"/>
                <w:sz w:val="12"/>
                <w:szCs w:val="12"/>
                <w:b w:val="1"/>
                <w:bCs w:val="1"/>
                <w:color w:val="auto"/>
              </w:rPr>
              <w:t>Without Over-allotment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7"/>
          </w:tcPr>
          <w:p>
            <w:pPr>
              <w:ind w:left="600"/>
              <w:spacing w:after="0"/>
              <w:rPr>
                <w:sz w:val="20"/>
                <w:szCs w:val="20"/>
                <w:color w:val="auto"/>
              </w:rPr>
            </w:pPr>
            <w:r>
              <w:rPr>
                <w:rFonts w:ascii="Arial" w:cs="Arial" w:eastAsia="Arial" w:hAnsi="Arial"/>
                <w:sz w:val="12"/>
                <w:szCs w:val="12"/>
                <w:b w:val="1"/>
                <w:bCs w:val="1"/>
                <w:color w:val="auto"/>
                <w:w w:val="91"/>
              </w:rPr>
              <w:t>With Over-allotment</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77"/>
              <w:spacing w:after="0" w:line="129" w:lineRule="exact"/>
              <w:rPr>
                <w:sz w:val="20"/>
                <w:szCs w:val="20"/>
                <w:color w:val="auto"/>
              </w:rPr>
            </w:pPr>
            <w:r>
              <w:rPr>
                <w:rFonts w:ascii="Arial" w:cs="Arial" w:eastAsia="Arial" w:hAnsi="Arial"/>
                <w:sz w:val="12"/>
                <w:szCs w:val="12"/>
                <w:b w:val="1"/>
                <w:bCs w:val="1"/>
                <w:color w:val="auto"/>
                <w:w w:val="97"/>
              </w:rPr>
              <w:t>Total Consideration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4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174"/>
              <w:spacing w:after="0" w:line="129" w:lineRule="exact"/>
              <w:rPr>
                <w:sz w:val="20"/>
                <w:szCs w:val="20"/>
                <w:color w:val="auto"/>
              </w:rPr>
            </w:pPr>
            <w:r>
              <w:rPr>
                <w:rFonts w:ascii="Arial" w:cs="Arial" w:eastAsia="Arial" w:hAnsi="Arial"/>
                <w:sz w:val="12"/>
                <w:szCs w:val="12"/>
                <w:b w:val="1"/>
                <w:bCs w:val="1"/>
                <w:color w:val="auto"/>
                <w:w w:val="97"/>
              </w:rPr>
              <w:t>Total Consideration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per</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per</w:t>
            </w:r>
          </w:p>
        </w:tc>
        <w:tc>
          <w:tcPr>
            <w:tcW w:w="0" w:type="dxa"/>
            <w:vAlign w:val="bottom"/>
          </w:tcPr>
          <w:p>
            <w:pPr>
              <w:spacing w:after="0"/>
              <w:rPr>
                <w:sz w:val="1"/>
                <w:szCs w:val="1"/>
                <w:color w:val="auto"/>
              </w:rPr>
            </w:pPr>
          </w:p>
        </w:tc>
      </w:tr>
      <w:tr>
        <w:trPr>
          <w:trHeight w:val="143"/>
        </w:trPr>
        <w:tc>
          <w:tcPr>
            <w:tcW w:w="620" w:type="dxa"/>
            <w:vAlign w:val="bottom"/>
            <w:vMerge w:val="restart"/>
          </w:tcPr>
          <w:p>
            <w:pPr>
              <w:spacing w:after="0"/>
              <w:rPr>
                <w:sz w:val="20"/>
                <w:szCs w:val="20"/>
                <w:color w:val="auto"/>
              </w:rPr>
            </w:pPr>
            <w:r>
              <w:rPr>
                <w:rFonts w:ascii="Arial" w:cs="Arial" w:eastAsia="Arial" w:hAnsi="Arial"/>
                <w:sz w:val="14"/>
                <w:szCs w:val="14"/>
                <w:color w:val="auto"/>
              </w:rPr>
              <w:t>Insider</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Percentage</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Share</w:t>
            </w:r>
          </w:p>
        </w:tc>
        <w:tc>
          <w:tcPr>
            <w:tcW w:w="0" w:type="dxa"/>
            <w:vAlign w:val="bottom"/>
          </w:tcPr>
          <w:p>
            <w:pPr>
              <w:spacing w:after="0"/>
              <w:rPr>
                <w:sz w:val="1"/>
                <w:szCs w:val="1"/>
                <w:color w:val="auto"/>
              </w:rPr>
            </w:pPr>
          </w:p>
        </w:tc>
      </w:tr>
      <w:tr>
        <w:trPr>
          <w:trHeight w:val="131"/>
        </w:trPr>
        <w:tc>
          <w:tcPr>
            <w:tcW w:w="620" w:type="dxa"/>
            <w:vAlign w:val="bottom"/>
            <w:vMerge w:val="continue"/>
          </w:tcPr>
          <w:p>
            <w:pPr>
              <w:spacing w:after="0"/>
              <w:rPr>
                <w:sz w:val="11"/>
                <w:szCs w:val="1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2"/>
              </w:rPr>
              <w:t>1,250,000</w:t>
            </w:r>
            <w:r>
              <w:rPr>
                <w:rFonts w:ascii="Arial" w:cs="Arial" w:eastAsia="Arial" w:hAnsi="Arial"/>
                <w:sz w:val="22"/>
                <w:szCs w:val="22"/>
                <w:color w:val="auto"/>
                <w:w w:val="92"/>
                <w:vertAlign w:val="superscript"/>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18.79%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0.05</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0.02 1,437,500</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18.83%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Private</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402,500</w:t>
            </w:r>
            <w:r>
              <w:rPr>
                <w:rFonts w:ascii="Arial" w:cs="Arial" w:eastAsia="Arial" w:hAnsi="Arial"/>
                <w:sz w:val="22"/>
                <w:szCs w:val="22"/>
                <w:color w:val="auto"/>
                <w:vertAlign w:val="superscript"/>
              </w:rPr>
              <w:t>(2)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447,500</w:t>
            </w:r>
            <w:r>
              <w:rPr>
                <w:rFonts w:ascii="Arial" w:cs="Arial" w:eastAsia="Arial" w:hAnsi="Arial"/>
                <w:sz w:val="22"/>
                <w:szCs w:val="22"/>
                <w:color w:val="auto"/>
                <w:w w:val="99"/>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76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4,475,000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New</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40" w:type="dxa"/>
            <w:vAlign w:val="bottom"/>
            <w:gridSpan w:val="4"/>
          </w:tcPr>
          <w:p>
            <w:pPr>
              <w:ind w:left="180"/>
              <w:spacing w:after="0" w:line="200" w:lineRule="exact"/>
              <w:rPr>
                <w:sz w:val="20"/>
                <w:szCs w:val="20"/>
                <w:color w:val="auto"/>
              </w:rPr>
            </w:pPr>
            <w:r>
              <w:rPr>
                <w:rFonts w:ascii="Arial" w:cs="Arial" w:eastAsia="Arial" w:hAnsi="Arial"/>
                <w:sz w:val="23"/>
                <w:szCs w:val="23"/>
                <w:color w:val="auto"/>
                <w:vertAlign w:val="superscript"/>
              </w:rPr>
              <w:t>investors</w:t>
            </w:r>
            <w:r>
              <w:rPr>
                <w:rFonts w:ascii="Arial" w:cs="Arial" w:eastAsia="Arial" w:hAnsi="Arial"/>
                <w:sz w:val="12"/>
                <w:szCs w:val="12"/>
                <w:color w:val="auto"/>
              </w:rPr>
              <w:t xml:space="preserve"> 5,000,000</w:t>
            </w:r>
          </w:p>
        </w:tc>
        <w:tc>
          <w:tcPr>
            <w:tcW w:w="660" w:type="dxa"/>
            <w:vAlign w:val="bottom"/>
          </w:tcPr>
          <w:p>
            <w:pPr>
              <w:jc w:val="right"/>
              <w:spacing w:after="0"/>
              <w:rPr>
                <w:sz w:val="20"/>
                <w:szCs w:val="20"/>
                <w:color w:val="auto"/>
              </w:rPr>
            </w:pPr>
            <w:r>
              <w:rPr>
                <w:rFonts w:ascii="Arial" w:cs="Arial" w:eastAsia="Arial" w:hAnsi="Arial"/>
                <w:sz w:val="14"/>
                <w:szCs w:val="14"/>
                <w:color w:val="auto"/>
              </w:rPr>
              <w:t>75.16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50,000,000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92.50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10.00 5,750,000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57,500,000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6,652,500</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54,050,000</w:t>
            </w: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7,635,000</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62,000,000</w:t>
            </w:r>
          </w:p>
        </w:tc>
        <w:tc>
          <w:tcPr>
            <w:tcW w:w="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780" w:hanging="31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Assumes over-allotment is not exercised and the forfeiture of an aggregate of 187,500 insider shares.</w:t>
      </w:r>
    </w:p>
    <w:p>
      <w:pPr>
        <w:spacing w:after="0" w:line="20" w:lineRule="exact"/>
        <w:rPr>
          <w:rFonts w:ascii="Arial" w:cs="Arial" w:eastAsia="Arial" w:hAnsi="Arial"/>
          <w:sz w:val="17"/>
          <w:szCs w:val="17"/>
          <w:color w:val="auto"/>
        </w:rPr>
      </w:pPr>
    </w:p>
    <w:p>
      <w:pPr>
        <w:ind w:left="780" w:right="459" w:hanging="318"/>
        <w:spacing w:after="0" w:line="250" w:lineRule="auto"/>
        <w:tabs>
          <w:tab w:leader="none" w:pos="9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402,500 private shares underlying the private units issued simultaneously with the consummation of this offering.</w:t>
      </w:r>
    </w:p>
    <w:p>
      <w:pPr>
        <w:ind w:left="780" w:right="459" w:hanging="318"/>
        <w:spacing w:after="0" w:line="261" w:lineRule="auto"/>
        <w:tabs>
          <w:tab w:leader="none" w:pos="9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447,500 private shares underlying the private units issued simultaneously with the consummation of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ind w:left="460" w:right="459"/>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With</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5"/>
              </w:rPr>
              <w:t>Over-Allotment</w:t>
            </w:r>
            <w:r>
              <w:rPr>
                <w:rFonts w:ascii="Arial" w:cs="Arial" w:eastAsia="Arial" w:hAnsi="Arial"/>
                <w:sz w:val="8"/>
                <w:szCs w:val="8"/>
                <w:b w:val="1"/>
                <w:bCs w:val="1"/>
                <w:color w:val="auto"/>
                <w:w w:val="95"/>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9"/>
                <w:szCs w:val="9"/>
                <w:b w:val="1"/>
                <w:bCs w:val="1"/>
                <w:color w:val="auto"/>
                <w:w w:val="90"/>
              </w:rPr>
              <w:t>(2)</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4"/>
              </w:rPr>
              <w:t>Option</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4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(186,447)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(186,447)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w w:val="96"/>
              </w:rPr>
              <w:t>Net proceeds from this offering and private placement of private units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51,025,000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58,600,000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340" w:type="dxa"/>
            <w:vAlign w:val="bottom"/>
          </w:tcPr>
          <w:p>
            <w:pPr>
              <w:spacing w:after="0"/>
              <w:rPr>
                <w:sz w:val="20"/>
                <w:szCs w:val="20"/>
                <w:color w:val="auto"/>
              </w:rPr>
            </w:pPr>
            <w:r>
              <w:rPr>
                <w:rFonts w:ascii="Arial" w:cs="Arial" w:eastAsia="Arial" w:hAnsi="Arial"/>
                <w:sz w:val="18"/>
                <w:szCs w:val="18"/>
                <w:color w:val="auto"/>
                <w:w w:val="93"/>
              </w:rPr>
              <w:t>Plus: Offering costs accrued for and paid in advance, excluded tangible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book value before this offering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8"/>
                <w:szCs w:val="18"/>
                <w:color w:val="auto"/>
                <w:w w:val="96"/>
              </w:rPr>
              <w:t>Less: Proceeds held in the trust account subject to conversion/tender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(46,032,606)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(53,607,607)</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402,500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(4,469,185)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(5,204,622)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780" w:hanging="31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9" w:lineRule="exact"/>
        <w:rPr>
          <w:rFonts w:ascii="Arial" w:cs="Arial" w:eastAsia="Arial" w:hAnsi="Arial"/>
          <w:sz w:val="18"/>
          <w:szCs w:val="18"/>
          <w:color w:val="auto"/>
        </w:rPr>
      </w:pPr>
    </w:p>
    <w:p>
      <w:pPr>
        <w:ind w:left="780" w:hanging="31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sets forth our capitalization at June 30, 2016 and as adjusted to give effect to the sale of our units offered by this prospectus and the private units and the application of the estimated net proceeds derived from the sale of such securities: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6"/>
                <w:szCs w:val="16"/>
                <w:b w:val="1"/>
                <w:bCs w:val="1"/>
                <w:color w:val="auto"/>
              </w:rPr>
              <w:t>June 30, 2016</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Actual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Notes payable to related and unrelated parties</w:t>
            </w:r>
            <w:r>
              <w:rPr>
                <w:rFonts w:ascii="Arial" w:cs="Arial" w:eastAsia="Arial" w:hAnsi="Arial"/>
                <w:sz w:val="8"/>
                <w:szCs w:val="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169,183</w:t>
            </w:r>
          </w:p>
        </w:tc>
        <w:tc>
          <w:tcPr>
            <w:tcW w:w="80" w:type="dxa"/>
            <w:vAlign w:val="bottom"/>
          </w:tcPr>
          <w:p>
            <w:pPr>
              <w:spacing w:after="0"/>
              <w:rPr>
                <w:sz w:val="22"/>
                <w:szCs w:val="22"/>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186,720</w:t>
            </w:r>
          </w:p>
        </w:tc>
        <w:tc>
          <w:tcPr>
            <w:tcW w:w="8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Deferred underwriting commissions payable</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line="182" w:lineRule="exact"/>
              <w:rPr>
                <w:sz w:val="20"/>
                <w:szCs w:val="20"/>
                <w:color w:val="auto"/>
              </w:rPr>
            </w:pPr>
            <w:r>
              <w:rPr>
                <w:rFonts w:ascii="Arial" w:cs="Arial" w:eastAsia="Arial" w:hAnsi="Arial"/>
                <w:sz w:val="18"/>
                <w:szCs w:val="18"/>
                <w:color w:val="auto"/>
                <w:w w:val="92"/>
              </w:rPr>
              <w:t>Common stock, $.001 par value; 0 and 4,469,185 shares</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200" w:type="dxa"/>
            <w:vAlign w:val="bottom"/>
          </w:tcPr>
          <w:p>
            <w:pPr>
              <w:ind w:left="180"/>
              <w:spacing w:after="0"/>
              <w:rPr>
                <w:sz w:val="20"/>
                <w:szCs w:val="20"/>
                <w:color w:val="auto"/>
              </w:rPr>
            </w:pPr>
            <w:r>
              <w:rPr>
                <w:rFonts w:ascii="Arial" w:cs="Arial" w:eastAsia="Arial" w:hAnsi="Arial"/>
                <w:sz w:val="18"/>
                <w:szCs w:val="18"/>
                <w:color w:val="auto"/>
              </w:rPr>
              <w:t>which are subject to conversion/tender</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46,032,606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Arial" w:cs="Arial" w:eastAsia="Arial" w:hAnsi="Arial"/>
                <w:sz w:val="18"/>
                <w:szCs w:val="18"/>
                <w:color w:val="auto"/>
              </w:rPr>
              <w:t>Preferred stock, $.001 par value, 1,000,000 shares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authorized; none issued and 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0"/>
                <w:szCs w:val="20"/>
                <w:color w:val="auto"/>
              </w:rPr>
            </w:pPr>
            <w:r>
              <w:rPr>
                <w:rFonts w:ascii="Arial" w:cs="Arial" w:eastAsia="Arial" w:hAnsi="Arial"/>
                <w:sz w:val="18"/>
                <w:szCs w:val="18"/>
                <w:color w:val="auto"/>
              </w:rPr>
              <w:t>Common stock, $.001 par value, 50,000,000 shares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w w:val="98"/>
              </w:rPr>
              <w:t>authorized actual; 30,000,000 share authorized, as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w w:val="97"/>
              </w:rPr>
              <w:t>adjusted; 1,437,500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actual; 2,183,315</w:t>
            </w:r>
            <w:r>
              <w:rPr>
                <w:rFonts w:ascii="Arial" w:cs="Arial" w:eastAsia="Arial" w:hAnsi="Arial"/>
                <w:sz w:val="8"/>
                <w:szCs w:val="8"/>
                <w:color w:val="auto"/>
              </w:rPr>
              <w:t>(3)</w:t>
            </w:r>
            <w:r>
              <w:rPr>
                <w:rFonts w:ascii="Arial" w:cs="Arial" w:eastAsia="Arial" w:hAnsi="Arial"/>
                <w:sz w:val="18"/>
                <w:szCs w:val="18"/>
                <w:color w:val="auto"/>
              </w:rPr>
              <w:t xml:space="preserve">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(excluding 4,469,185 shares subject to possible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conversion/tender), as adjusted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5,015,311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20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52,032,610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50" w:lineRule="auto"/>
        <w:tabs>
          <w:tab w:leader="none" w:pos="7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$4,025,000 in aggregate we will receive from the sale of the private units. Assumes the over-allotment option has not been exercised.</w:t>
      </w:r>
    </w:p>
    <w:p>
      <w:pPr>
        <w:jc w:val="both"/>
        <w:ind w:left="780" w:right="459" w:hanging="318"/>
        <w:spacing w:after="0" w:line="250" w:lineRule="auto"/>
        <w:tabs>
          <w:tab w:leader="none" w:pos="7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Notes payable to a related party of $131,720 and unrelated party of $55,000 are promissory notes issued in the aggregate amount of $186,720. The loans are payable without interest no later than the date on which our offering is consummated.</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52" w:lineRule="exact"/>
        <w:rPr>
          <w:sz w:val="20"/>
          <w:szCs w:val="20"/>
          <w:color w:val="auto"/>
        </w:rPr>
      </w:pPr>
    </w:p>
    <w:p>
      <w:pPr>
        <w:ind w:left="1120" w:right="459" w:hanging="333"/>
        <w:spacing w:after="0" w:line="277" w:lineRule="auto"/>
        <w:tabs>
          <w:tab w:leader="none" w:pos="11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312" w:lineRule="auto"/>
        <w:tabs>
          <w:tab w:leader="none" w:pos="11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6"/>
          <w:szCs w:val="16"/>
          <w:color w:val="auto"/>
        </w:rPr>
      </w:pPr>
    </w:p>
    <w:p>
      <w:pPr>
        <w:ind w:left="1080" w:hanging="293"/>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85" w:lineRule="exact"/>
        <w:rPr>
          <w:sz w:val="20"/>
          <w:szCs w:val="20"/>
          <w:color w:val="auto"/>
        </w:rPr>
      </w:pPr>
    </w:p>
    <w:p>
      <w:pPr>
        <w:ind w:left="1120" w:right="459" w:hanging="333"/>
        <w:spacing w:after="0" w:line="277"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pay our debt obligations;</w:t>
      </w:r>
    </w:p>
    <w:p>
      <w:pPr>
        <w:spacing w:after="0" w:line="143" w:lineRule="exact"/>
        <w:rPr>
          <w:rFonts w:ascii="Arial" w:cs="Arial" w:eastAsia="Arial" w:hAnsi="Arial"/>
          <w:sz w:val="18"/>
          <w:szCs w:val="18"/>
          <w:color w:val="auto"/>
        </w:rPr>
      </w:pPr>
    </w:p>
    <w:p>
      <w:pPr>
        <w:jc w:val="both"/>
        <w:ind w:left="1120" w:right="459" w:hanging="333"/>
        <w:spacing w:after="0" w:line="259"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2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 and</w:t>
      </w:r>
    </w:p>
    <w:p>
      <w:pPr>
        <w:spacing w:after="0" w:line="119" w:lineRule="exact"/>
        <w:rPr>
          <w:rFonts w:ascii="Arial" w:cs="Arial" w:eastAsia="Arial" w:hAnsi="Arial"/>
          <w:sz w:val="17"/>
          <w:szCs w:val="17"/>
          <w:color w:val="auto"/>
        </w:rPr>
      </w:pPr>
    </w:p>
    <w:p>
      <w:pPr>
        <w:jc w:val="both"/>
        <w:ind w:left="1120" w:right="459" w:hanging="333"/>
        <w:spacing w:after="0" w:line="264" w:lineRule="auto"/>
        <w:tabs>
          <w:tab w:leader="none" w:pos="11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As indicated in the accompanying financial statements, at June 30, 2016, we had $273 in cash and a working capital deficiency of $186,447.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and loans from insiders, a related party and an unrelated party in an aggregate amount of $186,720 that are more fully described below. Our expenses through the date of this prospectus have been $17,490. We estimate that the net proceeds from (1) the sale of the units in this offering, after deducting offering expenses of approximately $500,000 and underwriting discounts and commissions of $2,500,000 (or $2,875,000 if the over-allotment option is exercised in full) and (2) the sale of the private units for an aggregate purchase price of $4,025,000 (or $4,475,000 if the over-allotment option is exercised in full), will be $51,025,000 (or $58,600,000 if the over-allotment option is exercised in full). $51,500,000 (or $59,225,000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the underwriters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3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39" w:lineRule="exact"/>
        <w:rPr>
          <w:sz w:val="20"/>
          <w:szCs w:val="20"/>
          <w:color w:val="auto"/>
        </w:rPr>
      </w:pPr>
    </w:p>
    <w:p>
      <w:pPr>
        <w:jc w:val="both"/>
        <w:ind w:left="1120" w:right="459" w:hanging="333"/>
        <w:spacing w:after="0" w:line="264" w:lineRule="auto"/>
        <w:tabs>
          <w:tab w:leader="none" w:pos="11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3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$115,000 for general working capital that will be used for miscellaneous expenses, liquidation obligations and reserves, including director and officer liability insurance premiums.</w:t>
      </w:r>
    </w:p>
    <w:p>
      <w:pPr>
        <w:spacing w:after="0" w:line="106"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9" w:name="page50"/>
    <w:bookmarkEnd w:id="49"/>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6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3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(and/or its designees) has committed that they will purchase an aggregate of 402,500 private units at $10.00 per private unit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3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2017.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110" w:lineRule="exact"/>
        <w:rPr>
          <w:sz w:val="20"/>
          <w:szCs w:val="20"/>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44"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ectPr>
          <w:pgSz w:w="11900" w:h="16838" w:orient="portrait"/>
          <w:cols w:equalWidth="0" w:num="1">
            <w:col w:w="9019"/>
          </w:cols>
          <w:pgMar w:left="1440" w:top="337"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0" w:name="page51"/>
    <w:bookmarkEnd w:id="50"/>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2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June 30, 2016,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8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 “Bleed for This” was executive produced by Martin Scorsese, was written and directed by Ben Younger, and produced by Bruce Cohen and Emma Tillinger Koskoff.</w:t>
      </w:r>
    </w:p>
    <w:p>
      <w:pPr>
        <w:spacing w:after="0" w:line="1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Status as a public company</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8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ectPr>
          <w:pgSz w:w="11900" w:h="16838" w:orient="portrait"/>
          <w:cols w:equalWidth="0" w:num="1">
            <w:col w:w="9019"/>
          </w:cols>
          <w:pgMar w:left="1440" w:top="33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2" w:name="page53"/>
    <w:bookmarkEnd w:id="52"/>
    <w:p>
      <w:pPr>
        <w:ind w:left="460"/>
        <w:spacing w:after="0"/>
        <w:rPr>
          <w:sz w:val="20"/>
          <w:szCs w:val="20"/>
          <w:color w:val="auto"/>
        </w:rPr>
      </w:pPr>
      <w:r>
        <w:rPr>
          <w:rFonts w:ascii="Arial" w:cs="Arial" w:eastAsia="Arial" w:hAnsi="Arial"/>
          <w:sz w:val="18"/>
          <w:szCs w:val="18"/>
          <w:i w:val="1"/>
          <w:iCs w:val="1"/>
          <w:color w:val="auto"/>
        </w:rPr>
        <w:t>Transaction flexibility</w:t>
      </w:r>
    </w:p>
    <w:p>
      <w:pPr>
        <w:spacing w:after="0" w:line="1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Weaknesses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Financial Resources</w:t>
      </w:r>
    </w:p>
    <w:p>
      <w:pPr>
        <w:spacing w:after="0" w:line="185" w:lineRule="exact"/>
        <w:rPr>
          <w:sz w:val="20"/>
          <w:szCs w:val="20"/>
          <w:color w:val="auto"/>
        </w:rPr>
      </w:pPr>
    </w:p>
    <w:p>
      <w:pPr>
        <w:jc w:val="both"/>
        <w:ind w:left="1120" w:right="459"/>
        <w:spacing w:after="0" w:line="259"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185" w:lineRule="exact"/>
        <w:rPr>
          <w:sz w:val="20"/>
          <w:szCs w:val="20"/>
          <w:color w:val="auto"/>
        </w:rPr>
      </w:pPr>
    </w:p>
    <w:p>
      <w:pPr>
        <w:jc w:val="both"/>
        <w:ind w:left="1120" w:right="459"/>
        <w:spacing w:after="0" w:line="302" w:lineRule="auto"/>
        <w:rPr>
          <w:sz w:val="20"/>
          <w:szCs w:val="20"/>
          <w:color w:val="auto"/>
        </w:rPr>
      </w:pPr>
      <w:r>
        <w:rPr>
          <w:rFonts w:ascii="Arial" w:cs="Arial" w:eastAsia="Arial" w:hAnsi="Arial"/>
          <w:sz w:val="16"/>
          <w:szCs w:val="16"/>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198" w:lineRule="exact"/>
        <w:rPr>
          <w:sz w:val="20"/>
          <w:szCs w:val="20"/>
          <w:color w:val="auto"/>
        </w:rPr>
      </w:pPr>
    </w:p>
    <w:p>
      <w:pPr>
        <w:jc w:val="both"/>
        <w:ind w:left="1120" w:right="459"/>
        <w:spacing w:after="0" w:line="31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185" w:lineRule="exact"/>
        <w:rPr>
          <w:sz w:val="20"/>
          <w:szCs w:val="20"/>
          <w:color w:val="auto"/>
        </w:rPr>
      </w:pPr>
    </w:p>
    <w:p>
      <w:pPr>
        <w:jc w:val="both"/>
        <w:ind w:left="1120" w:right="459"/>
        <w:spacing w:after="0" w:line="272" w:lineRule="auto"/>
        <w:rPr>
          <w:sz w:val="20"/>
          <w:szCs w:val="20"/>
          <w:color w:val="auto"/>
        </w:rPr>
      </w:pPr>
      <w:r>
        <w:rPr>
          <w:rFonts w:ascii="Arial" w:cs="Arial" w:eastAsia="Arial" w:hAnsi="Arial"/>
          <w:sz w:val="17"/>
          <w:szCs w:val="17"/>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ectPr>
          <w:pgSz w:w="11900" w:h="16838" w:orient="portrait"/>
          <w:cols w:equalWidth="0" w:num="1">
            <w:col w:w="9019"/>
          </w:cols>
          <w:pgMar w:left="1440" w:top="341"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3" w:name="page54"/>
    <w:bookmarkEnd w:id="53"/>
    <w:p>
      <w:pPr>
        <w:ind w:left="460"/>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1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Target Businesses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1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5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39" w:lineRule="exact"/>
        <w:rPr>
          <w:sz w:val="20"/>
          <w:szCs w:val="20"/>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ectPr>
          <w:pgSz w:w="11900" w:h="16838" w:orient="portrait"/>
          <w:cols w:equalWidth="0" w:num="1">
            <w:col w:w="9019"/>
          </w:cols>
          <w:pgMar w:left="1440" w:top="34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4" w:name="page55"/>
    <w:bookmarkEnd w:id="54"/>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9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2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Market Value of Target Business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5" w:name="page56"/>
    <w:bookmarkEnd w:id="55"/>
    <w:p>
      <w:pPr>
        <w:jc w:val="both"/>
        <w:ind w:left="460" w:right="459"/>
        <w:spacing w:after="0" w:line="284"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Business Diversification</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37" w:lineRule="exact"/>
        <w:rPr>
          <w:sz w:val="20"/>
          <w:szCs w:val="20"/>
          <w:color w:val="auto"/>
        </w:rPr>
      </w:pPr>
    </w:p>
    <w:p>
      <w:pPr>
        <w:jc w:val="both"/>
        <w:ind w:left="1120" w:right="459" w:hanging="333"/>
        <w:spacing w:after="0" w:line="264" w:lineRule="auto"/>
        <w:tabs>
          <w:tab w:leader="none" w:pos="11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40" w:lineRule="exact"/>
        <w:rPr>
          <w:rFonts w:ascii="Arial" w:cs="Arial" w:eastAsia="Arial" w:hAnsi="Arial"/>
          <w:sz w:val="18"/>
          <w:szCs w:val="18"/>
          <w:color w:val="auto"/>
        </w:rPr>
      </w:pPr>
    </w:p>
    <w:p>
      <w:pPr>
        <w:ind w:left="1120" w:right="459" w:hanging="333"/>
        <w:spacing w:after="0" w:line="308" w:lineRule="auto"/>
        <w:tabs>
          <w:tab w:leader="none" w:pos="1169"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w:t>
      </w:r>
    </w:p>
    <w:p>
      <w:pPr>
        <w:sectPr>
          <w:pgSz w:w="11900" w:h="16838" w:orient="portrait"/>
          <w:cols w:equalWidth="0" w:num="1">
            <w:col w:w="9019"/>
          </w:cols>
          <w:pgMar w:left="1440" w:top="301"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6" w:name="page57"/>
    <w:bookmarkEnd w:id="56"/>
    <w:p>
      <w:pPr>
        <w:jc w:val="both"/>
        <w:ind w:left="460" w:right="459"/>
        <w:spacing w:after="0" w:line="286" w:lineRule="auto"/>
        <w:rPr>
          <w:sz w:val="20"/>
          <w:szCs w:val="20"/>
          <w:color w:val="auto"/>
        </w:rPr>
      </w:pPr>
      <w:r>
        <w:rPr>
          <w:rFonts w:ascii="Arial" w:cs="Arial" w:eastAsia="Arial" w:hAnsi="Arial"/>
          <w:sz w:val="16"/>
          <w:szCs w:val="16"/>
          <w:color w:val="auto"/>
        </w:rPr>
        <w:t>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5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3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ectPr>
          <w:pgSz w:w="11900" w:h="16838" w:orient="portrait"/>
          <w:cols w:equalWidth="0" w:num="1">
            <w:col w:w="9019"/>
          </w:cols>
          <w:pgMar w:left="1440" w:top="301"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7" w:name="page58"/>
    <w:bookmarkEnd w:id="57"/>
    <w:p>
      <w:pPr>
        <w:ind w:left="460" w:right="459"/>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43" w:lineRule="exact"/>
        <w:rPr>
          <w:sz w:val="20"/>
          <w:szCs w:val="20"/>
          <w:color w:val="auto"/>
        </w:rPr>
      </w:pPr>
    </w:p>
    <w:p>
      <w:pPr>
        <w:jc w:val="both"/>
        <w:ind w:left="1120" w:right="459" w:hanging="333"/>
        <w:spacing w:after="0" w:line="264"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5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the underwriters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up to 21 months from the closing of this offering if we extend the period of time to consummate a business combination, as described in more detail below) in order to be able to receive a portion of the trust account.</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5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ectPr>
          <w:pgSz w:w="11900" w:h="16838" w:orient="portrait"/>
          <w:cols w:equalWidth="0" w:num="1">
            <w:col w:w="9019"/>
          </w:cols>
          <w:pgMar w:left="1440" w:top="301"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8" w:name="page59"/>
    <w:bookmarkEnd w:id="58"/>
    <w:p>
      <w:pPr>
        <w:jc w:val="both"/>
        <w:ind w:left="460" w:right="459"/>
        <w:spacing w:after="0" w:line="283"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0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If we anticipate that we may not be able to consummate our initial business combination within 18 months, we may extend the period of time to consummate a business combination up to three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 Rights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$10.30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ectPr>
          <w:pgSz w:w="11900" w:h="16838" w:orient="portrait"/>
          <w:cols w:equalWidth="0" w:num="1">
            <w:col w:w="9019"/>
          </w:cols>
          <w:pgMar w:left="1440" w:top="301"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9" w:name="page60"/>
    <w:bookmarkEnd w:id="59"/>
    <w:p>
      <w:pPr>
        <w:jc w:val="both"/>
        <w:ind w:left="460" w:right="459"/>
        <w:spacing w:after="0" w:line="269"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5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11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9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21"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ectPr>
          <w:pgSz w:w="11900" w:h="16838" w:orient="portrait"/>
          <w:cols w:equalWidth="0" w:num="1">
            <w:col w:w="9019"/>
          </w:cols>
          <w:pgMar w:left="1440" w:top="301"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0" w:name="page61"/>
    <w:bookmarkEnd w:id="60"/>
    <w:p>
      <w:pPr>
        <w:ind w:left="4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If we do not complete a business combination within 18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American Stock Transfer &amp; Trust Company, LLC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 At such time, the warrants will expire and holders of warrants will receive nothing upon a liquidation with respect to such warrants, and the warrants will be worthless.</w:t>
      </w:r>
    </w:p>
    <w:p>
      <w:pPr>
        <w:spacing w:after="0" w:line="14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3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w:t>
      </w:r>
      <w:r>
        <w:rPr>
          <w:rFonts w:ascii="Arial" w:cs="Arial" w:eastAsia="Arial" w:hAnsi="Arial"/>
          <w:sz w:val="8"/>
          <w:szCs w:val="8"/>
          <w:color w:val="auto"/>
        </w:rPr>
        <w:t>th</w:t>
      </w:r>
      <w:r>
        <w:rPr>
          <w:rFonts w:ascii="Arial" w:cs="Arial" w:eastAsia="Arial" w:hAnsi="Arial"/>
          <w:sz w:val="17"/>
          <w:szCs w:val="17"/>
          <w:color w:val="auto"/>
        </w:rPr>
        <w:t xml:space="preserve"> or 21</w:t>
      </w:r>
      <w:r>
        <w:rPr>
          <w:rFonts w:ascii="Arial" w:cs="Arial" w:eastAsia="Arial" w:hAnsi="Arial"/>
          <w:sz w:val="8"/>
          <w:szCs w:val="8"/>
          <w:color w:val="auto"/>
        </w:rPr>
        <w:t>st</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4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1" w:name="page62"/>
    <w:bookmarkEnd w:id="61"/>
    <w:p>
      <w:pPr>
        <w:jc w:val="both"/>
        <w:ind w:left="460" w:right="459"/>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7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3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ectPr>
          <w:pgSz w:w="11900" w:h="16838" w:orient="portrait"/>
          <w:cols w:equalWidth="0" w:num="1">
            <w:col w:w="9019"/>
          </w:cols>
          <w:pgMar w:left="1440" w:top="301"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2" w:name="page63"/>
    <w:bookmarkEnd w:id="62"/>
    <w:p>
      <w:pPr>
        <w:ind w:left="460"/>
        <w:spacing w:after="0"/>
        <w:rPr>
          <w:sz w:val="20"/>
          <w:szCs w:val="20"/>
          <w:color w:val="auto"/>
        </w:rPr>
      </w:pPr>
      <w:r>
        <w:rPr>
          <w:rFonts w:ascii="Arial" w:cs="Arial" w:eastAsia="Arial" w:hAnsi="Arial"/>
          <w:sz w:val="18"/>
          <w:szCs w:val="18"/>
          <w:b w:val="1"/>
          <w:bCs w:val="1"/>
          <w:color w:val="auto"/>
        </w:rPr>
        <w:t>Certificate of Incorporation</w:t>
      </w:r>
    </w:p>
    <w:p>
      <w:pPr>
        <w:spacing w:after="0" w:line="2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46" w:lineRule="exact"/>
        <w:rPr>
          <w:sz w:val="20"/>
          <w:szCs w:val="20"/>
          <w:color w:val="auto"/>
        </w:rPr>
      </w:pPr>
    </w:p>
    <w:p>
      <w:pPr>
        <w:jc w:val="both"/>
        <w:ind w:left="1120" w:right="459" w:hanging="333"/>
        <w:spacing w:after="0" w:line="271" w:lineRule="auto"/>
        <w:tabs>
          <w:tab w:leader="none" w:pos="11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65" w:lineRule="exact"/>
        <w:rPr>
          <w:rFonts w:ascii="Arial" w:cs="Arial" w:eastAsia="Arial" w:hAnsi="Arial"/>
          <w:sz w:val="17"/>
          <w:szCs w:val="17"/>
          <w:color w:val="auto"/>
        </w:rPr>
      </w:pPr>
    </w:p>
    <w:p>
      <w:pPr>
        <w:jc w:val="both"/>
        <w:ind w:left="1120" w:right="459" w:hanging="333"/>
        <w:spacing w:after="0" w:line="259" w:lineRule="auto"/>
        <w:tabs>
          <w:tab w:leader="none" w:pos="1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73" w:lineRule="exact"/>
        <w:rPr>
          <w:rFonts w:ascii="Arial" w:cs="Arial" w:eastAsia="Arial" w:hAnsi="Arial"/>
          <w:sz w:val="18"/>
          <w:szCs w:val="18"/>
          <w:color w:val="auto"/>
        </w:rPr>
      </w:pPr>
    </w:p>
    <w:p>
      <w:pPr>
        <w:jc w:val="both"/>
        <w:ind w:left="1120" w:right="459" w:hanging="333"/>
        <w:spacing w:after="0" w:line="264" w:lineRule="auto"/>
        <w:tabs>
          <w:tab w:leader="none" w:pos="11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1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consummation of this offering, $51,500,000, or $59,225,000 if the over-allotment option is exercised in full, shall be placed into the trust account;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67" w:lineRule="exact"/>
        <w:rPr>
          <w:rFonts w:ascii="Arial" w:cs="Arial" w:eastAsia="Arial" w:hAnsi="Arial"/>
          <w:sz w:val="18"/>
          <w:szCs w:val="18"/>
          <w:color w:val="auto"/>
        </w:rPr>
      </w:pPr>
    </w:p>
    <w:p>
      <w:pPr>
        <w:jc w:val="both"/>
        <w:ind w:left="1120" w:right="459" w:hanging="333"/>
        <w:spacing w:after="0" w:line="264" w:lineRule="auto"/>
        <w:tabs>
          <w:tab w:leader="none" w:pos="11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0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33" w:lineRule="exact"/>
        <w:rPr>
          <w:sz w:val="20"/>
          <w:szCs w:val="20"/>
          <w:color w:val="auto"/>
        </w:rPr>
      </w:pPr>
    </w:p>
    <w:p>
      <w:pPr>
        <w:jc w:val="both"/>
        <w:ind w:left="1120" w:right="459" w:hanging="333"/>
        <w:spacing w:after="0" w:line="264" w:lineRule="auto"/>
        <w:tabs>
          <w:tab w:leader="none" w:pos="11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67" w:lineRule="exact"/>
        <w:rPr>
          <w:rFonts w:ascii="Arial" w:cs="Arial" w:eastAsia="Arial" w:hAnsi="Arial"/>
          <w:sz w:val="18"/>
          <w:szCs w:val="18"/>
          <w:color w:val="auto"/>
        </w:rPr>
      </w:pPr>
    </w:p>
    <w:p>
      <w:pPr>
        <w:jc w:val="both"/>
        <w:ind w:left="1120" w:right="459" w:hanging="333"/>
        <w:spacing w:after="0" w:line="264" w:lineRule="auto"/>
        <w:tabs>
          <w:tab w:leader="none" w:pos="10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54" w:lineRule="exact"/>
        <w:rPr>
          <w:rFonts w:ascii="Arial" w:cs="Arial" w:eastAsia="Arial" w:hAnsi="Arial"/>
          <w:sz w:val="18"/>
          <w:szCs w:val="18"/>
          <w:color w:val="auto"/>
        </w:rPr>
      </w:pPr>
    </w:p>
    <w:p>
      <w:pPr>
        <w:jc w:val="both"/>
        <w:ind w:left="1120" w:right="459" w:hanging="333"/>
        <w:spacing w:after="0" w:line="259" w:lineRule="auto"/>
        <w:tabs>
          <w:tab w:leader="none" w:pos="10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33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3" w:name="page64"/>
    <w:bookmarkEnd w:id="63"/>
    <w:p>
      <w:pPr>
        <w:ind w:left="1120" w:right="459" w:hanging="333"/>
        <w:spacing w:after="0" w:line="277" w:lineRule="auto"/>
        <w:tabs>
          <w:tab w:leader="none" w:pos="11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57" w:lineRule="exact"/>
        <w:rPr>
          <w:sz w:val="20"/>
          <w:szCs w:val="20"/>
          <w:color w:val="auto"/>
        </w:rPr>
      </w:pPr>
    </w:p>
    <w:p>
      <w:pPr>
        <w:jc w:val="both"/>
        <w:ind w:left="1120" w:right="459" w:hanging="333"/>
        <w:spacing w:after="0" w:line="264" w:lineRule="auto"/>
        <w:tabs>
          <w:tab w:leader="none" w:pos="11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3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56" w:lineRule="exact"/>
        <w:rPr>
          <w:rFonts w:ascii="Arial" w:cs="Arial" w:eastAsia="Arial" w:hAnsi="Arial"/>
          <w:sz w:val="18"/>
          <w:szCs w:val="18"/>
          <w:color w:val="auto"/>
        </w:rPr>
      </w:pPr>
    </w:p>
    <w:p>
      <w:pPr>
        <w:ind w:left="1080" w:hanging="293"/>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11"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4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98" w:lineRule="exact"/>
        <w:rPr>
          <w:sz w:val="20"/>
          <w:szCs w:val="20"/>
          <w:color w:val="auto"/>
        </w:rPr>
      </w:pPr>
    </w:p>
    <w:p>
      <w:pPr>
        <w:ind w:left="1120" w:right="459" w:hanging="333"/>
        <w:spacing w:after="0" w:line="277" w:lineRule="auto"/>
        <w:tabs>
          <w:tab w:leader="none" w:pos="11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56" w:lineRule="exact"/>
        <w:rPr>
          <w:rFonts w:ascii="Arial" w:cs="Arial" w:eastAsia="Arial" w:hAnsi="Arial"/>
          <w:sz w:val="18"/>
          <w:szCs w:val="18"/>
          <w:color w:val="auto"/>
        </w:rPr>
      </w:pPr>
    </w:p>
    <w:p>
      <w:pPr>
        <w:ind w:left="1080" w:hanging="293"/>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outstanding warrants and unit purchase options, and the potential future dilution they represent;</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1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the underwriters upon consummation of our initial business combination;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ectPr>
          <w:pgSz w:w="11900" w:h="16838" w:orient="portrait"/>
          <w:cols w:equalWidth="0" w:num="1">
            <w:col w:w="9019"/>
          </w:cols>
          <w:pgMar w:left="1440" w:top="328"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64" w:name="page65"/>
    <w:bookmarkEnd w:id="64"/>
    <w:p>
      <w:pPr>
        <w:jc w:val="both"/>
        <w:ind w:left="1120" w:right="459" w:hanging="333"/>
        <w:spacing w:after="0" w:line="264" w:lineRule="auto"/>
        <w:tabs>
          <w:tab w:leader="none" w:pos="11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54" w:lineRule="exact"/>
        <w:rPr>
          <w:rFonts w:ascii="Arial" w:cs="Arial" w:eastAsia="Arial" w:hAnsi="Arial"/>
          <w:sz w:val="18"/>
          <w:szCs w:val="18"/>
          <w:color w:val="auto"/>
        </w:rPr>
      </w:pPr>
    </w:p>
    <w:p>
      <w:pPr>
        <w:jc w:val="both"/>
        <w:ind w:left="1120" w:right="459" w:hanging="333"/>
        <w:spacing w:after="0" w:line="264" w:lineRule="auto"/>
        <w:tabs>
          <w:tab w:leader="none" w:pos="11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6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216"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currently maintain our principal executive offices at 40 Wall Street, 58</w:t>
      </w:r>
      <w:r>
        <w:rPr>
          <w:rFonts w:ascii="Arial" w:cs="Arial" w:eastAsia="Arial" w:hAnsi="Arial"/>
          <w:sz w:val="7"/>
          <w:szCs w:val="7"/>
          <w:color w:val="auto"/>
        </w:rPr>
        <w:t>th</w:t>
      </w:r>
      <w:r>
        <w:rPr>
          <w:rFonts w:ascii="Arial" w:cs="Arial" w:eastAsia="Arial" w:hAnsi="Arial"/>
          <w:sz w:val="16"/>
          <w:szCs w:val="16"/>
          <w:color w:val="auto"/>
        </w:rPr>
        <w:t xml:space="preserve"> Floor, New York, NY 10005.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5" w:name="page66"/>
    <w:bookmarkEnd w:id="65"/>
    <w:p>
      <w:pPr>
        <w:jc w:val="both"/>
        <w:ind w:left="460" w:right="459"/>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Terms of the Offering</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200" w:type="dxa"/>
            <w:vAlign w:val="bottom"/>
          </w:tcPr>
          <w:p>
            <w:pPr>
              <w:spacing w:after="0" w:line="201" w:lineRule="exact"/>
              <w:rPr>
                <w:sz w:val="20"/>
                <w:szCs w:val="20"/>
                <w:color w:val="auto"/>
              </w:rPr>
            </w:pPr>
            <w:r>
              <w:rPr>
                <w:rFonts w:ascii="Arial" w:cs="Arial" w:eastAsia="Arial" w:hAnsi="Arial"/>
                <w:sz w:val="18"/>
                <w:szCs w:val="18"/>
                <w:color w:val="auto"/>
                <w:w w:val="97"/>
              </w:rPr>
              <w:t>Escrow of offering proceeds</w:t>
            </w:r>
          </w:p>
        </w:tc>
        <w:tc>
          <w:tcPr>
            <w:tcW w:w="18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w w:val="95"/>
              </w:rPr>
              <w:t>$51,500,000</w:t>
            </w:r>
          </w:p>
        </w:tc>
        <w:tc>
          <w:tcPr>
            <w:tcW w:w="320" w:type="dxa"/>
            <w:vAlign w:val="bottom"/>
          </w:tcPr>
          <w:p>
            <w:pPr>
              <w:ind w:left="80"/>
              <w:spacing w:after="0" w:line="201" w:lineRule="exact"/>
              <w:rPr>
                <w:sz w:val="20"/>
                <w:szCs w:val="20"/>
                <w:color w:val="auto"/>
              </w:rPr>
            </w:pPr>
            <w:r>
              <w:rPr>
                <w:rFonts w:ascii="Arial" w:cs="Arial" w:eastAsia="Arial" w:hAnsi="Arial"/>
                <w:sz w:val="18"/>
                <w:szCs w:val="18"/>
                <w:color w:val="auto"/>
              </w:rPr>
              <w:t>of</w:t>
            </w:r>
          </w:p>
        </w:tc>
        <w:tc>
          <w:tcPr>
            <w:tcW w:w="8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the  net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w w:val="99"/>
              </w:rPr>
              <w:t>offering</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5"/>
              </w:rPr>
              <w:t>$42,345,000 of the offering proceeds</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3"/>
              </w:rPr>
              <w:t>proceeds and proceeds from the sale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2"/>
              </w:rPr>
              <w:t>would be required to be deposited into</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7"/>
              </w:rPr>
              <w:t>of the private units will be deposited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either  an  escrow  account  with  an</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6"/>
              </w:rPr>
              <w:t>into  a  trust  account  in  the  United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insured depositary institution or in a</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rPr>
              <w:t>States   at   JP   Morgan   Chase,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88"/>
              </w:rPr>
              <w:t>separate bank account established by a</w:t>
            </w:r>
          </w:p>
        </w:tc>
      </w:tr>
      <w:tr>
        <w:trPr>
          <w:trHeight w:val="216"/>
        </w:trPr>
        <w:tc>
          <w:tcPr>
            <w:tcW w:w="220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maintained</w:t>
            </w:r>
          </w:p>
        </w:tc>
        <w:tc>
          <w:tcPr>
            <w:tcW w:w="320" w:type="dxa"/>
            <w:vAlign w:val="bottom"/>
          </w:tcPr>
          <w:p>
            <w:pPr>
              <w:ind w:left="40"/>
              <w:spacing w:after="0"/>
              <w:rPr>
                <w:sz w:val="20"/>
                <w:szCs w:val="20"/>
                <w:color w:val="auto"/>
              </w:rPr>
            </w:pPr>
            <w:r>
              <w:rPr>
                <w:rFonts w:ascii="Arial" w:cs="Arial" w:eastAsia="Arial" w:hAnsi="Arial"/>
                <w:sz w:val="18"/>
                <w:szCs w:val="18"/>
                <w:color w:val="auto"/>
              </w:rPr>
              <w:t>by</w:t>
            </w:r>
          </w:p>
        </w:tc>
        <w:tc>
          <w:tcPr>
            <w:tcW w:w="860" w:type="dxa"/>
            <w:vAlign w:val="bottom"/>
          </w:tcPr>
          <w:p>
            <w:pPr>
              <w:jc w:val="right"/>
              <w:spacing w:after="0"/>
              <w:rPr>
                <w:sz w:val="20"/>
                <w:szCs w:val="20"/>
                <w:color w:val="auto"/>
              </w:rPr>
            </w:pPr>
            <w:r>
              <w:rPr>
                <w:rFonts w:ascii="Arial" w:cs="Arial" w:eastAsia="Arial" w:hAnsi="Arial"/>
                <w:sz w:val="18"/>
                <w:szCs w:val="18"/>
                <w:color w:val="auto"/>
              </w:rPr>
              <w:t>American</w:t>
            </w:r>
          </w:p>
        </w:tc>
        <w:tc>
          <w:tcPr>
            <w:tcW w:w="620" w:type="dxa"/>
            <w:vAlign w:val="bottom"/>
          </w:tcPr>
          <w:p>
            <w:pPr>
              <w:jc w:val="right"/>
              <w:spacing w:after="0"/>
              <w:rPr>
                <w:sz w:val="20"/>
                <w:szCs w:val="20"/>
                <w:color w:val="auto"/>
              </w:rPr>
            </w:pPr>
            <w:r>
              <w:rPr>
                <w:rFonts w:ascii="Arial" w:cs="Arial" w:eastAsia="Arial" w:hAnsi="Arial"/>
                <w:sz w:val="18"/>
                <w:szCs w:val="18"/>
                <w:color w:val="auto"/>
              </w:rPr>
              <w:t>Stock</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broker-dealer  in  which  the  broker-</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rPr>
              <w:t>Transfer  &amp;  Trust  Company,  LLC</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dealer  acts  as  trustee  for  persons</w:t>
            </w:r>
          </w:p>
        </w:tc>
      </w:tr>
      <w:tr>
        <w:trPr>
          <w:trHeight w:val="216"/>
        </w:trPr>
        <w:tc>
          <w:tcPr>
            <w:tcW w:w="2200" w:type="dxa"/>
            <w:vAlign w:val="bottom"/>
          </w:tcPr>
          <w:p>
            <w:pPr>
              <w:spacing w:after="0"/>
              <w:rPr>
                <w:sz w:val="18"/>
                <w:szCs w:val="18"/>
                <w:color w:val="auto"/>
              </w:rPr>
            </w:pPr>
          </w:p>
        </w:tc>
        <w:tc>
          <w:tcPr>
            <w:tcW w:w="1480" w:type="dxa"/>
            <w:vAlign w:val="bottom"/>
            <w:gridSpan w:val="4"/>
          </w:tcPr>
          <w:p>
            <w:pPr>
              <w:ind w:left="160"/>
              <w:spacing w:after="0"/>
              <w:rPr>
                <w:sz w:val="20"/>
                <w:szCs w:val="20"/>
                <w:color w:val="auto"/>
              </w:rPr>
            </w:pPr>
            <w:r>
              <w:rPr>
                <w:rFonts w:ascii="Arial" w:cs="Arial" w:eastAsia="Arial" w:hAnsi="Arial"/>
                <w:sz w:val="18"/>
                <w:szCs w:val="18"/>
                <w:color w:val="auto"/>
                <w:w w:val="94"/>
              </w:rPr>
              <w:t>acting as trustee.</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having the beneficial interests in the</w:t>
            </w:r>
          </w:p>
        </w:tc>
      </w:tr>
      <w:tr>
        <w:trPr>
          <w:trHeight w:val="230"/>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account.</w:t>
            </w:r>
          </w:p>
        </w:tc>
      </w:tr>
      <w:tr>
        <w:trPr>
          <w:trHeight w:val="445"/>
        </w:trPr>
        <w:tc>
          <w:tcPr>
            <w:tcW w:w="2200" w:type="dxa"/>
            <w:vAlign w:val="bottom"/>
          </w:tcPr>
          <w:p>
            <w:pPr>
              <w:spacing w:after="0"/>
              <w:rPr>
                <w:sz w:val="20"/>
                <w:szCs w:val="20"/>
                <w:color w:val="auto"/>
              </w:rPr>
            </w:pPr>
            <w:r>
              <w:rPr>
                <w:rFonts w:ascii="Arial" w:cs="Arial" w:eastAsia="Arial" w:hAnsi="Arial"/>
                <w:sz w:val="18"/>
                <w:szCs w:val="18"/>
                <w:color w:val="auto"/>
              </w:rPr>
              <w:t>Investment of net proceeds</w:t>
            </w: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4"/>
              </w:rPr>
              <w:t>$51,500,000 of net offering proceeds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Proceeds could be invested only in</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rPr>
              <w:t>and proceeds from the sale of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specified securities such as a money</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4"/>
              </w:rPr>
              <w:t>private units held in the trust account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market fund meeting conditions of the</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rPr>
              <w:t>will  be  invested  only  in  U.S.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8"/>
              </w:rPr>
              <w:t>government treasury bills, bonds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securities that are direct obligations of,</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7"/>
              </w:rPr>
              <w:t>notes with a maturity of 180 days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or  obligations  guaranteed  as  to</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rPr>
              <w:t>less  or  in  money  market  funds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principal  or  interest  by,  the  United</w:t>
            </w:r>
          </w:p>
        </w:tc>
      </w:tr>
      <w:tr>
        <w:trPr>
          <w:trHeight w:val="216"/>
        </w:trPr>
        <w:tc>
          <w:tcPr>
            <w:tcW w:w="22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0"/>
              </w:rPr>
              <w:t>meeting</w:t>
            </w:r>
          </w:p>
        </w:tc>
        <w:tc>
          <w:tcPr>
            <w:tcW w:w="400" w:type="dxa"/>
            <w:vAlign w:val="bottom"/>
          </w:tcPr>
          <w:p>
            <w:pPr>
              <w:ind w:left="160"/>
              <w:spacing w:after="0"/>
              <w:rPr>
                <w:sz w:val="20"/>
                <w:szCs w:val="20"/>
                <w:color w:val="auto"/>
              </w:rPr>
            </w:pPr>
            <w:r>
              <w:rPr>
                <w:rFonts w:ascii="Arial" w:cs="Arial" w:eastAsia="Arial" w:hAnsi="Arial"/>
                <w:sz w:val="18"/>
                <w:szCs w:val="18"/>
                <w:color w:val="auto"/>
                <w:w w:val="87"/>
              </w:rPr>
              <w:t>the</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applicable  conditions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States.</w:t>
            </w: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w w:val="91"/>
              </w:rPr>
              <w:t>under Rule 2a-7 under the Investment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960" w:type="dxa"/>
            <w:vAlign w:val="bottom"/>
            <w:gridSpan w:val="6"/>
          </w:tcPr>
          <w:p>
            <w:pPr>
              <w:ind w:left="160"/>
              <w:spacing w:after="0"/>
              <w:rPr>
                <w:sz w:val="20"/>
                <w:szCs w:val="20"/>
                <w:color w:val="auto"/>
              </w:rPr>
            </w:pPr>
            <w:r>
              <w:rPr>
                <w:rFonts w:ascii="Arial" w:cs="Arial" w:eastAsia="Arial" w:hAnsi="Arial"/>
                <w:sz w:val="18"/>
                <w:szCs w:val="18"/>
                <w:color w:val="auto"/>
              </w:rPr>
              <w:t>Company Act which invest only in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direct</w:t>
            </w: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government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treasury</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obligations.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Limitation on fair value or net  Our initial business combination must  The fair value or net assets of a target</w:t>
      </w:r>
    </w:p>
    <w:p>
      <w:pPr>
        <w:spacing w:after="0" w:line="35" w:lineRule="exact"/>
        <w:rPr>
          <w:sz w:val="20"/>
          <w:szCs w:val="20"/>
          <w:color w:val="auto"/>
        </w:rPr>
      </w:pPr>
    </w:p>
    <w:p>
      <w:pPr>
        <w:ind w:left="2820" w:right="459" w:hanging="2362"/>
        <w:spacing w:after="0" w:line="250" w:lineRule="auto"/>
        <w:tabs>
          <w:tab w:leader="none" w:pos="2800" w:val="left"/>
        </w:tabs>
        <w:rPr>
          <w:sz w:val="20"/>
          <w:szCs w:val="20"/>
          <w:color w:val="auto"/>
        </w:rPr>
      </w:pPr>
      <w:r>
        <w:rPr>
          <w:rFonts w:ascii="Arial" w:cs="Arial" w:eastAsia="Arial" w:hAnsi="Arial"/>
          <w:sz w:val="18"/>
          <w:szCs w:val="18"/>
          <w:color w:val="auto"/>
        </w:rPr>
        <w:t>assets of target business</w:t>
      </w:r>
      <w:r>
        <w:rPr>
          <w:sz w:val="20"/>
          <w:szCs w:val="20"/>
          <w:color w:val="auto"/>
        </w:rPr>
        <w:tab/>
      </w:r>
      <w:r>
        <w:rPr>
          <w:rFonts w:ascii="Arial" w:cs="Arial" w:eastAsia="Arial" w:hAnsi="Arial"/>
          <w:sz w:val="18"/>
          <w:szCs w:val="18"/>
          <w:color w:val="auto"/>
        </w:rPr>
        <w:t>occur with one or more target business must represent at least 80% businesses that together have an of the maximum offering proceeds. aggregate fair market value of at least</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80% of the value of the trust account</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(excluding any deferred underwriter’s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fees and taxes payable on the income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earned on the trust account) at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time of the agreement to enter into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initial business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6" w:name="page67"/>
    <w:bookmarkEnd w:id="66"/>
    <w:p>
      <w:pPr>
        <w:ind w:left="3480"/>
        <w:spacing w:after="0"/>
        <w:tabs>
          <w:tab w:leader="none" w:pos="598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153" w:right="1440" w:bottom="1440" w:gutter="0" w:footer="0" w:header="0"/>
        </w:sectPr>
      </w:pPr>
    </w:p>
    <w:p>
      <w:pPr>
        <w:spacing w:after="0" w:line="26"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360" w:type="dxa"/>
            <w:vAlign w:val="bottom"/>
          </w:tcPr>
          <w:p>
            <w:pPr>
              <w:spacing w:after="0" w:line="201" w:lineRule="exact"/>
              <w:rPr>
                <w:sz w:val="20"/>
                <w:szCs w:val="20"/>
                <w:color w:val="auto"/>
              </w:rPr>
            </w:pPr>
            <w:r>
              <w:rPr>
                <w:rFonts w:ascii="Arial" w:cs="Arial" w:eastAsia="Arial" w:hAnsi="Arial"/>
                <w:sz w:val="18"/>
                <w:szCs w:val="18"/>
                <w:color w:val="auto"/>
              </w:rPr>
              <w:t>Trading of securities issued</w:t>
            </w: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The units may commence trading on</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or  promptly  after  the  date  of  this</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prospectus. The common stock and</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warrants  comprising  the  units  will</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begin to trade separately on the 90</w:t>
            </w:r>
            <w:r>
              <w:rPr>
                <w:rFonts w:ascii="Arial" w:cs="Arial" w:eastAsia="Arial" w:hAnsi="Arial"/>
                <w:sz w:val="8"/>
                <w:szCs w:val="8"/>
                <w:color w:val="auto"/>
                <w:w w:val="97"/>
              </w:rPr>
              <w:t>th</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day after the date of this prospectus</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2"/>
              </w:rPr>
              <w:t>unless Chardan Capital Markets, LLC</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informs us of its decision to allow</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88"/>
              </w:rPr>
              <w:t>earlier separate trading (based upon its</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0"/>
              </w:rPr>
              <w:t>assessment of the relative strengths of</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  securities  markets  and  small</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capitalization companies in general,</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89"/>
              </w:rPr>
              <w:t>and the trading pattern of, and demand</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for,  our  securities  in  particular),</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1"/>
              </w:rPr>
              <w:t>provided we have filed with the SEC a</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9"/>
              </w:rPr>
              <w:t>Current Report on Form 8-K, which</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5"/>
              </w:rPr>
              <w:t>includes  an  audited  balance  sheet</w:t>
            </w:r>
          </w:p>
        </w:tc>
      </w:tr>
      <w:tr>
        <w:trPr>
          <w:trHeight w:val="216"/>
        </w:trPr>
        <w:tc>
          <w:tcPr>
            <w:tcW w:w="23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5"/>
              </w:rPr>
              <w:t>reflecting our receipt of the proceeds</w:t>
            </w:r>
          </w:p>
        </w:tc>
      </w:tr>
      <w:tr>
        <w:trPr>
          <w:trHeight w:val="230"/>
        </w:trPr>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of this offering.</w:t>
            </w: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ind w:right="459"/>
        <w:spacing w:after="0" w:line="255" w:lineRule="auto"/>
        <w:rPr>
          <w:sz w:val="20"/>
          <w:szCs w:val="20"/>
          <w:color w:val="auto"/>
        </w:rPr>
      </w:pPr>
      <w:r>
        <w:rPr>
          <w:rFonts w:ascii="Arial" w:cs="Arial" w:eastAsia="Arial" w:hAnsi="Arial"/>
          <w:sz w:val="18"/>
          <w:szCs w:val="18"/>
          <w:color w:val="auto"/>
        </w:rPr>
        <w:t>No trading of the units or the underlying common stock and warrants would be permitted until the completion of a business combination. During this period, the securities would be held in the escrow or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-976630</wp:posOffset>
            </wp:positionV>
            <wp:extent cx="17926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780" w:lineRule="exact"/>
        <w:rPr>
          <w:sz w:val="20"/>
          <w:szCs w:val="20"/>
          <w:color w:val="auto"/>
        </w:rPr>
      </w:pPr>
    </w:p>
    <w:p>
      <w:pPr>
        <w:sectPr>
          <w:pgSz w:w="11900" w:h="16838" w:orient="portrait"/>
          <w:cols w:equalWidth="0" w:num="2">
            <w:col w:w="5620" w:space="120"/>
            <w:col w:w="3279"/>
          </w:cols>
          <w:pgMar w:left="1440" w:top="153" w:right="1440" w:bottom="1440" w:gutter="0" w:footer="0" w:header="0"/>
          <w:type w:val="continuous"/>
        </w:sectPr>
      </w:pP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1"/>
              </w:rPr>
              <w:t>The warrants cannot be exercised until</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2"/>
              </w:rPr>
              <w:t>The warrants could be exercised prior</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the  later  of  30  days  after  the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rPr>
              <w:t>to  the  completion  of  a  business</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completion  of  our  initial  business</w:t>
            </w:r>
          </w:p>
        </w:tc>
        <w:tc>
          <w:tcPr>
            <w:tcW w:w="1080" w:type="dxa"/>
            <w:vAlign w:val="bottom"/>
          </w:tcPr>
          <w:p>
            <w:pPr>
              <w:ind w:left="60"/>
              <w:spacing w:after="0"/>
              <w:rPr>
                <w:sz w:val="20"/>
                <w:szCs w:val="20"/>
                <w:color w:val="auto"/>
              </w:rPr>
            </w:pPr>
            <w:r>
              <w:rPr>
                <w:rFonts w:ascii="Arial" w:cs="Arial" w:eastAsia="Arial" w:hAnsi="Arial"/>
                <w:sz w:val="18"/>
                <w:szCs w:val="18"/>
                <w:color w:val="auto"/>
                <w:w w:val="97"/>
              </w:rPr>
              <w:t>combination,</w:t>
            </w:r>
          </w:p>
        </w:tc>
        <w:tc>
          <w:tcPr>
            <w:tcW w:w="340" w:type="dxa"/>
            <w:vAlign w:val="bottom"/>
          </w:tcPr>
          <w:p>
            <w:pPr>
              <w:ind w:left="40"/>
              <w:spacing w:after="0"/>
              <w:rPr>
                <w:sz w:val="20"/>
                <w:szCs w:val="20"/>
                <w:color w:val="auto"/>
              </w:rPr>
            </w:pPr>
            <w:r>
              <w:rPr>
                <w:rFonts w:ascii="Arial" w:cs="Arial" w:eastAsia="Arial" w:hAnsi="Arial"/>
                <w:sz w:val="18"/>
                <w:szCs w:val="18"/>
                <w:color w:val="auto"/>
              </w:rPr>
              <w:t>but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w w:val="93"/>
              </w:rPr>
              <w:t>securities  received</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combination or 12 months from the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6"/>
              </w:rPr>
              <w:t>and cash paid in connection with the</w:t>
            </w:r>
          </w:p>
        </w:tc>
      </w:tr>
      <w:tr>
        <w:trPr>
          <w:trHeight w:val="216"/>
        </w:trPr>
        <w:tc>
          <w:tcPr>
            <w:tcW w:w="226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closing of this offering.</w:t>
            </w:r>
          </w:p>
        </w:tc>
        <w:tc>
          <w:tcPr>
            <w:tcW w:w="820" w:type="dxa"/>
            <w:vAlign w:val="bottom"/>
          </w:tcPr>
          <w:p>
            <w:pPr>
              <w:spacing w:after="0"/>
              <w:rPr>
                <w:sz w:val="18"/>
                <w:szCs w:val="18"/>
                <w:color w:val="auto"/>
              </w:rPr>
            </w:pPr>
          </w:p>
        </w:tc>
        <w:tc>
          <w:tcPr>
            <w:tcW w:w="2880" w:type="dxa"/>
            <w:vAlign w:val="bottom"/>
            <w:gridSpan w:val="4"/>
          </w:tcPr>
          <w:p>
            <w:pPr>
              <w:ind w:left="60"/>
              <w:spacing w:after="0"/>
              <w:rPr>
                <w:sz w:val="20"/>
                <w:szCs w:val="20"/>
                <w:color w:val="auto"/>
              </w:rPr>
            </w:pPr>
            <w:r>
              <w:rPr>
                <w:rFonts w:ascii="Arial" w:cs="Arial" w:eastAsia="Arial" w:hAnsi="Arial"/>
                <w:sz w:val="18"/>
                <w:szCs w:val="18"/>
                <w:color w:val="auto"/>
              </w:rPr>
              <w:t>exercise would be deposited in the</w:t>
            </w:r>
          </w:p>
        </w:tc>
      </w:tr>
      <w:tr>
        <w:trPr>
          <w:trHeight w:val="230"/>
        </w:trPr>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Arial" w:cs="Arial" w:eastAsia="Arial" w:hAnsi="Arial"/>
                <w:sz w:val="18"/>
                <w:szCs w:val="18"/>
                <w:color w:val="auto"/>
                <w:w w:val="99"/>
              </w:rPr>
              <w:t>escrow or trust account.</w:t>
            </w:r>
          </w:p>
        </w:tc>
        <w:tc>
          <w:tcPr>
            <w:tcW w:w="90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w w:val="94"/>
              </w:rPr>
              <w:t>Election to remain an investor</w:t>
            </w: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3"/>
              </w:rPr>
              <w:t>We will either (i) give our stockholders</w:t>
            </w:r>
          </w:p>
        </w:tc>
        <w:tc>
          <w:tcPr>
            <w:tcW w:w="1080" w:type="dxa"/>
            <w:vAlign w:val="bottom"/>
          </w:tcPr>
          <w:p>
            <w:pPr>
              <w:ind w:left="60"/>
              <w:spacing w:after="0"/>
              <w:rPr>
                <w:sz w:val="20"/>
                <w:szCs w:val="20"/>
                <w:color w:val="auto"/>
              </w:rPr>
            </w:pPr>
            <w:r>
              <w:rPr>
                <w:rFonts w:ascii="Arial" w:cs="Arial" w:eastAsia="Arial" w:hAnsi="Arial"/>
                <w:sz w:val="18"/>
                <w:szCs w:val="18"/>
                <w:color w:val="auto"/>
                <w:w w:val="95"/>
              </w:rPr>
              <w:t>A prospectus</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7"/>
              </w:rPr>
              <w:t>containing</w:t>
            </w:r>
          </w:p>
        </w:tc>
        <w:tc>
          <w:tcPr>
            <w:tcW w:w="900" w:type="dxa"/>
            <w:vAlign w:val="bottom"/>
          </w:tcPr>
          <w:p>
            <w:pPr>
              <w:jc w:val="right"/>
              <w:spacing w:after="0"/>
              <w:rPr>
                <w:sz w:val="20"/>
                <w:szCs w:val="20"/>
                <w:color w:val="auto"/>
              </w:rPr>
            </w:pPr>
            <w:r>
              <w:rPr>
                <w:rFonts w:ascii="Arial" w:cs="Arial" w:eastAsia="Arial" w:hAnsi="Arial"/>
                <w:sz w:val="18"/>
                <w:szCs w:val="18"/>
                <w:color w:val="auto"/>
                <w:w w:val="98"/>
              </w:rPr>
              <w:t>information</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1"/>
              </w:rPr>
              <w:t>the opportunity to vote on the business</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1"/>
              </w:rPr>
              <w:t>pertaining to the business combination</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7"/>
              </w:rPr>
              <w:t>combination or (ii) provide our public</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3"/>
              </w:rPr>
              <w:t>required by the SEC would be sent to</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0"/>
              </w:rPr>
              <w:t>stockholders with the opportunity to sell</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2"/>
              </w:rPr>
              <w:t>each investor. Each investor would be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7"/>
              </w:rPr>
              <w:t>their shares of our common stock for</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rPr>
              <w:t>given the opportunity to notify the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0"/>
              </w:rPr>
              <w:t>cash equal to their pro rata share of the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4"/>
              </w:rPr>
              <w:t>company in writing, within a period of</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87"/>
              </w:rPr>
              <w:t>aggregate amount then on deposit in the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2"/>
              </w:rPr>
              <w:t>no less than 20 business days and no</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6"/>
              </w:rPr>
              <w:t>trust account, less taxes. If we hold a</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4"/>
              </w:rPr>
              <w:t>more than 45 business days from the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87"/>
              </w:rPr>
              <w:t>meeting to approve a proposed business</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rPr>
              <w:t>effective  date  of  a  post-effective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combination,  we  will  send  each</w:t>
            </w:r>
          </w:p>
        </w:tc>
        <w:tc>
          <w:tcPr>
            <w:tcW w:w="1080" w:type="dxa"/>
            <w:vAlign w:val="bottom"/>
          </w:tcPr>
          <w:p>
            <w:pPr>
              <w:ind w:left="60"/>
              <w:spacing w:after="0"/>
              <w:rPr>
                <w:sz w:val="20"/>
                <w:szCs w:val="20"/>
                <w:color w:val="auto"/>
              </w:rPr>
            </w:pPr>
            <w:r>
              <w:rPr>
                <w:rFonts w:ascii="Arial" w:cs="Arial" w:eastAsia="Arial" w:hAnsi="Arial"/>
                <w:sz w:val="18"/>
                <w:szCs w:val="18"/>
                <w:color w:val="auto"/>
              </w:rPr>
              <w:t>amendment</w:t>
            </w:r>
          </w:p>
        </w:tc>
        <w:tc>
          <w:tcPr>
            <w:tcW w:w="340" w:type="dxa"/>
            <w:vAlign w:val="bottom"/>
          </w:tcPr>
          <w:p>
            <w:pPr>
              <w:ind w:left="100"/>
              <w:spacing w:after="0"/>
              <w:rPr>
                <w:sz w:val="20"/>
                <w:szCs w:val="20"/>
                <w:color w:val="auto"/>
              </w:rPr>
            </w:pPr>
            <w:r>
              <w:rPr>
                <w:rFonts w:ascii="Arial" w:cs="Arial" w:eastAsia="Arial" w:hAnsi="Arial"/>
                <w:sz w:val="18"/>
                <w:szCs w:val="18"/>
                <w:color w:val="auto"/>
              </w:rPr>
              <w:t>to</w:t>
            </w:r>
          </w:p>
        </w:tc>
        <w:tc>
          <w:tcPr>
            <w:tcW w:w="560" w:type="dxa"/>
            <w:vAlign w:val="bottom"/>
          </w:tcPr>
          <w:p>
            <w:pPr>
              <w:ind w:left="180"/>
              <w:spacing w:after="0"/>
              <w:rPr>
                <w:sz w:val="20"/>
                <w:szCs w:val="20"/>
                <w:color w:val="auto"/>
              </w:rPr>
            </w:pPr>
            <w:r>
              <w:rPr>
                <w:rFonts w:ascii="Arial" w:cs="Arial" w:eastAsia="Arial" w:hAnsi="Arial"/>
                <w:sz w:val="18"/>
                <w:szCs w:val="18"/>
                <w:color w:val="auto"/>
              </w:rPr>
              <w:t>the</w:t>
            </w:r>
          </w:p>
        </w:tc>
        <w:tc>
          <w:tcPr>
            <w:tcW w:w="900" w:type="dxa"/>
            <w:vAlign w:val="bottom"/>
          </w:tcPr>
          <w:p>
            <w:pPr>
              <w:jc w:val="right"/>
              <w:spacing w:after="0"/>
              <w:rPr>
                <w:sz w:val="20"/>
                <w:szCs w:val="20"/>
                <w:color w:val="auto"/>
              </w:rPr>
            </w:pPr>
            <w:r>
              <w:rPr>
                <w:rFonts w:ascii="Arial" w:cs="Arial" w:eastAsia="Arial" w:hAnsi="Arial"/>
                <w:sz w:val="18"/>
                <w:szCs w:val="18"/>
                <w:color w:val="auto"/>
              </w:rPr>
              <w:t>company’s</w:t>
            </w:r>
          </w:p>
        </w:tc>
      </w:tr>
      <w:tr>
        <w:trPr>
          <w:trHeight w:val="216"/>
        </w:trPr>
        <w:tc>
          <w:tcPr>
            <w:tcW w:w="2260" w:type="dxa"/>
            <w:vAlign w:val="bottom"/>
          </w:tcPr>
          <w:p>
            <w:pPr>
              <w:spacing w:after="0"/>
              <w:rPr>
                <w:sz w:val="18"/>
                <w:szCs w:val="18"/>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rPr>
              <w:t>stockholder</w:t>
            </w: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660" w:type="dxa"/>
            <w:vAlign w:val="bottom"/>
          </w:tcPr>
          <w:p>
            <w:pPr>
              <w:ind w:left="60"/>
              <w:spacing w:after="0"/>
              <w:rPr>
                <w:sz w:val="20"/>
                <w:szCs w:val="20"/>
                <w:color w:val="auto"/>
              </w:rPr>
            </w:pPr>
            <w:r>
              <w:rPr>
                <w:rFonts w:ascii="Arial" w:cs="Arial" w:eastAsia="Arial" w:hAnsi="Arial"/>
                <w:sz w:val="18"/>
                <w:szCs w:val="18"/>
                <w:color w:val="auto"/>
              </w:rPr>
              <w:t>proxy</w:t>
            </w:r>
          </w:p>
        </w:tc>
        <w:tc>
          <w:tcPr>
            <w:tcW w:w="820" w:type="dxa"/>
            <w:vAlign w:val="bottom"/>
          </w:tcPr>
          <w:p>
            <w:pPr>
              <w:jc w:val="right"/>
              <w:spacing w:after="0"/>
              <w:rPr>
                <w:sz w:val="20"/>
                <w:szCs w:val="20"/>
                <w:color w:val="auto"/>
              </w:rPr>
            </w:pPr>
            <w:r>
              <w:rPr>
                <w:rFonts w:ascii="Arial" w:cs="Arial" w:eastAsia="Arial" w:hAnsi="Arial"/>
                <w:sz w:val="18"/>
                <w:szCs w:val="18"/>
                <w:color w:val="auto"/>
                <w:w w:val="93"/>
              </w:rPr>
              <w:t>statement</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3"/>
              </w:rPr>
              <w:t>registration statement, to decide if he,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4"/>
              </w:rPr>
              <w:t>containing information required by the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0"/>
              </w:rPr>
              <w:t>she or it elects to remain a stockholder</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4"/>
              </w:rPr>
              <w:t>SEC. Alternatively, if we do not hold a</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1"/>
              </w:rPr>
              <w:t>of the company or require the return of</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4"/>
              </w:rPr>
              <w:t>meeting and instead conduct a tender</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rPr>
              <w:t>his,  her  or  its  investment.  If  the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2"/>
              </w:rPr>
              <w:t>offer, we will conduct such tender offer</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9"/>
              </w:rPr>
              <w:t>company   has   not   received   the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88"/>
              </w:rPr>
              <w:t>in accordance with the tender offer rules</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7"/>
              </w:rPr>
              <w:t>notification  by  the  end  of  the  45</w:t>
            </w:r>
            <w:r>
              <w:rPr>
                <w:rFonts w:ascii="Arial" w:cs="Arial" w:eastAsia="Arial" w:hAnsi="Arial"/>
                <w:sz w:val="8"/>
                <w:szCs w:val="8"/>
                <w:color w:val="auto"/>
                <w:w w:val="97"/>
              </w:rPr>
              <w:t>th</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of  the  SEC  and  file  tender  offer</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2"/>
              </w:rPr>
              <w:t>business  day,  funds  and  interest  or</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documents with the SEC which will</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8"/>
              </w:rPr>
              <w:t>dividends, if any, held in the trust or</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0"/>
              </w:rPr>
              <w:t>contain substantially the same financial</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escrow  account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are  automatically</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5"/>
              </w:rPr>
              <w:t>and other information about the initial</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5"/>
              </w:rPr>
              <w:t>returned to the stockholder. Unless a</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88"/>
              </w:rPr>
              <w:t>business combination as we would have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4"/>
              </w:rPr>
              <w:t>sufficient number of investors elect to</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6"/>
              </w:rPr>
              <w:t>included in a proxy statement. Under</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4"/>
              </w:rPr>
              <w:t>remain investors, all funds on deposit</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91"/>
              </w:rPr>
              <w:t>Delaware law and our bylaws, we must</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88"/>
              </w:rPr>
              <w:t>in the escrow account must be returned</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w w:val="89"/>
              </w:rPr>
              <w:t>provide at least 10 days advance notice</w:t>
            </w:r>
          </w:p>
        </w:tc>
        <w:tc>
          <w:tcPr>
            <w:tcW w:w="2880" w:type="dxa"/>
            <w:vAlign w:val="bottom"/>
            <w:gridSpan w:val="4"/>
          </w:tcPr>
          <w:p>
            <w:pPr>
              <w:ind w:left="60"/>
              <w:spacing w:after="0"/>
              <w:rPr>
                <w:sz w:val="20"/>
                <w:szCs w:val="20"/>
                <w:color w:val="auto"/>
              </w:rPr>
            </w:pPr>
            <w:r>
              <w:rPr>
                <w:rFonts w:ascii="Arial" w:cs="Arial" w:eastAsia="Arial" w:hAnsi="Arial"/>
                <w:sz w:val="18"/>
                <w:szCs w:val="18"/>
                <w:color w:val="auto"/>
                <w:w w:val="94"/>
              </w:rPr>
              <w:t>to all of the investors and none of the</w:t>
            </w:r>
          </w:p>
        </w:tc>
      </w:tr>
      <w:tr>
        <w:trPr>
          <w:trHeight w:val="216"/>
        </w:trPr>
        <w:tc>
          <w:tcPr>
            <w:tcW w:w="2260" w:type="dxa"/>
            <w:vAlign w:val="bottom"/>
          </w:tcPr>
          <w:p>
            <w:pPr>
              <w:spacing w:after="0"/>
              <w:rPr>
                <w:sz w:val="18"/>
                <w:szCs w:val="18"/>
                <w:color w:val="auto"/>
              </w:rPr>
            </w:pPr>
          </w:p>
        </w:tc>
        <w:tc>
          <w:tcPr>
            <w:tcW w:w="2960" w:type="dxa"/>
            <w:vAlign w:val="bottom"/>
            <w:gridSpan w:val="4"/>
          </w:tcPr>
          <w:p>
            <w:pPr>
              <w:ind w:left="100"/>
              <w:spacing w:after="0"/>
              <w:rPr>
                <w:sz w:val="20"/>
                <w:szCs w:val="20"/>
                <w:color w:val="auto"/>
              </w:rPr>
            </w:pPr>
            <w:r>
              <w:rPr>
                <w:rFonts w:ascii="Arial" w:cs="Arial" w:eastAsia="Arial" w:hAnsi="Arial"/>
                <w:sz w:val="18"/>
                <w:szCs w:val="18"/>
                <w:color w:val="auto"/>
              </w:rPr>
              <w:t>of  any  meeting  of  stockholders.</w:t>
            </w:r>
          </w:p>
        </w:tc>
        <w:tc>
          <w:tcPr>
            <w:tcW w:w="1980" w:type="dxa"/>
            <w:vAlign w:val="bottom"/>
            <w:gridSpan w:val="3"/>
          </w:tcPr>
          <w:p>
            <w:pPr>
              <w:ind w:left="60"/>
              <w:spacing w:after="0"/>
              <w:rPr>
                <w:sz w:val="20"/>
                <w:szCs w:val="20"/>
                <w:color w:val="auto"/>
              </w:rPr>
            </w:pPr>
            <w:r>
              <w:rPr>
                <w:rFonts w:ascii="Arial" w:cs="Arial" w:eastAsia="Arial" w:hAnsi="Arial"/>
                <w:sz w:val="18"/>
                <w:szCs w:val="18"/>
                <w:color w:val="auto"/>
              </w:rPr>
              <w:t>securities are issued.</w:t>
            </w:r>
          </w:p>
        </w:tc>
        <w:tc>
          <w:tcPr>
            <w:tcW w:w="9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w w:val="97"/>
              </w:rPr>
              <w:t>Accordingly,</w:t>
            </w:r>
          </w:p>
        </w:tc>
        <w:tc>
          <w:tcPr>
            <w:tcW w:w="400" w:type="dxa"/>
            <w:vAlign w:val="bottom"/>
          </w:tcPr>
          <w:p>
            <w:pPr>
              <w:ind w:left="80"/>
              <w:spacing w:after="0"/>
              <w:rPr>
                <w:sz w:val="20"/>
                <w:szCs w:val="20"/>
                <w:color w:val="auto"/>
              </w:rPr>
            </w:pPr>
            <w:r>
              <w:rPr>
                <w:rFonts w:ascii="Arial" w:cs="Arial" w:eastAsia="Arial" w:hAnsi="Arial"/>
                <w:sz w:val="18"/>
                <w:szCs w:val="18"/>
                <w:color w:val="auto"/>
              </w:rPr>
              <w:t>this</w:t>
            </w:r>
          </w:p>
        </w:tc>
        <w:tc>
          <w:tcPr>
            <w:tcW w:w="660" w:type="dxa"/>
            <w:vAlign w:val="bottom"/>
          </w:tcPr>
          <w:p>
            <w:pPr>
              <w:ind w:left="80"/>
              <w:spacing w:after="0"/>
              <w:rPr>
                <w:sz w:val="20"/>
                <w:szCs w:val="20"/>
                <w:color w:val="auto"/>
              </w:rPr>
            </w:pPr>
            <w:r>
              <w:rPr>
                <w:rFonts w:ascii="Arial" w:cs="Arial" w:eastAsia="Arial" w:hAnsi="Arial"/>
                <w:sz w:val="18"/>
                <w:szCs w:val="18"/>
                <w:color w:val="auto"/>
              </w:rPr>
              <w:t>is  the</w:t>
            </w:r>
          </w:p>
        </w:tc>
        <w:tc>
          <w:tcPr>
            <w:tcW w:w="820" w:type="dxa"/>
            <w:vAlign w:val="bottom"/>
          </w:tcPr>
          <w:p>
            <w:pPr>
              <w:jc w:val="right"/>
              <w:spacing w:after="0"/>
              <w:rPr>
                <w:sz w:val="20"/>
                <w:szCs w:val="20"/>
                <w:color w:val="auto"/>
              </w:rPr>
            </w:pPr>
            <w:r>
              <w:rPr>
                <w:rFonts w:ascii="Arial" w:cs="Arial" w:eastAsia="Arial" w:hAnsi="Arial"/>
                <w:sz w:val="18"/>
                <w:szCs w:val="18"/>
                <w:color w:val="auto"/>
              </w:rPr>
              <w:t>minimum</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amount  of  time  we  would  need  to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provide holders to determine whether to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exercise their rights to convert their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shares into cash or to remain an investor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our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type w:val="continuous"/>
        </w:sectPr>
      </w:pPr>
    </w:p>
    <w:bookmarkStart w:id="67" w:name="page68"/>
    <w:bookmarkEnd w:id="67"/>
    <w:tbl>
      <w:tblPr>
        <w:tblLayout w:type="fixed"/>
        <w:tblInd w:w="46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Terms of the Offering</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20" w:type="dxa"/>
            <w:vAlign w:val="bottom"/>
          </w:tcPr>
          <w:p>
            <w:pPr>
              <w:spacing w:after="0" w:line="201" w:lineRule="exact"/>
              <w:rPr>
                <w:sz w:val="20"/>
                <w:szCs w:val="20"/>
                <w:color w:val="auto"/>
              </w:rPr>
            </w:pPr>
            <w:r>
              <w:rPr>
                <w:rFonts w:ascii="Arial" w:cs="Arial" w:eastAsia="Arial" w:hAnsi="Arial"/>
                <w:sz w:val="18"/>
                <w:szCs w:val="18"/>
                <w:color w:val="auto"/>
                <w:w w:val="92"/>
              </w:rPr>
              <w:t>Business combination deadline</w:t>
            </w:r>
          </w:p>
        </w:tc>
        <w:tc>
          <w:tcPr>
            <w:tcW w:w="6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w w:val="88"/>
              </w:rPr>
              <w:t>Pursuant</w:t>
            </w:r>
          </w:p>
        </w:tc>
        <w:tc>
          <w:tcPr>
            <w:tcW w:w="5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to</w:t>
            </w:r>
          </w:p>
        </w:tc>
        <w:tc>
          <w:tcPr>
            <w:tcW w:w="360" w:type="dxa"/>
            <w:vAlign w:val="bottom"/>
          </w:tcPr>
          <w:p>
            <w:pPr>
              <w:ind w:left="20"/>
              <w:spacing w:after="0" w:line="201" w:lineRule="exact"/>
              <w:rPr>
                <w:sz w:val="20"/>
                <w:szCs w:val="20"/>
                <w:color w:val="auto"/>
              </w:rPr>
            </w:pPr>
            <w:r>
              <w:rPr>
                <w:rFonts w:ascii="Arial" w:cs="Arial" w:eastAsia="Arial" w:hAnsi="Arial"/>
                <w:sz w:val="18"/>
                <w:szCs w:val="18"/>
                <w:color w:val="auto"/>
              </w:rPr>
              <w:t>our</w:t>
            </w:r>
          </w:p>
        </w:tc>
        <w:tc>
          <w:tcPr>
            <w:tcW w:w="8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certificate</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If  an  acquisition  has  not  been</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incorporation,  if  we  are  unable  to</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4"/>
              </w:rPr>
              <w:t>completed within 18 months after the</w:t>
            </w:r>
          </w:p>
        </w:tc>
      </w:tr>
      <w:tr>
        <w:trPr>
          <w:trHeight w:val="216"/>
        </w:trPr>
        <w:tc>
          <w:tcPr>
            <w:tcW w:w="23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w w:val="87"/>
              </w:rPr>
              <w:t>complete</w:t>
            </w:r>
          </w:p>
        </w:tc>
        <w:tc>
          <w:tcPr>
            <w:tcW w:w="2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2"/>
              </w:rPr>
              <w:t>our</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initial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business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effective  date  of  the  company’s</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combination within 18 months from</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registration statement, funds held in</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the  closing  of  this  offering  (or  21</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the  trust  or  escrow  account  are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months  from  the  closing  of  this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returned to investors.</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offering  if  the  extension  criteria</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described elsewhere is satisfied), we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4"/>
              </w:rPr>
              <w:t>will (i) cease all operations except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6"/>
              </w:rPr>
              <w:t>the  purpose  of  winding  up,  (ii)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promptly as reasonably possible but</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8"/>
              </w:rPr>
              <w:t>not  more  than  ten  business  days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thereafter,  redeem  100%  of  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color w:val="auto"/>
                <w:w w:val="94"/>
              </w:rPr>
              <w:t>outstanding</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public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shares   which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4"/>
              </w:rPr>
              <w:t>redemption will completely extinguish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public</w:t>
            </w:r>
          </w:p>
        </w:tc>
        <w:tc>
          <w:tcPr>
            <w:tcW w:w="1280" w:type="dxa"/>
            <w:vAlign w:val="bottom"/>
            <w:gridSpan w:val="4"/>
          </w:tcPr>
          <w:p>
            <w:pPr>
              <w:ind w:left="80"/>
              <w:spacing w:after="0"/>
              <w:rPr>
                <w:sz w:val="20"/>
                <w:szCs w:val="20"/>
                <w:color w:val="auto"/>
              </w:rPr>
            </w:pPr>
            <w:r>
              <w:rPr>
                <w:rFonts w:ascii="Arial" w:cs="Arial" w:eastAsia="Arial" w:hAnsi="Arial"/>
                <w:sz w:val="18"/>
                <w:szCs w:val="18"/>
                <w:color w:val="auto"/>
              </w:rPr>
              <w:t>stockholders’</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rights</w:t>
            </w:r>
          </w:p>
        </w:tc>
        <w:tc>
          <w:tcPr>
            <w:tcW w:w="380" w:type="dxa"/>
            <w:vAlign w:val="bottom"/>
          </w:tcPr>
          <w:p>
            <w:pPr>
              <w:jc w:val="right"/>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stockholders  (including  the  right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receive</w:t>
            </w:r>
          </w:p>
        </w:tc>
        <w:tc>
          <w:tcPr>
            <w:tcW w:w="2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further</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distributions,  if  any),  subject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2"/>
              </w:rPr>
              <w:t>applicable law, and (iii) as promptly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color w:val="auto"/>
                <w:w w:val="99"/>
              </w:rPr>
              <w:t>reasonably</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6"/>
              </w:rPr>
              <w:t>possible</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such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2"/>
              </w:rPr>
              <w:t>redemption, subject to the approval of</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9"/>
              </w:rPr>
              <w:t>our remaining stockholders and our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board  of  directors,  dissolve  and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liquidate, subject (in the case of (ii)</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and  (iii)  above)  to  our  obligations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under Delaware law to provide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claims</w:t>
            </w:r>
          </w:p>
        </w:tc>
        <w:tc>
          <w:tcPr>
            <w:tcW w:w="240" w:type="dxa"/>
            <w:vAlign w:val="bottom"/>
          </w:tcPr>
          <w:p>
            <w:pPr>
              <w:ind w:left="80"/>
              <w:spacing w:after="0"/>
              <w:rPr>
                <w:sz w:val="20"/>
                <w:szCs w:val="20"/>
                <w:color w:val="auto"/>
              </w:rPr>
            </w:pPr>
            <w:r>
              <w:rPr>
                <w:rFonts w:ascii="Arial" w:cs="Arial" w:eastAsia="Arial" w:hAnsi="Arial"/>
                <w:sz w:val="18"/>
                <w:szCs w:val="18"/>
                <w:color w:val="auto"/>
                <w:w w:val="92"/>
              </w:rPr>
              <w:t>of</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creditors</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requirements of other applicable law.</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w w:val="94"/>
              </w:rPr>
              <w:t>Interest earned on the funds in</w:t>
            </w: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0"/>
              </w:rPr>
              <w:t>There can be released to us, from time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8"/>
              </w:rPr>
              <w:t>Interest on funds in escrow account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the trust account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to time,</w:t>
            </w:r>
          </w:p>
        </w:tc>
        <w:tc>
          <w:tcPr>
            <w:tcW w:w="2160" w:type="dxa"/>
            <w:vAlign w:val="bottom"/>
            <w:gridSpan w:val="6"/>
          </w:tcPr>
          <w:p>
            <w:pPr>
              <w:ind w:left="60"/>
              <w:spacing w:after="0"/>
              <w:rPr>
                <w:sz w:val="20"/>
                <w:szCs w:val="20"/>
                <w:color w:val="auto"/>
              </w:rPr>
            </w:pPr>
            <w:r>
              <w:rPr>
                <w:rFonts w:ascii="Arial" w:cs="Arial" w:eastAsia="Arial" w:hAnsi="Arial"/>
                <w:sz w:val="18"/>
                <w:szCs w:val="18"/>
                <w:color w:val="auto"/>
                <w:w w:val="99"/>
              </w:rPr>
              <w:t>any interest earned on the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would be held for the sole benefit of</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2"/>
              </w:rPr>
              <w:t>funds in the trust account that we may</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investors,  unless  and  only  after  the</w:t>
            </w:r>
          </w:p>
        </w:tc>
      </w:tr>
      <w:tr>
        <w:trPr>
          <w:trHeight w:val="216"/>
        </w:trPr>
        <w:tc>
          <w:tcPr>
            <w:tcW w:w="2320" w:type="dxa"/>
            <w:vAlign w:val="bottom"/>
          </w:tcPr>
          <w:p>
            <w:pPr>
              <w:spacing w:after="0"/>
              <w:rPr>
                <w:sz w:val="18"/>
                <w:szCs w:val="18"/>
                <w:color w:val="auto"/>
              </w:rPr>
            </w:pPr>
          </w:p>
        </w:tc>
        <w:tc>
          <w:tcPr>
            <w:tcW w:w="2500" w:type="dxa"/>
            <w:vAlign w:val="bottom"/>
            <w:gridSpan w:val="7"/>
          </w:tcPr>
          <w:p>
            <w:pPr>
              <w:ind w:left="60"/>
              <w:spacing w:after="0"/>
              <w:rPr>
                <w:sz w:val="20"/>
                <w:szCs w:val="20"/>
                <w:color w:val="auto"/>
              </w:rPr>
            </w:pPr>
            <w:r>
              <w:rPr>
                <w:rFonts w:ascii="Arial" w:cs="Arial" w:eastAsia="Arial" w:hAnsi="Arial"/>
                <w:sz w:val="18"/>
                <w:szCs w:val="18"/>
                <w:color w:val="auto"/>
                <w:w w:val="96"/>
              </w:rPr>
              <w:t>need to pay our tax obligations.</w:t>
            </w:r>
          </w:p>
        </w:tc>
        <w:tc>
          <w:tcPr>
            <w:tcW w:w="38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funds held in escrow were released to</w:t>
            </w:r>
          </w:p>
        </w:tc>
      </w:tr>
      <w:tr>
        <w:trPr>
          <w:trHeight w:val="216"/>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89"/>
              </w:rPr>
              <w:t>us in connection with our completion of</w:t>
            </w:r>
          </w:p>
        </w:tc>
      </w:tr>
      <w:tr>
        <w:trPr>
          <w:trHeight w:val="230"/>
        </w:trPr>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 business combination.</w:t>
            </w: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rPr>
              <w:t>Release of funds</w:t>
            </w: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0"/>
              </w:rPr>
              <w:t>Except for interest earned on the funds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The  proceeds  held  in  the  escrow</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rPr>
              <w:t>in  the  trust  account  (which  we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5"/>
              </w:rPr>
              <w:t>account  are  not  released  until  the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3"/>
              </w:rPr>
              <w:t>estimate to be approximately $87,500</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earlier of the completion of a business</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over a 21 month period assuming an</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combination or the failure to effect a</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5"/>
              </w:rPr>
              <w:t>interest rate of 0.1% per annum) that</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business  combination  within  the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6"/>
              </w:rPr>
              <w:t>may be released to us to pay our tax</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allotted time.</w:t>
            </w: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3"/>
              </w:rPr>
              <w:t>obligations (which we estimate will be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7"/>
              </w:rPr>
              <w:t>nominal), the proceeds  held  in  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880" w:type="dxa"/>
            <w:vAlign w:val="bottom"/>
            <w:gridSpan w:val="8"/>
          </w:tcPr>
          <w:p>
            <w:pPr>
              <w:ind w:left="60"/>
              <w:spacing w:after="0"/>
              <w:rPr>
                <w:sz w:val="20"/>
                <w:szCs w:val="20"/>
                <w:color w:val="auto"/>
              </w:rPr>
            </w:pPr>
            <w:r>
              <w:rPr>
                <w:rFonts w:ascii="Arial" w:cs="Arial" w:eastAsia="Arial" w:hAnsi="Arial"/>
                <w:sz w:val="18"/>
                <w:szCs w:val="18"/>
                <w:color w:val="auto"/>
                <w:w w:val="93"/>
              </w:rPr>
              <w:t>trust account will not be released until</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ind w:left="2840"/>
        <w:spacing w:after="0"/>
        <w:rPr>
          <w:sz w:val="20"/>
          <w:szCs w:val="20"/>
          <w:color w:val="auto"/>
        </w:rPr>
      </w:pPr>
      <w:r>
        <w:rPr>
          <w:rFonts w:ascii="Arial" w:cs="Arial" w:eastAsia="Arial" w:hAnsi="Arial"/>
          <w:sz w:val="18"/>
          <w:szCs w:val="18"/>
          <w:color w:val="auto"/>
        </w:rPr>
        <w:t>the earlier of the completion of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 and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liquidation upon failure to effect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 within the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allotted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Marc Manuel</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Russell Rieger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Vice President of Strategy</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Donald S. Ienner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David Schulhof</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Samuel S. Holdsworth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 xml:space="preserve">Joshua Sason </w:t>
      </w:r>
      <w:r>
        <w:rPr>
          <w:rFonts w:ascii="Arial" w:cs="Arial" w:eastAsia="Arial" w:hAnsi="Arial"/>
          <w:sz w:val="15"/>
          <w:szCs w:val="15"/>
          <w:color w:val="auto"/>
        </w:rPr>
        <w:t>has served as our Chief Executive Officer and a Director since our inception. Mr. Sason is the founder</w:t>
      </w:r>
    </w:p>
    <w:p>
      <w:pPr>
        <w:spacing w:after="0" w:line="58" w:lineRule="exact"/>
        <w:rPr>
          <w:sz w:val="20"/>
          <w:szCs w:val="20"/>
          <w:color w:val="auto"/>
        </w:rPr>
      </w:pPr>
    </w:p>
    <w:p>
      <w:pPr>
        <w:jc w:val="both"/>
        <w:ind w:left="460" w:right="459" w:firstLine="2"/>
        <w:spacing w:after="0" w:line="267" w:lineRule="auto"/>
        <w:tabs>
          <w:tab w:leader="none" w:pos="6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Chief Executive Officer of Magna 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its latest feature film, “Bleed for This”, which is scheduled for release in late 2016. We believe that Mr. Sason’s experience as CEO and founder of Magna Management LLC, as Chairman of Mainz and as Chairman of Sason Builders make him well qualified to serve as our chief executive officer and a member of our Board of Directors.</w:t>
      </w:r>
    </w:p>
    <w:p>
      <w:pPr>
        <w:spacing w:after="0" w:line="14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i w:val="1"/>
          <w:iCs w:val="1"/>
          <w:color w:val="auto"/>
        </w:rPr>
        <w:t xml:space="preserve">Marc Manuel </w:t>
      </w:r>
      <w:r>
        <w:rPr>
          <w:rFonts w:ascii="Arial" w:cs="Arial" w:eastAsia="Arial" w:hAnsi="Arial"/>
          <w:sz w:val="16"/>
          <w:szCs w:val="16"/>
          <w:color w:val="auto"/>
        </w:rPr>
        <w:t>has served as our Chief Financial Officer and Director since July 12, 2016. Marc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 Managing Director for Magna Management, LLC since 2012. Since joining Magna as Managing Director, Mr. Manuel has been responsible for helping to build out the Magna’s Equities division, structuring the Equities division’s investments both as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3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Magna Entertainment, LLC since April 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4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Donald S. Ienner </w:t>
      </w:r>
      <w:r>
        <w:rPr>
          <w:rFonts w:ascii="Arial" w:cs="Arial" w:eastAsia="Arial" w:hAnsi="Arial"/>
          <w:sz w:val="17"/>
          <w:szCs w:val="17"/>
          <w:color w:val="auto"/>
        </w:rPr>
        <w:t>has been our director since February 1, 2016. Mr. Ienner has been the managing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DSI-1008, LLC, a consulting firm for 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9" w:name="page70"/>
    <w:bookmarkEnd w:id="69"/>
    <w:p>
      <w:pPr>
        <w:jc w:val="both"/>
        <w:ind w:left="460" w:right="459"/>
        <w:spacing w:after="0" w:line="287" w:lineRule="auto"/>
        <w:rPr>
          <w:sz w:val="20"/>
          <w:szCs w:val="20"/>
          <w:color w:val="auto"/>
        </w:rPr>
      </w:pPr>
      <w:r>
        <w:rPr>
          <w:rFonts w:ascii="Arial" w:cs="Arial" w:eastAsia="Arial" w:hAnsi="Arial"/>
          <w:sz w:val="16"/>
          <w:szCs w:val="16"/>
          <w:i w:val="1"/>
          <w:iCs w:val="1"/>
          <w:color w:val="auto"/>
        </w:rPr>
        <w:t xml:space="preserve">David Schulhof </w:t>
      </w:r>
      <w:r>
        <w:rPr>
          <w:rFonts w:ascii="Arial" w:cs="Arial" w:eastAsia="Arial" w:hAnsi="Arial"/>
          <w:sz w:val="16"/>
          <w:szCs w:val="16"/>
          <w:color w:val="auto"/>
        </w:rPr>
        <w:t>has been our director since December 16, 2015. Mr. Schulhof has served as the President of IM</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Music since December 2014. 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0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Sword, Rowe &amp; Co., a firm 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75"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Joshua Sason, will expire at our first annual meeting of stockholders. The term of office of the second class of directors, consisting of Samuel S. Holdsworth, will expire at the second annual meeting. The term of office of the third class of directors, consisting of David Schulhof and Donald S. Ienner, will expire at our third annual meeting of stockholders. We may not hold an annual meeting of stockholders until after we consummate our initial business combination.</w:t>
      </w:r>
    </w:p>
    <w:p>
      <w:pPr>
        <w:spacing w:after="0" w:line="112"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 executive officer, president, chief financial officer, vice president(s), secretary, treasurer and such other officers as may be determined by the board of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w:t>
      </w:r>
    </w:p>
    <w:p>
      <w:pPr>
        <w:sectPr>
          <w:pgSz w:w="11900" w:h="16838" w:orient="portrait"/>
          <w:cols w:equalWidth="0" w:num="1">
            <w:col w:w="9019"/>
          </w:cols>
          <w:pgMar w:left="1440" w:top="28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0" w:name="page71"/>
    <w:bookmarkEnd w:id="70"/>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20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3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 committee within one year of the listing of our securities on the Nasdaq Capital Market. The audit committee’s duties, which are specified in our Audit Committee Charter, include, but are not limited to:</w:t>
      </w:r>
    </w:p>
    <w:p>
      <w:pPr>
        <w:spacing w:after="0" w:line="166" w:lineRule="exact"/>
        <w:rPr>
          <w:sz w:val="20"/>
          <w:szCs w:val="20"/>
          <w:color w:val="auto"/>
        </w:rPr>
      </w:pPr>
    </w:p>
    <w:p>
      <w:pPr>
        <w:jc w:val="both"/>
        <w:ind w:left="1120" w:right="459" w:hanging="333"/>
        <w:spacing w:after="0" w:line="264" w:lineRule="auto"/>
        <w:tabs>
          <w:tab w:leader="none" w:pos="11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1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98" w:lineRule="exact"/>
        <w:rPr>
          <w:rFonts w:ascii="Arial" w:cs="Arial" w:eastAsia="Arial" w:hAnsi="Arial"/>
          <w:sz w:val="18"/>
          <w:szCs w:val="18"/>
          <w:color w:val="auto"/>
        </w:rPr>
      </w:pPr>
    </w:p>
    <w:p>
      <w:pPr>
        <w:jc w:val="both"/>
        <w:ind w:left="1120" w:right="459" w:hanging="333"/>
        <w:spacing w:after="0" w:line="286"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1" w:name="page72"/>
    <w:bookmarkEnd w:id="71"/>
    <w:p>
      <w:pPr>
        <w:jc w:val="both"/>
        <w:ind w:left="1120" w:right="459" w:hanging="333"/>
        <w:spacing w:after="0" w:line="264" w:lineRule="auto"/>
        <w:tabs>
          <w:tab w:leader="none" w:pos="11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1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32" w:lineRule="exact"/>
        <w:rPr>
          <w:sz w:val="20"/>
          <w:szCs w:val="20"/>
          <w:color w:val="auto"/>
        </w:rPr>
      </w:pPr>
    </w:p>
    <w:p>
      <w:pPr>
        <w:jc w:val="both"/>
        <w:ind w:left="1120" w:right="459" w:hanging="333"/>
        <w:spacing w:after="0" w:line="302" w:lineRule="auto"/>
        <w:tabs>
          <w:tab w:leader="none" w:pos="1088"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13" w:lineRule="exact"/>
        <w:rPr>
          <w:rFonts w:ascii="Arial" w:cs="Arial" w:eastAsia="Arial" w:hAnsi="Arial"/>
          <w:sz w:val="16"/>
          <w:szCs w:val="16"/>
          <w:color w:val="auto"/>
        </w:rPr>
      </w:pPr>
    </w:p>
    <w:p>
      <w:pPr>
        <w:ind w:left="1080" w:hanging="293"/>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4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2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w:t>
      </w:r>
    </w:p>
    <w:p>
      <w:pPr>
        <w:sectPr>
          <w:pgSz w:w="11900" w:h="16838" w:orient="portrait"/>
          <w:cols w:equalWidth="0" w:num="1">
            <w:col w:w="9019"/>
          </w:cols>
          <w:pgMar w:left="1440" w:top="30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2" w:name="page73"/>
    <w:bookmarkEnd w:id="72"/>
    <w:p>
      <w:pPr>
        <w:jc w:val="both"/>
        <w:ind w:left="460" w:right="459"/>
        <w:spacing w:after="0" w:line="264" w:lineRule="auto"/>
        <w:rPr>
          <w:sz w:val="20"/>
          <w:szCs w:val="20"/>
          <w:color w:val="auto"/>
        </w:rPr>
      </w:pPr>
      <w:r>
        <w:rPr>
          <w:rFonts w:ascii="Arial" w:cs="Arial" w:eastAsia="Arial" w:hAnsi="Arial"/>
          <w:sz w:val="18"/>
          <w:szCs w:val="18"/>
          <w:color w:val="auto"/>
        </w:rPr>
        <w:t>and recommendation of director nominees will be elected prior to this Offering. In accordance with Rule 5605(e)(1)(A) of the NASDAQ rules, all such directors are independent. As there is no standing nominating committee, we do not have a nominating committee charter in place.</w:t>
      </w:r>
    </w:p>
    <w:p>
      <w:pPr>
        <w:spacing w:after="0" w:line="15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3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85" w:lineRule="exact"/>
        <w:rPr>
          <w:sz w:val="20"/>
          <w:szCs w:val="20"/>
          <w:color w:val="auto"/>
        </w:rPr>
      </w:pPr>
    </w:p>
    <w:p>
      <w:pPr>
        <w:ind w:left="1120" w:right="459" w:hanging="333"/>
        <w:spacing w:after="0" w:line="342" w:lineRule="auto"/>
        <w:tabs>
          <w:tab w:leader="none" w:pos="11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None of our officers and directors is required to commit their full time to our affairs and, accordingly, they may have conflicts of interest in allocating their time among various business activities.</w:t>
      </w:r>
    </w:p>
    <w:p>
      <w:pPr>
        <w:spacing w:after="0" w:line="96" w:lineRule="exact"/>
        <w:rPr>
          <w:rFonts w:ascii="Arial" w:cs="Arial" w:eastAsia="Arial" w:hAnsi="Arial"/>
          <w:sz w:val="16"/>
          <w:szCs w:val="16"/>
          <w:color w:val="auto"/>
        </w:rPr>
      </w:pPr>
    </w:p>
    <w:p>
      <w:pPr>
        <w:jc w:val="both"/>
        <w:ind w:left="1120" w:right="459" w:hanging="333"/>
        <w:spacing w:after="0" w:line="302" w:lineRule="auto"/>
        <w:tabs>
          <w:tab w:leader="none" w:pos="127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0" w:lineRule="exact"/>
        <w:rPr>
          <w:rFonts w:ascii="Arial" w:cs="Arial" w:eastAsia="Arial" w:hAnsi="Arial"/>
          <w:sz w:val="16"/>
          <w:szCs w:val="16"/>
          <w:color w:val="auto"/>
        </w:rPr>
      </w:pPr>
    </w:p>
    <w:p>
      <w:pPr>
        <w:ind w:left="1120" w:right="459" w:hanging="333"/>
        <w:spacing w:after="0" w:line="342" w:lineRule="auto"/>
        <w:tabs>
          <w:tab w:leader="none" w:pos="10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officers and directors may in the future become affiliated with entities, including other blank check companies, engaged in business activities similar to those intended to be conducted by our company.</w:t>
      </w:r>
    </w:p>
    <w:p>
      <w:pPr>
        <w:spacing w:after="0" w:line="69" w:lineRule="exact"/>
        <w:rPr>
          <w:rFonts w:ascii="Arial" w:cs="Arial" w:eastAsia="Arial" w:hAnsi="Arial"/>
          <w:sz w:val="16"/>
          <w:szCs w:val="16"/>
          <w:color w:val="auto"/>
        </w:rPr>
      </w:pPr>
    </w:p>
    <w:p>
      <w:pPr>
        <w:jc w:val="both"/>
        <w:ind w:left="1120" w:right="459" w:hanging="333"/>
        <w:spacing w:after="0" w:line="286" w:lineRule="auto"/>
        <w:tabs>
          <w:tab w:leader="none" w:pos="11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w:t>
      </w:r>
    </w:p>
    <w:p>
      <w:pPr>
        <w:spacing w:after="0" w:line="111" w:lineRule="exact"/>
        <w:rPr>
          <w:rFonts w:ascii="Arial" w:cs="Arial" w:eastAsia="Arial" w:hAnsi="Arial"/>
          <w:sz w:val="17"/>
          <w:szCs w:val="17"/>
          <w:color w:val="auto"/>
        </w:rPr>
      </w:pPr>
    </w:p>
    <w:p>
      <w:pPr>
        <w:jc w:val="both"/>
        <w:ind w:left="1120" w:right="459" w:hanging="333"/>
        <w:spacing w:after="0" w:line="253" w:lineRule="auto"/>
        <w:tabs>
          <w:tab w:leader="none" w:pos="12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3" w:name="page74"/>
    <w:bookmarkEnd w:id="73"/>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1080" w:hanging="293"/>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1080" w:hanging="293"/>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3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Name of Affiliated</w:t>
            </w: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Name of Individual</w:t>
            </w:r>
          </w:p>
        </w:tc>
        <w:tc>
          <w:tcPr>
            <w:tcW w:w="640" w:type="dxa"/>
            <w:vAlign w:val="bottom"/>
          </w:tcPr>
          <w:p>
            <w:pPr>
              <w:spacing w:after="0"/>
              <w:rPr>
                <w:sz w:val="18"/>
                <w:szCs w:val="18"/>
                <w:color w:val="auto"/>
              </w:rPr>
            </w:pPr>
          </w:p>
        </w:tc>
        <w:tc>
          <w:tcPr>
            <w:tcW w:w="14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Company</w:t>
            </w:r>
          </w:p>
        </w:tc>
        <w:tc>
          <w:tcPr>
            <w:tcW w:w="2040" w:type="dxa"/>
            <w:vAlign w:val="bottom"/>
          </w:tcPr>
          <w:p>
            <w:pPr>
              <w:ind w:left="500"/>
              <w:spacing w:after="0"/>
              <w:rPr>
                <w:sz w:val="20"/>
                <w:szCs w:val="20"/>
                <w:color w:val="auto"/>
              </w:rPr>
            </w:pPr>
            <w:r>
              <w:rPr>
                <w:rFonts w:ascii="Arial" w:cs="Arial" w:eastAsia="Arial" w:hAnsi="Arial"/>
                <w:sz w:val="16"/>
                <w:szCs w:val="16"/>
                <w:b w:val="1"/>
                <w:bCs w:val="1"/>
                <w:color w:val="auto"/>
              </w:rPr>
              <w:t>Entity’s Business</w:t>
            </w:r>
          </w:p>
        </w:tc>
        <w:tc>
          <w:tcPr>
            <w:tcW w:w="2460" w:type="dxa"/>
            <w:vAlign w:val="bottom"/>
          </w:tcPr>
          <w:p>
            <w:pPr>
              <w:ind w:left="960"/>
              <w:spacing w:after="0"/>
              <w:rPr>
                <w:sz w:val="20"/>
                <w:szCs w:val="20"/>
                <w:color w:val="auto"/>
              </w:rPr>
            </w:pPr>
            <w:r>
              <w:rPr>
                <w:rFonts w:ascii="Arial" w:cs="Arial" w:eastAsia="Arial" w:hAnsi="Arial"/>
                <w:sz w:val="16"/>
                <w:szCs w:val="16"/>
                <w:b w:val="1"/>
                <w:bCs w:val="1"/>
                <w:color w:val="auto"/>
              </w:rPr>
              <w:t>Affiliation</w:t>
            </w:r>
          </w:p>
        </w:tc>
      </w:tr>
      <w:tr>
        <w:trPr>
          <w:trHeight w:val="221"/>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7"/>
              </w:rPr>
              <w:t>Magna Management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60" w:type="dxa"/>
            <w:vAlign w:val="bottom"/>
          </w:tcPr>
          <w:p>
            <w:pPr>
              <w:ind w:left="180"/>
              <w:spacing w:after="0"/>
              <w:rPr>
                <w:sz w:val="20"/>
                <w:szCs w:val="20"/>
                <w:color w:val="auto"/>
              </w:rPr>
            </w:pPr>
            <w:r>
              <w:rPr>
                <w:rFonts w:ascii="Arial" w:cs="Arial" w:eastAsia="Arial" w:hAnsi="Arial"/>
                <w:sz w:val="18"/>
                <w:szCs w:val="18"/>
                <w:color w:val="auto"/>
                <w:w w:val="98"/>
              </w:rPr>
              <w:t>Founder  &amp;  Chief  Executive</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Officer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Sason Builders</w:t>
            </w:r>
          </w:p>
        </w:tc>
        <w:tc>
          <w:tcPr>
            <w:tcW w:w="204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Mainz</w:t>
            </w:r>
          </w:p>
        </w:tc>
        <w:tc>
          <w:tcPr>
            <w:tcW w:w="1420" w:type="dxa"/>
            <w:vAlign w:val="bottom"/>
          </w:tcPr>
          <w:p>
            <w:pPr>
              <w:spacing w:after="0"/>
              <w:rPr>
                <w:sz w:val="21"/>
                <w:szCs w:val="21"/>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Customer experience</w:t>
            </w:r>
          </w:p>
        </w:tc>
        <w:tc>
          <w:tcPr>
            <w:tcW w:w="246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Magna</w:t>
            </w:r>
          </w:p>
        </w:tc>
        <w:tc>
          <w:tcPr>
            <w:tcW w:w="1420" w:type="dxa"/>
            <w:vAlign w:val="bottom"/>
          </w:tcPr>
          <w:p>
            <w:pPr>
              <w:ind w:left="300"/>
              <w:spacing w:after="0"/>
              <w:rPr>
                <w:sz w:val="20"/>
                <w:szCs w:val="20"/>
                <w:color w:val="auto"/>
              </w:rPr>
            </w:pPr>
            <w:r>
              <w:rPr>
                <w:rFonts w:ascii="Arial" w:cs="Arial" w:eastAsia="Arial" w:hAnsi="Arial"/>
                <w:sz w:val="18"/>
                <w:szCs w:val="18"/>
                <w:color w:val="auto"/>
                <w:w w:val="93"/>
              </w:rPr>
              <w:t>Entertainment,</w:t>
            </w:r>
          </w:p>
        </w:tc>
        <w:tc>
          <w:tcPr>
            <w:tcW w:w="2040" w:type="dxa"/>
            <w:vAlign w:val="bottom"/>
          </w:tcPr>
          <w:p>
            <w:pPr>
              <w:ind w:left="80"/>
              <w:spacing w:after="0"/>
              <w:rPr>
                <w:sz w:val="20"/>
                <w:szCs w:val="20"/>
                <w:color w:val="auto"/>
              </w:rPr>
            </w:pPr>
            <w:r>
              <w:rPr>
                <w:rFonts w:ascii="Arial" w:cs="Arial" w:eastAsia="Arial" w:hAnsi="Arial"/>
                <w:sz w:val="18"/>
                <w:szCs w:val="18"/>
                <w:color w:val="auto"/>
              </w:rPr>
              <w:t>Film production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LLC</w:t>
            </w: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Holdings I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Holdings II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Marc Manuel</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7"/>
              </w:rPr>
              <w:t>Magna Management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Russell Rieger</w:t>
            </w:r>
          </w:p>
        </w:tc>
        <w:tc>
          <w:tcPr>
            <w:tcW w:w="2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Magna</w:t>
            </w:r>
          </w:p>
        </w:tc>
        <w:tc>
          <w:tcPr>
            <w:tcW w:w="1420" w:type="dxa"/>
            <w:vAlign w:val="bottom"/>
          </w:tcPr>
          <w:p>
            <w:pPr>
              <w:ind w:left="300"/>
              <w:spacing w:after="0"/>
              <w:rPr>
                <w:sz w:val="20"/>
                <w:szCs w:val="20"/>
                <w:color w:val="auto"/>
              </w:rPr>
            </w:pPr>
            <w:r>
              <w:rPr>
                <w:rFonts w:ascii="Arial" w:cs="Arial" w:eastAsia="Arial" w:hAnsi="Arial"/>
                <w:sz w:val="18"/>
                <w:szCs w:val="18"/>
                <w:color w:val="auto"/>
                <w:w w:val="93"/>
              </w:rPr>
              <w:t>Entertainment,</w:t>
            </w:r>
          </w:p>
        </w:tc>
        <w:tc>
          <w:tcPr>
            <w:tcW w:w="2040" w:type="dxa"/>
            <w:vAlign w:val="bottom"/>
          </w:tcPr>
          <w:p>
            <w:pPr>
              <w:ind w:left="80"/>
              <w:spacing w:after="0"/>
              <w:rPr>
                <w:sz w:val="20"/>
                <w:szCs w:val="20"/>
                <w:color w:val="auto"/>
              </w:rPr>
            </w:pPr>
            <w:r>
              <w:rPr>
                <w:rFonts w:ascii="Arial" w:cs="Arial" w:eastAsia="Arial" w:hAnsi="Arial"/>
                <w:sz w:val="18"/>
                <w:szCs w:val="18"/>
                <w:color w:val="auto"/>
              </w:rPr>
              <w:t>Film production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LLC</w:t>
            </w: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w w:val="93"/>
              </w:rPr>
              <w:t>Donald S. Ienner</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DSI-1008, LLC</w:t>
            </w:r>
          </w:p>
        </w:tc>
        <w:tc>
          <w:tcPr>
            <w:tcW w:w="2040" w:type="dxa"/>
            <w:vAlign w:val="bottom"/>
          </w:tcPr>
          <w:p>
            <w:pPr>
              <w:ind w:left="80"/>
              <w:spacing w:after="0"/>
              <w:rPr>
                <w:sz w:val="20"/>
                <w:szCs w:val="20"/>
                <w:color w:val="auto"/>
              </w:rPr>
            </w:pPr>
            <w:r>
              <w:rPr>
                <w:rFonts w:ascii="Arial" w:cs="Arial" w:eastAsia="Arial" w:hAnsi="Arial"/>
                <w:sz w:val="18"/>
                <w:szCs w:val="18"/>
                <w:color w:val="auto"/>
              </w:rPr>
              <w:t>Consulting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David Schulhof</w:t>
            </w:r>
          </w:p>
        </w:tc>
        <w:tc>
          <w:tcPr>
            <w:tcW w:w="260" w:type="dxa"/>
            <w:vAlign w:val="bottom"/>
          </w:tcPr>
          <w:p>
            <w:pPr>
              <w:spacing w:after="0"/>
              <w:rPr>
                <w:sz w:val="21"/>
                <w:szCs w:val="21"/>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IM Global Music</w:t>
            </w:r>
          </w:p>
        </w:tc>
        <w:tc>
          <w:tcPr>
            <w:tcW w:w="2040" w:type="dxa"/>
            <w:vAlign w:val="bottom"/>
          </w:tcPr>
          <w:p>
            <w:pPr>
              <w:ind w:left="80"/>
              <w:spacing w:after="0"/>
              <w:rPr>
                <w:sz w:val="20"/>
                <w:szCs w:val="20"/>
                <w:color w:val="auto"/>
              </w:rPr>
            </w:pPr>
            <w:r>
              <w:rPr>
                <w:rFonts w:ascii="Arial" w:cs="Arial" w:eastAsia="Arial" w:hAnsi="Arial"/>
                <w:sz w:val="18"/>
                <w:szCs w:val="18"/>
                <w:color w:val="auto"/>
              </w:rPr>
              <w:t>Film distribution</w:t>
            </w:r>
          </w:p>
        </w:tc>
        <w:tc>
          <w:tcPr>
            <w:tcW w:w="2460" w:type="dxa"/>
            <w:vAlign w:val="bottom"/>
          </w:tcPr>
          <w:p>
            <w:pPr>
              <w:ind w:left="180"/>
              <w:spacing w:after="0"/>
              <w:rPr>
                <w:sz w:val="20"/>
                <w:szCs w:val="20"/>
                <w:color w:val="auto"/>
              </w:rPr>
            </w:pPr>
            <w:r>
              <w:rPr>
                <w:rFonts w:ascii="Arial" w:cs="Arial" w:eastAsia="Arial" w:hAnsi="Arial"/>
                <w:sz w:val="18"/>
                <w:szCs w:val="18"/>
                <w:color w:val="auto"/>
              </w:rPr>
              <w:t>President</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Samuel</w:t>
            </w:r>
          </w:p>
        </w:tc>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Sword, Rowe &amp; Co.</w:t>
            </w:r>
          </w:p>
        </w:tc>
        <w:tc>
          <w:tcPr>
            <w:tcW w:w="2040" w:type="dxa"/>
            <w:vAlign w:val="bottom"/>
          </w:tcPr>
          <w:p>
            <w:pPr>
              <w:ind w:left="80"/>
              <w:spacing w:after="0"/>
              <w:rPr>
                <w:sz w:val="20"/>
                <w:szCs w:val="20"/>
                <w:color w:val="auto"/>
              </w:rPr>
            </w:pPr>
            <w:r>
              <w:rPr>
                <w:rFonts w:ascii="Arial" w:cs="Arial" w:eastAsia="Arial" w:hAnsi="Arial"/>
                <w:sz w:val="18"/>
                <w:szCs w:val="18"/>
                <w:color w:val="auto"/>
                <w:w w:val="99"/>
              </w:rPr>
              <w:t>Investment and advisory</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Holdsworth</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services</w:t>
            </w:r>
          </w:p>
        </w:tc>
        <w:tc>
          <w:tcPr>
            <w:tcW w:w="2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-2957830</wp:posOffset>
            </wp:positionV>
            <wp:extent cx="5145405" cy="2958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2958465"/>
                    </a:xfrm>
                    <a:prstGeom prst="rect">
                      <a:avLst/>
                    </a:prstGeom>
                    <a:noFill/>
                  </pic:spPr>
                </pic:pic>
              </a:graphicData>
            </a:graphic>
          </wp:anchor>
        </w:drawing>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5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w:t>
      </w:r>
    </w:p>
    <w:p>
      <w:pPr>
        <w:sectPr>
          <w:pgSz w:w="11900" w:h="16838" w:orient="portrait"/>
          <w:cols w:equalWidth="0" w:num="1">
            <w:col w:w="9019"/>
          </w:cols>
          <w:pgMar w:left="1440" w:top="287"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4" w:name="page75"/>
    <w:bookmarkEnd w:id="74"/>
    <w:p>
      <w:pPr>
        <w:jc w:val="both"/>
        <w:ind w:left="460" w:right="459"/>
        <w:spacing w:after="0" w:line="286" w:lineRule="auto"/>
        <w:rPr>
          <w:sz w:val="20"/>
          <w:szCs w:val="20"/>
          <w:color w:val="auto"/>
        </w:rPr>
      </w:pPr>
      <w:r>
        <w:rPr>
          <w:rFonts w:ascii="Arial" w:cs="Arial" w:eastAsia="Arial" w:hAnsi="Arial"/>
          <w:sz w:val="17"/>
          <w:szCs w:val="17"/>
          <w:color w:val="auto"/>
        </w:rPr>
        <w:t>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3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6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3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39" w:lineRule="exact"/>
        <w:rPr>
          <w:sz w:val="20"/>
          <w:szCs w:val="20"/>
          <w:color w:val="auto"/>
        </w:rPr>
      </w:pPr>
    </w:p>
    <w:p>
      <w:pPr>
        <w:ind w:left="1120" w:right="459" w:hanging="333"/>
        <w:spacing w:after="0" w:line="277" w:lineRule="auto"/>
        <w:tabs>
          <w:tab w:leader="none" w:pos="11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17"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3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92075</wp:posOffset>
            </wp:positionV>
            <wp:extent cx="2075180" cy="2838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75180" cy="2838450"/>
                    </a:xfrm>
                    <a:prstGeom prst="rect">
                      <a:avLst/>
                    </a:prstGeom>
                    <a:noFill/>
                  </pic:spPr>
                </pic:pic>
              </a:graphicData>
            </a:graphic>
          </wp:anchor>
        </w:drawing>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640" w:type="dxa"/>
            <w:vAlign w:val="bottom"/>
            <w:gridSpan w:val="2"/>
          </w:tcPr>
          <w:p>
            <w:pPr>
              <w:jc w:val="right"/>
              <w:ind w:right="573"/>
              <w:spacing w:after="0"/>
              <w:rPr>
                <w:sz w:val="20"/>
                <w:szCs w:val="20"/>
                <w:color w:val="auto"/>
              </w:rPr>
            </w:pPr>
            <w:r>
              <w:rPr>
                <w:rFonts w:ascii="Arial" w:cs="Arial" w:eastAsia="Arial" w:hAnsi="Arial"/>
                <w:sz w:val="16"/>
                <w:szCs w:val="16"/>
                <w:b w:val="1"/>
                <w:bCs w:val="1"/>
                <w:color w:val="auto"/>
              </w:rPr>
              <w:t>Prior to Offering</w:t>
            </w:r>
          </w:p>
        </w:tc>
        <w:tc>
          <w:tcPr>
            <w:tcW w:w="2320" w:type="dxa"/>
            <w:vAlign w:val="bottom"/>
            <w:gridSpan w:val="2"/>
          </w:tcPr>
          <w:p>
            <w:pPr>
              <w:jc w:val="right"/>
              <w:ind w:right="553"/>
              <w:spacing w:after="0"/>
              <w:rPr>
                <w:sz w:val="20"/>
                <w:szCs w:val="20"/>
                <w:color w:val="auto"/>
              </w:rPr>
            </w:pPr>
            <w:r>
              <w:rPr>
                <w:rFonts w:ascii="Arial" w:cs="Arial" w:eastAsia="Arial" w:hAnsi="Arial"/>
                <w:sz w:val="16"/>
                <w:szCs w:val="16"/>
                <w:b w:val="1"/>
                <w:bCs w:val="1"/>
                <w:color w:val="auto"/>
              </w:rPr>
              <w:t>After Offering</w:t>
            </w:r>
          </w:p>
        </w:tc>
      </w:tr>
      <w:tr>
        <w:trPr>
          <w:trHeight w:val="208"/>
        </w:trPr>
        <w:tc>
          <w:tcPr>
            <w:tcW w:w="3140" w:type="dxa"/>
            <w:vAlign w:val="bottom"/>
          </w:tcPr>
          <w:p>
            <w:pPr>
              <w:spacing w:after="0"/>
              <w:rPr>
                <w:sz w:val="18"/>
                <w:szCs w:val="18"/>
                <w:color w:val="auto"/>
              </w:rPr>
            </w:pP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92"/>
              </w:rPr>
              <w:t>Amount and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93"/>
              </w:rPr>
              <w:t>Nature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74"/>
              <w:spacing w:after="0"/>
              <w:rPr>
                <w:sz w:val="20"/>
                <w:szCs w:val="20"/>
                <w:color w:val="auto"/>
              </w:rPr>
            </w:pPr>
            <w:r>
              <w:rPr>
                <w:rFonts w:ascii="Arial" w:cs="Arial" w:eastAsia="Arial" w:hAnsi="Arial"/>
                <w:sz w:val="16"/>
                <w:szCs w:val="16"/>
                <w:b w:val="1"/>
                <w:bCs w:val="1"/>
                <w:color w:val="auto"/>
                <w:w w:val="89"/>
              </w:rPr>
              <w:t>Beneficial</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91"/>
              </w:rPr>
              <w:t>Ownership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74"/>
              <w:spacing w:after="0"/>
              <w:rPr>
                <w:sz w:val="20"/>
                <w:szCs w:val="20"/>
                <w:color w:val="auto"/>
              </w:rPr>
            </w:pPr>
            <w:r>
              <w:rPr>
                <w:rFonts w:ascii="Arial" w:cs="Arial" w:eastAsia="Arial" w:hAnsi="Arial"/>
                <w:sz w:val="16"/>
                <w:szCs w:val="16"/>
                <w:b w:val="1"/>
                <w:bCs w:val="1"/>
                <w:color w:val="auto"/>
                <w:w w:val="92"/>
              </w:rPr>
              <w:t>Common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314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8"/>
                <w:szCs w:val="8"/>
                <w:b w:val="1"/>
                <w:bCs w:val="1"/>
                <w:color w:val="auto"/>
              </w:rPr>
              <w:t>(1)</w:t>
            </w: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87"/>
              </w:rPr>
              <w:t>Stock</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Stock</w:t>
            </w:r>
            <w:r>
              <w:rPr>
                <w:rFonts w:ascii="Arial" w:cs="Arial" w:eastAsia="Arial" w:hAnsi="Arial"/>
                <w:sz w:val="8"/>
                <w:szCs w:val="8"/>
                <w:b w:val="1"/>
                <w:bCs w:val="1"/>
                <w:color w:val="auto"/>
                <w:w w:val="93"/>
              </w:rPr>
              <w:t>(2)</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r>
      <w:tr>
        <w:trPr>
          <w:trHeight w:val="236"/>
        </w:trPr>
        <w:tc>
          <w:tcPr>
            <w:tcW w:w="3140" w:type="dxa"/>
            <w:vAlign w:val="bottom"/>
          </w:tcPr>
          <w:p>
            <w:pPr>
              <w:spacing w:after="0"/>
              <w:rPr>
                <w:sz w:val="20"/>
                <w:szCs w:val="20"/>
                <w:color w:val="auto"/>
              </w:rPr>
            </w:pPr>
            <w:r>
              <w:rPr>
                <w:rFonts w:ascii="Arial" w:cs="Arial" w:eastAsia="Arial" w:hAnsi="Arial"/>
                <w:sz w:val="18"/>
                <w:szCs w:val="18"/>
                <w:color w:val="auto"/>
              </w:rPr>
              <w:t>M SPAC LLC</w:t>
            </w:r>
            <w:r>
              <w:rPr>
                <w:rFonts w:ascii="Arial" w:cs="Arial" w:eastAsia="Arial" w:hAnsi="Arial"/>
                <w:sz w:val="8"/>
                <w:szCs w:val="8"/>
                <w:color w:val="auto"/>
              </w:rPr>
              <w:t>(3)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943,020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65.6%</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1,079,478</w:t>
            </w:r>
            <w:r>
              <w:rPr>
                <w:rFonts w:ascii="Arial" w:cs="Arial" w:eastAsia="Arial" w:hAnsi="Arial"/>
                <w:sz w:val="8"/>
                <w:szCs w:val="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 SPAC Holdings I LLC</w:t>
            </w:r>
            <w:r>
              <w:rPr>
                <w:rFonts w:ascii="Arial" w:cs="Arial" w:eastAsia="Arial" w:hAnsi="Arial"/>
                <w:sz w:val="8"/>
                <w:szCs w:val="8"/>
                <w:color w:val="auto"/>
              </w:rPr>
              <w:t>(3)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192,736</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227,596</w:t>
            </w:r>
            <w:r>
              <w:rPr>
                <w:rFonts w:ascii="Arial" w:cs="Arial" w:eastAsia="Arial" w:hAnsi="Arial"/>
                <w:sz w:val="8"/>
                <w:szCs w:val="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 SPAC Holdings II LLC</w:t>
            </w:r>
            <w:r>
              <w:rPr>
                <w:rFonts w:ascii="Arial" w:cs="Arial" w:eastAsia="Arial" w:hAnsi="Arial"/>
                <w:sz w:val="8"/>
                <w:szCs w:val="8"/>
                <w:color w:val="auto"/>
              </w:rPr>
              <w:t>(3)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301,744</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345,426</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Joshua Sason</w:t>
            </w:r>
            <w:r>
              <w:rPr>
                <w:rFonts w:ascii="Arial" w:cs="Arial" w:eastAsia="Arial" w:hAnsi="Arial"/>
                <w:sz w:val="8"/>
                <w:szCs w:val="8"/>
                <w:color w:val="auto"/>
              </w:rPr>
              <w:t>(5)</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1,437,500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1,652,500</w:t>
            </w:r>
            <w:r>
              <w:rPr>
                <w:rFonts w:ascii="Arial" w:cs="Arial" w:eastAsia="Arial" w:hAnsi="Arial"/>
                <w:sz w:val="8"/>
                <w:szCs w:val="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Marc Manuel</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Russell Rieger</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Donald S. Ienner</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David Schulhof</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Samuel S. Holdsworth</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42"/>
        </w:trPr>
        <w:tc>
          <w:tcPr>
            <w:tcW w:w="3140" w:type="dxa"/>
            <w:vAlign w:val="bottom"/>
          </w:tcPr>
          <w:p>
            <w:pPr>
              <w:spacing w:after="0"/>
              <w:rPr>
                <w:sz w:val="20"/>
                <w:szCs w:val="20"/>
                <w:color w:val="auto"/>
              </w:rPr>
            </w:pPr>
            <w:r>
              <w:rPr>
                <w:rFonts w:ascii="Arial" w:cs="Arial" w:eastAsia="Arial" w:hAnsi="Arial"/>
                <w:sz w:val="18"/>
                <w:szCs w:val="18"/>
                <w:color w:val="auto"/>
              </w:rPr>
              <w:t>All directors, director nominees and</w:t>
            </w: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executive officers as a group (3</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individuals)</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1,437,500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1,652,500</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42"/>
        </w:trPr>
        <w:tc>
          <w:tcPr>
            <w:tcW w:w="3140" w:type="dxa"/>
            <w:vAlign w:val="bottom"/>
          </w:tcPr>
          <w:p>
            <w:pPr>
              <w:spacing w:after="0"/>
              <w:rPr>
                <w:sz w:val="20"/>
                <w:szCs w:val="20"/>
                <w:color w:val="auto"/>
              </w:rPr>
            </w:pPr>
            <w:r>
              <w:rPr>
                <w:rFonts w:ascii="Arial" w:cs="Arial" w:eastAsia="Arial" w:hAnsi="Arial"/>
                <w:sz w:val="18"/>
                <w:szCs w:val="18"/>
                <w:color w:val="auto"/>
              </w:rPr>
              <w:t>____________</w:t>
            </w: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   Less than 1%.</w:t>
            </w: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-2957830</wp:posOffset>
            </wp:positionV>
            <wp:extent cx="3070225" cy="2684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70225" cy="2684145"/>
                    </a:xfrm>
                    <a:prstGeom prst="rect">
                      <a:avLst/>
                    </a:prstGeom>
                    <a:noFill/>
                  </pic:spPr>
                </pic:pic>
              </a:graphicData>
            </a:graphic>
          </wp:anchor>
        </w:drawing>
      </w:r>
    </w:p>
    <w:p>
      <w:pPr>
        <w:ind w:left="780" w:right="459" w:hanging="318"/>
        <w:spacing w:after="0" w:line="25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8"/>
          <w:szCs w:val="8"/>
          <w:color w:val="auto"/>
        </w:rPr>
        <w:t>th</w:t>
      </w:r>
      <w:r>
        <w:rPr>
          <w:rFonts w:ascii="Arial" w:cs="Arial" w:eastAsia="Arial" w:hAnsi="Arial"/>
          <w:sz w:val="18"/>
          <w:szCs w:val="18"/>
          <w:color w:val="auto"/>
        </w:rPr>
        <w:t xml:space="preserve"> Floor, New York, NY 10005.</w:t>
      </w:r>
    </w:p>
    <w:p>
      <w:pPr>
        <w:ind w:left="780" w:right="459" w:hanging="318"/>
        <w:spacing w:after="0" w:line="250" w:lineRule="auto"/>
        <w:tabs>
          <w:tab w:leader="none" w:pos="7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jc w:val="both"/>
        <w:ind w:left="780" w:right="459" w:hanging="318"/>
        <w:spacing w:after="0" w:line="250" w:lineRule="auto"/>
        <w:tabs>
          <w:tab w:leader="none" w:pos="8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spacing w:after="0" w:line="1" w:lineRule="exact"/>
        <w:rPr>
          <w:rFonts w:ascii="Arial" w:cs="Arial" w:eastAsia="Arial" w:hAnsi="Arial"/>
          <w:sz w:val="18"/>
          <w:szCs w:val="18"/>
          <w:color w:val="auto"/>
        </w:rPr>
      </w:pPr>
    </w:p>
    <w:p>
      <w:pPr>
        <w:jc w:val="both"/>
        <w:ind w:left="780" w:right="459" w:hanging="318"/>
        <w:spacing w:after="0" w:line="265" w:lineRule="auto"/>
        <w:tabs>
          <w:tab w:leader="none" w:pos="8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the 259,334 shares of common stock underlying the private units to be purchased by M SPAC LLC simultaneously with the consummation of this offering, the 60,000 shares of common stock underlying the private units to be purchased by M SPAC Holdings I LLC simultaneously with the consummation of this offering, and the 83,166 shares of common stock underlying the private units to be purchased by M SPAC Holdings II LLC simultaneously with the consummation of this offering.</w:t>
      </w:r>
    </w:p>
    <w:p>
      <w:pPr>
        <w:spacing w:after="0" w:line="1" w:lineRule="exact"/>
        <w:rPr>
          <w:rFonts w:ascii="Arial" w:cs="Arial" w:eastAsia="Arial" w:hAnsi="Arial"/>
          <w:sz w:val="17"/>
          <w:szCs w:val="17"/>
          <w:color w:val="auto"/>
        </w:rPr>
      </w:pPr>
    </w:p>
    <w:p>
      <w:pPr>
        <w:ind w:left="780" w:right="459" w:hanging="318"/>
        <w:spacing w:after="0" w:line="261" w:lineRule="auto"/>
        <w:tabs>
          <w:tab w:leader="none" w:pos="7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Immediately after this offering, our insiders will beneficially own approximately 24.8% of the then issued and outstanding shares of common stock (assuming they do not purchase any units offered by this prospectus). None of our insiders, officers, directors and director nominees has committed to purchase our units in the offering.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8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ectPr>
          <w:pgSz w:w="11900" w:h="16838" w:orient="portrait"/>
          <w:cols w:equalWidth="0" w:num="1">
            <w:col w:w="9019"/>
          </w:cols>
          <w:pgMar w:left="1440" w:top="337"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6" w:name="page77"/>
    <w:bookmarkEnd w:id="76"/>
    <w:p>
      <w:pPr>
        <w:jc w:val="both"/>
        <w:ind w:left="460" w:right="459"/>
        <w:spacing w:after="0" w:line="268" w:lineRule="auto"/>
        <w:rPr>
          <w:sz w:val="20"/>
          <w:szCs w:val="20"/>
          <w:color w:val="auto"/>
        </w:rPr>
      </w:pPr>
      <w:r>
        <w:rPr>
          <w:rFonts w:ascii="Arial" w:cs="Arial" w:eastAsia="Arial" w:hAnsi="Arial"/>
          <w:sz w:val="17"/>
          <w:szCs w:val="17"/>
          <w:color w:val="auto"/>
        </w:rPr>
        <w:t>All of the insider shares outstanding prior to the date of this prospectus will be placed in escrow with American Stock Transfer &amp; Trust Company, LLC, as escrow agent. Subject to certain limited exceptions, 50% of these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9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7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$4,025,000)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8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8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ectPr>
          <w:pgSz w:w="11900" w:h="16838" w:orient="portrait"/>
          <w:cols w:equalWidth="0" w:num="1">
            <w:col w:w="9019"/>
          </w:cols>
          <w:pgMar w:left="1440" w:top="274" w:right="1440" w:bottom="1095"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095"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w:t>
      </w:r>
    </w:p>
    <w:p>
      <w:pPr>
        <w:spacing w:after="0" w:line="13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$10.30 per share sold to the public in this offering.</w:t>
      </w:r>
    </w:p>
    <w:p>
      <w:pPr>
        <w:spacing w:after="0" w:line="15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M SPAC LLC, M SPAC Holdings I LLC and M SPAC Holdings II LLC, entities controlled by Joshua Sason, our Chief Executive Officer, have committed that it (and/or its designees) will purchase, pursuant to written purchase agreements with us, 402,500 private units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American Stock Transfer &amp; Trust Company, LLC, who will also be acting as escrow agent in connection with the private sale of private units, at least 24 hours prior to the date of this prospectus to hold in a non-interest bearing account until we consummate this offering. American Stock Transfer &amp; Trust Company, LLC,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7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8" w:name="page79"/>
    <w:bookmarkEnd w:id="78"/>
    <w:p>
      <w:pPr>
        <w:jc w:val="both"/>
        <w:ind w:left="460" w:right="459"/>
        <w:spacing w:after="0" w:line="279" w:lineRule="auto"/>
        <w:rPr>
          <w:sz w:val="20"/>
          <w:szCs w:val="20"/>
          <w:color w:val="auto"/>
        </w:rPr>
      </w:pPr>
      <w:r>
        <w:rPr>
          <w:rFonts w:ascii="Arial" w:cs="Arial" w:eastAsia="Arial" w:hAnsi="Arial"/>
          <w:sz w:val="17"/>
          <w:szCs w:val="17"/>
          <w:color w:val="auto"/>
        </w:rPr>
        <w:t>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3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3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ectPr>
          <w:pgSz w:w="11900" w:h="16838" w:orient="portrait"/>
          <w:cols w:equalWidth="0" w:num="1">
            <w:col w:w="9019"/>
          </w:cols>
          <w:pgMar w:left="1440" w:top="301"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9" w:name="page80"/>
    <w:bookmarkEnd w:id="79"/>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5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3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currently authorizes the issuance of 30,000,000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Each unit has an offering price of $10.00 and consists of one share of common stock and one warrant. Each warrant entitles the holder thereof to purchase one share of our common stock at a price of $11.50 per share, subject to adjustment as described in this prospectus.</w:t>
      </w:r>
    </w:p>
    <w:p>
      <w:pPr>
        <w:spacing w:after="0" w:line="15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common stock and warrants comprising the units will begin separate trading on the 90</w:t>
      </w:r>
      <w:r>
        <w:rPr>
          <w:rFonts w:ascii="Arial" w:cs="Arial" w:eastAsia="Arial" w:hAnsi="Arial"/>
          <w:sz w:val="8"/>
          <w:szCs w:val="8"/>
          <w:color w:val="auto"/>
        </w:rPr>
        <w:t>th</w:t>
      </w:r>
      <w:r>
        <w:rPr>
          <w:rFonts w:ascii="Arial" w:cs="Arial" w:eastAsia="Arial" w:hAnsi="Arial"/>
          <w:sz w:val="17"/>
          <w:szCs w:val="17"/>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60"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w:t>
      </w:r>
    </w:p>
    <w:p>
      <w:pPr>
        <w:sectPr>
          <w:pgSz w:w="11900" w:h="16838" w:orient="portrait"/>
          <w:cols w:equalWidth="0" w:num="1">
            <w:col w:w="9019"/>
          </w:cols>
          <w:pgMar w:left="1440" w:top="337"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1" w:name="page82"/>
    <w:bookmarkEnd w:id="81"/>
    <w:p>
      <w:pPr>
        <w:jc w:val="both"/>
        <w:ind w:left="460" w:right="459"/>
        <w:spacing w:after="0" w:line="264" w:lineRule="auto"/>
        <w:rPr>
          <w:sz w:val="20"/>
          <w:szCs w:val="20"/>
          <w:color w:val="auto"/>
        </w:rPr>
      </w:pPr>
      <w:r>
        <w:rPr>
          <w:rFonts w:ascii="Arial" w:cs="Arial" w:eastAsia="Arial" w:hAnsi="Arial"/>
          <w:sz w:val="18"/>
          <w:szCs w:val="18"/>
          <w:color w:val="auto"/>
        </w:rPr>
        <w:t>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 included as part of units</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Each public and private warrant entitles the registered holder to purchase one share of our common stock at a price of $11.50 per share, subject to adjustment as discussed below, at any time commencing on the later of 12 months from the closing of this offering or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warrants):</w:t>
      </w:r>
    </w:p>
    <w:p>
      <w:pPr>
        <w:spacing w:after="0" w:line="130" w:lineRule="exact"/>
        <w:rPr>
          <w:sz w:val="20"/>
          <w:szCs w:val="20"/>
          <w:color w:val="auto"/>
        </w:rPr>
      </w:pPr>
    </w:p>
    <w:p>
      <w:pPr>
        <w:ind w:left="1080" w:hanging="293"/>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84" w:lineRule="exact"/>
        <w:rPr>
          <w:rFonts w:ascii="Arial" w:cs="Arial" w:eastAsia="Arial" w:hAnsi="Arial"/>
          <w:sz w:val="18"/>
          <w:szCs w:val="18"/>
          <w:color w:val="auto"/>
        </w:rPr>
      </w:pPr>
    </w:p>
    <w:p>
      <w:pPr>
        <w:jc w:val="both"/>
        <w:ind w:left="1120" w:right="459" w:hanging="333"/>
        <w:spacing w:after="0" w:line="264" w:lineRule="auto"/>
        <w:tabs>
          <w:tab w:leader="none" w:pos="11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41"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ectPr>
          <w:pgSz w:w="11900" w:h="16838" w:orient="portrait"/>
          <w:cols w:equalWidth="0" w:num="1">
            <w:col w:w="9019"/>
          </w:cols>
          <w:pgMar w:left="1440" w:top="301"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2" w:name="page83"/>
    <w:bookmarkEnd w:id="82"/>
    <w:p>
      <w:pPr>
        <w:jc w:val="both"/>
        <w:ind w:left="460" w:right="4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5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5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5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 not been declared effective by the 90</w:t>
      </w:r>
      <w:r>
        <w:rPr>
          <w:rFonts w:ascii="Arial" w:cs="Arial" w:eastAsia="Arial" w:hAnsi="Arial"/>
          <w:sz w:val="8"/>
          <w:szCs w:val="8"/>
          <w:color w:val="auto"/>
        </w:rPr>
        <w:t>th</w:t>
      </w:r>
      <w:r>
        <w:rPr>
          <w:rFonts w:ascii="Arial" w:cs="Arial" w:eastAsia="Arial" w:hAnsi="Arial"/>
          <w:sz w:val="17"/>
          <w:szCs w:val="17"/>
          <w:color w:val="auto"/>
        </w:rPr>
        <w:t xml:space="preserve">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6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American Stock Transfer &amp; Trust Company, LLC,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3" w:name="page84"/>
    <w:bookmarkEnd w:id="83"/>
    <w:p>
      <w:pPr>
        <w:jc w:val="both"/>
        <w:ind w:left="460" w:right="459"/>
        <w:spacing w:after="0" w:line="264" w:lineRule="auto"/>
        <w:rPr>
          <w:sz w:val="20"/>
          <w:szCs w:val="20"/>
          <w:color w:val="auto"/>
        </w:rPr>
      </w:pPr>
      <w:r>
        <w:rPr>
          <w:rFonts w:ascii="Arial" w:cs="Arial" w:eastAsia="Arial" w:hAnsi="Arial"/>
          <w:sz w:val="18"/>
          <w:szCs w:val="18"/>
          <w:color w:val="auto"/>
        </w:rPr>
        <w:t>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agreed to sell to Chardan Capital Markets, LLC an option to purchase up to a total of 300,000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300,000 shares of common stock and 300,000 warrants to purchase 300,000 shares for the same aggregate purchase price. In no event will we be required to net cash settle the exercise of the purchase option.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219" w:lineRule="exact"/>
        <w:rPr>
          <w:sz w:val="20"/>
          <w:szCs w:val="20"/>
          <w:color w:val="auto"/>
        </w:rPr>
      </w:pPr>
    </w:p>
    <w:p>
      <w:pPr>
        <w:jc w:val="both"/>
        <w:ind w:left="460" w:right="459"/>
        <w:spacing w:after="0" w:line="210" w:lineRule="auto"/>
        <w:rPr>
          <w:sz w:val="20"/>
          <w:szCs w:val="20"/>
          <w:color w:val="auto"/>
        </w:rPr>
      </w:pPr>
      <w:r>
        <w:rPr>
          <w:rFonts w:ascii="Arial" w:cs="Arial" w:eastAsia="Arial" w:hAnsi="Arial"/>
          <w:sz w:val="18"/>
          <w:szCs w:val="18"/>
          <w:color w:val="auto"/>
        </w:rPr>
        <w:t>The transfer agent for our securities is American Stock Transfer &amp; Trust Company, LLC, 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Brooklyn, NY 11219.</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2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54" w:lineRule="exact"/>
        <w:rPr>
          <w:sz w:val="20"/>
          <w:szCs w:val="20"/>
          <w:color w:val="auto"/>
        </w:rPr>
      </w:pPr>
    </w:p>
    <w:p>
      <w:pPr>
        <w:ind w:left="1120" w:right="459" w:hanging="333"/>
        <w:spacing w:after="0" w:line="277" w:lineRule="auto"/>
        <w:tabs>
          <w:tab w:leader="none" w:pos="12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30" w:lineRule="exact"/>
        <w:rPr>
          <w:sz w:val="20"/>
          <w:szCs w:val="20"/>
          <w:color w:val="auto"/>
        </w:rPr>
      </w:pPr>
    </w:p>
    <w:p>
      <w:pPr>
        <w:ind w:left="1120" w:right="459" w:hanging="333"/>
        <w:spacing w:after="0" w:line="277" w:lineRule="auto"/>
        <w:tabs>
          <w:tab w:leader="none" w:pos="11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318" w:val="left"/>
        </w:tabs>
        <w:numPr>
          <w:ilvl w:val="0"/>
          <w:numId w:val="48"/>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4" w:name="page85"/>
    <w:bookmarkEnd w:id="84"/>
    <w:p>
      <w:pPr>
        <w:jc w:val="both"/>
        <w:ind w:left="1120" w:right="459" w:hanging="333"/>
        <w:spacing w:after="0" w:line="312" w:lineRule="auto"/>
        <w:tabs>
          <w:tab w:leader="none" w:pos="1142"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Staggered board of directors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8"/>
          <w:szCs w:val="8"/>
          <w:color w:val="auto"/>
        </w:rPr>
        <w:t>th</w:t>
      </w:r>
      <w:r>
        <w:rPr>
          <w:rFonts w:ascii="Arial" w:cs="Arial" w:eastAsia="Arial" w:hAnsi="Arial"/>
          <w:sz w:val="17"/>
          <w:szCs w:val="17"/>
          <w:color w:val="auto"/>
        </w:rPr>
        <w:t xml:space="preserve"> day nor earlier than the opening of business on the 120</w:t>
      </w:r>
      <w:r>
        <w:rPr>
          <w:rFonts w:ascii="Arial" w:cs="Arial" w:eastAsia="Arial" w:hAnsi="Arial"/>
          <w:sz w:val="8"/>
          <w:szCs w:val="8"/>
          <w:color w:val="auto"/>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Immediately after this offering, we will have 6,652,500 shares of common stock outstanding, or 7,635,000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2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79" w:lineRule="exact"/>
        <w:rPr>
          <w:sz w:val="20"/>
          <w:szCs w:val="20"/>
          <w:color w:val="auto"/>
        </w:rPr>
      </w:pPr>
    </w:p>
    <w:p>
      <w:pPr>
        <w:jc w:val="both"/>
        <w:ind w:left="1120" w:right="459" w:hanging="333"/>
        <w:spacing w:after="0" w:line="264" w:lineRule="auto"/>
        <w:tabs>
          <w:tab w:leader="none" w:pos="1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66,525 shares of common stock immediately after this offering (or 76,350 shares of common stock if the over-allotment option is exercised in full);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16"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3" w:lineRule="exact"/>
        <w:rPr>
          <w:sz w:val="20"/>
          <w:szCs w:val="20"/>
          <w:color w:val="auto"/>
        </w:rPr>
      </w:pPr>
    </w:p>
    <w:p>
      <w:pPr>
        <w:ind w:left="1080" w:hanging="293"/>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2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6" w:name="page87"/>
    <w:bookmarkEnd w:id="86"/>
    <w:p>
      <w:pPr>
        <w:jc w:val="both"/>
        <w:ind w:left="460" w:right="459"/>
        <w:spacing w:after="0" w:line="272" w:lineRule="auto"/>
        <w:rPr>
          <w:sz w:val="20"/>
          <w:szCs w:val="20"/>
          <w:color w:val="auto"/>
        </w:rPr>
      </w:pPr>
      <w:r>
        <w:rPr>
          <w:rFonts w:ascii="Arial" w:cs="Arial" w:eastAsia="Arial" w:hAnsi="Arial"/>
          <w:sz w:val="17"/>
          <w:szCs w:val="17"/>
          <w:color w:val="auto"/>
        </w:rPr>
        <w:t>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Units</w:t>
            </w:r>
          </w:p>
        </w:tc>
      </w:tr>
      <w:tr>
        <w:trPr>
          <w:trHeight w:val="236"/>
        </w:trPr>
        <w:tc>
          <w:tcPr>
            <w:tcW w:w="674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1,000,000</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Maxim Group LLC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I-Bankers Securities,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EarlyBirdCapital,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1,250,000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units, common stock and warrants will be quoted on Nasdaq under the symbols “MACQU,” “MACQ” and “MACQW,” respectively.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this Offering</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$0.13 per unit.</w:t>
      </w:r>
    </w:p>
    <w:p>
      <w:pPr>
        <w:spacing w:after="0" w:line="14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and the underwriters will own a number of our securities post initial public offering (as described below). Factors considered in determining the prices and terms of the units include:</w:t>
      </w:r>
    </w:p>
    <w:p>
      <w:pPr>
        <w:spacing w:after="0" w:line="146" w:lineRule="exact"/>
        <w:rPr>
          <w:sz w:val="20"/>
          <w:szCs w:val="20"/>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3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85"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underwriters an option to buy up to 750,000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With</w:t>
            </w:r>
          </w:p>
        </w:tc>
      </w:tr>
      <w:tr>
        <w:trPr>
          <w:trHeight w:val="203"/>
        </w:trPr>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r>
      <w:tr>
        <w:trPr>
          <w:trHeight w:val="210"/>
        </w:trPr>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Unit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2"/>
              </w:rPr>
              <w:t>allotment</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Public offering price</w:t>
            </w:r>
          </w:p>
        </w:tc>
        <w:tc>
          <w:tcPr>
            <w:tcW w:w="1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57,500,000</w:t>
            </w:r>
          </w:p>
        </w:tc>
      </w:tr>
      <w:tr>
        <w:trPr>
          <w:trHeight w:val="242"/>
        </w:trPr>
        <w:tc>
          <w:tcPr>
            <w:tcW w:w="3240" w:type="dxa"/>
            <w:vAlign w:val="bottom"/>
          </w:tcPr>
          <w:p>
            <w:pPr>
              <w:spacing w:after="0"/>
              <w:rPr>
                <w:sz w:val="20"/>
                <w:szCs w:val="20"/>
                <w:color w:val="auto"/>
              </w:rPr>
            </w:pPr>
            <w:r>
              <w:rPr>
                <w:rFonts w:ascii="Arial" w:cs="Arial" w:eastAsia="Arial" w:hAnsi="Arial"/>
                <w:sz w:val="18"/>
                <w:szCs w:val="18"/>
                <w:color w:val="auto"/>
              </w:rPr>
              <w:t>Discount</w:t>
            </w:r>
            <w:r>
              <w:rPr>
                <w:rFonts w:ascii="Arial" w:cs="Arial" w:eastAsia="Arial" w:hAnsi="Arial"/>
                <w:sz w:val="8"/>
                <w:szCs w:val="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8"/>
                <w:szCs w:val="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54,625,000</w:t>
            </w: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____________</w:t>
            </w: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jc w:val="both"/>
        <w:ind w:left="780" w:right="459" w:hanging="318"/>
        <w:spacing w:after="0" w:line="250" w:lineRule="auto"/>
        <w:tabs>
          <w:tab w:leader="none" w:pos="8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 w:lineRule="exact"/>
        <w:rPr>
          <w:rFonts w:ascii="Arial" w:cs="Arial" w:eastAsia="Arial" w:hAnsi="Arial"/>
          <w:sz w:val="18"/>
          <w:szCs w:val="18"/>
          <w:color w:val="auto"/>
        </w:rPr>
      </w:pPr>
    </w:p>
    <w:p>
      <w:pPr>
        <w:ind w:left="780" w:hanging="318"/>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offering expenses are estimated at $500,000.</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$50,000.</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18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Chardan Capital Markets, LLC purchased an interest in M SPAC Holdings I LLC which entitles it to the economic interest in 48,184 insider shares. Chardan Capital Markets, LLC paid an aggregate of $837.99 for such interest. In conjunction with acquiring such beneficial interest, Chardan Capital Markets has agreed that it will contribute $150,000 to M SPAC Holdings I LLC to fund a portion of that entity’s private placement purchase, for which it will be entitled to a beneficial interest in 15,000 of the private placement securities acquired by M SPAC Holdings I LLC. The economic interest described above is subject to a 180-day lock-up pursuant to Rule 5110(g)(1) of FINRA’s NASD Conduct Rules. Pursuant to FINRA Rule 5110(g)(1), this economic interest will not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nor may they be sold, transferred, assigned, pledged or hypothecated for a period of 180 days immediately following the effective date of the registration statement of which this prospectus forms a part except to any underwriter and selected dealer participating in the offering and their bona fide officers or partners.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have agreed to sell to Chardan Capital Markets, LLC (and/or its designees), for $100, an option to purchase up to a total of 300,000 units exercisable at $12.00 per unit (or an aggregate exercise price of $3,600,000) commencing on the later of the consummation of a business combination and six months from the effective date of the registration statement of which this prospectus forms a part . The purchase option may be exercised for cash or on a cashless basis, at the holder’s option, and expires five years from the effective date of the registration statement of which this prospectus forms a part. The option and the 300,000 units, as well as the 300,000 shares of common stock and 300,000 warrants that may be issued upon exercise of the option, have been deemed compensation by FINRA and are therefore subject to a 180-day lock-up pursuant to Rule 5110(g)</w:t>
      </w:r>
    </w:p>
    <w:p>
      <w:pPr>
        <w:spacing w:after="0" w:line="1" w:lineRule="exact"/>
        <w:rPr>
          <w:sz w:val="20"/>
          <w:szCs w:val="20"/>
          <w:color w:val="auto"/>
        </w:rPr>
      </w:pPr>
    </w:p>
    <w:p>
      <w:pPr>
        <w:jc w:val="both"/>
        <w:ind w:left="460" w:right="459" w:firstLine="2"/>
        <w:spacing w:after="0" w:line="267" w:lineRule="auto"/>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of FINRA’s NASD Conduct Rules. Pursuant to FINRA Rule 5110(g)(1), these securities will not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nor may they be sold, transferred, assigned, pledged or hypothecated for a period of 180 days immediately following the effective date of the registration statement of which this prospectus forms a part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ectPr>
          <w:pgSz w:w="11900" w:h="16838" w:orient="portrait"/>
          <w:cols w:equalWidth="0" w:num="1">
            <w:col w:w="9019"/>
          </w:cols>
          <w:pgMar w:left="1440" w:top="337" w:right="1440" w:bottom="163"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63" w:gutter="0" w:footer="0" w:header="0"/>
          <w:type w:val="continuous"/>
        </w:sectPr>
      </w:pPr>
    </w:p>
    <w:bookmarkStart w:id="89" w:name="page90"/>
    <w:bookmarkEnd w:id="89"/>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7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Chardan Capital Markets, LLC a right of first refusal, for a period of thirty-six months from the earlier of (i) commencement of sales in the Offering, and (ii) termination of the underwriting agreement, to act as lead investment banker, lead book-runner, and/or lead placement agent with at least 33% of the economics, or 25% if three investment banks are involved in the transaction for any public or private equity and debt offerings during such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 Solicitation Fee</w:t>
      </w:r>
    </w:p>
    <w:p>
      <w:pPr>
        <w:spacing w:after="0" w:line="17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have agreed to pay Chardan Capital Markets, LLC a warrant solicitation fee of five percent (5%) of the exercise price of each public warrant exercised during the period commencing on the later of 12 months from the closing of this offering or 30 days after the completion of our initial business combination including warrants acquired by securityholders in the open market</w:t>
      </w:r>
      <w:r>
        <w:rPr>
          <w:rFonts w:ascii="Arial" w:cs="Arial" w:eastAsia="Arial" w:hAnsi="Arial"/>
          <w:sz w:val="17"/>
          <w:szCs w:val="17"/>
          <w:b w:val="1"/>
          <w:bCs w:val="1"/>
          <w:color w:val="auto"/>
        </w:rPr>
        <w:t>.</w:t>
      </w:r>
      <w:r>
        <w:rPr>
          <w:rFonts w:ascii="Arial" w:cs="Arial" w:eastAsia="Arial" w:hAnsi="Arial"/>
          <w:sz w:val="17"/>
          <w:szCs w:val="17"/>
          <w:color w:val="auto"/>
        </w:rPr>
        <w:t xml:space="preserve"> The warrant solicitation fee will be payable in cash. There is no limitation on the maximum warrant solicitation fee payable to Chardan Capital Markets, LLC except to the extent it is limited by the number of warrants outstanding.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27" w:lineRule="exact"/>
        <w:rPr>
          <w:sz w:val="20"/>
          <w:szCs w:val="20"/>
          <w:color w:val="auto"/>
        </w:rPr>
      </w:pPr>
    </w:p>
    <w:p>
      <w:pPr>
        <w:ind w:left="1120" w:right="459" w:hanging="333"/>
        <w:spacing w:after="0" w:line="277" w:lineRule="auto"/>
        <w:tabs>
          <w:tab w:leader="none" w:pos="11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16" w:lineRule="exact"/>
        <w:rPr>
          <w:rFonts w:ascii="Arial" w:cs="Arial" w:eastAsia="Arial" w:hAnsi="Arial"/>
          <w:sz w:val="18"/>
          <w:szCs w:val="18"/>
          <w:color w:val="auto"/>
        </w:rPr>
      </w:pPr>
    </w:p>
    <w:p>
      <w:pPr>
        <w:jc w:val="both"/>
        <w:ind w:left="1120" w:right="459" w:hanging="333"/>
        <w:spacing w:after="0" w:line="286" w:lineRule="auto"/>
        <w:tabs>
          <w:tab w:leader="none" w:pos="11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4" w:lineRule="exact"/>
        <w:rPr>
          <w:rFonts w:ascii="Arial" w:cs="Arial" w:eastAsia="Arial" w:hAnsi="Arial"/>
          <w:sz w:val="16"/>
          <w:szCs w:val="16"/>
          <w:color w:val="auto"/>
        </w:rPr>
      </w:pPr>
    </w:p>
    <w:p>
      <w:pPr>
        <w:jc w:val="both"/>
        <w:ind w:left="1120" w:right="459" w:hanging="333"/>
        <w:spacing w:after="0" w:line="264" w:lineRule="auto"/>
        <w:tabs>
          <w:tab w:leader="none" w:pos="11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2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2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w:t>
      </w:r>
    </w:p>
    <w:p>
      <w:pPr>
        <w:sectPr>
          <w:pgSz w:w="11900" w:h="16864" w:orient="portrait"/>
          <w:cols w:equalWidth="0" w:num="1">
            <w:col w:w="9019"/>
          </w:cols>
          <w:pgMar w:left="1440" w:top="337" w:right="1440" w:bottom="0" w:gutter="0" w:footer="0" w:header="0"/>
        </w:sectPr>
      </w:pPr>
    </w:p>
    <w:bookmarkStart w:id="90" w:name="page91"/>
    <w:bookmarkEnd w:id="90"/>
    <w:p>
      <w:pPr>
        <w:jc w:val="both"/>
        <w:ind w:left="460" w:right="459"/>
        <w:spacing w:after="0" w:line="286" w:lineRule="auto"/>
        <w:rPr>
          <w:sz w:val="20"/>
          <w:szCs w:val="20"/>
          <w:color w:val="auto"/>
        </w:rPr>
      </w:pPr>
      <w:r>
        <w:rPr>
          <w:rFonts w:ascii="Arial" w:cs="Arial" w:eastAsia="Arial" w:hAnsi="Arial"/>
          <w:sz w:val="17"/>
          <w:szCs w:val="17"/>
          <w:color w:val="auto"/>
        </w:rPr>
        <w:t>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jc w:val="both"/>
        <w:ind w:left="460" w:right="459"/>
        <w:spacing w:after="0" w:line="255" w:lineRule="auto"/>
        <w:rPr>
          <w:sz w:val="20"/>
          <w:szCs w:val="20"/>
          <w:color w:val="auto"/>
        </w:rPr>
      </w:pPr>
      <w:r>
        <w:rPr>
          <w:rFonts w:ascii="Arial" w:cs="Arial" w:eastAsia="Arial" w:hAnsi="Arial"/>
          <w:sz w:val="18"/>
          <w:szCs w:val="18"/>
          <w:color w:val="auto"/>
        </w:rPr>
        <w:t>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20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30" w:lineRule="exact"/>
        <w:rPr>
          <w:sz w:val="20"/>
          <w:szCs w:val="20"/>
          <w:color w:val="auto"/>
        </w:rPr>
      </w:pPr>
    </w:p>
    <w:p>
      <w:pPr>
        <w:ind w:left="1120" w:right="459" w:hanging="333"/>
        <w:spacing w:after="0" w:line="277" w:lineRule="auto"/>
        <w:tabs>
          <w:tab w:leader="none" w:pos="11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84" w:lineRule="exact"/>
        <w:rPr>
          <w:rFonts w:ascii="Arial" w:cs="Arial" w:eastAsia="Arial" w:hAnsi="Arial"/>
          <w:sz w:val="18"/>
          <w:szCs w:val="18"/>
          <w:color w:val="auto"/>
        </w:rPr>
      </w:pPr>
    </w:p>
    <w:p>
      <w:pPr>
        <w:ind w:left="1120" w:right="459" w:hanging="333"/>
        <w:spacing w:after="0" w:line="342" w:lineRule="auto"/>
        <w:tabs>
          <w:tab w:leader="none" w:pos="12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purchaser acknowledges and consents to the provision of specified information concerning its purchase of our securities to the regulatory authority that by law is entitled to collect the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301"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2" w:name="page93"/>
    <w:bookmarkEnd w:id="92"/>
    <w:p>
      <w:pPr>
        <w:ind w:left="4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41" w:lineRule="exact"/>
        <w:rPr>
          <w:sz w:val="20"/>
          <w:szCs w:val="20"/>
          <w:color w:val="auto"/>
        </w:rPr>
      </w:pPr>
    </w:p>
    <w:p>
      <w:pPr>
        <w:ind w:left="1120" w:hanging="333"/>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jc w:val="both"/>
        <w:ind w:left="1120" w:right="459" w:hanging="333"/>
        <w:spacing w:after="0" w:line="255" w:lineRule="auto"/>
        <w:tabs>
          <w:tab w:leader="none" w:pos="12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66" w:lineRule="exact"/>
        <w:rPr>
          <w:rFonts w:ascii="Arial" w:cs="Arial" w:eastAsia="Arial" w:hAnsi="Arial"/>
          <w:sz w:val="18"/>
          <w:szCs w:val="18"/>
          <w:color w:val="auto"/>
        </w:rPr>
      </w:pPr>
    </w:p>
    <w:p>
      <w:pPr>
        <w:ind w:left="1120" w:right="459" w:hanging="333"/>
        <w:spacing w:after="0" w:line="277" w:lineRule="auto"/>
        <w:tabs>
          <w:tab w:leader="none" w:pos="11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4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ectPr>
          <w:pgSz w:w="11900" w:h="16838" w:orient="portrait"/>
          <w:cols w:equalWidth="0" w:num="1">
            <w:col w:w="9019"/>
          </w:cols>
          <w:pgMar w:left="1440" w:top="337" w:right="1440" w:bottom="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93" w:name="page94"/>
    <w:bookmarkEnd w:id="93"/>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0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7"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58" w:lineRule="exact"/>
        <w:rPr>
          <w:sz w:val="20"/>
          <w:szCs w:val="20"/>
          <w:color w:val="auto"/>
        </w:rPr>
      </w:pPr>
    </w:p>
    <w:p>
      <w:pPr>
        <w:ind w:left="1320" w:right="459" w:hanging="425"/>
        <w:spacing w:after="0" w:line="277" w:lineRule="auto"/>
        <w:tabs>
          <w:tab w:leader="none" w:pos="14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70" w:lineRule="exact"/>
        <w:rPr>
          <w:rFonts w:ascii="Arial" w:cs="Arial" w:eastAsia="Arial" w:hAnsi="Arial"/>
          <w:sz w:val="18"/>
          <w:szCs w:val="18"/>
          <w:color w:val="auto"/>
        </w:rPr>
      </w:pPr>
    </w:p>
    <w:p>
      <w:pPr>
        <w:ind w:left="1360" w:hanging="465"/>
        <w:spacing w:after="0"/>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jc w:val="both"/>
        <w:ind w:left="1320" w:right="459" w:hanging="425"/>
        <w:spacing w:after="0" w:line="259" w:lineRule="auto"/>
        <w:tabs>
          <w:tab w:leader="none" w:pos="15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86" w:lineRule="exact"/>
        <w:rPr>
          <w:rFonts w:ascii="Arial" w:cs="Arial" w:eastAsia="Arial" w:hAnsi="Arial"/>
          <w:sz w:val="18"/>
          <w:szCs w:val="18"/>
          <w:color w:val="auto"/>
        </w:rPr>
      </w:pPr>
    </w:p>
    <w:p>
      <w:pPr>
        <w:ind w:left="1320" w:right="459" w:hanging="425"/>
        <w:spacing w:after="0" w:line="277" w:lineRule="auto"/>
        <w:tabs>
          <w:tab w:leader="none" w:pos="14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70" w:lineRule="exact"/>
        <w:rPr>
          <w:rFonts w:ascii="Arial" w:cs="Arial" w:eastAsia="Arial" w:hAnsi="Arial"/>
          <w:sz w:val="18"/>
          <w:szCs w:val="18"/>
          <w:color w:val="auto"/>
        </w:rPr>
      </w:pPr>
    </w:p>
    <w:p>
      <w:pPr>
        <w:jc w:val="both"/>
        <w:ind w:left="1320" w:right="459" w:hanging="425"/>
        <w:spacing w:after="0" w:line="259" w:lineRule="auto"/>
        <w:tabs>
          <w:tab w:leader="none" w:pos="15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L.411-2-II-1|Mbb[-or-2|Mbb[-or 3|Mbb[ of the French Code monétaire et financier and article 211-2 of the General Regulations (Règlement Général) of the Autorité des Marchés Financiers, does not constitute a public offer (appel public à l’épargne).</w:t>
      </w:r>
    </w:p>
    <w:p>
      <w:pPr>
        <w:spacing w:after="0" w:line="16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ectPr>
          <w:pgSz w:w="11900" w:h="16838" w:orient="portrait"/>
          <w:cols w:equalWidth="0" w:num="1">
            <w:col w:w="9019"/>
          </w:cols>
          <w:pgMar w:left="1440" w:top="301"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4" w:name="page95"/>
    <w:bookmarkEnd w:id="94"/>
    <w:p>
      <w:pPr>
        <w:ind w:left="4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0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 is:</w:t>
      </w:r>
    </w:p>
    <w:p>
      <w:pPr>
        <w:spacing w:after="0" w:line="237" w:lineRule="exact"/>
        <w:rPr>
          <w:sz w:val="20"/>
          <w:szCs w:val="20"/>
          <w:color w:val="auto"/>
        </w:rPr>
      </w:pPr>
    </w:p>
    <w:p>
      <w:pPr>
        <w:jc w:val="both"/>
        <w:ind w:left="1320" w:right="459" w:hanging="425"/>
        <w:spacing w:after="0" w:line="259" w:lineRule="auto"/>
        <w:tabs>
          <w:tab w:leader="none" w:pos="13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6" w:lineRule="exact"/>
        <w:rPr>
          <w:rFonts w:ascii="Arial" w:cs="Arial" w:eastAsia="Arial" w:hAnsi="Arial"/>
          <w:sz w:val="18"/>
          <w:szCs w:val="18"/>
          <w:color w:val="auto"/>
        </w:rPr>
      </w:pPr>
    </w:p>
    <w:p>
      <w:pPr>
        <w:jc w:val="both"/>
        <w:ind w:left="1320" w:right="459" w:hanging="425"/>
        <w:spacing w:after="0" w:line="272" w:lineRule="auto"/>
        <w:tabs>
          <w:tab w:leader="none" w:pos="1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77" w:lineRule="exact"/>
        <w:rPr>
          <w:rFonts w:ascii="Arial" w:cs="Arial" w:eastAsia="Arial" w:hAnsi="Arial"/>
          <w:sz w:val="17"/>
          <w:szCs w:val="17"/>
          <w:color w:val="auto"/>
        </w:rPr>
      </w:pPr>
    </w:p>
    <w:p>
      <w:pPr>
        <w:ind w:left="1360" w:hanging="465"/>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1360" w:hanging="465"/>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financial statements of M I Acquisitions, Inc. as of December 31, 2015 and for the period from April 23, 2015 (inception) through December 31,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u w:val="single" w:color="auto"/>
          <w:color w:val="0000FF"/>
        </w:rPr>
        <w:t>www.sec.gov</w:t>
      </w:r>
      <w:r>
        <w:rPr>
          <w:rFonts w:ascii="Arial" w:cs="Arial" w:eastAsia="Arial" w:hAnsi="Arial"/>
          <w:sz w:val="18"/>
          <w:szCs w:val="18"/>
          <w:color w:val="000000"/>
        </w:rPr>
        <w:t>. You may also read and copy any document we file with the SEC at its public reference facility at</w:t>
      </w:r>
      <w:r>
        <w:rPr>
          <w:rFonts w:ascii="Arial" w:cs="Arial" w:eastAsia="Arial" w:hAnsi="Arial"/>
          <w:sz w:val="18"/>
          <w:szCs w:val="18"/>
          <w:i w:val="1"/>
          <w:iCs w:val="1"/>
          <w:color w:val="0000FF"/>
        </w:rPr>
        <w:t xml:space="preserve"> </w:t>
      </w:r>
      <w:r>
        <w:rPr>
          <w:rFonts w:ascii="Arial" w:cs="Arial" w:eastAsia="Arial" w:hAnsi="Arial"/>
          <w:sz w:val="18"/>
          <w:szCs w:val="18"/>
          <w:color w:val="000000"/>
        </w:rPr>
        <w:t>100 F Street, N.E., Washington, D.C. 20549.</w:t>
      </w:r>
    </w:p>
    <w:p>
      <w:pPr>
        <w:spacing w:after="0" w:line="16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6" w:name="page97"/>
    <w:bookmarkEnd w:id="96"/>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40" w:type="dxa"/>
            <w:vAlign w:val="bottom"/>
            <w:gridSpan w:val="12"/>
          </w:tcPr>
          <w:p>
            <w:pPr>
              <w:jc w:val="center"/>
              <w:ind w:right="1300"/>
              <w:spacing w:after="0"/>
              <w:rPr>
                <w:sz w:val="20"/>
                <w:szCs w:val="20"/>
                <w:color w:val="auto"/>
              </w:rPr>
            </w:pPr>
            <w:r>
              <w:rPr>
                <w:rFonts w:ascii="Arial" w:cs="Arial" w:eastAsia="Arial" w:hAnsi="Arial"/>
                <w:sz w:val="18"/>
                <w:szCs w:val="18"/>
                <w:b w:val="1"/>
                <w:bCs w:val="1"/>
                <w:color w:val="auto"/>
              </w:rPr>
              <w:t>INDEX TO FINANCIAL STATEMENTS</w:t>
            </w:r>
          </w:p>
        </w:tc>
        <w:tc>
          <w:tcPr>
            <w:tcW w:w="1040" w:type="dxa"/>
            <w:vAlign w:val="bottom"/>
          </w:tcPr>
          <w:p>
            <w:pPr>
              <w:spacing w:after="0"/>
              <w:rPr>
                <w:sz w:val="20"/>
                <w:szCs w:val="20"/>
                <w:color w:val="auto"/>
              </w:rPr>
            </w:pPr>
          </w:p>
        </w:tc>
      </w:tr>
      <w:tr>
        <w:trPr>
          <w:trHeight w:val="392"/>
        </w:trPr>
        <w:tc>
          <w:tcPr>
            <w:tcW w:w="7080" w:type="dxa"/>
            <w:vAlign w:val="bottom"/>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1040" w:type="dxa"/>
            <w:vAlign w:val="bottom"/>
          </w:tcPr>
          <w:p>
            <w:pPr>
              <w:spacing w:after="0"/>
              <w:rPr>
                <w:sz w:val="24"/>
                <w:szCs w:val="24"/>
                <w:color w:val="auto"/>
              </w:rPr>
            </w:pPr>
          </w:p>
        </w:tc>
      </w:tr>
      <w:tr>
        <w:trPr>
          <w:trHeight w:val="216"/>
        </w:trPr>
        <w:tc>
          <w:tcPr>
            <w:tcW w:w="7080" w:type="dxa"/>
            <w:vAlign w:val="bottom"/>
            <w:gridSpan w:val="1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F-2</w:t>
            </w:r>
          </w:p>
        </w:tc>
      </w:tr>
      <w:tr>
        <w:trPr>
          <w:trHeight w:val="237"/>
        </w:trPr>
        <w:tc>
          <w:tcPr>
            <w:tcW w:w="180" w:type="dxa"/>
            <w:vAlign w:val="bottom"/>
            <w:tcBorders>
              <w:top w:val="single" w:sz="8" w:color="0000EE"/>
            </w:tcBorders>
          </w:tcPr>
          <w:p>
            <w:pPr>
              <w:spacing w:after="0"/>
              <w:rPr>
                <w:sz w:val="20"/>
                <w:szCs w:val="20"/>
                <w:color w:val="auto"/>
              </w:rPr>
            </w:pPr>
          </w:p>
        </w:tc>
        <w:tc>
          <w:tcPr>
            <w:tcW w:w="2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Balance Sheet as of December 31, 2015</w:t>
              </w:r>
            </w:hyperlink>
          </w:p>
        </w:tc>
        <w:tc>
          <w:tcPr>
            <w:tcW w:w="1160" w:type="dxa"/>
            <w:vAlign w:val="bottom"/>
            <w:tcBorders>
              <w:top w:val="single" w:sz="8" w:color="0000EE"/>
            </w:tcBorders>
            <w:gridSpan w:val="4"/>
          </w:tcPr>
          <w:p>
            <w:pPr>
              <w:spacing w:after="0"/>
              <w:rPr>
                <w:sz w:val="20"/>
                <w:szCs w:val="20"/>
                <w:color w:val="auto"/>
              </w:rPr>
            </w:pPr>
          </w:p>
        </w:tc>
        <w:tc>
          <w:tcPr>
            <w:tcW w:w="2860" w:type="dxa"/>
            <w:vAlign w:val="bottom"/>
            <w:gridSpan w:val="6"/>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F-3</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Statement of Operations for the Period from April 23, 2015 (Inception) through December</w:t>
              </w:r>
            </w:hyperlink>
          </w:p>
        </w:tc>
        <w:tc>
          <w:tcPr>
            <w:tcW w:w="104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F-4</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Statement of Changes in Stockholder’s Equity for the Period from April 23, 2015</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(Inception) through December 31, 2015</w:t>
              </w:r>
            </w:hyperlink>
          </w:p>
        </w:tc>
        <w:tc>
          <w:tcPr>
            <w:tcW w:w="1040" w:type="dxa"/>
            <w:vAlign w:val="bottom"/>
            <w:gridSpan w:val="5"/>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6"/>
              </w:rPr>
            </w:pPr>
            <w:hyperlink w:anchor="page102">
              <w:r>
                <w:rPr>
                  <w:rFonts w:ascii="Arial" w:cs="Arial" w:eastAsia="Arial" w:hAnsi="Arial"/>
                  <w:sz w:val="18"/>
                  <w:szCs w:val="18"/>
                  <w:color w:val="0000EE"/>
                  <w:w w:val="96"/>
                </w:rPr>
                <w:t>Statement of Cash Flows for the Period from April 23, 2015 (Inception) through December</w:t>
              </w:r>
            </w:hyperlink>
          </w:p>
        </w:tc>
        <w:tc>
          <w:tcPr>
            <w:tcW w:w="104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F-6</w:t>
            </w:r>
          </w:p>
        </w:tc>
      </w:tr>
      <w:tr>
        <w:trPr>
          <w:trHeight w:val="237"/>
        </w:trPr>
        <w:tc>
          <w:tcPr>
            <w:tcW w:w="180" w:type="dxa"/>
            <w:vAlign w:val="bottom"/>
          </w:tcPr>
          <w:p>
            <w:pPr>
              <w:spacing w:after="0"/>
              <w:rPr>
                <w:sz w:val="20"/>
                <w:szCs w:val="20"/>
                <w:color w:val="auto"/>
              </w:rPr>
            </w:pPr>
          </w:p>
        </w:tc>
        <w:tc>
          <w:tcPr>
            <w:tcW w:w="2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Notes to Financial Statements</w:t>
              </w:r>
            </w:hyperlink>
          </w:p>
        </w:tc>
        <w:tc>
          <w:tcPr>
            <w:tcW w:w="4740" w:type="dxa"/>
            <w:vAlign w:val="bottom"/>
            <w:gridSpan w:val="12"/>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F-7</w:t>
            </w:r>
          </w:p>
        </w:tc>
      </w:tr>
      <w:tr>
        <w:trPr>
          <w:trHeight w:val="520"/>
        </w:trPr>
        <w:tc>
          <w:tcPr>
            <w:tcW w:w="7080" w:type="dxa"/>
            <w:vAlign w:val="bottom"/>
            <w:gridSpan w:val="17"/>
          </w:tcPr>
          <w:p>
            <w:pPr>
              <w:spacing w:after="0"/>
              <w:rPr>
                <w:sz w:val="20"/>
                <w:szCs w:val="20"/>
                <w:color w:val="auto"/>
              </w:rPr>
            </w:pPr>
            <w:r>
              <w:rPr>
                <w:rFonts w:ascii="Arial" w:cs="Arial" w:eastAsia="Arial" w:hAnsi="Arial"/>
                <w:sz w:val="18"/>
                <w:szCs w:val="18"/>
                <w:b w:val="1"/>
                <w:bCs w:val="1"/>
                <w:color w:val="auto"/>
              </w:rPr>
              <w:t>Unaudited Financial Statements</w:t>
            </w:r>
          </w:p>
        </w:tc>
        <w:tc>
          <w:tcPr>
            <w:tcW w:w="10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900" w:type="dxa"/>
            <w:vAlign w:val="bottom"/>
            <w:gridSpan w:val="1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Balance Sheet as of June 30, 2016</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F-14</w:t>
            </w:r>
          </w:p>
        </w:tc>
      </w:tr>
      <w:tr>
        <w:trPr>
          <w:trHeight w:val="20"/>
        </w:trPr>
        <w:tc>
          <w:tcPr>
            <w:tcW w:w="18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Statement of Operations for the Six Months Ended June 30, 2016 and the Period from April</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23, 2015 (Inception) through June 30, 2015</w:t>
              </w:r>
            </w:hyperlink>
          </w:p>
        </w:tc>
        <w:tc>
          <w:tcPr>
            <w:tcW w:w="3300" w:type="dxa"/>
            <w:vAlign w:val="bottom"/>
            <w:tcBorders>
              <w:top w:val="single" w:sz="8" w:color="0000EE"/>
            </w:tcBorders>
            <w:gridSpan w:val="7"/>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1"/>
              </w:rPr>
              <w:t>F-15</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Statement of Cash Flows for the Six Months Ended June 30, 2016 and the Period from</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April 23, 2015 (Inception) through June 30, 2015</w:t>
              </w:r>
            </w:hyperlink>
          </w:p>
        </w:tc>
        <w:tc>
          <w:tcPr>
            <w:tcW w:w="250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1"/>
              </w:rPr>
              <w:t>F-16</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Notes to Financial Statements</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F-17</w:t>
            </w:r>
          </w:p>
        </w:tc>
      </w:tr>
      <w:tr>
        <w:trPr>
          <w:trHeight w:val="466"/>
        </w:trPr>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2900"/>
              <w:spacing w:after="0"/>
              <w:rPr>
                <w:sz w:val="20"/>
                <w:szCs w:val="20"/>
                <w:color w:val="auto"/>
              </w:rPr>
            </w:pPr>
            <w:r>
              <w:rPr>
                <w:rFonts w:ascii="Arial" w:cs="Arial" w:eastAsia="Arial" w:hAnsi="Arial"/>
                <w:sz w:val="18"/>
                <w:szCs w:val="18"/>
                <w:color w:val="auto"/>
                <w:w w:val="96"/>
              </w:rPr>
              <w:t>F-1</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7" w:name="page98"/>
    <w:bookmarkEnd w:id="97"/>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I Acquisitions, Inc.</w:t>
      </w:r>
    </w:p>
    <w:p>
      <w:pPr>
        <w:spacing w:after="0" w:line="184"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color w:val="auto"/>
        </w:rPr>
        <w:t>We have audited the accompanying balance sheet of M I Acquisitions, Inc. (the “Company”) as of December 31, 2015, and the related statements of operations, changes in stockholder’s equity and cash flows for the period from April 23, 2015 (inception) through December 31, 2015. These financial statements are the responsibility of the Company’s management. Our responsibility is to express an opinion on these financial statements based on our audit.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December 31, 2015, and the results of its operations and its cash flows for the period from April 23, 2015 (inception) through December 31, 2015 in conformity with accounting principles generally accepted in the United States of America.</w:t>
      </w:r>
    </w:p>
    <w:p>
      <w:pPr>
        <w:spacing w:after="0" w:line="16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December 31, 2015 are not sufficient to complete its planned activities for the upcoming year. These conditions raise substantial doubt about the Company’s ability to continue as a going concern. Management’s places regarding these matters are also described in Notes 1 and 3. These financial statements do not include any adjustments that might result from the outcome of this uncertainty.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/s/Marcum LLP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14,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tbl>
      <w:tblPr>
        <w:tblLayout w:type="fixed"/>
        <w:tblInd w:w="4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2"/>
              </w:rPr>
              <w:t>M I Acquisitions, Inc.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December 31, 2015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0"/>
              </w:rPr>
              <w:t>Current asset: cash and cash equivalents</w:t>
            </w:r>
          </w:p>
        </w:tc>
        <w:tc>
          <w:tcPr>
            <w:tcW w:w="480" w:type="dxa"/>
            <w:vAlign w:val="bottom"/>
            <w:tcBorders>
              <w:top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0"/>
                <w:szCs w:val="20"/>
                <w:color w:val="auto"/>
              </w:rPr>
            </w:pPr>
          </w:p>
        </w:tc>
      </w:tr>
      <w:tr>
        <w:trPr>
          <w:trHeight w:val="412"/>
        </w:trPr>
        <w:tc>
          <w:tcPr>
            <w:tcW w:w="2040" w:type="dxa"/>
            <w:vAlign w:val="bottom"/>
          </w:tcPr>
          <w:p>
            <w:pPr>
              <w:spacing w:after="0"/>
              <w:rPr>
                <w:sz w:val="24"/>
                <w:szCs w:val="2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Liabilities and Stockholder’s Equity</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party</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60" w:type="dxa"/>
            <w:vAlign w:val="bottom"/>
          </w:tcPr>
          <w:p>
            <w:pPr>
              <w:spacing w:after="0"/>
              <w:rPr>
                <w:sz w:val="20"/>
                <w:szCs w:val="20"/>
                <w:color w:val="auto"/>
              </w:rPr>
            </w:pPr>
          </w:p>
        </w:tc>
      </w:tr>
      <w:tr>
        <w:trPr>
          <w:trHeight w:val="453"/>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6780" w:type="dxa"/>
            <w:vAlign w:val="bottom"/>
            <w:gridSpan w:val="5"/>
          </w:tcPr>
          <w:p>
            <w:pPr>
              <w:ind w:left="180"/>
              <w:spacing w:after="0"/>
              <w:rPr>
                <w:sz w:val="20"/>
                <w:szCs w:val="20"/>
                <w:color w:val="auto"/>
              </w:rPr>
            </w:pPr>
            <w:r>
              <w:rPr>
                <w:rFonts w:ascii="Arial" w:cs="Arial" w:eastAsia="Arial" w:hAnsi="Arial"/>
                <w:sz w:val="18"/>
                <w:szCs w:val="18"/>
                <w:color w:val="auto"/>
                <w:w w:val="91"/>
              </w:rPr>
              <w:t>Common stock, $0.001 par value; 50,000,000 shares authorized; 1,437,500 shares issued</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6780" w:type="dxa"/>
            <w:vAlign w:val="bottom"/>
            <w:gridSpan w:val="5"/>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8"/>
                <w:szCs w:val="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0"/>
                <w:szCs w:val="20"/>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23,562</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24"/>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60" w:type="dxa"/>
            <w:vAlign w:val="bottom"/>
          </w:tcPr>
          <w:p>
            <w:pPr>
              <w:spacing w:after="0"/>
              <w:rPr>
                <w:sz w:val="19"/>
                <w:szCs w:val="19"/>
                <w:color w:val="auto"/>
              </w:rPr>
            </w:pPr>
          </w:p>
        </w:tc>
      </w:tr>
      <w:tr>
        <w:trPr>
          <w:trHeight w:val="526"/>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71"/>
        </w:trPr>
        <w:tc>
          <w:tcPr>
            <w:tcW w:w="698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3"/>
                <w:szCs w:val="23"/>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534"/>
        </w:trPr>
        <w:tc>
          <w:tcPr>
            <w:tcW w:w="6980" w:type="dxa"/>
            <w:vAlign w:val="bottom"/>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0"/>
                <w:szCs w:val="30"/>
                <w:b w:val="1"/>
                <w:b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24"/>
                <w:szCs w:val="24"/>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00" w:type="dxa"/>
            <w:vAlign w:val="bottom"/>
            <w:gridSpan w:val="4"/>
            <w:vMerge w:val="restart"/>
          </w:tcPr>
          <w:p>
            <w:pPr>
              <w:jc w:val="right"/>
              <w:ind w:right="45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7"/>
                <w:szCs w:val="27"/>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4"/>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08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April 23, 2015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(Inception)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280" w:type="dxa"/>
            <w:vAlign w:val="bottom"/>
          </w:tcPr>
          <w:p>
            <w:pPr>
              <w:spacing w:after="0"/>
              <w:rPr>
                <w:sz w:val="20"/>
                <w:szCs w:val="20"/>
                <w:color w:val="auto"/>
              </w:rPr>
            </w:pPr>
            <w:r>
              <w:rPr>
                <w:rFonts w:ascii="Arial" w:cs="Arial" w:eastAsia="Arial" w:hAnsi="Arial"/>
                <w:sz w:val="18"/>
                <w:szCs w:val="18"/>
                <w:color w:val="auto"/>
                <w:w w:val="96"/>
              </w:rPr>
              <w:t>Issuance of common stock to</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Initial Stockholder</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434"/>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December 31,</w:t>
            </w: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23,562</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u w:val="single" w:color="auto"/>
                <w:color w:val="auto"/>
              </w:rPr>
              <w:t>(10,226</w:t>
            </w: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-1689100</wp:posOffset>
            </wp:positionV>
            <wp:extent cx="3782060" cy="1689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82060" cy="1689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-130810</wp:posOffset>
            </wp:positionV>
            <wp:extent cx="6261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-130810</wp:posOffset>
            </wp:positionV>
            <wp:extent cx="22123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780" w:right="459" w:hanging="318"/>
        <w:spacing w:after="0" w:line="261"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200" w:type="dxa"/>
            <w:vAlign w:val="bottom"/>
          </w:tcPr>
          <w:p>
            <w:pPr>
              <w:ind w:left="180"/>
              <w:spacing w:after="0"/>
              <w:rPr>
                <w:sz w:val="20"/>
                <w:szCs w:val="20"/>
                <w:color w:val="auto"/>
              </w:rPr>
            </w:pPr>
            <w:r>
              <w:rPr>
                <w:rFonts w:ascii="Arial" w:cs="Arial" w:eastAsia="Arial" w:hAnsi="Arial"/>
                <w:sz w:val="18"/>
                <w:szCs w:val="18"/>
                <w:color w:val="auto"/>
              </w:rPr>
              <w:t>Formation and organization costs paid by related parties</w:t>
            </w: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Offering costs paid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Proceeds from issuance of common stock</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at beginning of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Supplemental disclosure of non-cash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(20,000)</w:t>
      </w:r>
    </w:p>
    <w:p>
      <w:pPr>
        <w:spacing w:after="0" w:line="90" w:lineRule="exact"/>
        <w:rPr>
          <w:sz w:val="20"/>
          <w:szCs w:val="20"/>
          <w:color w:val="auto"/>
        </w:rPr>
      </w:pPr>
    </w:p>
    <w:p>
      <w:pPr>
        <w:ind w:left="54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629"/>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6"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5,000</w:t>
      </w:r>
    </w:p>
    <w:p>
      <w:pPr>
        <w:spacing w:after="0" w:line="29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ind w:left="629" w:hanging="629"/>
        <w:spacing w:after="0"/>
        <w:tabs>
          <w:tab w:leader="none" w:pos="629"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6711" w:space="720"/>
            <w:col w:w="1588"/>
          </w:cols>
          <w:pgMar w:left="1440" w:top="337" w:right="1440" w:bottom="1440" w:gutter="0" w:footer="0" w:header="0"/>
          <w:type w:val="continuous"/>
        </w:sectPr>
      </w:pPr>
    </w:p>
    <w:p>
      <w:pPr>
        <w:ind w:left="640"/>
        <w:spacing w:after="0"/>
        <w:tabs>
          <w:tab w:leader="none" w:pos="7420" w:val="left"/>
          <w:tab w:leader="none" w:pos="7860" w:val="left"/>
        </w:tabs>
        <w:rPr>
          <w:sz w:val="20"/>
          <w:szCs w:val="20"/>
          <w:color w:val="auto"/>
        </w:rPr>
      </w:pPr>
      <w:r>
        <w:rPr>
          <w:rFonts w:ascii="Arial" w:cs="Arial" w:eastAsia="Arial" w:hAnsi="Arial"/>
          <w:sz w:val="18"/>
          <w:szCs w:val="18"/>
          <w:color w:val="auto"/>
        </w:rPr>
        <w:t>Payment of offering costs by issuance of note and related party note</w:t>
      </w:r>
      <w:r>
        <w:rPr>
          <w:sz w:val="20"/>
          <w:szCs w:val="20"/>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24"/>
          <w:szCs w:val="24"/>
          <w:color w:val="auto"/>
          <w:vertAlign w:val="subscript"/>
        </w:rPr>
        <w:t>158,957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36195</wp:posOffset>
            </wp:positionV>
            <wp:extent cx="6604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0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3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At December 31, 2015, the Company had not yet commenced any operations. All activity through December 31, 2015 relates to the Company’s formation and the proposed public offering described below.</w:t>
      </w:r>
    </w:p>
    <w:p>
      <w:pPr>
        <w:spacing w:after="0" w:line="106"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interest income earned on the funds in the Trust Account may be released to the Company to pay its income or other tax obligations.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7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w:t>
      </w:r>
    </w:p>
    <w:p>
      <w:pPr>
        <w:spacing w:after="0" w:line="7" w:lineRule="exact"/>
        <w:rPr>
          <w:sz w:val="20"/>
          <w:szCs w:val="20"/>
          <w:color w:val="auto"/>
        </w:rPr>
      </w:pPr>
    </w:p>
    <w:p>
      <w:pPr>
        <w:ind w:left="460" w:right="459" w:firstLine="2"/>
        <w:spacing w:after="0" w:line="261" w:lineRule="auto"/>
        <w:tabs>
          <w:tab w:leader="none" w:pos="7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to convert such respective shares into a pro rata portion of the Trust Account or seek to sell their shares in connection with any tender offer the Company engages in.</w:t>
      </w:r>
    </w:p>
    <w:p>
      <w:pPr>
        <w:spacing w:after="0" w:line="157"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to be entered into between the Company and American Stock Transfer &amp; Trust Company, LLC,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36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December 31, 2015, the Company had $5,000 in cash and a working capital deficit of $164,183.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December 31,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7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34"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April 23, 2015 (inception) through December 31, 2015. Management is currently unaware of any issues under review that could result in significant payments, accruals or material deviations from its 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for the period ended December 31,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September 14, 2016, the date which these financial statements were available to be issued.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 Related Party</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an $114,183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w:t>
      </w:r>
    </w:p>
    <w:p>
      <w:pPr>
        <w:spacing w:after="0" w:line="20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Holdings I LLC, an entity controlled by the Company’s insiders, which entitles it to the beneficial interest in 75,000 insider shares.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 have committed to purchase an aggregate of 402,500 Private Units at $10.00 per Private Unit. The Initial Stockholder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the insider shares and provided the transferees agree to the same terms and restrictions as the permitted transferees of the insider shares must agree to, each as described above) until the completion of an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six months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$4,530,000 (or $9.06 per unit) using a Black-Scholes option-pricing model. The fair value of the unit purchase option to be granted to the placement agent is estimated as of the date of grant using the following assumptions: (1) expected volatility of 152%,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9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4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up to 21 months from the closing of this offering if the Company extends the period of time to consummate a business combination, as described in Note 1),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 Purchase Option</w:t>
      </w:r>
    </w:p>
    <w:p>
      <w:pPr>
        <w:spacing w:after="0" w:line="22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Subsequent to December 31, 2015, on September 13, 2016, the Company and underwriter agreed to reduce the maximum number of units available for the underwriter to purchase under the previously disclosed unit purchase option from 500,000 to 300,000. The Company estimates that this adjustment shall reduce the fair value of the unit purchase option from $4,540,000 to $2,718,000 (or $9.06 per unit) using a Black-Scholes option-pricing model.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166"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Assets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(unaudited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Current asset: 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Deferred offering costs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w w:val="90"/>
              </w:rPr>
              <w:t>Liabilities and Stockholders’ Equity</w:t>
            </w:r>
          </w:p>
        </w:tc>
        <w:tc>
          <w:tcPr>
            <w:tcW w:w="1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20" w:type="dxa"/>
            <w:vAlign w:val="bottom"/>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Note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2"/>
                <w:szCs w:val="22"/>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Note payable – related parties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680" w:type="dxa"/>
            <w:vAlign w:val="bottom"/>
            <w:gridSpan w:val="3"/>
          </w:tcPr>
          <w:p>
            <w:pPr>
              <w:ind w:left="180"/>
              <w:spacing w:after="0"/>
              <w:rPr>
                <w:sz w:val="20"/>
                <w:szCs w:val="20"/>
                <w:color w:val="auto"/>
              </w:rPr>
            </w:pPr>
            <w:r>
              <w:rPr>
                <w:rFonts w:ascii="Arial" w:cs="Arial" w:eastAsia="Arial" w:hAnsi="Arial"/>
                <w:sz w:val="18"/>
                <w:szCs w:val="18"/>
                <w:color w:val="auto"/>
                <w:w w:val="90"/>
              </w:rPr>
              <w:t>Common stock, $0.001 par value; 50,000,000 shares authorized; 1,437,500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8"/>
                <w:szCs w:val="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23,562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(17,490)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24"/>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7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2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-3695700</wp:posOffset>
            </wp:positionV>
            <wp:extent cx="1492250" cy="3542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92250" cy="3542030"/>
                    </a:xfrm>
                    <a:prstGeom prst="rect">
                      <a:avLst/>
                    </a:prstGeom>
                    <a:noFill/>
                  </pic:spPr>
                </pic:pic>
              </a:graphicData>
            </a:graphic>
          </wp:anchor>
        </w:drawing>
      </w:r>
    </w:p>
    <w:p>
      <w:pPr>
        <w:ind w:left="780" w:right="459" w:hanging="318"/>
        <w:spacing w:after="0" w:line="261"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jc w:val="center"/>
        <w:ind w:left="310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left="3100"/>
        <w:spacing w:after="0"/>
        <w:rPr>
          <w:sz w:val="20"/>
          <w:szCs w:val="20"/>
          <w:color w:val="auto"/>
        </w:rPr>
      </w:pPr>
      <w:r>
        <w:rPr>
          <w:rFonts w:ascii="Arial" w:cs="Arial" w:eastAsia="Arial" w:hAnsi="Arial"/>
          <w:sz w:val="15"/>
          <w:szCs w:val="15"/>
          <w:b w:val="1"/>
          <w:bCs w:val="1"/>
          <w:color w:val="auto"/>
        </w:rPr>
        <w:t>Condensed Statements of Operations</w:t>
      </w:r>
    </w:p>
    <w:p>
      <w:pPr>
        <w:spacing w:after="0" w:line="44"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Formation and operating costs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316" w:lineRule="exact"/>
        <w:rPr>
          <w:sz w:val="20"/>
          <w:szCs w:val="20"/>
          <w:color w:val="auto"/>
        </w:rPr>
      </w:pPr>
    </w:p>
    <w:p>
      <w:pPr>
        <w:ind w:left="640" w:right="360" w:hanging="179"/>
        <w:spacing w:after="0" w:line="283" w:lineRule="auto"/>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0"/>
          <w:szCs w:val="30"/>
          <w:b w:val="1"/>
          <w:bCs w:val="1"/>
          <w:color w:val="auto"/>
          <w:vertAlign w:val="superscript"/>
        </w:rPr>
        <w:t>(1)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shares of common stock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For the</w:t>
            </w:r>
          </w:p>
        </w:tc>
        <w:tc>
          <w:tcPr>
            <w:tcW w:w="12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Six Months</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April 23, 2015</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(Inception) to</w:t>
            </w:r>
          </w:p>
        </w:tc>
      </w:tr>
      <w:tr>
        <w:trPr>
          <w:trHeight w:val="210"/>
        </w:trPr>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2016</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June 30, 2015</w:t>
            </w:r>
          </w:p>
        </w:tc>
      </w:tr>
      <w:tr>
        <w:trPr>
          <w:trHeight w:val="23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7,264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2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23"/>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-1328420</wp:posOffset>
            </wp:positionV>
            <wp:extent cx="1577975" cy="131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77975" cy="13119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40" w:space="280"/>
            <w:col w:w="2799"/>
          </w:cols>
          <w:pgMar w:left="1440" w:top="337" w:right="1440" w:bottom="1440" w:gutter="0" w:footer="0" w:header="0"/>
        </w:sectPr>
      </w:pPr>
    </w:p>
    <w:p>
      <w:pPr>
        <w:ind w:left="4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780" w:right="459" w:hanging="318"/>
        <w:spacing w:after="0" w:line="261"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 the Six</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Months</w:t>
            </w:r>
          </w:p>
        </w:tc>
        <w:tc>
          <w:tcPr>
            <w:tcW w:w="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April 23, 2015</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(Inception) to</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2016</w:t>
            </w:r>
          </w:p>
        </w:tc>
        <w:tc>
          <w:tcPr>
            <w:tcW w:w="2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2015</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Formation and organization costs paid by related parties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1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360" w:type="dxa"/>
            <w:vAlign w:val="bottom"/>
            <w:tcBorders>
              <w:bottom w:val="single" w:sz="8" w:color="auto"/>
            </w:tcBorders>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w w:val="92"/>
              </w:rPr>
              <w:t>Payment of deferred offering costs by issuance of notes and related party</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notes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83,957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180"/>
              <w:spacing w:after="0"/>
              <w:rPr>
                <w:sz w:val="20"/>
                <w:szCs w:val="20"/>
                <w:color w:val="auto"/>
              </w:rPr>
            </w:pPr>
            <w:r>
              <w:rPr>
                <w:rFonts w:ascii="Arial" w:cs="Arial" w:eastAsia="Arial" w:hAnsi="Arial"/>
                <w:sz w:val="18"/>
                <w:szCs w:val="18"/>
                <w:color w:val="auto"/>
              </w:rPr>
              <w:t>Payment of deferred offering costs by issuance of common stock</w:t>
            </w:r>
          </w:p>
        </w:tc>
        <w:tc>
          <w:tcPr>
            <w:tcW w:w="1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-2589530</wp:posOffset>
            </wp:positionV>
            <wp:extent cx="1492250" cy="257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92250" cy="257302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5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At June 30, 2016, the Company had not yet commenced any operations. All activity for the six months ended June 30, 2016 relates to the Company’s formation, proposed public offering (as described below) and general and administrative expenses.</w:t>
      </w:r>
    </w:p>
    <w:p>
      <w:pPr>
        <w:spacing w:after="0" w:line="14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stockholders (the “Initial Stockholders”).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interest income earned on the funds in the Trust Account may be released to the Company to pay its income or other tax obligations.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6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Stockholders will agree (i) to vote any of its respective shares, including the common shares sold to the Initial Stockholders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5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to be entered into between the Company and American Stock Transfer &amp; Trust Company, LLC,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36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June 30, 2016, the Company had $273 in cash and a working capital deficit of $186,447.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these interim financial statements. Operating results for the six months ended June 30, 2016 are not necessarily indicative of the results that may be expected for the year ending December 31, 2016 or any other period. The accompanying condensed financial statements should be read in conjunction with the Company’s audited financial statements and notes thereto for the year ended December 31, 2015 and the period then ended.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4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June 30, 2016,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additionally requires a valuation allowance to be established when it is more likely than not that all or a portion of deferred tax assets will not be realized.</w:t>
      </w:r>
    </w:p>
    <w:p>
      <w:pPr>
        <w:spacing w:after="0" w:line="14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3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January 1, 2016 through June 30, 2016. Management is currently unaware of any issues under review that could result in significant payments, accruals or material deviations from its 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as of June 30,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July 22, 2016, the date which these financial statements were available to be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Proposed Public Offering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 As of June 30, 2016 and December 31, 2015, deferred offering costs were $193,957 and $178,957,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1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 $131,720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18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In July 2016, the representative of the underwriters also purchased an interest in M SPAC Holdings I LLC, an entity controlled by the Company’s insiders, which entitles it to the beneficial interest in an aggregate of 48,184 insider shares.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18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Underwriting Agreement will grant Chardan Capital Markets, LLC a right of first refusal, for a period of thirty-six months from the earlier of (i) commencement of sales in the Offering, and (ii) termination of the Underwriting Agreement, to act as lead investment banker, lead book-runner, and/or lead placement agent with at least 33% of the economics, or 25% if three investment banks are involved in the transaction, for any public or private equity and debt offerings during such period.</w:t>
      </w:r>
    </w:p>
    <w:p>
      <w:pPr>
        <w:spacing w:after="0" w:line="16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Stockholders have committed to purchase an aggregate of 402,500 Private Units at $10.00 per Private Unit. The Initial Stockholders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87" w:orient="portrait"/>
          <w:cols w:equalWidth="0" w:num="1">
            <w:col w:w="9019"/>
          </w:cols>
          <w:pgMar w:left="1440" w:top="337" w:right="1440" w:bottom="0"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six months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$4,500,000 (or $9.00 per unit) using a Black-Scholes option-pricing model. The fair value of the unit purchase option to be granted to the placement agent is estimated as of the date of grant using the following assumptions: (1) expected volatility of 149%, (2) risk-free interest rate of 1.01%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8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Stockholders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is authorized issue 50,000,000 shares of common stock with a par value of $0.001 per share as of June 30, 2016. On September 8, 2016, the Company’s Board of Directors reduced the Company’s authorized shares of common stock to 30,000,000, effective upon filing of the Company’s amended and restated certificate of incorporation immediately prior to the Proposed Public Offering.</w:t>
      </w:r>
    </w:p>
    <w:p>
      <w:pPr>
        <w:spacing w:after="0" w:line="14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2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up to 21 months from the closing of this offering if the Company extends the period of time to consummate a business combination, as described in Note 1),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 Purchase Option</w:t>
      </w:r>
    </w:p>
    <w:p>
      <w:pPr>
        <w:spacing w:after="0" w:line="22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Subsequent to June 30, 2016, on September 13, 2016, the Company and underwriter agreed to reduce the maximum number of units available for the underwriter to purchase under the previously disclosed unit purchase option from 500,000 to 300,000. The Company estimates that this adjustment shall reduce the fair value of the unit purchase option from $4,500,000 to $2,700,000 (or $9.00 per unit) using a Black-Scholes option-pricing model.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775" w:gutter="0" w:footer="0" w:header="0"/>
        </w:sectPr>
      </w:pPr>
    </w:p>
    <w:bookmarkStart w:id="120" w:name="page121"/>
    <w:bookmarkEnd w:id="120"/>
    <w:p>
      <w:pPr>
        <w:jc w:val="both"/>
        <w:ind w:left="460" w:right="459"/>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131445</wp:posOffset>
            </wp:positionV>
            <wp:extent cx="514540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Until October 8, 2016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9"/>
          <w:szCs w:val="29"/>
          <w:b w:val="1"/>
          <w:bCs w:val="1"/>
          <w:color w:val="auto"/>
        </w:rPr>
        <w:t>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5460" w:type="dxa"/>
            <w:vAlign w:val="bottom"/>
          </w:tcPr>
          <w:p>
            <w:pPr>
              <w:jc w:val="center"/>
              <w:ind w:right="2581"/>
              <w:spacing w:after="0"/>
              <w:rPr>
                <w:sz w:val="20"/>
                <w:szCs w:val="20"/>
                <w:color w:val="auto"/>
              </w:rPr>
            </w:pPr>
            <w:r>
              <w:rPr>
                <w:rFonts w:ascii="Arial" w:cs="Arial" w:eastAsia="Arial" w:hAnsi="Arial"/>
                <w:sz w:val="18"/>
                <w:szCs w:val="18"/>
                <w:b w:val="1"/>
                <w:bCs w:val="1"/>
                <w:color w:val="auto"/>
                <w:w w:val="90"/>
              </w:rPr>
              <w:t>_____________</w:t>
            </w:r>
          </w:p>
        </w:tc>
      </w:tr>
      <w:tr>
        <w:trPr>
          <w:trHeight w:val="456"/>
        </w:trPr>
        <w:tc>
          <w:tcPr>
            <w:tcW w:w="2660" w:type="dxa"/>
            <w:vAlign w:val="bottom"/>
          </w:tcPr>
          <w:p>
            <w:pPr>
              <w:spacing w:after="0"/>
              <w:rPr>
                <w:sz w:val="24"/>
                <w:szCs w:val="24"/>
                <w:color w:val="auto"/>
              </w:rPr>
            </w:pPr>
          </w:p>
        </w:tc>
        <w:tc>
          <w:tcPr>
            <w:tcW w:w="5460" w:type="dxa"/>
            <w:vAlign w:val="bottom"/>
          </w:tcPr>
          <w:p>
            <w:pPr>
              <w:jc w:val="center"/>
              <w:ind w:right="2581"/>
              <w:spacing w:after="0"/>
              <w:rPr>
                <w:sz w:val="20"/>
                <w:szCs w:val="20"/>
                <w:color w:val="auto"/>
              </w:rPr>
            </w:pPr>
            <w:r>
              <w:rPr>
                <w:rFonts w:ascii="Arial" w:cs="Arial" w:eastAsia="Arial" w:hAnsi="Arial"/>
                <w:sz w:val="22"/>
                <w:szCs w:val="22"/>
                <w:b w:val="1"/>
                <w:bCs w:val="1"/>
                <w:color w:val="auto"/>
                <w:w w:val="93"/>
              </w:rPr>
              <w:t>PROSPECTUS</w:t>
            </w:r>
          </w:p>
        </w:tc>
      </w:tr>
      <w:tr>
        <w:trPr>
          <w:trHeight w:val="260"/>
        </w:trPr>
        <w:tc>
          <w:tcPr>
            <w:tcW w:w="2660" w:type="dxa"/>
            <w:vAlign w:val="bottom"/>
          </w:tcPr>
          <w:p>
            <w:pPr>
              <w:spacing w:after="0"/>
              <w:rPr>
                <w:sz w:val="22"/>
                <w:szCs w:val="22"/>
                <w:color w:val="auto"/>
              </w:rPr>
            </w:pPr>
          </w:p>
        </w:tc>
        <w:tc>
          <w:tcPr>
            <w:tcW w:w="5460" w:type="dxa"/>
            <w:vAlign w:val="bottom"/>
          </w:tcPr>
          <w:p>
            <w:pPr>
              <w:jc w:val="center"/>
              <w:ind w:right="2581"/>
              <w:spacing w:after="0"/>
              <w:rPr>
                <w:sz w:val="20"/>
                <w:szCs w:val="20"/>
                <w:color w:val="auto"/>
              </w:rPr>
            </w:pPr>
            <w:r>
              <w:rPr>
                <w:rFonts w:ascii="Arial" w:cs="Arial" w:eastAsia="Arial" w:hAnsi="Arial"/>
                <w:sz w:val="18"/>
                <w:szCs w:val="18"/>
                <w:b w:val="1"/>
                <w:bCs w:val="1"/>
                <w:color w:val="auto"/>
                <w:w w:val="90"/>
              </w:rPr>
              <w:t>_____________</w:t>
            </w:r>
          </w:p>
        </w:tc>
      </w:tr>
      <w:tr>
        <w:trPr>
          <w:trHeight w:val="386"/>
        </w:trPr>
        <w:tc>
          <w:tcPr>
            <w:tcW w:w="2660" w:type="dxa"/>
            <w:vAlign w:val="bottom"/>
          </w:tcPr>
          <w:p>
            <w:pPr>
              <w:spacing w:after="0"/>
              <w:rPr>
                <w:sz w:val="20"/>
                <w:szCs w:val="20"/>
                <w:color w:val="auto"/>
              </w:rPr>
            </w:pPr>
            <w:r>
              <w:rPr>
                <w:rFonts w:ascii="Arial" w:cs="Arial" w:eastAsia="Arial" w:hAnsi="Arial"/>
                <w:sz w:val="16"/>
                <w:szCs w:val="16"/>
                <w:b w:val="1"/>
                <w:bCs w:val="1"/>
                <w:i w:val="1"/>
                <w:iCs w:val="1"/>
                <w:color w:val="auto"/>
              </w:rPr>
              <w:t>Sole Book-Running Manager</w:t>
            </w:r>
          </w:p>
        </w:tc>
        <w:tc>
          <w:tcPr>
            <w:tcW w:w="54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Co-Manager</w:t>
            </w:r>
          </w:p>
        </w:tc>
      </w:tr>
      <w:tr>
        <w:trPr>
          <w:trHeight w:val="352"/>
        </w:trPr>
        <w:tc>
          <w:tcPr>
            <w:tcW w:w="2660" w:type="dxa"/>
            <w:vAlign w:val="bottom"/>
          </w:tcPr>
          <w:p>
            <w:pPr>
              <w:spacing w:after="0"/>
              <w:rPr>
                <w:sz w:val="20"/>
                <w:szCs w:val="20"/>
                <w:color w:val="auto"/>
              </w:rPr>
            </w:pPr>
            <w:r>
              <w:rPr>
                <w:rFonts w:ascii="Arial" w:cs="Arial" w:eastAsia="Arial" w:hAnsi="Arial"/>
                <w:sz w:val="25"/>
                <w:szCs w:val="25"/>
                <w:b w:val="1"/>
                <w:bCs w:val="1"/>
                <w:color w:val="auto"/>
              </w:rPr>
              <w:t>Chardan</w:t>
            </w:r>
          </w:p>
        </w:tc>
        <w:tc>
          <w:tcPr>
            <w:tcW w:w="5460" w:type="dxa"/>
            <w:vAlign w:val="bottom"/>
          </w:tcPr>
          <w:p>
            <w:pPr>
              <w:jc w:val="right"/>
              <w:spacing w:after="0"/>
              <w:rPr>
                <w:sz w:val="20"/>
                <w:szCs w:val="20"/>
                <w:color w:val="auto"/>
              </w:rPr>
            </w:pPr>
            <w:r>
              <w:rPr>
                <w:rFonts w:ascii="Arial" w:cs="Arial" w:eastAsia="Arial" w:hAnsi="Arial"/>
                <w:sz w:val="25"/>
                <w:szCs w:val="25"/>
                <w:b w:val="1"/>
                <w:bCs w:val="1"/>
                <w:color w:val="auto"/>
              </w:rPr>
              <w:t>Maxim Group LLC</w:t>
            </w:r>
          </w:p>
        </w:tc>
      </w:tr>
      <w:tr>
        <w:trPr>
          <w:trHeight w:val="431"/>
        </w:trPr>
        <w:tc>
          <w:tcPr>
            <w:tcW w:w="2660" w:type="dxa"/>
            <w:vAlign w:val="bottom"/>
          </w:tcPr>
          <w:p>
            <w:pPr>
              <w:spacing w:after="0"/>
              <w:rPr>
                <w:sz w:val="24"/>
                <w:szCs w:val="24"/>
                <w:color w:val="auto"/>
              </w:rPr>
            </w:pPr>
          </w:p>
        </w:tc>
        <w:tc>
          <w:tcPr>
            <w:tcW w:w="54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Co-Manager</w:t>
            </w:r>
          </w:p>
        </w:tc>
      </w:tr>
      <w:tr>
        <w:trPr>
          <w:trHeight w:val="352"/>
        </w:trPr>
        <w:tc>
          <w:tcPr>
            <w:tcW w:w="2660" w:type="dxa"/>
            <w:vAlign w:val="bottom"/>
          </w:tcPr>
          <w:p>
            <w:pPr>
              <w:spacing w:after="0"/>
              <w:rPr>
                <w:sz w:val="24"/>
                <w:szCs w:val="24"/>
                <w:color w:val="auto"/>
              </w:rPr>
            </w:pPr>
          </w:p>
        </w:tc>
        <w:tc>
          <w:tcPr>
            <w:tcW w:w="5460" w:type="dxa"/>
            <w:vAlign w:val="bottom"/>
          </w:tcPr>
          <w:p>
            <w:pPr>
              <w:jc w:val="right"/>
              <w:spacing w:after="0"/>
              <w:rPr>
                <w:sz w:val="20"/>
                <w:szCs w:val="20"/>
                <w:color w:val="auto"/>
              </w:rPr>
            </w:pPr>
            <w:r>
              <w:rPr>
                <w:rFonts w:ascii="Arial" w:cs="Arial" w:eastAsia="Arial" w:hAnsi="Arial"/>
                <w:sz w:val="25"/>
                <w:szCs w:val="25"/>
                <w:b w:val="1"/>
                <w:bCs w:val="1"/>
                <w:color w:val="auto"/>
              </w:rPr>
              <w:t>I-Bankers Securities, Inc.</w:t>
            </w:r>
          </w:p>
        </w:tc>
      </w:tr>
      <w:tr>
        <w:trPr>
          <w:trHeight w:val="383"/>
        </w:trPr>
        <w:tc>
          <w:tcPr>
            <w:tcW w:w="2660" w:type="dxa"/>
            <w:vAlign w:val="bottom"/>
          </w:tcPr>
          <w:p>
            <w:pPr>
              <w:spacing w:after="0"/>
              <w:rPr>
                <w:sz w:val="24"/>
                <w:szCs w:val="24"/>
                <w:color w:val="auto"/>
              </w:rPr>
            </w:pPr>
          </w:p>
        </w:tc>
        <w:tc>
          <w:tcPr>
            <w:tcW w:w="5460" w:type="dxa"/>
            <w:vAlign w:val="bottom"/>
          </w:tcPr>
          <w:p>
            <w:pPr>
              <w:jc w:val="center"/>
              <w:ind w:right="2561"/>
              <w:spacing w:after="0"/>
              <w:rPr>
                <w:sz w:val="20"/>
                <w:szCs w:val="20"/>
                <w:color w:val="auto"/>
              </w:rPr>
            </w:pPr>
            <w:r>
              <w:rPr>
                <w:rFonts w:ascii="Arial" w:cs="Arial" w:eastAsia="Arial" w:hAnsi="Arial"/>
                <w:sz w:val="18"/>
                <w:szCs w:val="18"/>
                <w:color w:val="auto"/>
                <w:w w:val="88"/>
              </w:rPr>
              <w:t>September 13, 2016</w:t>
            </w:r>
          </w:p>
        </w:tc>
      </w:tr>
      <w:tr>
        <w:trPr>
          <w:trHeight w:val="574"/>
        </w:trPr>
        <w:tc>
          <w:tcPr>
            <w:tcW w:w="26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48"/>
        </w:trPr>
        <w:tc>
          <w:tcPr>
            <w:tcW w:w="266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9019"/>
      </w:cols>
      <w:pgMar w:left="1440" w:top="9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1)"/>
      <w:numFmt w:val="lowerRoman"/>
      <w:start w:val="10"/>
    </w:lvl>
  </w:abstractNum>
  <w:abstractNum w:abstractNumId="5">
    <w:nsid w:val="3804823E"/>
    <w:multiLevelType w:val="hybridMultilevel"/>
    <w:lvl w:ilvl="0">
      <w:lvlJc w:val="left"/>
      <w:lvlText w:val="(%1)"/>
      <w:numFmt w:val="lowerRoman"/>
      <w:start w:val="2"/>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lowerRoman"/>
      <w:start w:val="2"/>
    </w:lvl>
    <w:lvl w:ilvl="1">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4"/>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amp;"/>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lowerRoman"/>
      <w:start w:val="2"/>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2020-01-21T08:31:49Z</dcterms:created>
  <dcterms:modified xsi:type="dcterms:W3CDTF">2020-01-21T08:31:49Z</dcterms:modified>
</cp:coreProperties>
</file>