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tm2429676d1_s3.htm"/>
      <w:bookmarkStart w:id="1" w:name="kstm2429676d1_s3"/>
      <w:bookmarkEnd w:id="0"/>
      <w:bookmarkEnd w:id="1"/>
      <w:r>
        <w:rPr>
          <w:rFonts w:ascii="Times New Roman;Times;Serif" w:hAnsi="Times New Roman;Times;Serif"/>
          <w:b/>
          <w:i w:val="false"/>
          <w:caps w:val="false"/>
          <w:smallCaps w:val="false"/>
          <w:sz w:val="20"/>
        </w:rPr>
        <w:t>As filed with the Securities and Exchange Commission on November 27, 2024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S-3</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Priority Technology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28" w:type="dxa"/>
          <w:right w:w="0" w:type="dxa"/>
        </w:tblCellMar>
      </w:tblPr>
      <w:tblGrid>
        <w:gridCol w:w="2495"/>
        <w:gridCol w:w="60"/>
        <w:gridCol w:w="60"/>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47-4257046</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2001 Westside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155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Alpharetta, GA 30004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 952-2107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Bradley J. Miller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Counsel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2001 Westside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155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Alpharetta, GA 30004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 952-2107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James W. Stevens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Troutman Pepper Hamilton Sanders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 Peachtree St. 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3000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Atlanta, GA 30308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 885-3000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time to time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Neither we nor the selling stockholders may sell these securities until the registration statement filed with the Securities and Exchange Commission is effective. This prospectus is not an offer to sell these securities and is not soliciting an offer to buy these securities in any jurisdiction where an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November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24175"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4175" cy="923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Priority Technology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$100,000,000 of Common Stock</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Up to 13,418,109 Shares of Common Stock from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identified herein may offer to sell shares of our common stock, par value $0.001 per share, from time to time in amounts, at prices and on terms that will be determined at the time of any such offering as described under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some of the general terms that may apply to these securities. Each time that we or the selling stockholders offer any securities using this prospectus, we will provide a prospectus supplement and attach it to this prospectus. The prospectus supplement or a free writing prospectus will contain more specific information about the offering and the securities being offered, including identifying the selling stockholders as well as the specific amounts, prices and terms of the securities being offered. The prospectus supplement or free writing prospectus may also add, update or change information contained in this prospectus. This prospectus may not be used to sell securities unless accompanied by a prospectus supplement describing the method and terms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stockholders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options to purchase additional shares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and traded on the NASDAQ Capital Market under the symbol “PRTH.” On November 26, 2024, the last reported sales price for our common stock was $10.02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prospectus and any applicable prospectus supplement and free writing prospectus, together with any documents we incorporate by reference, before you invest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addition, any securities covered by this prospectus which qualify for sale pursuant to Rule 144 of the Securities Act of 1933 may be sold under Rule 144 rather than pursuant to this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carefully consider the risk factors referred to in the section titled “</w:t>
      </w:r>
      <w:r>
        <w:rPr>
          <w:rFonts w:ascii="Times New Roman;Times;Serif" w:hAnsi="Times New Roman;Times;Serif"/>
          <w:b/>
          <w:i w:val="false"/>
          <w:caps w:val="false"/>
          <w:smallCaps w:val="false"/>
          <w:sz w:val="20"/>
          <w:u w:val="single"/>
        </w:rPr>
        <w:t>Risk Factors</w:t>
      </w:r>
      <w:r>
        <w:rPr>
          <w:rFonts w:ascii="Times New Roman;Times;Serif" w:hAnsi="Times New Roman;Times;Serif"/>
          <w:b/>
          <w:i w:val="false"/>
          <w:caps w:val="false"/>
          <w:smallCaps w:val="false"/>
          <w:sz w:val="20"/>
        </w:rPr>
        <w:t>” beginning on page 6 of this prospectus, in any prospectus supplement and free writing prospectus, together with the documents incorporated or deemed incorporated by reference before you make your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5105"/>
        <w:gridCol w:w="455"/>
      </w:tblGrid>
      <w:tr>
        <w:trPr/>
        <w:tc>
          <w:tcPr>
            <w:tcW w:w="5105"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51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455" w:type="dxa"/>
            <w:tcBorders/>
            <w:shd w:fill="CCEEFF" w:val="clear"/>
            <w:vAlign w:val="center"/>
          </w:tcPr>
          <w:p>
            <w:pPr>
              <w:pStyle w:val="TableContents"/>
              <w:bidi w:val="0"/>
              <w:spacing w:before="0" w:after="283"/>
              <w:jc w:val="right"/>
              <w:rPr/>
            </w:pPr>
            <w:hyperlink w:anchor="a_001">
              <w:r>
                <w:rPr>
                  <w:rStyle w:val="InternetLink"/>
                  <w:rFonts w:ascii="Times New Roman;Times;Serif" w:hAnsi="Times New Roman;Times;Serif"/>
                  <w:sz w:val="20"/>
                </w:rPr>
                <w:t>1</w:t>
              </w:r>
            </w:hyperlink>
          </w:p>
        </w:tc>
      </w:tr>
      <w:tr>
        <w:trPr/>
        <w:tc>
          <w:tcPr>
            <w:tcW w:w="51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Cautionary Statement Regarding Forward-Looking Statements</w:t>
              </w:r>
            </w:hyperlink>
          </w:p>
        </w:tc>
        <w:tc>
          <w:tcPr>
            <w:tcW w:w="455" w:type="dxa"/>
            <w:tcBorders/>
            <w:shd w:fill="FFFFFF" w:val="clear"/>
            <w:vAlign w:val="center"/>
          </w:tcPr>
          <w:p>
            <w:pPr>
              <w:pStyle w:val="TableContents"/>
              <w:bidi w:val="0"/>
              <w:spacing w:before="0" w:after="283"/>
              <w:jc w:val="right"/>
              <w:rPr/>
            </w:pPr>
            <w:hyperlink w:anchor="a_002">
              <w:r>
                <w:rPr>
                  <w:rStyle w:val="InternetLink"/>
                  <w:rFonts w:ascii="Times New Roman;Times;Serif" w:hAnsi="Times New Roman;Times;Serif"/>
                  <w:sz w:val="20"/>
                </w:rPr>
                <w:t>2</w:t>
              </w:r>
            </w:hyperlink>
          </w:p>
        </w:tc>
      </w:tr>
      <w:tr>
        <w:trPr/>
        <w:tc>
          <w:tcPr>
            <w:tcW w:w="51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Our Company</w:t>
              </w:r>
            </w:hyperlink>
          </w:p>
        </w:tc>
        <w:tc>
          <w:tcPr>
            <w:tcW w:w="455" w:type="dxa"/>
            <w:tcBorders/>
            <w:shd w:fill="CCEEFF" w:val="clear"/>
            <w:vAlign w:val="center"/>
          </w:tcPr>
          <w:p>
            <w:pPr>
              <w:pStyle w:val="TableContents"/>
              <w:bidi w:val="0"/>
              <w:spacing w:before="0" w:after="283"/>
              <w:jc w:val="right"/>
              <w:rPr/>
            </w:pPr>
            <w:hyperlink w:anchor="a_003">
              <w:r>
                <w:rPr>
                  <w:rStyle w:val="InternetLink"/>
                  <w:rFonts w:ascii="Times New Roman;Times;Serif" w:hAnsi="Times New Roman;Times;Serif"/>
                  <w:sz w:val="20"/>
                </w:rPr>
                <w:t>3</w:t>
              </w:r>
            </w:hyperlink>
          </w:p>
        </w:tc>
      </w:tr>
      <w:tr>
        <w:trPr/>
        <w:tc>
          <w:tcPr>
            <w:tcW w:w="51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Risk Factors</w:t>
              </w:r>
            </w:hyperlink>
          </w:p>
        </w:tc>
        <w:tc>
          <w:tcPr>
            <w:tcW w:w="455" w:type="dxa"/>
            <w:tcBorders/>
            <w:shd w:fill="FFFFFF" w:val="clear"/>
            <w:vAlign w:val="center"/>
          </w:tcPr>
          <w:p>
            <w:pPr>
              <w:pStyle w:val="TableContents"/>
              <w:bidi w:val="0"/>
              <w:spacing w:before="0" w:after="283"/>
              <w:jc w:val="right"/>
              <w:rPr/>
            </w:pPr>
            <w:hyperlink w:anchor="a_004">
              <w:r>
                <w:rPr>
                  <w:rStyle w:val="InternetLink"/>
                  <w:sz w:val="20"/>
                </w:rPr>
                <w:t>6</w:t>
              </w:r>
            </w:hyperlink>
          </w:p>
        </w:tc>
      </w:tr>
      <w:tr>
        <w:trPr/>
        <w:tc>
          <w:tcPr>
            <w:tcW w:w="51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Use of Proceeds</w:t>
              </w:r>
            </w:hyperlink>
          </w:p>
        </w:tc>
        <w:tc>
          <w:tcPr>
            <w:tcW w:w="455" w:type="dxa"/>
            <w:tcBorders/>
            <w:shd w:fill="CCEEFF" w:val="clear"/>
            <w:vAlign w:val="center"/>
          </w:tcPr>
          <w:p>
            <w:pPr>
              <w:pStyle w:val="TableContents"/>
              <w:bidi w:val="0"/>
              <w:spacing w:before="0" w:after="283"/>
              <w:jc w:val="right"/>
              <w:rPr/>
            </w:pPr>
            <w:hyperlink w:anchor="a_005">
              <w:r>
                <w:rPr>
                  <w:rStyle w:val="InternetLink"/>
                  <w:rFonts w:ascii="Times New Roman;Times;Serif" w:hAnsi="Times New Roman;Times;Serif"/>
                  <w:sz w:val="20"/>
                </w:rPr>
                <w:t>7</w:t>
              </w:r>
            </w:hyperlink>
          </w:p>
        </w:tc>
      </w:tr>
      <w:tr>
        <w:trPr/>
        <w:tc>
          <w:tcPr>
            <w:tcW w:w="51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Selling Stockholders</w:t>
              </w:r>
            </w:hyperlink>
          </w:p>
        </w:tc>
        <w:tc>
          <w:tcPr>
            <w:tcW w:w="455" w:type="dxa"/>
            <w:tcBorders/>
            <w:shd w:fill="FFFFFF" w:val="clear"/>
            <w:vAlign w:val="center"/>
          </w:tcPr>
          <w:p>
            <w:pPr>
              <w:pStyle w:val="TableContents"/>
              <w:bidi w:val="0"/>
              <w:spacing w:before="0" w:after="283"/>
              <w:jc w:val="right"/>
              <w:rPr/>
            </w:pPr>
            <w:hyperlink w:anchor="a_006">
              <w:r>
                <w:rPr>
                  <w:rStyle w:val="InternetLink"/>
                  <w:rFonts w:ascii="Times New Roman;Times;Serif" w:hAnsi="Times New Roman;Times;Serif"/>
                  <w:sz w:val="20"/>
                </w:rPr>
                <w:t>8</w:t>
              </w:r>
            </w:hyperlink>
          </w:p>
        </w:tc>
      </w:tr>
      <w:tr>
        <w:trPr/>
        <w:tc>
          <w:tcPr>
            <w:tcW w:w="51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Capital Stock</w:t>
              </w:r>
            </w:hyperlink>
          </w:p>
        </w:tc>
        <w:tc>
          <w:tcPr>
            <w:tcW w:w="455" w:type="dxa"/>
            <w:tcBorders/>
            <w:shd w:fill="CCEEFF" w:val="clear"/>
            <w:vAlign w:val="center"/>
          </w:tcPr>
          <w:p>
            <w:pPr>
              <w:pStyle w:val="TableContents"/>
              <w:bidi w:val="0"/>
              <w:spacing w:before="0" w:after="283"/>
              <w:jc w:val="right"/>
              <w:rPr/>
            </w:pPr>
            <w:hyperlink w:anchor="a_007">
              <w:r>
                <w:rPr>
                  <w:rStyle w:val="InternetLink"/>
                  <w:rFonts w:ascii="Times New Roman;Times;Serif" w:hAnsi="Times New Roman;Times;Serif"/>
                  <w:sz w:val="20"/>
                </w:rPr>
                <w:t>9</w:t>
              </w:r>
            </w:hyperlink>
          </w:p>
        </w:tc>
      </w:tr>
      <w:tr>
        <w:trPr/>
        <w:tc>
          <w:tcPr>
            <w:tcW w:w="51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Plan of Distribution</w:t>
              </w:r>
            </w:hyperlink>
          </w:p>
        </w:tc>
        <w:tc>
          <w:tcPr>
            <w:tcW w:w="455" w:type="dxa"/>
            <w:tcBorders/>
            <w:shd w:fill="FFFFFF" w:val="clear"/>
            <w:vAlign w:val="center"/>
          </w:tcPr>
          <w:p>
            <w:pPr>
              <w:pStyle w:val="TableContents"/>
              <w:bidi w:val="0"/>
              <w:spacing w:before="0" w:after="283"/>
              <w:jc w:val="right"/>
              <w:rPr/>
            </w:pPr>
            <w:hyperlink w:anchor="a_008">
              <w:r>
                <w:rPr>
                  <w:rStyle w:val="InternetLink"/>
                  <w:rFonts w:ascii="Times New Roman;Times;Serif" w:hAnsi="Times New Roman;Times;Serif"/>
                  <w:sz w:val="20"/>
                </w:rPr>
                <w:t>13</w:t>
              </w:r>
            </w:hyperlink>
          </w:p>
        </w:tc>
      </w:tr>
      <w:tr>
        <w:trPr/>
        <w:tc>
          <w:tcPr>
            <w:tcW w:w="51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right"/>
              <w:rPr/>
            </w:pPr>
            <w:hyperlink w:anchor="a_009">
              <w:r>
                <w:rPr>
                  <w:rStyle w:val="InternetLink"/>
                  <w:rFonts w:ascii="Times New Roman;Times;Serif" w:hAnsi="Times New Roman;Times;Serif"/>
                  <w:sz w:val="20"/>
                </w:rPr>
                <w:t>15</w:t>
              </w:r>
            </w:hyperlink>
          </w:p>
        </w:tc>
      </w:tr>
      <w:tr>
        <w:trPr/>
        <w:tc>
          <w:tcPr>
            <w:tcW w:w="51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Experts</w:t>
              </w:r>
            </w:hyperlink>
          </w:p>
        </w:tc>
        <w:tc>
          <w:tcPr>
            <w:tcW w:w="455" w:type="dxa"/>
            <w:tcBorders/>
            <w:shd w:fill="FFFFFF" w:val="clear"/>
            <w:vAlign w:val="center"/>
          </w:tcPr>
          <w:p>
            <w:pPr>
              <w:pStyle w:val="TableContents"/>
              <w:bidi w:val="0"/>
              <w:spacing w:before="0" w:after="283"/>
              <w:jc w:val="right"/>
              <w:rPr/>
            </w:pPr>
            <w:hyperlink w:anchor="a_010">
              <w:r>
                <w:rPr>
                  <w:rStyle w:val="InternetLink"/>
                  <w:rFonts w:ascii="Times New Roman;Times;Serif" w:hAnsi="Times New Roman;Times;Serif"/>
                  <w:sz w:val="20"/>
                </w:rPr>
                <w:t>16</w:t>
              </w:r>
            </w:hyperlink>
          </w:p>
        </w:tc>
      </w:tr>
      <w:tr>
        <w:trPr/>
        <w:tc>
          <w:tcPr>
            <w:tcW w:w="510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jc w:val="right"/>
              <w:rPr/>
            </w:pPr>
            <w:hyperlink w:anchor="a_012">
              <w:r>
                <w:rPr>
                  <w:rStyle w:val="InternetLink"/>
                  <w:rFonts w:ascii="Times New Roman;Times;Serif" w:hAnsi="Times New Roman;Times;Serif"/>
                  <w:sz w:val="20"/>
                </w:rPr>
                <w:t>17</w:t>
              </w:r>
            </w:hyperlink>
          </w:p>
        </w:tc>
      </w:tr>
      <w:tr>
        <w:trPr/>
        <w:tc>
          <w:tcPr>
            <w:tcW w:w="510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Information Incorporated By Reference</w:t>
              </w:r>
            </w:hyperlink>
          </w:p>
        </w:tc>
        <w:tc>
          <w:tcPr>
            <w:tcW w:w="455" w:type="dxa"/>
            <w:tcBorders/>
            <w:shd w:fill="FFFFFF" w:val="clear"/>
            <w:vAlign w:val="center"/>
          </w:tcPr>
          <w:p>
            <w:pPr>
              <w:pStyle w:val="TableContents"/>
              <w:bidi w:val="0"/>
              <w:spacing w:before="0" w:after="283"/>
              <w:jc w:val="right"/>
              <w:rPr/>
            </w:pPr>
            <w:hyperlink w:anchor="a_011">
              <w:r>
                <w:rPr>
                  <w:rStyle w:val="InternetLink"/>
                  <w:rFonts w:ascii="Times New Roman;Times;Serif" w:hAnsi="Times New Roman;Times;Serif"/>
                  <w:sz w:val="20"/>
                </w:rPr>
                <w:t>18</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under the Securities Act of 1933, as amended (the “Securities Act”), using a “shelf” registration process. Under this shelf registration process, we may, from time to time, offer and sell up to $100,000,000 in the aggregate of our common stock in one or more offerings. In addition, one or more selling stockholder may, from time to time, offer and sell up to 13,418,109 in the aggregate of shares of our common stock. This prospectus provides you with a general description of the securities that we or the selling stockholders may offer. Any prospectus supplement and any free writing prospectus may contain more specific information about the offering, including the specific amounts, prices and terms of the securities being offered. A prospectus supplement or free writing prospectus may also add, update, change or clarify information contained in or incorporated by reference into this prospectus. Any statement that we make in this prospectus will be modified or superseded by any inconsistent statement made by us in a prospectus supplement or free writing prospectus. If there is any inconsistency between the information in this prospectus and the information in the prospectus supplement or free writing prospectus, you should rely on the information in the prospectus supplement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the Securities and Exchange Commission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or free writing prospectus together with the additional information that is incorporated or deemed incorporated by reference in this prospectus as described under the heading “Information Incorporated by Reference” and any additional information described under the heading “Where You Can Find More Information” before making an investment in our securities.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described herein have been filed, or will be filed or incorporated by reference, as exhibits to the registration statement of which this prospectus is a part. The registration statement, including the exhibits and documents incorporated or deemed incorporated by reference in this prospectus can be read on the SEC website mentioned under the heading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context otherwise requires, references in this prospectus to the “Company,” “Priority,” “we,” “our,” “us” or like terms refer to Priority Technology Holdings, Inc. and its subsidiaries and predecessors.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delivery of this prospectus or any applicable prospectus supplement or free writing prospectus nor any sale made using this prospectus or any applicable prospectus supplement or free writing prospectus implies that there has been no change in our affairs or that the information contained in, or incorporated by reference in, this prospectus or in any applicable prospectus supplement or free writing prospectus is correct as of any date after their respective dates. You should not assume that the information contained in, or incorporated by reference in, this prospectus or any applicable prospectus supplement or any free writing prospectus prepared by us is accurate as of any date other than the respective dates thereof.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or incorporated by reference in this prospectus, a prospectus supplement or free writing prospectus. We have not authorized anyone to give you different information, and if you are given any information or representation about these matters that is not contained or incorporated by reference in this prospectus, a prospectus supplement or free writing prospectus, you must not rely on that information. This prospectus and any accompanying prospectus supplement or free writing prospectus do not constitute an offer to sell or the solicitation of an offer to buy any securities other than the registered securities to which they relate, nor do this prospectus and any accompanying prospectus supplement or free writing prospectus constitute an offer to sell or the solicitation of an offer to buy securities in any jurisdiction to any person to whom it is unlawful to make such offer or solicitation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trademarks, service marks and trade names of third parties appearing in this prospectus or incorporated by reference herein are the property of their respective owners. Our use or display of third parties’ trademarks, service marks, trade names or products in this prospectus and the documents incorporated by reference herein is not intended to, and does not imply, a relationship with, or endorsement or sponsorship by us. Solely for convenience, the trademarks, service marks and trade names referred to in this prospectus and the documents incorporated by reference herein may appear without the ®, ™ or </w:t>
      </w:r>
      <w:r>
        <w:rPr>
          <w:rFonts w:ascii="Times New Roman;Times;Serif" w:hAnsi="Times New Roman;Times;Serif"/>
          <w:b w:val="false"/>
          <w:i w:val="false"/>
          <w:caps w:val="false"/>
          <w:smallCaps w:val="false"/>
          <w:position w:val="7"/>
          <w:sz w:val="16"/>
          <w:sz w:val="20"/>
        </w:rPr>
        <w:t xml:space="preserve">SM </w:t>
      </w:r>
      <w:r>
        <w:rPr>
          <w:rFonts w:ascii="Times New Roman;Times;Serif" w:hAnsi="Times New Roman;Times;Serif"/>
          <w:b w:val="false"/>
          <w:i w:val="false"/>
          <w:caps w:val="false"/>
          <w:smallCaps w:val="false"/>
          <w:sz w:val="20"/>
        </w:rPr>
        <w:t>symbols, but such references are not intended to indicate, in any way, that we will not assert, to the fullest extent under applicable law, our rights or the right of the applicable licensor to these trademarks, service marks and trade 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made in this prospectus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prospectus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negative economic and political conditions that adversely affect the general economy, consumer confidence and consumer and commercial spending habits, which may, among other things, negatively impact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07"/>
        <w:gridCol w:w="9916"/>
      </w:tblGrid>
      <w:tr>
        <w:trPr/>
        <w:tc>
          <w:tcPr>
            <w:tcW w:w="8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16" w:type="dxa"/>
            <w:tcBorders/>
            <w:vAlign w:val="center"/>
          </w:tcPr>
          <w:p>
            <w:pPr>
              <w:pStyle w:val="TableContents"/>
              <w:bidi w:val="0"/>
              <w:spacing w:before="0" w:after="283"/>
              <w:jc w:val="left"/>
              <w:rPr/>
            </w:pPr>
            <w:r>
              <w:rPr/>
              <w:t>competition in the payment processing industry;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315"/>
        <w:gridCol w:w="9765"/>
      </w:tblGrid>
      <w:tr>
        <w:trPr/>
        <w:tc>
          <w:tcPr>
            <w:tcW w:w="1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65" w:type="dxa"/>
            <w:tcBorders/>
            <w:vAlign w:val="center"/>
          </w:tcPr>
          <w:p>
            <w:pPr>
              <w:pStyle w:val="TableContents"/>
              <w:bidi w:val="0"/>
              <w:spacing w:before="0" w:after="283"/>
              <w:jc w:val="left"/>
              <w:rPr/>
            </w:pPr>
            <w:r>
              <w:rPr/>
              <w:t>the use of distribution partners;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any unauthorized disclosures of merchant or cardholder data, whether through breach of our computer systems, computer viruses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28"/>
        <w:gridCol w:w="9887"/>
      </w:tblGrid>
      <w:tr>
        <w:trPr/>
        <w:tc>
          <w:tcPr>
            <w:tcW w:w="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87" w:type="dxa"/>
            <w:tcBorders/>
            <w:vAlign w:val="center"/>
          </w:tcPr>
          <w:p>
            <w:pPr>
              <w:pStyle w:val="TableContents"/>
              <w:bidi w:val="0"/>
              <w:spacing w:before="0" w:after="283"/>
              <w:jc w:val="left"/>
              <w:rPr/>
            </w:pPr>
            <w:r>
              <w:rPr/>
              <w:t>any breakdowns in our processing systems;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43"/>
        <w:gridCol w:w="10005"/>
      </w:tblGrid>
      <w:tr>
        <w:trPr/>
        <w:tc>
          <w:tcPr>
            <w:tcW w:w="5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5" w:type="dxa"/>
            <w:tcBorders/>
            <w:vAlign w:val="center"/>
          </w:tcPr>
          <w:p>
            <w:pPr>
              <w:pStyle w:val="TableContents"/>
              <w:bidi w:val="0"/>
              <w:spacing w:before="0" w:after="283"/>
              <w:jc w:val="left"/>
              <w:rPr/>
            </w:pPr>
            <w:r>
              <w:rPr/>
              <w:t>government regulation, including regulation of consumer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322"/>
        <w:gridCol w:w="9754"/>
      </w:tblGrid>
      <w:tr>
        <w:trPr/>
        <w:tc>
          <w:tcPr>
            <w:tcW w:w="1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54" w:type="dxa"/>
            <w:tcBorders/>
            <w:vAlign w:val="center"/>
          </w:tcPr>
          <w:p>
            <w:pPr>
              <w:pStyle w:val="TableContents"/>
              <w:bidi w:val="0"/>
              <w:spacing w:before="0" w:after="283"/>
              <w:jc w:val="left"/>
              <w:rPr/>
            </w:pPr>
            <w:r>
              <w:rPr/>
              <w:t>the use of third-party vendors;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48"/>
        <w:gridCol w:w="9998"/>
      </w:tblGrid>
      <w:tr>
        <w:trPr/>
        <w:tc>
          <w:tcPr>
            <w:tcW w:w="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8" w:type="dxa"/>
            <w:tcBorders/>
            <w:vAlign w:val="center"/>
          </w:tcPr>
          <w:p>
            <w:pPr>
              <w:pStyle w:val="TableContents"/>
              <w:bidi w:val="0"/>
              <w:spacing w:before="0" w:after="283"/>
              <w:jc w:val="left"/>
              <w:rPr/>
            </w:pPr>
            <w:r>
              <w:rPr/>
              <w:t>any changes in card association and debit network fees or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any failure to comply with the rules established by payment networks or standards established by third-party processors;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any proposed acquisitions or dispositions or any risks associated with completed acquisitions or dispositions;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other risks and uncertainties set forth in the “Item 1A - Risk Factors” section of our Annual Report on Form 10-K for the fiscal year ended December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is a solutions provider in electronic payments and Banking as a Service (“BaaS”) industry, operating at scale with over 1.1 million active customers across its small and medium business (“SMB”) merchant, business-to-business (“B2B”) and enterprise customers channels. Priority processes approximately $127 billion in annual volume and provides administration for over $1.1 billion in deposits. Priority’s purpose-built technology enables clients to collect, store, lend and send money while providing accounts payable (“AP”) payment applications and Priority Passport (“Passport”) financial tools that best optimize their cash flow and maximize working capital bolstered by our industry leading personalized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was established in 2005 and has grown from a founder-financed technology startup to become the 6th largest non-bank merchant acquirer in the U.S. by volume, according to the Nilson Report issued in March 2024. Since inception, we have built a native technology platform that provides all forms of payments (card acquiring and issuing, automated clearing house (“ACH”), check and wire) and embedded finance services that serve customers of any size. Priority maintains a global business platform with over 1,000 employees operating from its headquarters in Alpharetta, GA and regional offices in other locations, including New York, NY; Hicksville, NY; Chattanooga, TN; Raleigh, NC; Dallas, TX; San Francisco, CA; and Chandigarh,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delivers value to its partners by leveraging its payments and embedded finance technology to deliver solutions that power modern commerce for SMBs and enterprise software and business partners. We handle the complexities of payments and embedded finance to free our partners to focus on their core business objectives. Priority’s solutions are offered via Application Program Interface (“API”) or proprietary applications with nationwide money transmission licenses, providing end-to-end operational support including automated risk management and underwriting, full compliance and industry leading customer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has been underpinned by three key strengths: 1) market leading proprietary product platforms in SMB, B2B and Enterprise Payments verticals; 2) focused distribution engines dedicated to helping our partners monetize their merchant payment networks; and 3) a cost-efficient, agile payment and business processing infrastructure, purpose-built to support our partners in operating in these distinct market verticals.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Priority’s solutions are delivered via internally developed payment applications and services to customers in the following business segments: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SMB Acquiring Solutions: Provides full-service acquiring and payment-enabled solutions for B2C transactions, leveraging Priority’s proprietary software platform, distributed through ISO, direct sales and vertically focused Independent Software Vendors (“ISV”) channels.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B2B Payables: Provides market-leading AP automation solutions to corporations, software partners and industry leading financial institutions (including Citibank and Mastercard).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Enterprise Payments and BaaS: Provides embedded finance and BaaS solutions to customers to modernize legacy platforms and accelerate software partners’ strategies to monetize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53125" cy="3343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53125" cy="334327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MX product suite provides technology-enabled payment acceptance and business management capabilities to merchants, enterprises and our distribution partners. The MX product suite includes MX Connect and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SMB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suite encompasses a variety of proprietary and third-party product applications that merchants can adopt such as MX Insights, MX Storefront, MX Retail, MX Invoice, MX B2B and ACH.com, among others. This comprehensive suite of solutions enables merchants to 1) identify key consumer trends in their businesses; 2) quickly implement e-commerce or retail POS solutions; and 3) handle ACH payments. By empowering resellers to adopt a consultative selling approach and embedding our technology into the critical day-to-day workflows and operations of both merchants and resellers, we believe that we have established and maintained “sticky” relationships. We believe that our strong retention, coupled with consistent merchant onboarding, have resulted in strong processing volume and revenue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SMB offering, we have diversified our source of revenues through our growing presence in the B2B market. We provide automated AP offerings to our enterprise clients and financial institutions through our CPX platform. Our CPX platform offers clients a seamless bridge for buyer-to-supplier (payor-to-provider) payments by integrating directly to a buyer’s payment instruction file and parsing it for payment to suppliers via virtual card, purchase card, ACH +, dynamic discounting or check. Successful implementation of our AP automation solutions provides: 1) suppliers with the benefits of cash acceleration; 2) buyers with valuable rebate/discount revenue: and 3) the Company with stable sources of payment processing and other revenue. Additionally, we provide a suite of integrated AP automation solutions businesses to financial institutions and card networks such as Citibank, Mastercard and Visa, among others. Alongside CPX as part of the AP suite, Priority acquired the assets of Plastiq Inc. through its subsidiary Plastiq, Powered by Priority, LLC, a leading B2B payments company, in the third fiscal quarter of 2023, and has helped tens of thousands of businesses improve cash flow with instant access to working capital, while automating and enabling control over all aspects of accounts payable and receivable. The flagship product, Plastiq Pay, pioneered a way for businesses to pay suppliers by credit card regardless of acceptance as an alternative to expensive, scarce bank loan options. Plastiq Accept offers an alternative to expensive merchant services, enabling businesses to accept credit cards with no merchant fees and get paid across any customer touch point, including a website, invoice, checkout process, and in person via QR code. The Plastiq Connect API suite enables platforms, marketplaces, and enterprise resource planning, to expand B2B payment options for payables and receivables in their native customer experience while outsourcing payment execution, risk, and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Enterprise Payments segment provides embedded finance and BaaS solutions to customers that modernize legacy platforms and accelerate modern software partners looking to monetize payment components. We provide solutions for ISVs, third-party integrators, and merchants that allow for the leveraging of our core payments engine, our automated payables platform or our account ledgering capabilities all via API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primarily from payment processing transactions, and to a lesser extent, from monthly subscription services and other solutions provided to customers and interest income from the permissible investments of the deposits we hold. Payment processing fees are generated from the ongoing sales of our merchants and are governed by multi-year merchant contracts. As a result, payment processing fees are highly recurring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Priority Technology Holdings, Inc. is incorporated under the laws of the State of Delaware. Our principal executive offices are located at 2001 Westside Parkway, Suite 155, Alpharetta, GA 30004. Our telephone number is (800) 935-5961 and our internet address is </w:t>
      </w:r>
      <w:r>
        <w:rPr>
          <w:rFonts w:ascii="Times New Roman;Times;Serif" w:hAnsi="Times New Roman;Times;Serif"/>
          <w:b w:val="false"/>
          <w:i w:val="false"/>
          <w:caps w:val="false"/>
          <w:smallCaps w:val="false"/>
          <w:sz w:val="20"/>
          <w:u w:val="single"/>
        </w:rPr>
        <w:t>www.prioritycommerce.com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Our website and the information contained thereon and accessible therefrom are not part of this prospectus and should not be relied upon by prospective investors in connection with any decision to purchase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each of which is incorporated herein by reference, and those risk factors that may be included in any applicable prospectus supplement or free writing prospectus that we provide you in connection with an offering of securities pursuant to this prospectus, together with all of the other information included in this prospectus, any prospectus supplement or free writing prospectus and the documents we incorporate by reference, in evaluating an investment in our securities. Additional risks and uncertainties not presently known to us, or that we currently see as immaterial, may also harm our business. Past financial performance may not be a reliable indicator of future performance, and historical trends should not be used to anticipate results or trends in future periods.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Please read “Cautionary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we receive from the sale of securities by us as set forth in the applicable prospectus supplement. Unless the applicable prospectus supplement provides otherwise, we will not receive any proceeds from sales of our securities by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November 26, 2024, with respect to the selling stockholders and the shares of our common stock beneficially owned by the selling stockholders that may from time to time be offered or sold pursuant to this prospectus. Selling stockholders as used herein includes donees, pledgees, transferees or other successors-in-interest selling shares of common stock or interests in shares of common stock received after the date of this prospectus from the selling stockholders as a gift, pledge, partnership or other distribution or other transfer, Beneficial ownership is determined in accordance with the rules of the SEC. The selling stockholders may offer all, some or none of their shares of common stock. We cannot advise you as to whether the selling stockholders will in fact sell any or all of such shares of common stock. Information concerning the selling stockholders may change from time to time and any such changed information will, if required, be set forth in a prospectus supplement or post-effective amendment to the registration statement of which this prospectus is a part, as may be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4"/>
        <w:gridCol w:w="60"/>
        <w:gridCol w:w="73"/>
        <w:gridCol w:w="1175"/>
        <w:gridCol w:w="73"/>
        <w:gridCol w:w="73"/>
        <w:gridCol w:w="174"/>
        <w:gridCol w:w="1116"/>
        <w:gridCol w:w="60"/>
        <w:gridCol w:w="60"/>
        <w:gridCol w:w="99"/>
        <w:gridCol w:w="1416"/>
        <w:gridCol w:w="60"/>
        <w:gridCol w:w="60"/>
        <w:gridCol w:w="86"/>
        <w:gridCol w:w="1388"/>
        <w:gridCol w:w="86"/>
        <w:gridCol w:w="86"/>
        <w:gridCol w:w="180"/>
        <w:gridCol w:w="1152"/>
        <w:gridCol w:w="84"/>
      </w:tblGrid>
      <w:tr>
        <w:trPr/>
        <w:tc>
          <w:tcPr>
            <w:tcW w:w="26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Shares of Common Stock </w:t>
              <w:br/>
              <w:t>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vAlign w:val="center"/>
          </w:tcPr>
          <w:p>
            <w:pPr>
              <w:pStyle w:val="TableContents"/>
              <w:bidi w:val="0"/>
              <w:spacing w:before="0" w:after="283"/>
              <w:jc w:val="center"/>
              <w:rPr>
                <w:b/>
                <w:sz w:val="20"/>
              </w:rPr>
            </w:pPr>
            <w:r>
              <w:rPr>
                <w:b/>
                <w:sz w:val="20"/>
              </w:rPr>
              <w:t>Shares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Shares of Common Stock </w:t>
              <w:br/>
              <w:t xml:space="preserve">Beneficially Owned After the </w:t>
              <w:br/>
              <w:t xml:space="preserve">Sale of the Maximum Number </w:t>
              <w:br/>
              <w:t>of Shares of Common Stock</w:t>
            </w:r>
          </w:p>
        </w:tc>
        <w:tc>
          <w:tcPr>
            <w:tcW w:w="84" w:type="dxa"/>
            <w:tcBorders/>
            <w:vAlign w:val="center"/>
          </w:tcPr>
          <w:p>
            <w:pPr>
              <w:pStyle w:val="TableContents"/>
              <w:bidi w:val="0"/>
              <w:spacing w:before="0" w:after="283"/>
              <w:jc w:val="left"/>
              <w:rPr/>
            </w:pPr>
            <w:r>
              <w:rPr/>
              <w:t> </w:t>
            </w:r>
          </w:p>
        </w:tc>
      </w:tr>
      <w:tr>
        <w:trPr/>
        <w:tc>
          <w:tcPr>
            <w:tcW w:w="2644"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 xml:space="preserve">Name and Address of Beneficial </w:t>
              <w:br/>
              <w:t>Owner</w:t>
            </w:r>
            <w:r>
              <w:rPr>
                <w:b/>
                <w:position w:val="7"/>
                <w:sz w:val="16"/>
                <w:sz w:val="20"/>
              </w:rPr>
              <w:t>(1)</w:t>
            </w:r>
          </w:p>
        </w:tc>
        <w:tc>
          <w:tcPr>
            <w:tcW w:w="60" w:type="dxa"/>
            <w:tcBorders/>
            <w:vAlign w:val="center"/>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Number of </w:t>
              <w:br/>
              <w:t>Shares</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Percentage of </w:t>
              <w:br/>
              <w:t>Common Stock</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Common Stock </w:t>
              <w:br/>
              <w:t xml:space="preserve">that May be </w:t>
              <w:br/>
              <w:t>Offered for Resale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Number of </w:t>
              <w:br/>
              <w:t>Shares</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Percentage of </w:t>
              <w:br/>
              <w:t xml:space="preserve">Common Stock </w:t>
              <w:br/>
              <w:t>Outstanding</w:t>
            </w:r>
          </w:p>
        </w:tc>
        <w:tc>
          <w:tcPr>
            <w:tcW w:w="84" w:type="dxa"/>
            <w:tcBorders/>
            <w:vAlign w:val="center"/>
          </w:tcPr>
          <w:p>
            <w:pPr>
              <w:pStyle w:val="TableContents"/>
              <w:bidi w:val="0"/>
              <w:spacing w:before="0" w:after="283"/>
              <w:ind w:left="0" w:right="0" w:hanging="200"/>
              <w:jc w:val="left"/>
              <w:rPr/>
            </w:pPr>
            <w:r>
              <w:rPr/>
              <w:t> </w:t>
            </w:r>
          </w:p>
        </w:tc>
      </w:tr>
      <w:tr>
        <w:trPr/>
        <w:tc>
          <w:tcPr>
            <w:tcW w:w="2644" w:type="dxa"/>
            <w:tcBorders/>
            <w:shd w:fill="CCEEFF" w:val="clear"/>
            <w:vAlign w:val="center"/>
          </w:tcPr>
          <w:p>
            <w:pPr>
              <w:pStyle w:val="TableContents"/>
              <w:bidi w:val="0"/>
              <w:spacing w:before="0" w:after="283"/>
              <w:jc w:val="left"/>
              <w:rPr>
                <w:sz w:val="20"/>
              </w:rPr>
            </w:pPr>
            <w:r>
              <w:rPr>
                <w:sz w:val="20"/>
              </w:rPr>
              <w:t>Trident Finxera Holdings LP</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sz w:val="20"/>
              </w:rPr>
            </w:pPr>
            <w:r>
              <w:rPr>
                <w:sz w:val="20"/>
              </w:rPr>
              <w:t>5,037,723</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sz w:val="20"/>
              </w:rPr>
            </w:pPr>
            <w:r>
              <w:rPr>
                <w:sz w:val="20"/>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sz w:val="20"/>
              </w:rPr>
            </w:pPr>
            <w:r>
              <w:rPr>
                <w:sz w:val="20"/>
              </w:rPr>
              <w:t>5,037,723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sz w:val="20"/>
              </w:rPr>
            </w:pPr>
            <w:r>
              <w:rPr>
                <w:sz w:val="20"/>
              </w:rPr>
              <w:t>0</w:t>
            </w:r>
          </w:p>
        </w:tc>
        <w:tc>
          <w:tcPr>
            <w:tcW w:w="86"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right"/>
              <w:rPr/>
            </w:pPr>
            <w:r>
              <w:rPr/>
              <w:t> </w:t>
            </w:r>
          </w:p>
        </w:tc>
        <w:tc>
          <w:tcPr>
            <w:tcW w:w="180" w:type="dxa"/>
            <w:tcBorders/>
            <w:shd w:fill="CCEEFF" w:val="clear"/>
            <w:vAlign w:val="center"/>
          </w:tcPr>
          <w:p>
            <w:pPr>
              <w:pStyle w:val="TableContents"/>
              <w:bidi w:val="0"/>
              <w:spacing w:before="0" w:after="283"/>
              <w:jc w:val="right"/>
              <w:rPr/>
            </w:pPr>
            <w:r>
              <w:rPr/>
              <w:t> </w:t>
            </w:r>
          </w:p>
        </w:tc>
        <w:tc>
          <w:tcPr>
            <w:tcW w:w="1152" w:type="dxa"/>
            <w:tcBorders/>
            <w:shd w:fill="CCEEFF" w:val="clear"/>
            <w:vAlign w:val="center"/>
          </w:tcPr>
          <w:p>
            <w:pPr>
              <w:pStyle w:val="TableContents"/>
              <w:bidi w:val="0"/>
              <w:spacing w:before="0" w:after="283"/>
              <w:jc w:val="right"/>
              <w:rPr>
                <w:sz w:val="20"/>
              </w:rPr>
            </w:pPr>
            <w:r>
              <w:rPr>
                <w:sz w:val="20"/>
              </w:rPr>
              <w:t>0%</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2644" w:type="dxa"/>
            <w:tcBorders/>
            <w:vAlign w:val="center"/>
          </w:tcPr>
          <w:p>
            <w:pPr>
              <w:pStyle w:val="TableContents"/>
              <w:bidi w:val="0"/>
              <w:spacing w:before="0" w:after="283"/>
              <w:jc w:val="left"/>
              <w:rPr>
                <w:sz w:val="20"/>
              </w:rPr>
            </w:pPr>
            <w:r>
              <w:rPr>
                <w:sz w:val="20"/>
              </w:rPr>
              <w:t>John Priore</w:t>
            </w:r>
            <w:r>
              <w:rPr>
                <w:position w:val="7"/>
                <w:sz w:val="16"/>
                <w:sz w:val="20"/>
              </w:rPr>
              <w:t>(3)</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sz w:val="20"/>
              </w:rPr>
            </w:pPr>
            <w:r>
              <w:rPr>
                <w:sz w:val="20"/>
              </w:rPr>
              <w:t>8,752,711</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sz w:val="20"/>
              </w:rPr>
            </w:pPr>
            <w:r>
              <w:rPr>
                <w:sz w:val="20"/>
              </w:rPr>
              <w:t>11.3%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416" w:type="dxa"/>
            <w:tcBorders/>
            <w:vAlign w:val="center"/>
          </w:tcPr>
          <w:p>
            <w:pPr>
              <w:pStyle w:val="TableContents"/>
              <w:bidi w:val="0"/>
              <w:spacing w:before="0" w:after="283"/>
              <w:jc w:val="right"/>
              <w:rPr>
                <w:sz w:val="20"/>
              </w:rPr>
            </w:pPr>
            <w:r>
              <w:rPr>
                <w:sz w:val="20"/>
              </w:rPr>
              <w:t>4,697,431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right"/>
              <w:rPr>
                <w:sz w:val="20"/>
              </w:rPr>
            </w:pPr>
            <w:r>
              <w:rPr>
                <w:sz w:val="20"/>
              </w:rPr>
              <w:t>4,055,280</w:t>
            </w:r>
          </w:p>
        </w:tc>
        <w:tc>
          <w:tcPr>
            <w:tcW w:w="86"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right"/>
              <w:rPr/>
            </w:pPr>
            <w:r>
              <w:rPr/>
              <w:t> </w:t>
            </w:r>
          </w:p>
        </w:tc>
        <w:tc>
          <w:tcPr>
            <w:tcW w:w="180" w:type="dxa"/>
            <w:tcBorders/>
            <w:vAlign w:val="center"/>
          </w:tcPr>
          <w:p>
            <w:pPr>
              <w:pStyle w:val="TableContents"/>
              <w:bidi w:val="0"/>
              <w:spacing w:before="0" w:after="283"/>
              <w:jc w:val="right"/>
              <w:rPr/>
            </w:pPr>
            <w:r>
              <w:rPr/>
              <w:t> </w:t>
            </w:r>
          </w:p>
        </w:tc>
        <w:tc>
          <w:tcPr>
            <w:tcW w:w="1152" w:type="dxa"/>
            <w:tcBorders/>
            <w:vAlign w:val="center"/>
          </w:tcPr>
          <w:p>
            <w:pPr>
              <w:pStyle w:val="TableContents"/>
              <w:bidi w:val="0"/>
              <w:spacing w:before="0" w:after="283"/>
              <w:jc w:val="right"/>
              <w:rPr>
                <w:sz w:val="20"/>
              </w:rPr>
            </w:pPr>
            <w:r>
              <w:rPr>
                <w:sz w:val="20"/>
              </w:rPr>
              <w:t>5.3%</w:t>
            </w:r>
          </w:p>
        </w:tc>
        <w:tc>
          <w:tcPr>
            <w:tcW w:w="84" w:type="dxa"/>
            <w:tcBorders/>
            <w:vAlign w:val="center"/>
          </w:tcPr>
          <w:p>
            <w:pPr>
              <w:pStyle w:val="TableContents"/>
              <w:bidi w:val="0"/>
              <w:spacing w:before="0" w:after="283"/>
              <w:ind w:left="0" w:right="0" w:hanging="200"/>
              <w:jc w:val="left"/>
              <w:rPr/>
            </w:pPr>
            <w:r>
              <w:rPr/>
              <w:t> </w:t>
            </w:r>
          </w:p>
        </w:tc>
      </w:tr>
      <w:tr>
        <w:trPr/>
        <w:tc>
          <w:tcPr>
            <w:tcW w:w="2644" w:type="dxa"/>
            <w:tcBorders/>
            <w:shd w:fill="CCECFF" w:val="clear"/>
            <w:vAlign w:val="center"/>
          </w:tcPr>
          <w:p>
            <w:pPr>
              <w:pStyle w:val="TableContents"/>
              <w:bidi w:val="0"/>
              <w:spacing w:before="0" w:after="283"/>
              <w:jc w:val="left"/>
              <w:rPr>
                <w:sz w:val="20"/>
              </w:rPr>
            </w:pPr>
            <w:r>
              <w:rPr>
                <w:sz w:val="20"/>
              </w:rPr>
              <w:t>Ares Management Corporation</w:t>
            </w:r>
            <w:r>
              <w:rPr>
                <w:position w:val="7"/>
                <w:sz w:val="16"/>
                <w:sz w:val="20"/>
              </w:rPr>
              <w:t>(4)</w:t>
            </w:r>
          </w:p>
        </w:tc>
        <w:tc>
          <w:tcPr>
            <w:tcW w:w="60" w:type="dxa"/>
            <w:tcBorders/>
            <w:shd w:fill="CCECFF" w:val="clear"/>
            <w:vAlign w:val="center"/>
          </w:tcPr>
          <w:p>
            <w:pPr>
              <w:pStyle w:val="TableContents"/>
              <w:bidi w:val="0"/>
              <w:spacing w:before="0" w:after="283"/>
              <w:jc w:val="left"/>
              <w:rPr/>
            </w:pPr>
            <w:r>
              <w:rPr/>
              <w:t> </w:t>
            </w:r>
          </w:p>
        </w:tc>
        <w:tc>
          <w:tcPr>
            <w:tcW w:w="73" w:type="dxa"/>
            <w:tcBorders/>
            <w:shd w:fill="CCECFF" w:val="clear"/>
            <w:vAlign w:val="center"/>
          </w:tcPr>
          <w:p>
            <w:pPr>
              <w:pStyle w:val="TableContents"/>
              <w:bidi w:val="0"/>
              <w:spacing w:before="0" w:after="283"/>
              <w:jc w:val="left"/>
              <w:rPr/>
            </w:pPr>
            <w:r>
              <w:rPr/>
              <w:t> </w:t>
            </w:r>
          </w:p>
        </w:tc>
        <w:tc>
          <w:tcPr>
            <w:tcW w:w="1175" w:type="dxa"/>
            <w:tcBorders/>
            <w:shd w:fill="CCECFF" w:val="clear"/>
            <w:vAlign w:val="center"/>
          </w:tcPr>
          <w:p>
            <w:pPr>
              <w:pStyle w:val="TableContents"/>
              <w:bidi w:val="0"/>
              <w:spacing w:before="0" w:after="283"/>
              <w:jc w:val="right"/>
              <w:rPr>
                <w:sz w:val="20"/>
              </w:rPr>
            </w:pPr>
            <w:r>
              <w:rPr>
                <w:sz w:val="20"/>
              </w:rPr>
              <w:t>0</w:t>
            </w:r>
          </w:p>
        </w:tc>
        <w:tc>
          <w:tcPr>
            <w:tcW w:w="73" w:type="dxa"/>
            <w:tcBorders/>
            <w:shd w:fill="CCECFF" w:val="clear"/>
            <w:vAlign w:val="center"/>
          </w:tcPr>
          <w:p>
            <w:pPr>
              <w:pStyle w:val="TableContents"/>
              <w:bidi w:val="0"/>
              <w:spacing w:before="0" w:after="283"/>
              <w:jc w:val="left"/>
              <w:rPr/>
            </w:pPr>
            <w:r>
              <w:rPr/>
              <w:t> </w:t>
            </w:r>
          </w:p>
        </w:tc>
        <w:tc>
          <w:tcPr>
            <w:tcW w:w="73"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1116" w:type="dxa"/>
            <w:tcBorders/>
            <w:shd w:fill="CCECFF" w:val="clear"/>
            <w:vAlign w:val="center"/>
          </w:tcPr>
          <w:p>
            <w:pPr>
              <w:pStyle w:val="TableContents"/>
              <w:bidi w:val="0"/>
              <w:spacing w:before="0" w:after="283"/>
              <w:jc w:val="right"/>
              <w:rPr>
                <w:sz w:val="20"/>
              </w:rPr>
            </w:pPr>
            <w:r>
              <w:rPr>
                <w:sz w:val="20"/>
              </w:rPr>
              <w:t>0%</w:t>
            </w:r>
          </w:p>
        </w:tc>
        <w:tc>
          <w:tcPr>
            <w:tcW w:w="60" w:type="dxa"/>
            <w:tcBorders/>
            <w:shd w:fill="CCECFF" w:val="clear"/>
            <w:vAlign w:val="center"/>
          </w:tcPr>
          <w:p>
            <w:pPr>
              <w:pStyle w:val="TableContents"/>
              <w:bidi w:val="0"/>
              <w:spacing w:before="0" w:after="283"/>
              <w:jc w:val="left"/>
              <w:rPr/>
            </w:pPr>
            <w:r>
              <w:rPr/>
              <w:t> </w:t>
            </w:r>
          </w:p>
        </w:tc>
        <w:tc>
          <w:tcPr>
            <w:tcW w:w="60" w:type="dxa"/>
            <w:tcBorders/>
            <w:shd w:fill="CCECFF" w:val="clear"/>
            <w:vAlign w:val="center"/>
          </w:tcPr>
          <w:p>
            <w:pPr>
              <w:pStyle w:val="TableContents"/>
              <w:bidi w:val="0"/>
              <w:spacing w:before="0" w:after="283"/>
              <w:jc w:val="left"/>
              <w:rPr/>
            </w:pPr>
            <w:r>
              <w:rPr/>
              <w:t> </w:t>
            </w:r>
          </w:p>
        </w:tc>
        <w:tc>
          <w:tcPr>
            <w:tcW w:w="99" w:type="dxa"/>
            <w:tcBorders/>
            <w:shd w:fill="CCECFF" w:val="clear"/>
            <w:vAlign w:val="center"/>
          </w:tcPr>
          <w:p>
            <w:pPr>
              <w:pStyle w:val="TableContents"/>
              <w:bidi w:val="0"/>
              <w:spacing w:before="0" w:after="283"/>
              <w:jc w:val="left"/>
              <w:rPr/>
            </w:pPr>
            <w:r>
              <w:rPr/>
              <w:t> </w:t>
            </w:r>
          </w:p>
        </w:tc>
        <w:tc>
          <w:tcPr>
            <w:tcW w:w="1416" w:type="dxa"/>
            <w:tcBorders/>
            <w:shd w:fill="CCECFF" w:val="clear"/>
            <w:vAlign w:val="center"/>
          </w:tcPr>
          <w:p>
            <w:pPr>
              <w:pStyle w:val="TableContents"/>
              <w:bidi w:val="0"/>
              <w:spacing w:before="0" w:after="283"/>
              <w:jc w:val="right"/>
              <w:rPr>
                <w:sz w:val="20"/>
              </w:rPr>
            </w:pPr>
            <w:r>
              <w:rPr>
                <w:sz w:val="20"/>
              </w:rPr>
              <w:t>1,803,841</w:t>
            </w:r>
          </w:p>
        </w:tc>
        <w:tc>
          <w:tcPr>
            <w:tcW w:w="60" w:type="dxa"/>
            <w:tcBorders/>
            <w:shd w:fill="CCECFF" w:val="clear"/>
            <w:vAlign w:val="center"/>
          </w:tcPr>
          <w:p>
            <w:pPr>
              <w:pStyle w:val="TableContents"/>
              <w:bidi w:val="0"/>
              <w:spacing w:before="0" w:after="283"/>
              <w:jc w:val="left"/>
              <w:rPr/>
            </w:pPr>
            <w:r>
              <w:rPr/>
              <w:t> </w:t>
            </w:r>
          </w:p>
        </w:tc>
        <w:tc>
          <w:tcPr>
            <w:tcW w:w="60" w:type="dxa"/>
            <w:tcBorders/>
            <w:shd w:fill="CCECFF" w:val="clear"/>
            <w:vAlign w:val="center"/>
          </w:tcPr>
          <w:p>
            <w:pPr>
              <w:pStyle w:val="TableContents"/>
              <w:bidi w:val="0"/>
              <w:spacing w:before="0" w:after="283"/>
              <w:jc w:val="left"/>
              <w:rPr/>
            </w:pPr>
            <w:r>
              <w:rPr/>
              <w:t> </w:t>
            </w:r>
          </w:p>
        </w:tc>
        <w:tc>
          <w:tcPr>
            <w:tcW w:w="86" w:type="dxa"/>
            <w:tcBorders/>
            <w:shd w:fill="CCECFF" w:val="clear"/>
            <w:vAlign w:val="center"/>
          </w:tcPr>
          <w:p>
            <w:pPr>
              <w:pStyle w:val="TableContents"/>
              <w:bidi w:val="0"/>
              <w:spacing w:before="0" w:after="283"/>
              <w:jc w:val="left"/>
              <w:rPr/>
            </w:pPr>
            <w:r>
              <w:rPr/>
              <w:t> </w:t>
            </w:r>
          </w:p>
        </w:tc>
        <w:tc>
          <w:tcPr>
            <w:tcW w:w="1388" w:type="dxa"/>
            <w:tcBorders/>
            <w:shd w:fill="CCECFF" w:val="clear"/>
            <w:vAlign w:val="center"/>
          </w:tcPr>
          <w:p>
            <w:pPr>
              <w:pStyle w:val="TableContents"/>
              <w:bidi w:val="0"/>
              <w:spacing w:before="0" w:after="283"/>
              <w:jc w:val="right"/>
              <w:rPr>
                <w:sz w:val="20"/>
              </w:rPr>
            </w:pPr>
            <w:r>
              <w:rPr>
                <w:sz w:val="20"/>
              </w:rPr>
              <w:t>0</w:t>
            </w:r>
          </w:p>
        </w:tc>
        <w:tc>
          <w:tcPr>
            <w:tcW w:w="86" w:type="dxa"/>
            <w:tcBorders/>
            <w:shd w:fill="CCECFF" w:val="clear"/>
            <w:vAlign w:val="center"/>
          </w:tcPr>
          <w:p>
            <w:pPr>
              <w:pStyle w:val="TableContents"/>
              <w:bidi w:val="0"/>
              <w:spacing w:before="0" w:after="283"/>
              <w:jc w:val="right"/>
              <w:rPr/>
            </w:pPr>
            <w:r>
              <w:rPr/>
              <w:t> </w:t>
            </w:r>
          </w:p>
        </w:tc>
        <w:tc>
          <w:tcPr>
            <w:tcW w:w="8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right"/>
              <w:rPr/>
            </w:pPr>
            <w:r>
              <w:rPr/>
              <w:t> </w:t>
            </w:r>
          </w:p>
        </w:tc>
        <w:tc>
          <w:tcPr>
            <w:tcW w:w="1152" w:type="dxa"/>
            <w:tcBorders/>
            <w:shd w:fill="CCECFF" w:val="clear"/>
            <w:vAlign w:val="center"/>
          </w:tcPr>
          <w:p>
            <w:pPr>
              <w:pStyle w:val="TableContents"/>
              <w:bidi w:val="0"/>
              <w:spacing w:before="0" w:after="283"/>
              <w:jc w:val="right"/>
              <w:rPr>
                <w:sz w:val="20"/>
              </w:rPr>
            </w:pPr>
            <w:r>
              <w:rPr>
                <w:sz w:val="20"/>
              </w:rPr>
              <w:t>0%</w:t>
            </w:r>
          </w:p>
        </w:tc>
        <w:tc>
          <w:tcPr>
            <w:tcW w:w="84" w:type="dxa"/>
            <w:tcBorders/>
            <w:shd w:fill="CCECFF" w:val="clear"/>
            <w:vAlign w:val="center"/>
          </w:tcPr>
          <w:p>
            <w:pPr>
              <w:pStyle w:val="TableContents"/>
              <w:bidi w:val="0"/>
              <w:spacing w:before="0" w:after="283"/>
              <w:ind w:left="0" w:right="0" w:hanging="200"/>
              <w:jc w:val="left"/>
              <w:rPr/>
            </w:pPr>
            <w:r>
              <w:rPr/>
              <w:t> </w:t>
            </w:r>
          </w:p>
        </w:tc>
      </w:tr>
      <w:tr>
        <w:trPr/>
        <w:tc>
          <w:tcPr>
            <w:tcW w:w="2644" w:type="dxa"/>
            <w:tcBorders/>
            <w:vAlign w:val="center"/>
          </w:tcPr>
          <w:p>
            <w:pPr>
              <w:pStyle w:val="TableContents"/>
              <w:bidi w:val="0"/>
              <w:spacing w:before="0" w:after="283"/>
              <w:jc w:val="left"/>
              <w:rPr>
                <w:sz w:val="20"/>
              </w:rPr>
            </w:pPr>
            <w:r>
              <w:rPr>
                <w:sz w:val="20"/>
              </w:rPr>
              <w:t>Thomas C. Priore</w:t>
            </w:r>
            <w:r>
              <w:rPr>
                <w:position w:val="7"/>
                <w:sz w:val="16"/>
                <w:sz w:val="20"/>
              </w:rPr>
              <w:t>(5)</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sz w:val="20"/>
              </w:rPr>
            </w:pPr>
            <w:r>
              <w:rPr>
                <w:sz w:val="20"/>
              </w:rPr>
              <w:t>46,819,486</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sz w:val="20"/>
              </w:rPr>
            </w:pPr>
            <w:r>
              <w:rPr>
                <w:sz w:val="20"/>
              </w:rPr>
              <w:t>60.7%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416" w:type="dxa"/>
            <w:tcBorders/>
            <w:vAlign w:val="center"/>
          </w:tcPr>
          <w:p>
            <w:pPr>
              <w:pStyle w:val="TableContents"/>
              <w:bidi w:val="0"/>
              <w:spacing w:before="0" w:after="283"/>
              <w:jc w:val="right"/>
              <w:rPr>
                <w:sz w:val="20"/>
              </w:rPr>
            </w:pPr>
            <w:r>
              <w:rPr>
                <w:sz w:val="20"/>
              </w:rPr>
              <w:t>1,000,000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right"/>
              <w:rPr>
                <w:sz w:val="20"/>
              </w:rPr>
            </w:pPr>
            <w:r>
              <w:rPr>
                <w:sz w:val="20"/>
              </w:rPr>
              <w:t>45,819,486</w:t>
            </w:r>
          </w:p>
        </w:tc>
        <w:tc>
          <w:tcPr>
            <w:tcW w:w="86"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right"/>
              <w:rPr/>
            </w:pPr>
            <w:r>
              <w:rPr/>
              <w:t> </w:t>
            </w:r>
          </w:p>
        </w:tc>
        <w:tc>
          <w:tcPr>
            <w:tcW w:w="180" w:type="dxa"/>
            <w:tcBorders/>
            <w:vAlign w:val="center"/>
          </w:tcPr>
          <w:p>
            <w:pPr>
              <w:pStyle w:val="TableContents"/>
              <w:bidi w:val="0"/>
              <w:spacing w:before="0" w:after="283"/>
              <w:jc w:val="right"/>
              <w:rPr/>
            </w:pPr>
            <w:r>
              <w:rPr/>
              <w:t> </w:t>
            </w:r>
          </w:p>
        </w:tc>
        <w:tc>
          <w:tcPr>
            <w:tcW w:w="1152" w:type="dxa"/>
            <w:tcBorders/>
            <w:vAlign w:val="center"/>
          </w:tcPr>
          <w:p>
            <w:pPr>
              <w:pStyle w:val="TableContents"/>
              <w:bidi w:val="0"/>
              <w:spacing w:before="0" w:after="283"/>
              <w:jc w:val="right"/>
              <w:rPr>
                <w:sz w:val="20"/>
              </w:rPr>
            </w:pPr>
            <w:r>
              <w:rPr>
                <w:sz w:val="20"/>
              </w:rPr>
              <w:t>59.4%</w:t>
            </w:r>
          </w:p>
        </w:tc>
        <w:tc>
          <w:tcPr>
            <w:tcW w:w="84" w:type="dxa"/>
            <w:tcBorders/>
            <w:vAlign w:val="center"/>
          </w:tcPr>
          <w:p>
            <w:pPr>
              <w:pStyle w:val="TableContents"/>
              <w:bidi w:val="0"/>
              <w:spacing w:before="0" w:after="283"/>
              <w:ind w:left="0" w:right="0" w:hanging="200"/>
              <w:jc w:val="left"/>
              <w:rPr/>
            </w:pPr>
            <w:r>
              <w:rPr/>
              <w:t> </w:t>
            </w:r>
          </w:p>
        </w:tc>
      </w:tr>
      <w:tr>
        <w:trPr/>
        <w:tc>
          <w:tcPr>
            <w:tcW w:w="2644" w:type="dxa"/>
            <w:tcBorders/>
            <w:shd w:fill="CCEEFF" w:val="clear"/>
            <w:vAlign w:val="center"/>
          </w:tcPr>
          <w:p>
            <w:pPr>
              <w:pStyle w:val="TableContents"/>
              <w:bidi w:val="0"/>
              <w:spacing w:before="0" w:after="283"/>
              <w:jc w:val="left"/>
              <w:rPr>
                <w:sz w:val="20"/>
              </w:rPr>
            </w:pPr>
            <w:r>
              <w:rPr>
                <w:sz w:val="20"/>
              </w:rPr>
              <w:t>Sanj Goyle</w:t>
            </w:r>
            <w:r>
              <w:rPr>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sz w:val="20"/>
              </w:rPr>
            </w:pPr>
            <w:r>
              <w:rPr>
                <w:sz w:val="20"/>
              </w:rPr>
              <w:t>404,114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sz w:val="20"/>
              </w:rPr>
            </w:pPr>
            <w:r>
              <w:rPr>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sz w:val="20"/>
              </w:rPr>
            </w:pPr>
            <w:r>
              <w:rPr>
                <w:sz w:val="20"/>
              </w:rPr>
              <w:t>404,114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sz w:val="20"/>
              </w:rPr>
            </w:pPr>
            <w:r>
              <w:rPr>
                <w:sz w:val="20"/>
              </w:rPr>
              <w:t>0</w:t>
            </w:r>
          </w:p>
        </w:tc>
        <w:tc>
          <w:tcPr>
            <w:tcW w:w="86"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right"/>
              <w:rPr/>
            </w:pPr>
            <w:r>
              <w:rPr/>
              <w:t> </w:t>
            </w:r>
          </w:p>
        </w:tc>
        <w:tc>
          <w:tcPr>
            <w:tcW w:w="180" w:type="dxa"/>
            <w:tcBorders/>
            <w:shd w:fill="CCEEFF" w:val="clear"/>
            <w:vAlign w:val="center"/>
          </w:tcPr>
          <w:p>
            <w:pPr>
              <w:pStyle w:val="TableContents"/>
              <w:bidi w:val="0"/>
              <w:spacing w:before="0" w:after="283"/>
              <w:jc w:val="right"/>
              <w:rPr/>
            </w:pPr>
            <w:r>
              <w:rPr/>
              <w:t> </w:t>
            </w:r>
          </w:p>
        </w:tc>
        <w:tc>
          <w:tcPr>
            <w:tcW w:w="1152" w:type="dxa"/>
            <w:tcBorders/>
            <w:shd w:fill="CCEEFF" w:val="clear"/>
            <w:vAlign w:val="center"/>
          </w:tcPr>
          <w:p>
            <w:pPr>
              <w:pStyle w:val="TableContents"/>
              <w:bidi w:val="0"/>
              <w:spacing w:before="0" w:after="283"/>
              <w:jc w:val="right"/>
              <w:rPr>
                <w:sz w:val="20"/>
              </w:rPr>
            </w:pPr>
            <w:r>
              <w:rPr>
                <w:sz w:val="20"/>
              </w:rPr>
              <w:t>0% </w:t>
            </w:r>
          </w:p>
        </w:tc>
        <w:tc>
          <w:tcPr>
            <w:tcW w:w="84" w:type="dxa"/>
            <w:tcBorders/>
            <w:shd w:fill="CCEEFF" w:val="clear"/>
            <w:vAlign w:val="center"/>
          </w:tcPr>
          <w:p>
            <w:pPr>
              <w:pStyle w:val="TableContents"/>
              <w:bidi w:val="0"/>
              <w:spacing w:before="0" w:after="283"/>
              <w:ind w:left="0" w:right="0" w:hanging="200"/>
              <w:jc w:val="left"/>
              <w:rPr/>
            </w:pPr>
            <w:r>
              <w:rPr/>
              <w:t> </w:t>
            </w:r>
          </w:p>
        </w:tc>
      </w:tr>
      <w:tr>
        <w:trPr/>
        <w:tc>
          <w:tcPr>
            <w:tcW w:w="2644" w:type="dxa"/>
            <w:tcBorders/>
            <w:vAlign w:val="center"/>
          </w:tcPr>
          <w:p>
            <w:pPr>
              <w:pStyle w:val="TableContents"/>
              <w:bidi w:val="0"/>
              <w:spacing w:before="0" w:after="283"/>
              <w:jc w:val="left"/>
              <w:rPr>
                <w:sz w:val="20"/>
              </w:rPr>
            </w:pPr>
            <w:r>
              <w:rPr>
                <w:sz w:val="20"/>
              </w:rPr>
              <w:t>Sean Kiewiet</w:t>
            </w:r>
            <w:r>
              <w:rPr>
                <w:position w:val="7"/>
                <w:sz w:val="16"/>
                <w:sz w:val="20"/>
              </w:rPr>
              <w:t>(7)</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sz w:val="20"/>
              </w:rPr>
            </w:pPr>
            <w:r>
              <w:rPr>
                <w:sz w:val="20"/>
              </w:rPr>
              <w:t>1,009,675</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sz w:val="20"/>
              </w:rPr>
            </w:pPr>
            <w:r>
              <w:rPr>
                <w:sz w:val="20"/>
              </w:rP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416" w:type="dxa"/>
            <w:tcBorders/>
            <w:vAlign w:val="center"/>
          </w:tcPr>
          <w:p>
            <w:pPr>
              <w:pStyle w:val="TableContents"/>
              <w:bidi w:val="0"/>
              <w:spacing w:before="0" w:after="283"/>
              <w:jc w:val="right"/>
              <w:rPr>
                <w:sz w:val="20"/>
              </w:rPr>
            </w:pPr>
            <w:r>
              <w:rPr>
                <w:sz w:val="20"/>
              </w:rPr>
              <w:t>200,000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right"/>
              <w:rPr>
                <w:sz w:val="20"/>
              </w:rPr>
            </w:pPr>
            <w:r>
              <w:rPr>
                <w:sz w:val="20"/>
              </w:rPr>
              <w:t>809,675</w:t>
            </w:r>
          </w:p>
        </w:tc>
        <w:tc>
          <w:tcPr>
            <w:tcW w:w="86"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right"/>
              <w:rPr/>
            </w:pPr>
            <w:r>
              <w:rPr/>
              <w:t> </w:t>
            </w:r>
          </w:p>
        </w:tc>
        <w:tc>
          <w:tcPr>
            <w:tcW w:w="180" w:type="dxa"/>
            <w:tcBorders/>
            <w:vAlign w:val="center"/>
          </w:tcPr>
          <w:p>
            <w:pPr>
              <w:pStyle w:val="TableContents"/>
              <w:bidi w:val="0"/>
              <w:spacing w:before="0" w:after="283"/>
              <w:jc w:val="right"/>
              <w:rPr/>
            </w:pPr>
            <w:r>
              <w:rPr/>
              <w:t> </w:t>
            </w:r>
          </w:p>
        </w:tc>
        <w:tc>
          <w:tcPr>
            <w:tcW w:w="1152" w:type="dxa"/>
            <w:tcBorders/>
            <w:vAlign w:val="center"/>
          </w:tcPr>
          <w:p>
            <w:pPr>
              <w:pStyle w:val="TableContents"/>
              <w:bidi w:val="0"/>
              <w:spacing w:before="0" w:after="283"/>
              <w:jc w:val="right"/>
              <w:rPr>
                <w:sz w:val="20"/>
              </w:rPr>
            </w:pPr>
            <w:r>
              <w:rPr>
                <w:sz w:val="20"/>
              </w:rPr>
              <w:t>1.1%</w:t>
            </w:r>
          </w:p>
        </w:tc>
        <w:tc>
          <w:tcPr>
            <w:tcW w:w="84" w:type="dxa"/>
            <w:tcBorders/>
            <w:vAlign w:val="center"/>
          </w:tcPr>
          <w:p>
            <w:pPr>
              <w:pStyle w:val="TableContents"/>
              <w:bidi w:val="0"/>
              <w:spacing w:before="0" w:after="283"/>
              <w:ind w:left="0" w:right="0" w:hanging="200"/>
              <w:jc w:val="left"/>
              <w:rPr/>
            </w:pPr>
            <w:r>
              <w:rPr/>
              <w:t> </w:t>
            </w:r>
          </w:p>
        </w:tc>
      </w:tr>
      <w:tr>
        <w:trPr/>
        <w:tc>
          <w:tcPr>
            <w:tcW w:w="2644" w:type="dxa"/>
            <w:tcBorders/>
            <w:shd w:fill="CCECFF" w:val="clear"/>
            <w:vAlign w:val="center"/>
          </w:tcPr>
          <w:p>
            <w:pPr>
              <w:pStyle w:val="TableContents"/>
              <w:bidi w:val="0"/>
              <w:spacing w:before="0" w:after="283"/>
              <w:jc w:val="left"/>
              <w:rPr>
                <w:sz w:val="20"/>
              </w:rPr>
            </w:pPr>
            <w:r>
              <w:rPr>
                <w:sz w:val="20"/>
              </w:rPr>
              <w:t>Ranjana Ram</w:t>
            </w:r>
            <w:r>
              <w:rPr>
                <w:position w:val="7"/>
                <w:sz w:val="16"/>
                <w:sz w:val="20"/>
              </w:rPr>
              <w:t>(8)</w:t>
            </w:r>
          </w:p>
        </w:tc>
        <w:tc>
          <w:tcPr>
            <w:tcW w:w="60" w:type="dxa"/>
            <w:tcBorders/>
            <w:shd w:fill="CCECFF" w:val="clear"/>
            <w:vAlign w:val="center"/>
          </w:tcPr>
          <w:p>
            <w:pPr>
              <w:pStyle w:val="TableContents"/>
              <w:bidi w:val="0"/>
              <w:spacing w:before="0" w:after="283"/>
              <w:jc w:val="left"/>
              <w:rPr/>
            </w:pPr>
            <w:r>
              <w:rPr/>
              <w:t> </w:t>
            </w:r>
          </w:p>
        </w:tc>
        <w:tc>
          <w:tcPr>
            <w:tcW w:w="73" w:type="dxa"/>
            <w:tcBorders/>
            <w:shd w:fill="CCECFF" w:val="clear"/>
            <w:vAlign w:val="center"/>
          </w:tcPr>
          <w:p>
            <w:pPr>
              <w:pStyle w:val="TableContents"/>
              <w:bidi w:val="0"/>
              <w:spacing w:before="0" w:after="283"/>
              <w:jc w:val="left"/>
              <w:rPr/>
            </w:pPr>
            <w:r>
              <w:rPr/>
              <w:t> </w:t>
            </w:r>
          </w:p>
        </w:tc>
        <w:tc>
          <w:tcPr>
            <w:tcW w:w="1175" w:type="dxa"/>
            <w:tcBorders/>
            <w:shd w:fill="CCECFF" w:val="clear"/>
            <w:vAlign w:val="center"/>
          </w:tcPr>
          <w:p>
            <w:pPr>
              <w:pStyle w:val="TableContents"/>
              <w:bidi w:val="0"/>
              <w:spacing w:before="0" w:after="283"/>
              <w:jc w:val="right"/>
              <w:rPr>
                <w:sz w:val="20"/>
              </w:rPr>
            </w:pPr>
            <w:r>
              <w:rPr>
                <w:sz w:val="20"/>
              </w:rPr>
              <w:t>661,669</w:t>
            </w:r>
          </w:p>
        </w:tc>
        <w:tc>
          <w:tcPr>
            <w:tcW w:w="73" w:type="dxa"/>
            <w:tcBorders/>
            <w:shd w:fill="CCECFF" w:val="clear"/>
            <w:vAlign w:val="center"/>
          </w:tcPr>
          <w:p>
            <w:pPr>
              <w:pStyle w:val="TableContents"/>
              <w:bidi w:val="0"/>
              <w:spacing w:before="0" w:after="283"/>
              <w:jc w:val="left"/>
              <w:rPr/>
            </w:pPr>
            <w:r>
              <w:rPr/>
              <w:t> </w:t>
            </w:r>
          </w:p>
        </w:tc>
        <w:tc>
          <w:tcPr>
            <w:tcW w:w="73"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1116" w:type="dxa"/>
            <w:tcBorders/>
            <w:shd w:fill="CCECFF" w:val="clear"/>
            <w:vAlign w:val="center"/>
          </w:tcPr>
          <w:p>
            <w:pPr>
              <w:pStyle w:val="TableContents"/>
              <w:bidi w:val="0"/>
              <w:spacing w:before="0" w:after="283"/>
              <w:jc w:val="right"/>
              <w:rPr>
                <w:sz w:val="20"/>
              </w:rPr>
            </w:pPr>
            <w:r>
              <w:rPr>
                <w:sz w:val="20"/>
              </w:rPr>
              <w:t>*</w:t>
            </w:r>
          </w:p>
        </w:tc>
        <w:tc>
          <w:tcPr>
            <w:tcW w:w="60" w:type="dxa"/>
            <w:tcBorders/>
            <w:shd w:fill="CCECFF" w:val="clear"/>
            <w:vAlign w:val="center"/>
          </w:tcPr>
          <w:p>
            <w:pPr>
              <w:pStyle w:val="TableContents"/>
              <w:bidi w:val="0"/>
              <w:spacing w:before="0" w:after="283"/>
              <w:jc w:val="left"/>
              <w:rPr/>
            </w:pPr>
            <w:r>
              <w:rPr/>
              <w:t> </w:t>
            </w:r>
          </w:p>
        </w:tc>
        <w:tc>
          <w:tcPr>
            <w:tcW w:w="60" w:type="dxa"/>
            <w:tcBorders/>
            <w:shd w:fill="CCECFF" w:val="clear"/>
            <w:vAlign w:val="center"/>
          </w:tcPr>
          <w:p>
            <w:pPr>
              <w:pStyle w:val="TableContents"/>
              <w:bidi w:val="0"/>
              <w:spacing w:before="0" w:after="283"/>
              <w:jc w:val="left"/>
              <w:rPr/>
            </w:pPr>
            <w:r>
              <w:rPr/>
              <w:t> </w:t>
            </w:r>
          </w:p>
        </w:tc>
        <w:tc>
          <w:tcPr>
            <w:tcW w:w="99" w:type="dxa"/>
            <w:tcBorders/>
            <w:shd w:fill="CCECFF" w:val="clear"/>
            <w:vAlign w:val="center"/>
          </w:tcPr>
          <w:p>
            <w:pPr>
              <w:pStyle w:val="TableContents"/>
              <w:bidi w:val="0"/>
              <w:spacing w:before="0" w:after="283"/>
              <w:jc w:val="left"/>
              <w:rPr/>
            </w:pPr>
            <w:r>
              <w:rPr/>
              <w:t> </w:t>
            </w:r>
          </w:p>
        </w:tc>
        <w:tc>
          <w:tcPr>
            <w:tcW w:w="1416" w:type="dxa"/>
            <w:tcBorders/>
            <w:shd w:fill="CCECFF" w:val="clear"/>
            <w:vAlign w:val="center"/>
          </w:tcPr>
          <w:p>
            <w:pPr>
              <w:pStyle w:val="TableContents"/>
              <w:bidi w:val="0"/>
              <w:spacing w:before="0" w:after="283"/>
              <w:jc w:val="right"/>
              <w:rPr>
                <w:sz w:val="20"/>
              </w:rPr>
            </w:pPr>
            <w:r>
              <w:rPr>
                <w:sz w:val="20"/>
              </w:rPr>
              <w:t>150,000</w:t>
            </w:r>
          </w:p>
        </w:tc>
        <w:tc>
          <w:tcPr>
            <w:tcW w:w="60" w:type="dxa"/>
            <w:tcBorders/>
            <w:shd w:fill="CCECFF" w:val="clear"/>
            <w:vAlign w:val="center"/>
          </w:tcPr>
          <w:p>
            <w:pPr>
              <w:pStyle w:val="TableContents"/>
              <w:bidi w:val="0"/>
              <w:spacing w:before="0" w:after="283"/>
              <w:jc w:val="left"/>
              <w:rPr/>
            </w:pPr>
            <w:r>
              <w:rPr/>
              <w:t> </w:t>
            </w:r>
          </w:p>
        </w:tc>
        <w:tc>
          <w:tcPr>
            <w:tcW w:w="60" w:type="dxa"/>
            <w:tcBorders/>
            <w:shd w:fill="CCECFF" w:val="clear"/>
            <w:vAlign w:val="center"/>
          </w:tcPr>
          <w:p>
            <w:pPr>
              <w:pStyle w:val="TableContents"/>
              <w:bidi w:val="0"/>
              <w:spacing w:before="0" w:after="283"/>
              <w:jc w:val="left"/>
              <w:rPr/>
            </w:pPr>
            <w:r>
              <w:rPr/>
              <w:t> </w:t>
            </w:r>
          </w:p>
        </w:tc>
        <w:tc>
          <w:tcPr>
            <w:tcW w:w="86" w:type="dxa"/>
            <w:tcBorders/>
            <w:shd w:fill="CCECFF" w:val="clear"/>
            <w:vAlign w:val="center"/>
          </w:tcPr>
          <w:p>
            <w:pPr>
              <w:pStyle w:val="TableContents"/>
              <w:bidi w:val="0"/>
              <w:spacing w:before="0" w:after="283"/>
              <w:jc w:val="left"/>
              <w:rPr/>
            </w:pPr>
            <w:r>
              <w:rPr/>
              <w:t> </w:t>
            </w:r>
          </w:p>
        </w:tc>
        <w:tc>
          <w:tcPr>
            <w:tcW w:w="1388" w:type="dxa"/>
            <w:tcBorders/>
            <w:shd w:fill="CCECFF" w:val="clear"/>
            <w:vAlign w:val="center"/>
          </w:tcPr>
          <w:p>
            <w:pPr>
              <w:pStyle w:val="TableContents"/>
              <w:bidi w:val="0"/>
              <w:spacing w:before="0" w:after="283"/>
              <w:jc w:val="right"/>
              <w:rPr>
                <w:sz w:val="20"/>
              </w:rPr>
            </w:pPr>
            <w:r>
              <w:rPr>
                <w:sz w:val="20"/>
              </w:rPr>
              <w:t>511,669</w:t>
            </w:r>
          </w:p>
        </w:tc>
        <w:tc>
          <w:tcPr>
            <w:tcW w:w="86" w:type="dxa"/>
            <w:tcBorders/>
            <w:shd w:fill="CCECFF" w:val="clear"/>
            <w:vAlign w:val="center"/>
          </w:tcPr>
          <w:p>
            <w:pPr>
              <w:pStyle w:val="TableContents"/>
              <w:bidi w:val="0"/>
              <w:spacing w:before="0" w:after="283"/>
              <w:jc w:val="right"/>
              <w:rPr/>
            </w:pPr>
            <w:r>
              <w:rPr/>
              <w:t> </w:t>
            </w:r>
          </w:p>
        </w:tc>
        <w:tc>
          <w:tcPr>
            <w:tcW w:w="8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right"/>
              <w:rPr/>
            </w:pPr>
            <w:r>
              <w:rPr/>
              <w:t> </w:t>
            </w:r>
          </w:p>
        </w:tc>
        <w:tc>
          <w:tcPr>
            <w:tcW w:w="1152" w:type="dxa"/>
            <w:tcBorders/>
            <w:shd w:fill="CCECFF" w:val="clear"/>
            <w:vAlign w:val="center"/>
          </w:tcPr>
          <w:p>
            <w:pPr>
              <w:pStyle w:val="TableContents"/>
              <w:bidi w:val="0"/>
              <w:spacing w:before="0" w:after="283"/>
              <w:jc w:val="right"/>
              <w:rPr/>
            </w:pPr>
            <w:r>
              <w:rPr/>
              <w:t> </w:t>
            </w:r>
            <w:r>
              <w:rPr>
                <w:sz w:val="20"/>
              </w:rPr>
              <w:t>*</w:t>
            </w:r>
          </w:p>
        </w:tc>
        <w:tc>
          <w:tcPr>
            <w:tcW w:w="84" w:type="dxa"/>
            <w:tcBorders/>
            <w:shd w:fill="CCECFF" w:val="clear"/>
            <w:vAlign w:val="center"/>
          </w:tcPr>
          <w:p>
            <w:pPr>
              <w:pStyle w:val="TableContents"/>
              <w:bidi w:val="0"/>
              <w:spacing w:before="0" w:after="283"/>
              <w:ind w:left="0" w:right="0" w:hanging="200"/>
              <w:jc w:val="left"/>
              <w:rPr/>
            </w:pPr>
            <w:r>
              <w:rPr/>
              <w:t> </w:t>
            </w:r>
          </w:p>
        </w:tc>
      </w:tr>
      <w:tr>
        <w:trPr/>
        <w:tc>
          <w:tcPr>
            <w:tcW w:w="2644" w:type="dxa"/>
            <w:tcBorders/>
            <w:vAlign w:val="center"/>
          </w:tcPr>
          <w:p>
            <w:pPr>
              <w:pStyle w:val="TableContents"/>
              <w:bidi w:val="0"/>
              <w:spacing w:before="0" w:after="283"/>
              <w:jc w:val="left"/>
              <w:rPr>
                <w:sz w:val="20"/>
              </w:rPr>
            </w:pPr>
            <w:r>
              <w:rPr>
                <w:sz w:val="20"/>
              </w:rPr>
              <w:t>William Gahan</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sz w:val="20"/>
              </w:rPr>
            </w:pPr>
            <w:r>
              <w:rPr>
                <w:sz w:val="20"/>
              </w:rPr>
              <w:t>396,612</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416" w:type="dxa"/>
            <w:tcBorders/>
            <w:vAlign w:val="center"/>
          </w:tcPr>
          <w:p>
            <w:pPr>
              <w:pStyle w:val="TableContents"/>
              <w:bidi w:val="0"/>
              <w:spacing w:before="0" w:after="283"/>
              <w:jc w:val="right"/>
              <w:rPr>
                <w:sz w:val="20"/>
              </w:rPr>
            </w:pPr>
            <w:r>
              <w:rPr>
                <w:sz w:val="20"/>
              </w:rPr>
              <w:t>125,000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388" w:type="dxa"/>
            <w:tcBorders/>
            <w:vAlign w:val="center"/>
          </w:tcPr>
          <w:p>
            <w:pPr>
              <w:pStyle w:val="TableContents"/>
              <w:bidi w:val="0"/>
              <w:spacing w:before="0" w:after="283"/>
              <w:jc w:val="right"/>
              <w:rPr>
                <w:sz w:val="20"/>
              </w:rPr>
            </w:pPr>
            <w:r>
              <w:rPr>
                <w:sz w:val="20"/>
              </w:rPr>
              <w:t>271,612</w:t>
            </w:r>
          </w:p>
        </w:tc>
        <w:tc>
          <w:tcPr>
            <w:tcW w:w="86"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right"/>
              <w:rPr/>
            </w:pPr>
            <w:r>
              <w:rPr/>
              <w:t> </w:t>
            </w:r>
          </w:p>
        </w:tc>
        <w:tc>
          <w:tcPr>
            <w:tcW w:w="180" w:type="dxa"/>
            <w:tcBorders/>
            <w:vAlign w:val="center"/>
          </w:tcPr>
          <w:p>
            <w:pPr>
              <w:pStyle w:val="TableContents"/>
              <w:bidi w:val="0"/>
              <w:spacing w:before="0" w:after="283"/>
              <w:jc w:val="right"/>
              <w:rPr/>
            </w:pPr>
            <w:r>
              <w:rPr/>
              <w:t> </w:t>
            </w:r>
          </w:p>
        </w:tc>
        <w:tc>
          <w:tcPr>
            <w:tcW w:w="1152" w:type="dxa"/>
            <w:tcBorders/>
            <w:vAlign w:val="center"/>
          </w:tcPr>
          <w:p>
            <w:pPr>
              <w:pStyle w:val="TableContents"/>
              <w:bidi w:val="0"/>
              <w:spacing w:before="0" w:after="283"/>
              <w:jc w:val="right"/>
              <w:rPr/>
            </w:pPr>
            <w:r>
              <w:rPr/>
              <w:t> </w:t>
            </w:r>
            <w:r>
              <w:rPr>
                <w:sz w:val="20"/>
              </w:rPr>
              <w:t>*</w:t>
            </w:r>
          </w:p>
        </w:tc>
        <w:tc>
          <w:tcPr>
            <w:tcW w:w="8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20"/>
              </w:rPr>
            </w:pPr>
            <w:r>
              <w:rPr>
                <w:sz w:val="20"/>
              </w:rPr>
              <w:t>(1)</w:t>
            </w:r>
          </w:p>
        </w:tc>
        <w:tc>
          <w:tcPr>
            <w:tcW w:w="9923" w:type="dxa"/>
            <w:tcBorders/>
            <w:vAlign w:val="center"/>
          </w:tcPr>
          <w:p>
            <w:pPr>
              <w:pStyle w:val="TableContents"/>
              <w:bidi w:val="0"/>
              <w:spacing w:before="0" w:after="283"/>
              <w:jc w:val="left"/>
              <w:rPr>
                <w:sz w:val="20"/>
              </w:rPr>
            </w:pPr>
            <w:r>
              <w:rPr>
                <w:sz w:val="20"/>
              </w:rPr>
              <w:t>Unless otherwise indicated, the business address of each of the individuals is c/o Priority Technology Holdings, Inc., 2001 Westside Parkway, Suite 155, Alpharetta, GA 30004.</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20"/>
              </w:rPr>
            </w:pPr>
            <w:r>
              <w:rPr>
                <w:sz w:val="20"/>
              </w:rPr>
              <w:t>(2)</w:t>
            </w:r>
          </w:p>
        </w:tc>
        <w:tc>
          <w:tcPr>
            <w:tcW w:w="9923" w:type="dxa"/>
            <w:tcBorders/>
            <w:vAlign w:val="center"/>
          </w:tcPr>
          <w:p>
            <w:pPr>
              <w:pStyle w:val="TableContents"/>
              <w:bidi w:val="0"/>
              <w:spacing w:before="0" w:after="283"/>
              <w:jc w:val="left"/>
              <w:rPr>
                <w:sz w:val="20"/>
              </w:rPr>
            </w:pPr>
            <w:r>
              <w:rPr>
                <w:sz w:val="20"/>
              </w:rPr>
              <w:t>Trident Finxera Holdings LP, a Delaware limited partnership, is owned by certain funds managed by Stone Point Capital LLC. The address for Stone Point Capital LLC is 20 Horseneck Lane, Greenwich, CT 06830.</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20"/>
              </w:rPr>
            </w:pPr>
            <w:r>
              <w:rPr>
                <w:sz w:val="20"/>
              </w:rPr>
              <w:t>(3)</w:t>
            </w:r>
          </w:p>
        </w:tc>
        <w:tc>
          <w:tcPr>
            <w:tcW w:w="9923" w:type="dxa"/>
            <w:tcBorders/>
            <w:vAlign w:val="center"/>
          </w:tcPr>
          <w:p>
            <w:pPr>
              <w:pStyle w:val="TableContents"/>
              <w:bidi w:val="0"/>
              <w:spacing w:before="0" w:after="283"/>
              <w:jc w:val="left"/>
              <w:rPr>
                <w:sz w:val="20"/>
              </w:rPr>
            </w:pPr>
            <w:r>
              <w:rPr>
                <w:sz w:val="20"/>
              </w:rPr>
              <w:t>Currently serves as a director. Includes 4,697,431 common stock held by AESV Credit Card Consulting, LLC.</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20"/>
              </w:rPr>
            </w:pPr>
            <w:r>
              <w:rPr>
                <w:sz w:val="20"/>
              </w:rPr>
              <w:t>(4)</w:t>
            </w:r>
          </w:p>
        </w:tc>
        <w:tc>
          <w:tcPr>
            <w:tcW w:w="9923" w:type="dxa"/>
            <w:tcBorders/>
            <w:vAlign w:val="center"/>
          </w:tcPr>
          <w:p>
            <w:pPr>
              <w:pStyle w:val="TableContents"/>
              <w:bidi w:val="0"/>
              <w:spacing w:before="0" w:after="283"/>
              <w:jc w:val="left"/>
              <w:rPr>
                <w:sz w:val="20"/>
              </w:rPr>
            </w:pPr>
            <w:r>
              <w:rPr>
                <w:sz w:val="20"/>
              </w:rPr>
              <w:t>Includes 1,803,841 shares of Common Stock that may be acquired through the exercise of warrants that are exercisable as of, or will become exercisable within 60 days of, the date above. The address for Ares Management Corporation is 1800 Avenue of the Stars Suite 1400, Los Angeles, CA 90067.</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20"/>
              </w:rPr>
            </w:pPr>
            <w:r>
              <w:rPr>
                <w:sz w:val="20"/>
              </w:rPr>
              <w:t>(5)</w:t>
            </w:r>
          </w:p>
        </w:tc>
        <w:tc>
          <w:tcPr>
            <w:tcW w:w="9923" w:type="dxa"/>
            <w:tcBorders/>
            <w:vAlign w:val="center"/>
          </w:tcPr>
          <w:p>
            <w:pPr>
              <w:pStyle w:val="TableContents"/>
              <w:bidi w:val="0"/>
              <w:spacing w:before="0" w:after="283"/>
              <w:jc w:val="left"/>
              <w:rPr>
                <w:sz w:val="20"/>
              </w:rPr>
            </w:pPr>
            <w:r>
              <w:rPr>
                <w:sz w:val="20"/>
              </w:rPr>
              <w:t>Currently serves as President, Chief Executive Officer, and Chairman.</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20"/>
              </w:rPr>
            </w:pPr>
            <w:r>
              <w:rPr>
                <w:sz w:val="20"/>
              </w:rPr>
              <w:t>(6)</w:t>
            </w:r>
          </w:p>
        </w:tc>
        <w:tc>
          <w:tcPr>
            <w:tcW w:w="9923" w:type="dxa"/>
            <w:tcBorders/>
            <w:vAlign w:val="center"/>
          </w:tcPr>
          <w:p>
            <w:pPr>
              <w:pStyle w:val="TableContents"/>
              <w:bidi w:val="0"/>
              <w:spacing w:before="0" w:after="283"/>
              <w:jc w:val="left"/>
              <w:rPr>
                <w:sz w:val="20"/>
              </w:rPr>
            </w:pPr>
            <w:r>
              <w:rPr>
                <w:sz w:val="20"/>
              </w:rPr>
              <w:t>Includes 404,114 common stock held in Goyle Nanda 2018 Irrevocable Trust.</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20"/>
              </w:rPr>
            </w:pPr>
            <w:r>
              <w:rPr>
                <w:sz w:val="20"/>
              </w:rPr>
              <w:t>(7)</w:t>
            </w:r>
          </w:p>
        </w:tc>
        <w:tc>
          <w:tcPr>
            <w:tcW w:w="9923" w:type="dxa"/>
            <w:tcBorders/>
            <w:vAlign w:val="center"/>
          </w:tcPr>
          <w:p>
            <w:pPr>
              <w:pStyle w:val="TableContents"/>
              <w:bidi w:val="0"/>
              <w:spacing w:before="0" w:after="283"/>
              <w:jc w:val="left"/>
              <w:rPr>
                <w:sz w:val="20"/>
              </w:rPr>
            </w:pPr>
            <w:r>
              <w:rPr>
                <w:sz w:val="20"/>
              </w:rPr>
              <w:t>Currently serves as Chief Strategy Officer.</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20"/>
              </w:rPr>
            </w:pPr>
            <w:r>
              <w:rPr>
                <w:sz w:val="20"/>
              </w:rPr>
              <w:t>(8)</w:t>
            </w:r>
          </w:p>
        </w:tc>
        <w:tc>
          <w:tcPr>
            <w:tcW w:w="9923" w:type="dxa"/>
            <w:tcBorders/>
            <w:vAlign w:val="center"/>
          </w:tcPr>
          <w:p>
            <w:pPr>
              <w:pStyle w:val="TableContents"/>
              <w:bidi w:val="0"/>
              <w:spacing w:before="0" w:after="283"/>
              <w:jc w:val="left"/>
              <w:rPr>
                <w:sz w:val="20"/>
              </w:rPr>
            </w:pPr>
            <w:r>
              <w:rPr>
                <w:sz w:val="20"/>
              </w:rPr>
              <w:t>Currently serves as Chief Operating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most important terms of our common stock and preferred stock and related provisions of the certificate of incorporation and our bylaws. This description also summarizes the principal agreements relating to our common stock and our preferred stock. Because it is only a summary, it does not contain all the information that may be important to you. For a complete description, you should refer to our certificate of incorporation and bylaws and the agreements referred to below, copies of which are filed as exhibits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1,000,000,000 shares of common stock, par value $0.001, and 100,000,000 shares of preferred stock, par value $0.001. As of November 26, 2024, 77,197,935 shares of common stock were outstanding, held by 66 stockholders of record and no shares of preferred stock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record of common stock, as such, shall have one vote for each share of common stock which is outstanding in his, her or its name on the books of the Company on all matters on which stockholders are entitled to vote generally. Except as otherwise required by law, holders of common stock shall not be entitled to vote on any amendment to the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Second Amended and Restated Certificate of Incorporation (including any certificate of designation relating to any series of preferred stock) or pursuant to the Delaware General Corporation Law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Company which are legally available for this purpose at such times and in such amounts as the board of directors in its discretion shall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dissolution, liquidation or winding up of the Company, after payment or provision for payment of the debts and other liabilities of the Company and subject to the rights, if any, of the holders of any outstanding series of preferred stock or any class or series of stock having a preference over or the right to participate with the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shares of our common stock issued are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2021, we entered into a Securities Purchase Agreement (the “Purchase Agreement”) with credit funds managed by certain affiliates of Ares Management Corporation for the private placement of (i) up to $250,000,000 in aggregate of a senior preferred stock, par value $0.001 per share, (all of which senior preferred stock issued has since been redeemed) and (ii) warrants to purchase up to 1,803,841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Registration Rights Agreement (the “Registration Rights Agreement”), dated April 27, 2021, executed in conjunction with the Purchase Agreement, pursuant to which we agreed to provide certain rights related to the registration of common stock issued or issuable upon exercise of the warrants. The Registration Rights Agreement allows the investors to include their registerable securities in any registered offering of common stock covered by a non-shelf registration statement, except for a sale of common stock by the investors or their affiliates to one or more purchasers in a registered transaction by means of (i) a bought deal, (ii) a block trade, (iii) a direct sale or (iv) an overnight deal.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Registration Rights Agreement, investors also have the right to demand and be included in a shelf registration, enabling them to request that we file a shelf registration statement with respect to their registrable securities, subject to S-3 eligibility requirements. Certain investors can demand non-underwritten “takedowns” of registrable securities off an effective shelf registration statement. All investors can exercise piggyback rights for underwritten shelf takedowns. We are required to file a post-effective amendment to an existing shelf to register up to the number of registrable securities previously taken down and not yet reloaded onto the shelf upon written request. However, these rights are subject to limitations, such as lock-up arrangements, and investors do not have piggyback rights for primary offerings by us covered by Form S-8, non-cash offerings, or offerings of securities other than common stock or registrable securities. We can also postpone or suspend the effectiveness of a registration statement for a “blackout period.” Investors must notify us in writing to demand a registration statement and indicate the number of registrable securities and the proposed plan of distribution. We must also keep investors informed of any registration of common stock with piggyback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issued warrants to purchase up to 1,803,841 shares of common stock, subject to adjustments as set forth in such warrants, at an exercise price per share of $0.001. The warrants will expire on April 27, 2031, or earlier upon redemption or liquidation. The warrants are exercisable in whole at any time or in part from time to time by surrendering a warrant certificate on any business day to us at our principal office and upon payment to us of the exercise price for the warrant shares being purchased. All warrant shares will, upon issuance, be original issue shares, and not treasury stock, fully paid and nonassessable and free from all taxes, claims, liens, charges and other encumbrances with respect to the issuance of warrant shares other than as may be imposed by federal or state securities laws. Warrant holders are entitled to all the benefits, as well as subject to all obligations, of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no preemptive, subscription, redemption or conversion rights and there is no sinking fund provisions applicable to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authorizes the issuance of 100,000,000 shares of preferred stock with such designation, rights and preferences as may be determined from time to time by our board of directors as may be permitted by the DGCL, including, without limitation, the authority to provide that any such class or series may be: (i) subject to redemption at any such time or times and at such price or prices; (ii) entitled to receive dividends (which may be cumulative or non-cumulative) at such rates, on such conditions, and at such time, and payable in preference to, or in such relation to, the dividends payable on any other class or classes or any other series; (iii) entitled to such rights upon the dissolution of, or upon any distribution of the assets of, the corporation; or (iv) convertible into, or exchangeable for, shares of any other class or classes of stock, or of any other series of the same or any other class or classes of stock, of the Company at such price or prices or at such rates of exchange and with such adjustments, all as may be stated in such resolution or resolutions. Our authorized preferred stock consists of 250,000 shares of redeemable senior preferred stock, par value $0.0001 per share. Issuance of preferred stock in the future could discourage bids for the common stock at a premium as well as create a depressive effect on the market price of the common stock. The terms of any preferred stock we may offer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our board of directors is empowered, without stockholder approval, to issue preferred shares with dividend, liquidation, redemption, voting or other rights which could adversely affect the voting power or other rights of the holders of common stock. In addition, the preferred shares could be utilized as a method of discouraging, delaying or preventing a change in control of us. Although we do not currently intend to issue any preferred shares, we cannot assure you that we will not do so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contains provisions that have the same effect as Section 203, except that they provide that Priority Investment Holdings, LLC and Priority Incentive Equity Holdings, LLC (collectively,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Directors’ Liability and Indemnification of Directors, Officers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and amended and restated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permits us to purchase and maintain insurance on behalf of any person who is or was a director, officer, employee or agent of the Company, or is or was serving at the request of our Company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Company would have the power to indemnify him or her against such liability under the provisions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advancement and indemnification provisions in the Second Amended and Restated Certificate of Incorporation and bylaws may discourage stockholders from bringing lawsuits against directors or officers for breach of their fiduciary duties. These provisions also may have the effect of reducing the likelihood of derivative litigation against directors and officers, even though such an action, if successful, might otherwise benefit us and its stockholders. In addition, your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a fiduciary duty owed by any of our directors, officers, employees or agents to us or our stockholders; (c) any action asserting a claim pursuant to any provision of the DGCL, our certificate of incorporation or our bylaws; or (d) any action asserting a claim governed by the internal affairs doctrine. However, it is possible that a court could find our forum selection provision to be inapplicable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Capital Market under the symbol “PRTH.”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securities is Equiniti Trust Company, LLC, 48 Wall Street, Floor 23 New York, NY 10005.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sell the securities described in the prospectus from time to time in any one or more of the following methods when disposing of securities or interests there: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433"/>
        <w:gridCol w:w="9599"/>
      </w:tblGrid>
      <w:tr>
        <w:trPr/>
        <w:tc>
          <w:tcPr>
            <w:tcW w:w="17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99" w:type="dxa"/>
            <w:tcBorders/>
            <w:vAlign w:val="center"/>
          </w:tcPr>
          <w:p>
            <w:pPr>
              <w:pStyle w:val="TableContents"/>
              <w:bidi w:val="0"/>
              <w:spacing w:before="0" w:after="283"/>
              <w:jc w:val="left"/>
              <w:rPr/>
            </w:pPr>
            <w:r>
              <w:rPr/>
              <w:t>to purchasers directly;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190"/>
        <w:gridCol w:w="9939"/>
      </w:tblGrid>
      <w:tr>
        <w:trPr/>
        <w:tc>
          <w:tcPr>
            <w:tcW w:w="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39" w:type="dxa"/>
            <w:tcBorders/>
            <w:vAlign w:val="center"/>
          </w:tcPr>
          <w:p>
            <w:pPr>
              <w:pStyle w:val="TableContents"/>
              <w:bidi w:val="0"/>
              <w:spacing w:before="0" w:after="283"/>
              <w:jc w:val="left"/>
              <w:rPr/>
            </w:pPr>
            <w:r>
              <w:rPr/>
              <w:t>to underwriters for public offering and sale by them;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598"/>
        <w:gridCol w:w="9369"/>
      </w:tblGrid>
      <w:tr>
        <w:trPr/>
        <w:tc>
          <w:tcPr>
            <w:tcW w:w="23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69" w:type="dxa"/>
            <w:tcBorders/>
            <w:vAlign w:val="center"/>
          </w:tcPr>
          <w:p>
            <w:pPr>
              <w:pStyle w:val="TableContents"/>
              <w:bidi w:val="0"/>
              <w:spacing w:before="0" w:after="283"/>
              <w:jc w:val="left"/>
              <w:rPr/>
            </w:pPr>
            <w:r>
              <w:rPr/>
              <w:t>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576"/>
        <w:gridCol w:w="9399"/>
      </w:tblGrid>
      <w:tr>
        <w:trPr/>
        <w:tc>
          <w:tcPr>
            <w:tcW w:w="23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9" w:type="dxa"/>
            <w:tcBorders/>
            <w:vAlign w:val="center"/>
          </w:tcPr>
          <w:p>
            <w:pPr>
              <w:pStyle w:val="TableContents"/>
              <w:bidi w:val="0"/>
              <w:spacing w:before="0" w:after="283"/>
              <w:jc w:val="left"/>
              <w:rPr/>
            </w:pPr>
            <w:r>
              <w:rPr/>
              <w:t>through dealers;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46"/>
        <w:gridCol w:w="10002"/>
      </w:tblGrid>
      <w:tr>
        <w:trPr/>
        <w:tc>
          <w:tcPr>
            <w:tcW w:w="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2" w:type="dxa"/>
            <w:tcBorders/>
            <w:vAlign w:val="center"/>
          </w:tcPr>
          <w:p>
            <w:pPr>
              <w:pStyle w:val="TableContents"/>
              <w:bidi w:val="0"/>
              <w:spacing w:before="0" w:after="283"/>
              <w:jc w:val="left"/>
              <w:rPr/>
            </w:pPr>
            <w:r>
              <w:rPr/>
              <w:t>through a combination of any of the forgoing methods of sale; and/or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53"/>
        <w:gridCol w:w="9991"/>
      </w:tblGrid>
      <w:tr>
        <w:trPr/>
        <w:tc>
          <w:tcPr>
            <w:tcW w:w="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1" w:type="dxa"/>
            <w:tcBorders/>
            <w:vAlign w:val="center"/>
          </w:tcPr>
          <w:p>
            <w:pPr>
              <w:pStyle w:val="TableContents"/>
              <w:bidi w:val="0"/>
              <w:spacing w:before="0" w:after="283"/>
              <w:jc w:val="left"/>
              <w:rPr/>
            </w:pPr>
            <w:r>
              <w:rPr/>
              <w:t>through any other methods described in a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sell, transfer or otherwise dispose of securities on any stock exchange, market or trading facility on which the securities are traded or in private transactions. The selling stockholders may also sell shares under Rule 144 under the Securities Act, if available, rather than under this prospectus, regardless of whether the shares are covered by this prospectus. The selling stockholders may also sell shares through trading plans entered into by the selling stockholders, including any trading plans pursuant to Rule 10b5-1 under the Exchange Act, that are in place at the time of an offering pursuant to this prospectus and any applicable prospectus supplement or free writing prospectus hereto that provide for periodic sales of their shares on the basis of parameters described in such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one or more selling stockholders may sell the securities directly to institutional investors or others who may be deemed to be underwriters within the meaning of the Securities Act, with respect to any resale of the securities. A prospectus supplement will describe the terms of any sale of securities we are offering hereunder. Direct sales may be arranged by a securities broker-dealer or other financial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 Underwriters may be involved in any “at the market” offering of securities by or on our behalf. Any such underwriters will be named in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an applicable prospectus supplement, the obligations of any underwriters to purchase securities will be subject to certain conditions precedent, and the underwriters will be obligated to purchase all the securities if any are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set forth whether or not underwriters may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any agent involved in a sale of securities, as well as any commissions payable to such agent, in a prospectus supplement. Unless we state otherwise in the applicable prospectus supplement, any such agent will be acting on a reasonable efforts basis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pursuant to this prospectus, we will sell the securities to the dealer, as principal. The dealer may then resell the securities to the public at varying prices to be determined by the dealer at the time of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in this prospectus will be passed upon for us by Troutman Pepper Hamilton Sanders LLP, Atlanta, Georgia. If certain legal matters in connection with an offering of the securities made by this prospectus and a related prospectus supplement are passed upon by counsel for the underwriters of such offering, that counsel will be named in the applicable prospectus supplement related to that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appearing in the Company’s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2"/>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 website at www.sec.gov that contains reports, proxy and information statements and other information regarding registrants. Our SEC filings, including our registration statement of which this prospectus is a part and the exhibits and schedules thereto, via the SEC’s EDGAR database.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maintain a website at </w:t>
      </w:r>
      <w:r>
        <w:rPr>
          <w:rFonts w:ascii="Times New Roman;Times;Serif" w:hAnsi="Times New Roman;Times;Serif"/>
          <w:b w:val="false"/>
          <w:i w:val="false"/>
          <w:caps w:val="false"/>
          <w:smallCaps w:val="false"/>
          <w:sz w:val="20"/>
          <w:u w:val="single"/>
        </w:rPr>
        <w:t>www.prioritycommerce.com</w:t>
      </w:r>
      <w:r>
        <w:rPr>
          <w:rFonts w:ascii="Times New Roman;Times;Serif" w:hAnsi="Times New Roman;Times;Serif"/>
          <w:b w:val="false"/>
          <w:i w:val="false"/>
          <w:caps w:val="false"/>
          <w:smallCaps w:val="false"/>
          <w:sz w:val="20"/>
        </w:rPr>
        <w: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at </w:t>
      </w:r>
      <w:r>
        <w:rPr>
          <w:rFonts w:ascii="Times New Roman;Times;Serif" w:hAnsi="Times New Roman;Times;Serif"/>
          <w:b w:val="false"/>
          <w:i w:val="false"/>
          <w:caps w:val="false"/>
          <w:smallCaps w:val="false"/>
          <w:sz w:val="20"/>
          <w:u w:val="single"/>
        </w:rPr>
        <w:t xml:space="preserve">www.sec.gov </w:t>
      </w:r>
      <w:r>
        <w:rPr>
          <w:rFonts w:ascii="Times New Roman;Times;Serif" w:hAnsi="Times New Roman;Times;Serif"/>
          <w:b w:val="false"/>
          <w:i w:val="false"/>
          <w:caps w:val="false"/>
          <w:smallCaps w:val="false"/>
          <w:sz w:val="20"/>
        </w:rPr>
        <w:t>that contains reports, proxy and information statements and other information regarding issuers, including us, that file electronically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incorporate by reference the documents listed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pPr>
            <w:r>
              <w:rPr>
                <w:rFonts w:ascii="Times New Roman;Times;Serif" w:hAnsi="Times New Roman;Times;Serif"/>
                <w:sz w:val="20"/>
              </w:rPr>
              <w:t xml:space="preserve">our </w:t>
            </w:r>
            <w:hyperlink r:id="rId4">
              <w:r>
                <w:rPr>
                  <w:rStyle w:val="InternetLink"/>
                </w:rPr>
                <w:t>Annual Report on Form 10-K</w:t>
              </w:r>
            </w:hyperlink>
            <w:r>
              <w:rPr/>
              <w:t xml:space="preserve"> for the fiscal year ended December 31, 2023, filed on March 12, 2024;</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pPr>
            <w:r>
              <w:rPr>
                <w:rFonts w:ascii="Times New Roman;Times;Serif" w:hAnsi="Times New Roman;Times;Serif"/>
                <w:sz w:val="20"/>
              </w:rPr>
              <w:t xml:space="preserve">our Quarterly Report on Form 10-Q for the quarterly periods ended </w:t>
            </w:r>
            <w:hyperlink r:id="rId5">
              <w:r>
                <w:rPr>
                  <w:rStyle w:val="InternetLink"/>
                </w:rPr>
                <w:t>March 31, 2024</w:t>
              </w:r>
            </w:hyperlink>
            <w:r>
              <w:rPr/>
              <w:t xml:space="preserve">, </w:t>
            </w:r>
            <w:hyperlink r:id="rId6">
              <w:r>
                <w:rPr>
                  <w:rStyle w:val="InternetLink"/>
                </w:rPr>
                <w:t>June 30, 2024</w:t>
              </w:r>
            </w:hyperlink>
            <w:r>
              <w:rPr/>
              <w:t xml:space="preserve"> and </w:t>
            </w:r>
            <w:hyperlink r:id="rId7">
              <w:r>
                <w:rPr>
                  <w:rStyle w:val="InternetLink"/>
                </w:rPr>
                <w:t>September 30, 2024</w:t>
              </w:r>
            </w:hyperlink>
            <w:r>
              <w:rPr/>
              <w:t>, filed on May 9, 2024, August 8, 2024 and November 7, 2024, respectively;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pPr>
            <w:r>
              <w:rPr>
                <w:rFonts w:ascii="Times New Roman;Times;Serif" w:hAnsi="Times New Roman;Times;Serif"/>
                <w:sz w:val="20"/>
              </w:rPr>
              <w:t>our definitive Proxy Statement on </w:t>
            </w:r>
            <w:hyperlink r:id="rId8">
              <w:r>
                <w:rPr>
                  <w:rStyle w:val="InternetLink"/>
                  <w:rFonts w:ascii="Times New Roman;Times;Serif" w:hAnsi="Times New Roman;Times;Serif"/>
                  <w:sz w:val="20"/>
                </w:rPr>
                <w:t>Schedule 14A</w:t>
              </w:r>
            </w:hyperlink>
            <w:r>
              <w:rPr/>
              <w:t xml:space="preserve"> (other than information furnished rather than filed) to the extent incorporated by reference into our Annual Report on Form 10-K for the year ended December 31, 2023, filed on April 9, 2024;</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pPr>
            <w:r>
              <w:rPr>
                <w:rFonts w:ascii="Times New Roman;Times;Serif" w:hAnsi="Times New Roman;Times;Serif"/>
                <w:sz w:val="20"/>
              </w:rPr>
              <w:t xml:space="preserve">our Current Reports on Form 8-K, filed on </w:t>
            </w:r>
            <w:hyperlink r:id="rId9">
              <w:r>
                <w:rPr>
                  <w:rStyle w:val="InternetLink"/>
                </w:rPr>
                <w:t>February 23, 2024</w:t>
              </w:r>
            </w:hyperlink>
            <w:r>
              <w:rPr/>
              <w:t xml:space="preserve">, </w:t>
            </w:r>
            <w:hyperlink r:id="rId10">
              <w:r>
                <w:rPr>
                  <w:rStyle w:val="InternetLink"/>
                </w:rPr>
                <w:t>May 21, 2024</w:t>
              </w:r>
            </w:hyperlink>
            <w:r>
              <w:rPr/>
              <w:t xml:space="preserve">, </w:t>
            </w:r>
            <w:hyperlink r:id="rId11">
              <w:r>
                <w:rPr>
                  <w:rStyle w:val="InternetLink"/>
                </w:rPr>
                <w:t>May 22, 2024</w:t>
              </w:r>
            </w:hyperlink>
            <w:r>
              <w:rPr/>
              <w:t xml:space="preserve">, and </w:t>
            </w:r>
            <w:hyperlink r:id="rId12">
              <w:r>
                <w:rPr>
                  <w:rStyle w:val="InternetLink"/>
                </w:rPr>
                <w:t>November 21, 2024</w:t>
              </w:r>
            </w:hyperlink>
            <w:r>
              <w:rPr/>
              <w:t>;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pPr>
            <w:r>
              <w:rPr>
                <w:rFonts w:ascii="Times New Roman;Times;Serif" w:hAnsi="Times New Roman;Times;Serif"/>
                <w:sz w:val="20"/>
              </w:rPr>
              <w:t xml:space="preserve">the description of our capital stock contained in </w:t>
            </w:r>
            <w:hyperlink r:id="rId13">
              <w:r>
                <w:rPr>
                  <w:rStyle w:val="InternetLink"/>
                </w:rPr>
                <w:t>Exhibit 4.5 to our Annual Report on Form 10-K</w:t>
              </w:r>
            </w:hyperlink>
            <w:r>
              <w:rPr/>
              <w:t xml:space="preserve"> for the year ended December 31, 2023 including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incorporate by reference all documents filed pursuant to Sections 13(a), 13(c), 14 or 15(d) of the Securities Exchange Act of 1934, as amended (the “Exchange Act”), other than any portions of the respective filings that were furnished, after the date of this prospectus and prior to the termination of this offering; provided, however, that we are not incorporating any information furnished under Item 2.02 or Item 7.01 of any Current Report on Form 8-K (including any financial statements or exhibits relating thereto furnished pursuant to Item 9.01) or other applicable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 and 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Technology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Investor Relations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Westside Parkway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Alpharetta, GA 30004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 497-7575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assume that the information appearing or incorporated by reference in this prospectus, the applicable prospectus supplement or any free writing prospectus is accurate only as of the date of the documents containing the information, regardless of the time of its delivery or of any sale of our securities.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costs and expenses, other than underwriting discounts and commissions, payable in connection with the sale and distribution of the securities being registered. Except as otherwise noted, we will pay all of these amounts. All amounts are estimates except the SEC registration fee.</w:t>
      </w:r>
    </w:p>
    <w:p>
      <w:pPr>
        <w:pStyle w:val="TextBody"/>
        <w:bidi w:val="0"/>
        <w:spacing w:before="0" w:after="0"/>
        <w:ind w:left="0" w:right="0" w:hanging="0"/>
        <w:jc w:val="left"/>
        <w:rPr>
          <w:caps w:val="false"/>
          <w:smallCaps w:val="false"/>
        </w:rPr>
      </w:pPr>
      <w:r>
        <w:rPr>
          <w:caps w:val="false"/>
          <w:smallCaps w:val="false"/>
        </w:rPr>
        <w:t> </w:t>
      </w:r>
    </w:p>
    <w:tbl>
      <w:tblPr>
        <w:tblW w:w="3660" w:type="dxa"/>
        <w:jc w:val="center"/>
        <w:tblInd w:w="0" w:type="dxa"/>
        <w:tblLayout w:type="fixed"/>
        <w:tblCellMar>
          <w:top w:w="0" w:type="dxa"/>
          <w:left w:w="0" w:type="dxa"/>
          <w:bottom w:w="0" w:type="dxa"/>
          <w:right w:w="0" w:type="dxa"/>
        </w:tblCellMar>
      </w:tblPr>
      <w:tblGrid>
        <w:gridCol w:w="2555"/>
        <w:gridCol w:w="60"/>
        <w:gridCol w:w="125"/>
        <w:gridCol w:w="845"/>
        <w:gridCol w:w="75"/>
      </w:tblGrid>
      <w:tr>
        <w:trPr/>
        <w:tc>
          <w:tcPr>
            <w:tcW w:w="2555" w:type="dxa"/>
            <w:tcBorders/>
            <w:shd w:fill="CCEEFF" w:val="clear"/>
            <w:vAlign w:val="center"/>
          </w:tcPr>
          <w:p>
            <w:pPr>
              <w:pStyle w:val="TableContents"/>
              <w:bidi w:val="0"/>
              <w:spacing w:before="0" w:after="283"/>
              <w:ind w:left="0" w:right="0" w:hanging="200"/>
              <w:jc w:val="left"/>
              <w:rPr>
                <w:sz w:val="20"/>
              </w:rPr>
            </w:pPr>
            <w:r>
              <w:rPr>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35,894.21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555" w:type="dxa"/>
            <w:tcBorders/>
            <w:vAlign w:val="center"/>
          </w:tcPr>
          <w:p>
            <w:pPr>
              <w:pStyle w:val="TableContents"/>
              <w:bidi w:val="0"/>
              <w:spacing w:before="0" w:after="283"/>
              <w:jc w:val="left"/>
              <w:rPr>
                <w:sz w:val="20"/>
              </w:rPr>
            </w:pPr>
            <w:r>
              <w:rPr>
                <w:sz w:val="20"/>
              </w:rPr>
              <w:t>Accounting Fees and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75" w:type="dxa"/>
            <w:tcBorders/>
            <w:vAlign w:val="center"/>
          </w:tcPr>
          <w:p>
            <w:pPr>
              <w:pStyle w:val="TableContents"/>
              <w:bidi w:val="0"/>
              <w:spacing w:before="0" w:after="283"/>
              <w:ind w:left="0" w:right="0" w:hanging="200"/>
              <w:jc w:val="left"/>
              <w:rPr/>
            </w:pPr>
            <w:r>
              <w:rPr/>
              <w:t> </w:t>
            </w:r>
          </w:p>
        </w:tc>
      </w:tr>
      <w:tr>
        <w:trPr/>
        <w:tc>
          <w:tcPr>
            <w:tcW w:w="2555" w:type="dxa"/>
            <w:tcBorders/>
            <w:shd w:fill="CCECFF" w:val="clear"/>
            <w:vAlign w:val="center"/>
          </w:tcPr>
          <w:p>
            <w:pPr>
              <w:pStyle w:val="TableContents"/>
              <w:bidi w:val="0"/>
              <w:spacing w:before="0" w:after="283"/>
              <w:jc w:val="left"/>
              <w:rPr>
                <w:sz w:val="20"/>
              </w:rPr>
            </w:pPr>
            <w:r>
              <w:rPr>
                <w:sz w:val="20"/>
              </w:rPr>
              <w:t>Legal Fees and Expenses</w:t>
            </w:r>
          </w:p>
        </w:tc>
        <w:tc>
          <w:tcPr>
            <w:tcW w:w="60" w:type="dxa"/>
            <w:tcBorders/>
            <w:shd w:fill="CCECFF" w:val="clear"/>
            <w:vAlign w:val="center"/>
          </w:tcPr>
          <w:p>
            <w:pPr>
              <w:pStyle w:val="TableContents"/>
              <w:bidi w:val="0"/>
              <w:spacing w:before="0" w:after="283"/>
              <w:jc w:val="left"/>
              <w:rPr/>
            </w:pPr>
            <w:r>
              <w:rPr/>
              <w:t> </w:t>
            </w:r>
          </w:p>
        </w:tc>
        <w:tc>
          <w:tcPr>
            <w:tcW w:w="125" w:type="dxa"/>
            <w:tcBorders/>
            <w:shd w:fill="CCECFF" w:val="clear"/>
            <w:vAlign w:val="center"/>
          </w:tcPr>
          <w:p>
            <w:pPr>
              <w:pStyle w:val="TableContents"/>
              <w:bidi w:val="0"/>
              <w:spacing w:before="0" w:after="283"/>
              <w:jc w:val="left"/>
              <w:rPr/>
            </w:pPr>
            <w:r>
              <w:rPr/>
              <w:t> </w:t>
            </w:r>
          </w:p>
        </w:tc>
        <w:tc>
          <w:tcPr>
            <w:tcW w:w="845" w:type="dxa"/>
            <w:tcBorders/>
            <w:shd w:fill="CCECFF" w:val="clear"/>
            <w:vAlign w:val="center"/>
          </w:tcPr>
          <w:p>
            <w:pPr>
              <w:pStyle w:val="TableContents"/>
              <w:bidi w:val="0"/>
              <w:spacing w:before="0" w:after="283"/>
              <w:jc w:val="right"/>
              <w:rPr>
                <w:sz w:val="20"/>
              </w:rPr>
            </w:pPr>
            <w:r>
              <w:rPr>
                <w:sz w:val="20"/>
              </w:rPr>
              <w:t>*</w:t>
            </w:r>
          </w:p>
        </w:tc>
        <w:tc>
          <w:tcPr>
            <w:tcW w:w="75" w:type="dxa"/>
            <w:tcBorders/>
            <w:shd w:fill="CCECFF" w:val="clear"/>
            <w:vAlign w:val="center"/>
          </w:tcPr>
          <w:p>
            <w:pPr>
              <w:pStyle w:val="TableContents"/>
              <w:bidi w:val="0"/>
              <w:spacing w:before="0" w:after="283"/>
              <w:ind w:left="0" w:right="0" w:hanging="200"/>
              <w:jc w:val="left"/>
              <w:rPr/>
            </w:pPr>
            <w:r>
              <w:rPr/>
              <w:t> </w:t>
            </w:r>
          </w:p>
        </w:tc>
      </w:tr>
      <w:tr>
        <w:trPr/>
        <w:tc>
          <w:tcPr>
            <w:tcW w:w="2555" w:type="dxa"/>
            <w:tcBorders/>
            <w:vAlign w:val="center"/>
          </w:tcPr>
          <w:p>
            <w:pPr>
              <w:pStyle w:val="TableContents"/>
              <w:bidi w:val="0"/>
              <w:spacing w:before="0" w:after="283"/>
              <w:jc w:val="left"/>
              <w:rPr>
                <w:sz w:val="20"/>
              </w:rPr>
            </w:pPr>
            <w:r>
              <w:rPr>
                <w:sz w:val="20"/>
              </w:rPr>
              <w:t>Printing Fees and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75" w:type="dxa"/>
            <w:tcBorders/>
            <w:vAlign w:val="center"/>
          </w:tcPr>
          <w:p>
            <w:pPr>
              <w:pStyle w:val="TableContents"/>
              <w:bidi w:val="0"/>
              <w:spacing w:before="0" w:after="283"/>
              <w:ind w:left="0" w:right="0" w:hanging="200"/>
              <w:jc w:val="left"/>
              <w:rPr/>
            </w:pPr>
            <w:r>
              <w:rPr/>
              <w:t> </w:t>
            </w:r>
          </w:p>
        </w:tc>
      </w:tr>
      <w:tr>
        <w:trPr/>
        <w:tc>
          <w:tcPr>
            <w:tcW w:w="2555" w:type="dxa"/>
            <w:tcBorders/>
            <w:shd w:fill="CCECFF" w:val="clear"/>
            <w:vAlign w:val="center"/>
          </w:tcPr>
          <w:p>
            <w:pPr>
              <w:pStyle w:val="TableContents"/>
              <w:bidi w:val="0"/>
              <w:spacing w:before="0" w:after="283"/>
              <w:jc w:val="left"/>
              <w:rPr>
                <w:sz w:val="20"/>
              </w:rPr>
            </w:pPr>
            <w:r>
              <w:rPr>
                <w:sz w:val="20"/>
              </w:rPr>
              <w:t>Blue Sky Fees and Expenses</w:t>
            </w:r>
          </w:p>
        </w:tc>
        <w:tc>
          <w:tcPr>
            <w:tcW w:w="60" w:type="dxa"/>
            <w:tcBorders/>
            <w:shd w:fill="CCECFF" w:val="clear"/>
            <w:vAlign w:val="center"/>
          </w:tcPr>
          <w:p>
            <w:pPr>
              <w:pStyle w:val="TableContents"/>
              <w:bidi w:val="0"/>
              <w:spacing w:before="0" w:after="283"/>
              <w:jc w:val="left"/>
              <w:rPr/>
            </w:pPr>
            <w:r>
              <w:rPr/>
              <w:t> </w:t>
            </w:r>
          </w:p>
        </w:tc>
        <w:tc>
          <w:tcPr>
            <w:tcW w:w="125" w:type="dxa"/>
            <w:tcBorders/>
            <w:shd w:fill="CCECFF" w:val="clear"/>
            <w:vAlign w:val="center"/>
          </w:tcPr>
          <w:p>
            <w:pPr>
              <w:pStyle w:val="TableContents"/>
              <w:bidi w:val="0"/>
              <w:spacing w:before="0" w:after="283"/>
              <w:jc w:val="left"/>
              <w:rPr/>
            </w:pPr>
            <w:r>
              <w:rPr/>
              <w:t> </w:t>
            </w:r>
          </w:p>
        </w:tc>
        <w:tc>
          <w:tcPr>
            <w:tcW w:w="845" w:type="dxa"/>
            <w:tcBorders/>
            <w:shd w:fill="CCECFF" w:val="clear"/>
            <w:vAlign w:val="center"/>
          </w:tcPr>
          <w:p>
            <w:pPr>
              <w:pStyle w:val="TableContents"/>
              <w:bidi w:val="0"/>
              <w:spacing w:before="0" w:after="283"/>
              <w:jc w:val="right"/>
              <w:rPr>
                <w:sz w:val="20"/>
              </w:rPr>
            </w:pPr>
            <w:r>
              <w:rPr>
                <w:sz w:val="20"/>
              </w:rPr>
              <w:t>*</w:t>
            </w:r>
          </w:p>
        </w:tc>
        <w:tc>
          <w:tcPr>
            <w:tcW w:w="75" w:type="dxa"/>
            <w:tcBorders/>
            <w:shd w:fill="CCECFF" w:val="clear"/>
            <w:vAlign w:val="center"/>
          </w:tcPr>
          <w:p>
            <w:pPr>
              <w:pStyle w:val="TableContents"/>
              <w:bidi w:val="0"/>
              <w:spacing w:before="0" w:after="283"/>
              <w:ind w:left="0" w:right="0" w:hanging="200"/>
              <w:jc w:val="left"/>
              <w:rPr/>
            </w:pPr>
            <w:r>
              <w:rPr/>
              <w:t> </w:t>
            </w:r>
          </w:p>
        </w:tc>
      </w:tr>
      <w:tr>
        <w:trPr/>
        <w:tc>
          <w:tcPr>
            <w:tcW w:w="2555" w:type="dxa"/>
            <w:tcBorders/>
            <w:vAlign w:val="center"/>
          </w:tcPr>
          <w:p>
            <w:pPr>
              <w:pStyle w:val="TableContents"/>
              <w:bidi w:val="0"/>
              <w:spacing w:before="0" w:after="283"/>
              <w:jc w:val="left"/>
              <w:rPr>
                <w:sz w:val="20"/>
              </w:rPr>
            </w:pPr>
            <w:r>
              <w:rPr>
                <w:sz w:val="20"/>
              </w:rPr>
              <w:t>Miscellaneous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75" w:type="dxa"/>
            <w:tcBorders/>
            <w:vAlign w:val="center"/>
          </w:tcPr>
          <w:p>
            <w:pPr>
              <w:pStyle w:val="TableContents"/>
              <w:bidi w:val="0"/>
              <w:spacing w:before="0" w:after="283"/>
              <w:jc w:val="left"/>
              <w:rPr/>
            </w:pPr>
            <w:r>
              <w:rPr/>
              <w:t> </w:t>
            </w:r>
          </w:p>
        </w:tc>
      </w:tr>
      <w:tr>
        <w:trPr/>
        <w:tc>
          <w:tcPr>
            <w:tcW w:w="2555" w:type="dxa"/>
            <w:tcBorders/>
            <w:shd w:fill="CCECFF" w:val="clear"/>
            <w:vAlign w:val="center"/>
          </w:tcPr>
          <w:p>
            <w:pPr>
              <w:pStyle w:val="TableContents"/>
              <w:bidi w:val="0"/>
              <w:spacing w:before="0" w:after="283"/>
              <w:jc w:val="left"/>
              <w:rPr>
                <w:sz w:val="20"/>
              </w:rPr>
            </w:pPr>
            <w:r>
              <w:rPr>
                <w:sz w:val="20"/>
              </w:rPr>
              <w:t>Total</w:t>
            </w:r>
          </w:p>
        </w:tc>
        <w:tc>
          <w:tcPr>
            <w:tcW w:w="60" w:type="dxa"/>
            <w:tcBorders/>
            <w:shd w:fill="CCECFF" w:val="clear"/>
            <w:vAlign w:val="center"/>
          </w:tcPr>
          <w:p>
            <w:pPr>
              <w:pStyle w:val="TableContents"/>
              <w:bidi w:val="0"/>
              <w:spacing w:before="0" w:after="283"/>
              <w:jc w:val="left"/>
              <w:rPr/>
            </w:pPr>
            <w:r>
              <w:rPr/>
              <w:t> </w:t>
            </w:r>
          </w:p>
        </w:tc>
        <w:tc>
          <w:tcPr>
            <w:tcW w:w="125" w:type="dxa"/>
            <w:tcBorders>
              <w:top w:val="single" w:sz="8" w:space="0" w:color="000000"/>
              <w:bottom w:val="double" w:sz="6" w:space="0" w:color="000000"/>
            </w:tcBorders>
            <w:shd w:fill="CCECFF" w:val="clear"/>
            <w:tcMar>
              <w:top w:w="28" w:type="dxa"/>
              <w:bottom w:w="41" w:type="dxa"/>
            </w:tcMar>
            <w:vAlign w:val="center"/>
          </w:tcPr>
          <w:p>
            <w:pPr>
              <w:pStyle w:val="TableContents"/>
              <w:bidi w:val="0"/>
              <w:spacing w:before="0" w:after="283"/>
              <w:jc w:val="left"/>
              <w:rPr>
                <w:sz w:val="20"/>
              </w:rPr>
            </w:pPr>
            <w:r>
              <w:rPr>
                <w:sz w:val="20"/>
              </w:rPr>
              <w:t>$</w:t>
            </w:r>
          </w:p>
        </w:tc>
        <w:tc>
          <w:tcPr>
            <w:tcW w:w="845" w:type="dxa"/>
            <w:tcBorders>
              <w:top w:val="single" w:sz="8" w:space="0" w:color="000000"/>
              <w:bottom w:val="double" w:sz="6" w:space="0" w:color="000000"/>
            </w:tcBorders>
            <w:shd w:fill="CCECFF" w:val="clear"/>
            <w:tcMar>
              <w:top w:w="28" w:type="dxa"/>
              <w:bottom w:w="41" w:type="dxa"/>
            </w:tcMar>
            <w:vAlign w:val="center"/>
          </w:tcPr>
          <w:p>
            <w:pPr>
              <w:pStyle w:val="TableContents"/>
              <w:bidi w:val="0"/>
              <w:spacing w:before="0" w:after="283"/>
              <w:jc w:val="right"/>
              <w:rPr>
                <w:sz w:val="20"/>
              </w:rPr>
            </w:pPr>
            <w:r>
              <w:rPr>
                <w:sz w:val="20"/>
              </w:rPr>
              <w:t>*</w:t>
            </w:r>
          </w:p>
        </w:tc>
        <w:tc>
          <w:tcPr>
            <w:tcW w:w="75" w:type="dxa"/>
            <w:tcBorders/>
            <w:shd w:fill="CCEC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applicable prospectus supplement will set forth the estimated aggregate amount of expenses payable in respect of any offering of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Schedules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5"/>
        <w:gridCol w:w="60"/>
        <w:gridCol w:w="9330"/>
      </w:tblGrid>
      <w:tr>
        <w:trPr/>
        <w:tc>
          <w:tcPr>
            <w:tcW w:w="815" w:type="dxa"/>
            <w:tcBorders>
              <w:bottom w:val="single" w:sz="8" w:space="0" w:color="000000"/>
            </w:tcBorders>
            <w:vAlign w:val="center"/>
          </w:tcPr>
          <w:p>
            <w:pPr>
              <w:pStyle w:val="TableContents"/>
              <w:bidi w:val="0"/>
              <w:spacing w:before="0" w:after="283"/>
              <w:jc w:val="left"/>
              <w:rPr/>
            </w:pPr>
            <w:r>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33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 of Exhibit</w:t>
            </w:r>
          </w:p>
        </w:tc>
      </w:tr>
      <w:tr>
        <w:trPr/>
        <w:tc>
          <w:tcPr>
            <w:tcW w:w="8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Underwriting Agreement</w:t>
            </w:r>
          </w:p>
        </w:tc>
      </w:tr>
      <w:tr>
        <w:trPr/>
        <w:tc>
          <w:tcPr>
            <w:tcW w:w="815" w:type="dxa"/>
            <w:tcBorders/>
            <w:shd w:fill="FFFFFF" w:val="clear"/>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2.1**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30" w:type="dxa"/>
            <w:tcBorders/>
            <w:shd w:fill="FFFFFF" w:val="clear"/>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sz w:val="20"/>
                </w:rPr>
                <w:t>Agreement and Plan of Merger dated as of March 5, 2021, by and among the Company, Finxera Holdings, Inc., Prime Warrior Acquisition Corp., and Stone Point Capital LLC</w:t>
              </w:r>
            </w:hyperlink>
            <w:hyperlink r:id="rId16">
              <w:r>
                <w:rPr>
                  <w:rStyle w:val="InternetLink"/>
                </w:rPr>
                <w:t xml:space="preserve"> (incorporated by reference to Exhibit 2.1 to the Company’s Current Report on Form 8-K, filed March 8, 2021)</w:t>
              </w:r>
            </w:hyperlink>
          </w:p>
        </w:tc>
      </w:tr>
      <w:tr>
        <w:trPr/>
        <w:tc>
          <w:tcPr>
            <w:tcW w:w="815" w:type="dxa"/>
            <w:tcBorders/>
            <w:shd w:fill="CCEEFF" w:val="clear"/>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sz w:val="20"/>
                </w:rPr>
                <w:t>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30" w:type="dxa"/>
            <w:tcBorders/>
            <w:shd w:fill="CCEEFF" w:val="clear"/>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sz w:val="20"/>
                </w:rPr>
                <w:t>Second Amended and Restated Certificate of Incorporation of Priority Technology Holdings, Inc. (incorporated by reference to Exhibit 3.1 to the Company’s Current Report on Form 8-K, filed July 31, 2018)</w:t>
              </w:r>
            </w:hyperlink>
          </w:p>
        </w:tc>
      </w:tr>
      <w:tr>
        <w:trPr/>
        <w:tc>
          <w:tcPr>
            <w:tcW w:w="815" w:type="dxa"/>
            <w:tcBorders/>
            <w:shd w:fill="FFFFFF" w:val="clear"/>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3.2**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30" w:type="dxa"/>
            <w:tcBorders/>
            <w:shd w:fill="FFFFFF" w:val="clear"/>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sz w:val="20"/>
                </w:rPr>
                <w:t>Certificate of Amendment to the Certificate of Incorporation of Priority Technology Holdings dated April 16, 2021, (incorporated by reference to Annex 1 to the Company’s Proxy Statement on Schedule 14(a), filed April 29, 2021)</w:t>
              </w:r>
            </w:hyperlink>
          </w:p>
        </w:tc>
      </w:tr>
      <w:tr>
        <w:trPr/>
        <w:tc>
          <w:tcPr>
            <w:tcW w:w="815" w:type="dxa"/>
            <w:tcBorders/>
            <w:shd w:fill="CCEEFF" w:val="clear"/>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3.3**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30" w:type="dxa"/>
            <w:tcBorders/>
            <w:shd w:fill="CCEEFF" w:val="clear"/>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sz w:val="20"/>
                </w:rPr>
                <w:t>Certificate of Designations of Senior Preferred Stock</w:t>
              </w:r>
            </w:hyperlink>
            <w:hyperlink r:id="rId23">
              <w:r>
                <w:rPr>
                  <w:rStyle w:val="InternetLink"/>
                </w:rPr>
                <w:t xml:space="preserve"> (incorporated by reference to Exhibit 3.1 to the Company’s Current Report on Form 8-K, filed May 3, 2021)</w:t>
              </w:r>
            </w:hyperlink>
          </w:p>
        </w:tc>
      </w:tr>
      <w:tr>
        <w:trPr/>
        <w:tc>
          <w:tcPr>
            <w:tcW w:w="815" w:type="dxa"/>
            <w:tcBorders/>
            <w:shd w:fill="FFFFFF" w:val="clear"/>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sz w:val="20"/>
                </w:rPr>
                <w:t>3.4**</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30" w:type="dxa"/>
            <w:tcBorders/>
            <w:shd w:fill="FFFFFF" w:val="clear"/>
            <w:tcMar>
              <w:bottom w:w="0" w:type="dxa"/>
            </w:tcMar>
            <w:vAlign w:val="center"/>
          </w:tcPr>
          <w:p>
            <w:pPr>
              <w:pStyle w:val="TableContents"/>
              <w:bidi w:val="0"/>
              <w:spacing w:before="0" w:after="283"/>
              <w:jc w:val="left"/>
              <w:rPr/>
            </w:pPr>
            <w:hyperlink r:id="rId25">
              <w:r>
                <w:rPr>
                  <w:rStyle w:val="InternetLink"/>
                  <w:rFonts w:ascii="Times New Roman;Times;Serif" w:hAnsi="Times New Roman;Times;Serif"/>
                  <w:sz w:val="20"/>
                </w:rPr>
                <w:t>Amended and Restated Bylaws of Priority Technology Holdings, Inc. (incorporated by reference to Exhibit 3.2 to the Company’s Current Report on Form 8-K, filed July 31, 2018)</w:t>
              </w:r>
            </w:hyperlink>
          </w:p>
        </w:tc>
      </w:tr>
      <w:tr>
        <w:trPr/>
        <w:tc>
          <w:tcPr>
            <w:tcW w:w="815" w:type="dxa"/>
            <w:tcBorders/>
            <w:shd w:fill="CCEEFF" w:val="clear"/>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sz w:val="20"/>
                </w:rPr>
                <w:t>4.2**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30" w:type="dxa"/>
            <w:tcBorders/>
            <w:shd w:fill="CCEEFF" w:val="clear"/>
            <w:tcMar>
              <w:bottom w:w="0" w:type="dxa"/>
            </w:tcMar>
            <w:vAlign w:val="center"/>
          </w:tcPr>
          <w:p>
            <w:pPr>
              <w:pStyle w:val="TableContents"/>
              <w:bidi w:val="0"/>
              <w:spacing w:before="0" w:after="283"/>
              <w:jc w:val="left"/>
              <w:rPr/>
            </w:pPr>
            <w:hyperlink r:id="rId27">
              <w:r>
                <w:rPr>
                  <w:rStyle w:val="InternetLink"/>
                  <w:rFonts w:ascii="Times New Roman;Times;Serif" w:hAnsi="Times New Roman;Times;Serif"/>
                  <w:sz w:val="20"/>
                </w:rPr>
                <w:t>Specimen Common Stock Certificate (incorporated by reference to Exhibit 4.2 to the Registration Statement on Form S-1, filed July 26, 2016)</w:t>
              </w:r>
            </w:hyperlink>
          </w:p>
        </w:tc>
      </w:tr>
      <w:tr>
        <w:trPr/>
        <w:tc>
          <w:tcPr>
            <w:tcW w:w="815" w:type="dxa"/>
            <w:tcBorders/>
            <w:shd w:fill="FFFFFF" w:val="clear"/>
            <w:tcMar>
              <w:bottom w:w="0" w:type="dxa"/>
            </w:tcMar>
            <w:vAlign w:val="center"/>
          </w:tcPr>
          <w:p>
            <w:pPr>
              <w:pStyle w:val="TableContents"/>
              <w:bidi w:val="0"/>
              <w:spacing w:before="0" w:after="283"/>
              <w:jc w:val="left"/>
              <w:rPr/>
            </w:pPr>
            <w:hyperlink r:id="rId28">
              <w:r>
                <w:rPr>
                  <w:rStyle w:val="InternetLink"/>
                  <w:rFonts w:ascii="Times New Roman;Times;Serif" w:hAnsi="Times New Roman;Times;Serif"/>
                  <w:sz w:val="20"/>
                </w:rPr>
                <w:t>4.3**</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30" w:type="dxa"/>
            <w:tcBorders/>
            <w:shd w:fill="FFFFFF" w:val="clear"/>
            <w:tcMar>
              <w:bottom w:w="0" w:type="dxa"/>
            </w:tcMar>
            <w:vAlign w:val="center"/>
          </w:tcPr>
          <w:p>
            <w:pPr>
              <w:pStyle w:val="TableContents"/>
              <w:bidi w:val="0"/>
              <w:spacing w:before="0" w:after="283"/>
              <w:jc w:val="left"/>
              <w:rPr/>
            </w:pPr>
            <w:hyperlink r:id="rId29">
              <w:r>
                <w:rPr>
                  <w:rStyle w:val="InternetLink"/>
                  <w:rFonts w:ascii="Times New Roman;Times;Serif" w:hAnsi="Times New Roman;Times;Serif"/>
                  <w:sz w:val="20"/>
                </w:rPr>
                <w:t>Securities Purchase Agreement, dated April 27, 2021, by and between the Company, Ares Capital Corporation and Investors named therein (incorporated by reference to Exhibit 10.1 to the Company’s Current Report on Form 8-K, filed May 3, 2021)</w:t>
              </w:r>
            </w:hyperlink>
          </w:p>
        </w:tc>
      </w:tr>
      <w:tr>
        <w:trPr/>
        <w:tc>
          <w:tcPr>
            <w:tcW w:w="815" w:type="dxa"/>
            <w:tcBorders/>
            <w:shd w:fill="CCEEFF" w:val="clear"/>
            <w:tcMar>
              <w:bottom w:w="0" w:type="dxa"/>
            </w:tcMar>
            <w:vAlign w:val="center"/>
          </w:tcPr>
          <w:p>
            <w:pPr>
              <w:pStyle w:val="TableContents"/>
              <w:bidi w:val="0"/>
              <w:spacing w:before="0" w:after="283"/>
              <w:jc w:val="left"/>
              <w:rPr/>
            </w:pPr>
            <w:hyperlink r:id="rId30">
              <w:r>
                <w:rPr>
                  <w:rStyle w:val="InternetLink"/>
                  <w:rFonts w:ascii="Times New Roman;Times;Serif" w:hAnsi="Times New Roman;Times;Serif"/>
                  <w:sz w:val="20"/>
                </w:rPr>
                <w:t>4.4**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30" w:type="dxa"/>
            <w:tcBorders/>
            <w:shd w:fill="CCEEFF" w:val="clear"/>
            <w:tcMar>
              <w:bottom w:w="0" w:type="dxa"/>
            </w:tcMar>
            <w:vAlign w:val="center"/>
          </w:tcPr>
          <w:p>
            <w:pPr>
              <w:pStyle w:val="TableContents"/>
              <w:bidi w:val="0"/>
              <w:spacing w:before="0" w:after="283"/>
              <w:jc w:val="left"/>
              <w:rPr/>
            </w:pPr>
            <w:hyperlink r:id="rId31">
              <w:r>
                <w:rPr>
                  <w:rStyle w:val="InternetLink"/>
                  <w:rFonts w:ascii="Times New Roman;Times;Serif" w:hAnsi="Times New Roman;Times;Serif"/>
                  <w:sz w:val="20"/>
                </w:rPr>
                <w:t>Registration Rights Agreement, dated April 27, 2021, by and between the Company, Ares Capital Corporation and Investors named therein (incorporated by reference to Exhibit 10.2 to the Company’s Current Report on Form 8-K, filed May 3, 2021)</w:t>
              </w:r>
            </w:hyperlink>
          </w:p>
        </w:tc>
      </w:tr>
      <w:tr>
        <w:trPr/>
        <w:tc>
          <w:tcPr>
            <w:tcW w:w="815" w:type="dxa"/>
            <w:tcBorders/>
            <w:shd w:fill="FFFFFF" w:val="clear"/>
            <w:tcMar>
              <w:bottom w:w="0" w:type="dxa"/>
            </w:tcMar>
            <w:vAlign w:val="center"/>
          </w:tcPr>
          <w:p>
            <w:pPr>
              <w:pStyle w:val="TableContents"/>
              <w:bidi w:val="0"/>
              <w:spacing w:before="0" w:after="283"/>
              <w:jc w:val="left"/>
              <w:rPr/>
            </w:pPr>
            <w:hyperlink r:id="rId32">
              <w:r>
                <w:rPr>
                  <w:rStyle w:val="InternetLink"/>
                  <w:rFonts w:ascii="Times New Roman;Times;Serif" w:hAnsi="Times New Roman;Times;Serif"/>
                  <w:sz w:val="20"/>
                </w:rPr>
                <w:t>4.5**</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30" w:type="dxa"/>
            <w:tcBorders/>
            <w:shd w:fill="FFFFFF" w:val="clear"/>
            <w:tcMar>
              <w:bottom w:w="0" w:type="dxa"/>
            </w:tcMar>
            <w:vAlign w:val="center"/>
          </w:tcPr>
          <w:p>
            <w:pPr>
              <w:pStyle w:val="TableContents"/>
              <w:bidi w:val="0"/>
              <w:spacing w:before="0" w:after="283"/>
              <w:jc w:val="left"/>
              <w:rPr/>
            </w:pPr>
            <w:hyperlink r:id="rId33">
              <w:r>
                <w:rPr>
                  <w:rStyle w:val="InternetLink"/>
                  <w:rFonts w:ascii="Times New Roman;Times;Serif" w:hAnsi="Times New Roman;Times;Serif"/>
                  <w:sz w:val="20"/>
                </w:rPr>
                <w:t>Form of Warrant</w:t>
              </w:r>
            </w:hyperlink>
            <w:hyperlink r:id="rId34">
              <w:r>
                <w:rPr>
                  <w:rStyle w:val="InternetLink"/>
                </w:rPr>
                <w:t xml:space="preserve"> (incorporated by reference to Exhibit 4.1 to the Company’s Current Report on Form 8-K, filed May 3, 2021)</w:t>
              </w:r>
            </w:hyperlink>
          </w:p>
        </w:tc>
      </w:tr>
      <w:tr>
        <w:trPr/>
        <w:tc>
          <w:tcPr>
            <w:tcW w:w="815" w:type="dxa"/>
            <w:tcBorders/>
            <w:shd w:fill="CCEEFF" w:val="clear"/>
            <w:tcMar>
              <w:bottom w:w="0" w:type="dxa"/>
            </w:tcMar>
            <w:vAlign w:val="center"/>
          </w:tcPr>
          <w:p>
            <w:pPr>
              <w:pStyle w:val="TableContents"/>
              <w:bidi w:val="0"/>
              <w:spacing w:before="0" w:after="283"/>
              <w:jc w:val="left"/>
              <w:rPr/>
            </w:pPr>
            <w:hyperlink w:anchor="tm2429676d1_ex5-1.htm">
              <w:r>
                <w:rPr>
                  <w:rStyle w:val="InternetLink"/>
                  <w:rFonts w:ascii="Times New Roman;Times;Serif" w:hAnsi="Times New Roman;Times;Serif"/>
                  <w:sz w:val="20"/>
                </w:rPr>
                <w:t>5.1*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30" w:type="dxa"/>
            <w:tcBorders/>
            <w:shd w:fill="CCEEFF" w:val="clear"/>
            <w:tcMar>
              <w:bottom w:w="0" w:type="dxa"/>
            </w:tcMar>
            <w:vAlign w:val="center"/>
          </w:tcPr>
          <w:p>
            <w:pPr>
              <w:pStyle w:val="TableContents"/>
              <w:bidi w:val="0"/>
              <w:spacing w:before="0" w:after="283"/>
              <w:jc w:val="left"/>
              <w:rPr/>
            </w:pPr>
            <w:hyperlink w:anchor="tm2429676d1_ex5-1.htm">
              <w:r>
                <w:rPr>
                  <w:rStyle w:val="InternetLink"/>
                  <w:rFonts w:ascii="Times New Roman;Times;Serif" w:hAnsi="Times New Roman;Times;Serif"/>
                  <w:sz w:val="20"/>
                </w:rPr>
                <w:t>Opinion of Troutman Pepper Hamilton Sanders LLP</w:t>
              </w:r>
            </w:hyperlink>
          </w:p>
        </w:tc>
      </w:tr>
      <w:tr>
        <w:trPr/>
        <w:tc>
          <w:tcPr>
            <w:tcW w:w="815" w:type="dxa"/>
            <w:tcBorders/>
            <w:shd w:fill="FFFFFF" w:val="clear"/>
            <w:tcMar>
              <w:bottom w:w="0" w:type="dxa"/>
            </w:tcMar>
            <w:vAlign w:val="center"/>
          </w:tcPr>
          <w:p>
            <w:pPr>
              <w:pStyle w:val="TableContents"/>
              <w:bidi w:val="0"/>
              <w:spacing w:before="0" w:after="283"/>
              <w:jc w:val="left"/>
              <w:rPr/>
            </w:pPr>
            <w:hyperlink w:anchor="tm2429676d1_ex23-1.htm">
              <w:r>
                <w:rPr>
                  <w:rStyle w:val="InternetLink"/>
                  <w:rFonts w:ascii="Times New Roman;Times;Serif" w:hAnsi="Times New Roman;Times;Serif"/>
                  <w:sz w:val="20"/>
                </w:rPr>
                <w:t>23.1*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30" w:type="dxa"/>
            <w:tcBorders/>
            <w:shd w:fill="FFFFFF" w:val="clear"/>
            <w:tcMar>
              <w:bottom w:w="0" w:type="dxa"/>
            </w:tcMar>
            <w:vAlign w:val="center"/>
          </w:tcPr>
          <w:p>
            <w:pPr>
              <w:pStyle w:val="TableContents"/>
              <w:bidi w:val="0"/>
              <w:spacing w:before="0" w:after="283"/>
              <w:jc w:val="left"/>
              <w:rPr/>
            </w:pPr>
            <w:hyperlink w:anchor="tm2429676d1_ex23-1.htm">
              <w:r>
                <w:rPr>
                  <w:rStyle w:val="InternetLink"/>
                  <w:rFonts w:ascii="Times New Roman;Times;Serif" w:hAnsi="Times New Roman;Times;Serif"/>
                  <w:sz w:val="20"/>
                </w:rPr>
                <w:t>Consent of Independent Registered Public Accounting Firm</w:t>
              </w:r>
            </w:hyperlink>
          </w:p>
        </w:tc>
      </w:tr>
      <w:tr>
        <w:trPr/>
        <w:tc>
          <w:tcPr>
            <w:tcW w:w="815" w:type="dxa"/>
            <w:tcBorders/>
            <w:shd w:fill="CCEEFF" w:val="clear"/>
            <w:tcMar>
              <w:bottom w:w="0" w:type="dxa"/>
            </w:tcMar>
            <w:vAlign w:val="center"/>
          </w:tcPr>
          <w:p>
            <w:pPr>
              <w:pStyle w:val="TableContents"/>
              <w:bidi w:val="0"/>
              <w:spacing w:before="0" w:after="283"/>
              <w:jc w:val="left"/>
              <w:rPr/>
            </w:pPr>
            <w:hyperlink w:anchor="tm2429676d1_ex5-1.htm">
              <w:r>
                <w:rPr>
                  <w:rStyle w:val="InternetLink"/>
                  <w:rFonts w:ascii="Times New Roman;Times;Serif" w:hAnsi="Times New Roman;Times;Serif"/>
                  <w:sz w:val="20"/>
                </w:rPr>
                <w:t>23.2*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30" w:type="dxa"/>
            <w:tcBorders/>
            <w:shd w:fill="CCEEFF" w:val="clear"/>
            <w:tcMar>
              <w:bottom w:w="0" w:type="dxa"/>
            </w:tcMar>
            <w:vAlign w:val="center"/>
          </w:tcPr>
          <w:p>
            <w:pPr>
              <w:pStyle w:val="TableContents"/>
              <w:bidi w:val="0"/>
              <w:spacing w:before="0" w:after="283"/>
              <w:jc w:val="left"/>
              <w:rPr/>
            </w:pPr>
            <w:hyperlink w:anchor="tm2429676d1_ex5-1.htm">
              <w:r>
                <w:rPr>
                  <w:rStyle w:val="InternetLink"/>
                  <w:rFonts w:ascii="Times New Roman;Times;Serif" w:hAnsi="Times New Roman;Times;Serif"/>
                  <w:sz w:val="20"/>
                </w:rPr>
                <w:t>Consent of Troutman Pepper Hamilton Sanders LLP (included in Exhibit 5.1)</w:t>
              </w:r>
            </w:hyperlink>
          </w:p>
        </w:tc>
      </w:tr>
      <w:tr>
        <w:trPr/>
        <w:tc>
          <w:tcPr>
            <w:tcW w:w="815" w:type="dxa"/>
            <w:tcBorders/>
            <w:shd w:fill="FFFFFF" w:val="clear"/>
            <w:tcMar>
              <w:bottom w:w="0" w:type="dxa"/>
            </w:tcMar>
            <w:vAlign w:val="center"/>
          </w:tcPr>
          <w:p>
            <w:pPr>
              <w:pStyle w:val="TableContents"/>
              <w:bidi w:val="0"/>
              <w:spacing w:before="0" w:after="283"/>
              <w:jc w:val="left"/>
              <w:rPr/>
            </w:pPr>
            <w:hyperlink w:anchor="a_013">
              <w:r>
                <w:rPr>
                  <w:rStyle w:val="InternetLink"/>
                  <w:rFonts w:ascii="Times New Roman;Times;Serif" w:hAnsi="Times New Roman;Times;Serif"/>
                  <w:sz w:val="20"/>
                </w:rPr>
                <w:t>24.1*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30" w:type="dxa"/>
            <w:tcBorders/>
            <w:shd w:fill="FFFFFF" w:val="clear"/>
            <w:tcMar>
              <w:bottom w:w="0" w:type="dxa"/>
            </w:tcMar>
            <w:vAlign w:val="center"/>
          </w:tcPr>
          <w:p>
            <w:pPr>
              <w:pStyle w:val="TableContents"/>
              <w:bidi w:val="0"/>
              <w:spacing w:before="0" w:after="283"/>
              <w:jc w:val="left"/>
              <w:rPr/>
            </w:pPr>
            <w:hyperlink w:anchor="a_013">
              <w:r>
                <w:rPr>
                  <w:rStyle w:val="InternetLink"/>
                  <w:rFonts w:ascii="Times New Roman;Times;Serif" w:hAnsi="Times New Roman;Times;Serif"/>
                  <w:sz w:val="20"/>
                </w:rPr>
                <w:t>Powers of Attorney (included on signature page hereto)</w:t>
              </w:r>
            </w:hyperlink>
          </w:p>
        </w:tc>
      </w:tr>
      <w:tr>
        <w:trPr/>
        <w:tc>
          <w:tcPr>
            <w:tcW w:w="815" w:type="dxa"/>
            <w:tcBorders/>
            <w:shd w:fill="CCEEFF" w:val="clear"/>
            <w:tcMar>
              <w:bottom w:w="0" w:type="dxa"/>
            </w:tcMar>
            <w:vAlign w:val="center"/>
          </w:tcPr>
          <w:p>
            <w:pPr>
              <w:pStyle w:val="TableContents"/>
              <w:bidi w:val="0"/>
              <w:spacing w:before="0" w:after="283"/>
              <w:jc w:val="left"/>
              <w:rPr/>
            </w:pPr>
            <w:hyperlink w:anchor="tm2429676d1_ex-filingfees.htm">
              <w:r>
                <w:rPr>
                  <w:rStyle w:val="InternetLink"/>
                  <w:rFonts w:ascii="Times New Roman;Times;Serif" w:hAnsi="Times New Roman;Times;Serif"/>
                  <w:sz w:val="20"/>
                </w:rPr>
                <w:t>107*</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30" w:type="dxa"/>
            <w:tcBorders/>
            <w:shd w:fill="CCEEFF" w:val="clear"/>
            <w:tcMar>
              <w:bottom w:w="0" w:type="dxa"/>
            </w:tcMar>
            <w:vAlign w:val="center"/>
          </w:tcPr>
          <w:p>
            <w:pPr>
              <w:pStyle w:val="TableContents"/>
              <w:bidi w:val="0"/>
              <w:spacing w:before="0" w:after="283"/>
              <w:jc w:val="left"/>
              <w:rPr/>
            </w:pPr>
            <w:hyperlink w:anchor="tm2429676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pPr>
            <w:r>
              <w:rPr/>
              <w:t>Filed herewith.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pPr>
            <w:r>
              <w:rPr/>
              <w:t>Previously filed.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left"/>
              <w:rPr/>
            </w:pPr>
            <w:r>
              <w:rPr/>
              <w:t>To be filed by amendment or as an exhibit to a Current Report on Form 8-K and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200"/>
        <w:gridCol w:w="68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include any prospectus required by section 10(a)(3) of the Securities Act of 1933;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sz w:val="20"/>
              </w:rPr>
              <w:t>bona fide</w:t>
            </w:r>
            <w:r>
              <w:rPr>
                <w:rFonts w:ascii="Times New Roman;Times;Serif" w:hAnsi="Times New Roman;Times;Serif"/>
                <w:sz w:val="20"/>
              </w:rPr>
              <w:t>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for the purpose of determining liability under the Securities Act of 1933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i/>
                <w:sz w:val="20"/>
              </w:rPr>
              <w:t>bona fide</w:t>
            </w:r>
            <w:r>
              <w:rPr>
                <w:rFonts w:ascii="Times New Roman;Times;Serif" w:hAnsi="Times New Roman;Times;Serif"/>
                <w:sz w:val="20"/>
              </w:rPr>
              <w:t>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1" w:type="dxa"/>
            <w:tcBorders/>
            <w:vAlign w:val="center"/>
          </w:tcPr>
          <w:p>
            <w:pPr>
              <w:pStyle w:val="TableContents"/>
              <w:bidi w:val="0"/>
              <w:spacing w:before="0" w:after="283"/>
              <w:jc w:val="left"/>
              <w:rPr/>
            </w:pPr>
            <w:r>
              <w:rPr/>
              <w:t xml:space="preserve">That, for the purpose of determining liability of the registrant under the Securities Act of 1933 to any purchaser in the initial distribution of the securities: </w:t>
              <w:br/>
              <w:b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305"/>
        <w:gridCol w:w="884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i/>
                <w:sz w:val="20"/>
              </w:rPr>
              <w:t>bona fide</w:t>
            </w:r>
            <w:r>
              <w:rPr>
                <w:rFonts w:ascii="Times New Roman;Times;Serif" w:hAnsi="Times New Roman;Times;Serif"/>
                <w:sz w:val="20"/>
              </w:rPr>
              <w:t>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245"/>
        <w:gridCol w:w="41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undersigned registrant hereby undertakes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Atlanta, State of Georgia, on November 27, 2024.</w:t>
      </w:r>
    </w:p>
    <w:p>
      <w:pPr>
        <w:pStyle w:val="TextBody"/>
        <w:bidi w:val="0"/>
        <w:spacing w:before="0" w:after="0"/>
        <w:ind w:left="0" w:right="0" w:hanging="0"/>
        <w:jc w:val="left"/>
        <w:rPr>
          <w:caps w:val="false"/>
          <w:smallCaps w:val="false"/>
        </w:rPr>
      </w:pPr>
      <w:r>
        <w:rPr>
          <w:caps w:val="false"/>
          <w:smallCaps w:val="false"/>
        </w:rPr>
        <w:t> </w:t>
      </w:r>
    </w:p>
    <w:tbl>
      <w:tblPr>
        <w:tblW w:w="4115" w:type="dxa"/>
        <w:jc w:val="left"/>
        <w:tblInd w:w="0" w:type="dxa"/>
        <w:tblLayout w:type="fixed"/>
        <w:tblCellMar>
          <w:top w:w="0" w:type="dxa"/>
          <w:left w:w="0" w:type="dxa"/>
          <w:bottom w:w="0" w:type="dxa"/>
          <w:right w:w="0" w:type="dxa"/>
        </w:tblCellMar>
      </w:tblPr>
      <w:tblGrid>
        <w:gridCol w:w="75"/>
        <w:gridCol w:w="60"/>
        <w:gridCol w:w="3980"/>
      </w:tblGrid>
      <w:tr>
        <w:trPr/>
        <w:tc>
          <w:tcPr>
            <w:tcW w:w="75" w:type="dxa"/>
            <w:tcBorders/>
            <w:vAlign w:val="center"/>
          </w:tcPr>
          <w:p>
            <w:pPr>
              <w:pStyle w:val="TableContents"/>
              <w:bidi w:val="0"/>
              <w:spacing w:before="0" w:after="283"/>
              <w:ind w:left="0" w:right="0" w:hanging="200"/>
              <w:jc w:val="left"/>
              <w:rPr/>
            </w:pPr>
            <w:r>
              <w:rPr/>
              <w:t> </w:t>
            </w:r>
          </w:p>
        </w:tc>
        <w:tc>
          <w:tcPr>
            <w:tcW w:w="40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Priority Technology Holdings, Inc.</w:t>
            </w:r>
          </w:p>
        </w:tc>
      </w:tr>
      <w:tr>
        <w:trPr/>
        <w:tc>
          <w:tcPr>
            <w:tcW w:w="75" w:type="dxa"/>
            <w:tcBorders/>
            <w:vAlign w:val="center"/>
          </w:tcPr>
          <w:p>
            <w:pPr>
              <w:pStyle w:val="TableContents"/>
              <w:bidi w:val="0"/>
              <w:spacing w:before="0" w:after="283"/>
              <w:ind w:left="0" w:right="0" w:hanging="200"/>
              <w:jc w:val="left"/>
              <w:rPr/>
            </w:pPr>
            <w:r>
              <w:rPr/>
              <w:t> </w:t>
            </w:r>
          </w:p>
        </w:tc>
        <w:tc>
          <w:tcPr>
            <w:tcW w:w="40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0" w:type="dxa"/>
            <w:tcBorders>
              <w:bottom w:val="single" w:sz="8" w:space="0" w:color="000000"/>
            </w:tcBorders>
            <w:tcMar>
              <w:bottom w:w="28" w:type="dxa"/>
            </w:tcMar>
            <w:vAlign w:val="center"/>
          </w:tcPr>
          <w:p>
            <w:pPr>
              <w:pStyle w:val="TableContents"/>
              <w:bidi w:val="0"/>
              <w:spacing w:before="0" w:after="283"/>
              <w:jc w:val="left"/>
              <w:rPr/>
            </w:pPr>
            <w:r>
              <w:rPr/>
              <w:t>/s/ Thomas C. Priore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C. Priore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200"/>
              <w:jc w:val="left"/>
              <w:rPr/>
            </w:pPr>
            <w:r>
              <w:rPr/>
              <w:t> </w:t>
            </w:r>
          </w:p>
        </w:tc>
        <w:tc>
          <w:tcPr>
            <w:tcW w:w="3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Chairman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 and appoint Thomas C. Priore and Timothy M. O’Leary, or any one of them, his or her true and lawful attorneys-in-fact and agents, with full power of substitution and resubstitution, for him or her and in his or her name, place, and stead, in any and all capacities, to sign any and all amendments to the Registration Statement, including post-effective amendments thereto and any registration statements filed pursuant to Rule 462 under the Securities Act of 1933, as amended, and to file the same, with all exhibits 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indicated on November 27, 2024.</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28" w:type="dxa"/>
          <w:right w:w="0" w:type="dxa"/>
        </w:tblCellMar>
      </w:tblPr>
      <w:tblGrid>
        <w:gridCol w:w="1955"/>
        <w:gridCol w:w="60"/>
        <w:gridCol w:w="60"/>
        <w:gridCol w:w="3980"/>
      </w:tblGrid>
      <w:tr>
        <w:trPr/>
        <w:tc>
          <w:tcPr>
            <w:tcW w:w="1955"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bottom w:val="single" w:sz="8" w:space="0" w:color="000000"/>
            </w:tcBorders>
            <w:vAlign w:val="center"/>
          </w:tcPr>
          <w:p>
            <w:pPr>
              <w:pStyle w:val="TableContents"/>
              <w:bidi w:val="0"/>
              <w:spacing w:before="0" w:after="283"/>
              <w:jc w:val="center"/>
              <w:rPr>
                <w:b/>
                <w:sz w:val="20"/>
              </w:rPr>
            </w:pPr>
            <w:r>
              <w:rPr>
                <w:b/>
                <w:sz w:val="20"/>
              </w:rPr>
              <w:t>Title</w:t>
            </w:r>
          </w:p>
        </w:tc>
      </w:tr>
      <w:tr>
        <w:trPr/>
        <w:tc>
          <w:tcPr>
            <w:tcW w:w="1955" w:type="dxa"/>
            <w:tcBorders/>
            <w:tcMar>
              <w:bottom w:w="0" w:type="dxa"/>
            </w:tcMar>
            <w:vAlign w:val="center"/>
          </w:tcPr>
          <w:p>
            <w:pPr>
              <w:pStyle w:val="TableContents"/>
              <w:bidi w:val="0"/>
              <w:spacing w:before="0" w:after="283"/>
              <w:jc w:val="left"/>
              <w:rPr/>
            </w:pPr>
            <w:r>
              <w:rPr/>
              <w:t> </w:t>
            </w:r>
          </w:p>
        </w:tc>
        <w:tc>
          <w:tcPr>
            <w:tcW w:w="120" w:type="dxa"/>
            <w:gridSpan w:val="2"/>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Thomas C. Priore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center"/>
              <w:rPr>
                <w:sz w:val="20"/>
              </w:rPr>
            </w:pPr>
            <w:r>
              <w:rPr>
                <w:sz w:val="20"/>
              </w:rPr>
              <w:t>President, Chief Executive Officer and Chairman</w:t>
            </w:r>
          </w:p>
        </w:tc>
      </w:tr>
      <w:tr>
        <w:trPr/>
        <w:tc>
          <w:tcPr>
            <w:tcW w:w="1955" w:type="dxa"/>
            <w:tcBorders/>
            <w:tcMar>
              <w:bottom w:w="0" w:type="dxa"/>
            </w:tcMar>
            <w:vAlign w:val="center"/>
          </w:tcPr>
          <w:p>
            <w:pPr>
              <w:pStyle w:val="TableContents"/>
              <w:bidi w:val="0"/>
              <w:spacing w:before="0" w:after="283"/>
              <w:jc w:val="left"/>
              <w:rPr>
                <w:sz w:val="20"/>
              </w:rPr>
            </w:pPr>
            <w:r>
              <w:rPr>
                <w:sz w:val="20"/>
              </w:rPr>
              <w:t>Thomas C. Priore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center"/>
              <w:rPr>
                <w:sz w:val="20"/>
              </w:rPr>
            </w:pPr>
            <w:r>
              <w:rPr>
                <w:sz w:val="20"/>
              </w:rPr>
              <w:t>(Principal Executive Officer)</w:t>
            </w:r>
          </w:p>
        </w:tc>
      </w:tr>
      <w:tr>
        <w:trPr/>
        <w:tc>
          <w:tcPr>
            <w:tcW w:w="1955" w:type="dxa"/>
            <w:tcBorders/>
            <w:tcMar>
              <w:bottom w:w="0" w:type="dxa"/>
            </w:tcMar>
            <w:vAlign w:val="center"/>
          </w:tcPr>
          <w:p>
            <w:pPr>
              <w:pStyle w:val="TableContents"/>
              <w:bidi w:val="0"/>
              <w:spacing w:before="0" w:after="283"/>
              <w:jc w:val="left"/>
              <w:rPr/>
            </w:pPr>
            <w:r>
              <w:rPr/>
              <w:t> </w:t>
            </w:r>
          </w:p>
        </w:tc>
        <w:tc>
          <w:tcPr>
            <w:tcW w:w="120" w:type="dxa"/>
            <w:gridSpan w:val="2"/>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Timothy M. O’Leary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center"/>
              <w:rPr>
                <w:sz w:val="20"/>
              </w:rPr>
            </w:pPr>
            <w:r>
              <w:rPr>
                <w:sz w:val="20"/>
              </w:rPr>
              <w:t xml:space="preserve">Chief Financial Officer </w:t>
            </w:r>
          </w:p>
        </w:tc>
      </w:tr>
      <w:tr>
        <w:trPr/>
        <w:tc>
          <w:tcPr>
            <w:tcW w:w="1955" w:type="dxa"/>
            <w:tcBorders/>
            <w:tcMar>
              <w:bottom w:w="0" w:type="dxa"/>
            </w:tcMar>
            <w:vAlign w:val="center"/>
          </w:tcPr>
          <w:p>
            <w:pPr>
              <w:pStyle w:val="TableContents"/>
              <w:bidi w:val="0"/>
              <w:spacing w:before="0" w:after="283"/>
              <w:jc w:val="left"/>
              <w:rPr>
                <w:sz w:val="20"/>
              </w:rPr>
            </w:pPr>
            <w:r>
              <w:rPr>
                <w:sz w:val="20"/>
              </w:rPr>
              <w:t>Timothy M. O’Leary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center"/>
              <w:rPr>
                <w:sz w:val="20"/>
              </w:rPr>
            </w:pPr>
            <w:r>
              <w:rPr>
                <w:sz w:val="20"/>
              </w:rPr>
              <w:t>(Principal Financial Officer)</w:t>
            </w:r>
          </w:p>
        </w:tc>
      </w:tr>
      <w:tr>
        <w:trPr/>
        <w:tc>
          <w:tcPr>
            <w:tcW w:w="1955" w:type="dxa"/>
            <w:tcBorders/>
            <w:tcMar>
              <w:bottom w:w="0" w:type="dxa"/>
            </w:tcMar>
            <w:vAlign w:val="center"/>
          </w:tcPr>
          <w:p>
            <w:pPr>
              <w:pStyle w:val="TableContents"/>
              <w:bidi w:val="0"/>
              <w:spacing w:before="0" w:after="283"/>
              <w:jc w:val="left"/>
              <w:rPr/>
            </w:pPr>
            <w:r>
              <w:rPr/>
              <w:t> </w:t>
            </w:r>
          </w:p>
        </w:tc>
        <w:tc>
          <w:tcPr>
            <w:tcW w:w="120" w:type="dxa"/>
            <w:gridSpan w:val="2"/>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Rajiv Kumar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center"/>
              <w:rPr>
                <w:sz w:val="20"/>
              </w:rPr>
            </w:pPr>
            <w:r>
              <w:rPr>
                <w:sz w:val="20"/>
              </w:rPr>
              <w:t xml:space="preserve">Senior Vice President and </w:t>
            </w:r>
          </w:p>
        </w:tc>
      </w:tr>
      <w:tr>
        <w:trPr/>
        <w:tc>
          <w:tcPr>
            <w:tcW w:w="1955" w:type="dxa"/>
            <w:tcBorders/>
            <w:tcMar>
              <w:bottom w:w="0" w:type="dxa"/>
            </w:tcMar>
            <w:vAlign w:val="center"/>
          </w:tcPr>
          <w:p>
            <w:pPr>
              <w:pStyle w:val="TableContents"/>
              <w:bidi w:val="0"/>
              <w:spacing w:before="0" w:after="283"/>
              <w:jc w:val="left"/>
              <w:rPr>
                <w:sz w:val="20"/>
              </w:rPr>
            </w:pPr>
            <w:r>
              <w:rPr>
                <w:sz w:val="20"/>
              </w:rPr>
              <w:t>Rajiv Kumar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center"/>
              <w:rPr>
                <w:sz w:val="20"/>
              </w:rPr>
            </w:pPr>
            <w:r>
              <w:rPr>
                <w:sz w:val="20"/>
              </w:rPr>
              <w:t>Chief Accounting Officer</w:t>
              <w:br/>
              <w:t>(Principal Accounting Officer)</w:t>
            </w:r>
          </w:p>
        </w:tc>
      </w:tr>
      <w:tr>
        <w:trPr/>
        <w:tc>
          <w:tcPr>
            <w:tcW w:w="1955" w:type="dxa"/>
            <w:tcBorders/>
            <w:tcMar>
              <w:bottom w:w="0" w:type="dxa"/>
            </w:tcMar>
            <w:vAlign w:val="center"/>
          </w:tcPr>
          <w:p>
            <w:pPr>
              <w:pStyle w:val="TableContents"/>
              <w:bidi w:val="0"/>
              <w:spacing w:before="0" w:after="283"/>
              <w:jc w:val="left"/>
              <w:rPr/>
            </w:pPr>
            <w:r>
              <w:rPr/>
              <w:t> </w:t>
            </w:r>
          </w:p>
        </w:tc>
        <w:tc>
          <w:tcPr>
            <w:tcW w:w="120" w:type="dxa"/>
            <w:gridSpan w:val="2"/>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John Priore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center"/>
              <w:rPr>
                <w:sz w:val="20"/>
              </w:rPr>
            </w:pPr>
            <w:r>
              <w:rPr>
                <w:sz w:val="20"/>
              </w:rPr>
              <w:t>Director</w:t>
            </w:r>
          </w:p>
        </w:tc>
      </w:tr>
      <w:tr>
        <w:trPr/>
        <w:tc>
          <w:tcPr>
            <w:tcW w:w="1955" w:type="dxa"/>
            <w:tcBorders/>
            <w:tcMar>
              <w:bottom w:w="0" w:type="dxa"/>
            </w:tcMar>
            <w:vAlign w:val="center"/>
          </w:tcPr>
          <w:p>
            <w:pPr>
              <w:pStyle w:val="TableContents"/>
              <w:bidi w:val="0"/>
              <w:spacing w:before="0" w:after="283"/>
              <w:jc w:val="left"/>
              <w:rPr>
                <w:sz w:val="20"/>
              </w:rPr>
            </w:pPr>
            <w:r>
              <w:rPr>
                <w:sz w:val="20"/>
              </w:rPr>
              <w:t>John Priore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 </w:t>
            </w:r>
          </w:p>
        </w:tc>
        <w:tc>
          <w:tcPr>
            <w:tcW w:w="120" w:type="dxa"/>
            <w:gridSpan w:val="2"/>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Michael Passilla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center"/>
              <w:rPr>
                <w:sz w:val="20"/>
              </w:rPr>
            </w:pPr>
            <w:r>
              <w:rPr>
                <w:sz w:val="20"/>
              </w:rPr>
              <w:t>Director</w:t>
            </w:r>
          </w:p>
        </w:tc>
      </w:tr>
      <w:tr>
        <w:trPr/>
        <w:tc>
          <w:tcPr>
            <w:tcW w:w="1955" w:type="dxa"/>
            <w:tcBorders/>
            <w:tcMar>
              <w:bottom w:w="0" w:type="dxa"/>
            </w:tcMar>
            <w:vAlign w:val="center"/>
          </w:tcPr>
          <w:p>
            <w:pPr>
              <w:pStyle w:val="TableContents"/>
              <w:bidi w:val="0"/>
              <w:spacing w:before="0" w:after="283"/>
              <w:jc w:val="left"/>
              <w:rPr>
                <w:sz w:val="20"/>
              </w:rPr>
            </w:pPr>
            <w:r>
              <w:rPr>
                <w:sz w:val="20"/>
              </w:rPr>
              <w:t>Michael Passilla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 </w:t>
            </w:r>
          </w:p>
        </w:tc>
        <w:tc>
          <w:tcPr>
            <w:tcW w:w="120" w:type="dxa"/>
            <w:gridSpan w:val="2"/>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Marietta C. Davis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center"/>
              <w:rPr>
                <w:sz w:val="20"/>
              </w:rPr>
            </w:pPr>
            <w:r>
              <w:rPr>
                <w:sz w:val="20"/>
              </w:rPr>
              <w:t>Director</w:t>
            </w:r>
          </w:p>
        </w:tc>
      </w:tr>
      <w:tr>
        <w:trPr/>
        <w:tc>
          <w:tcPr>
            <w:tcW w:w="1955" w:type="dxa"/>
            <w:tcBorders/>
            <w:tcMar>
              <w:bottom w:w="0" w:type="dxa"/>
            </w:tcMar>
            <w:vAlign w:val="center"/>
          </w:tcPr>
          <w:p>
            <w:pPr>
              <w:pStyle w:val="TableContents"/>
              <w:bidi w:val="0"/>
              <w:spacing w:before="0" w:after="283"/>
              <w:jc w:val="left"/>
              <w:rPr>
                <w:sz w:val="20"/>
              </w:rPr>
            </w:pPr>
            <w:r>
              <w:rPr>
                <w:sz w:val="20"/>
              </w:rPr>
              <w:t>Marietta C. Davis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 </w:t>
            </w:r>
          </w:p>
        </w:tc>
        <w:tc>
          <w:tcPr>
            <w:tcW w:w="120" w:type="dxa"/>
            <w:gridSpan w:val="2"/>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Christina M. Favilla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center"/>
              <w:rPr>
                <w:sz w:val="20"/>
              </w:rPr>
            </w:pPr>
            <w:r>
              <w:rPr>
                <w:sz w:val="20"/>
              </w:rPr>
              <w:t>Director</w:t>
            </w:r>
          </w:p>
        </w:tc>
      </w:tr>
      <w:tr>
        <w:trPr/>
        <w:tc>
          <w:tcPr>
            <w:tcW w:w="1955" w:type="dxa"/>
            <w:tcBorders/>
            <w:tcMar>
              <w:bottom w:w="0" w:type="dxa"/>
            </w:tcMar>
            <w:vAlign w:val="center"/>
          </w:tcPr>
          <w:p>
            <w:pPr>
              <w:pStyle w:val="TableContents"/>
              <w:bidi w:val="0"/>
              <w:spacing w:before="0" w:after="283"/>
              <w:jc w:val="left"/>
              <w:rPr>
                <w:sz w:val="20"/>
              </w:rPr>
            </w:pPr>
            <w:r>
              <w:rPr>
                <w:sz w:val="20"/>
              </w:rPr>
              <w:t>Christina M. Favilla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 </w:t>
            </w:r>
          </w:p>
        </w:tc>
        <w:tc>
          <w:tcPr>
            <w:tcW w:w="120" w:type="dxa"/>
            <w:gridSpan w:val="2"/>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r>
              <w:rPr/>
              <w:t> </w:t>
            </w:r>
          </w:p>
        </w:tc>
      </w:tr>
      <w:tr>
        <w:trPr/>
        <w:tc>
          <w:tcPr>
            <w:tcW w:w="1955" w:type="dxa"/>
            <w:tcBorders>
              <w:bottom w:val="single" w:sz="8" w:space="0" w:color="000000"/>
            </w:tcBorders>
            <w:vAlign w:val="center"/>
          </w:tcPr>
          <w:p>
            <w:pPr>
              <w:pStyle w:val="TableContents"/>
              <w:bidi w:val="0"/>
              <w:spacing w:before="0" w:after="283"/>
              <w:jc w:val="left"/>
              <w:rPr>
                <w:sz w:val="20"/>
              </w:rPr>
            </w:pPr>
            <w:r>
              <w:rPr>
                <w:sz w:val="20"/>
              </w:rPr>
              <w:t>/s/ Marc Crisafulli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center"/>
              <w:rPr>
                <w:sz w:val="20"/>
              </w:rPr>
            </w:pPr>
            <w:r>
              <w:rPr>
                <w:sz w:val="20"/>
              </w:rPr>
              <w:t>Director</w:t>
            </w:r>
          </w:p>
        </w:tc>
      </w:tr>
      <w:tr>
        <w:trPr/>
        <w:tc>
          <w:tcPr>
            <w:tcW w:w="1955" w:type="dxa"/>
            <w:tcBorders/>
            <w:tcMar>
              <w:bottom w:w="0" w:type="dxa"/>
            </w:tcMar>
            <w:vAlign w:val="center"/>
          </w:tcPr>
          <w:p>
            <w:pPr>
              <w:pStyle w:val="TableContents"/>
              <w:bidi w:val="0"/>
              <w:spacing w:before="0" w:after="283"/>
              <w:jc w:val="left"/>
              <w:rPr>
                <w:sz w:val="20"/>
              </w:rPr>
            </w:pPr>
            <w:r>
              <w:rPr>
                <w:sz w:val="20"/>
              </w:rPr>
              <w:t>Marc Crisafulli</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8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5" w:name="tm2429676d1_ex5-1.htm"/>
      <w:bookmarkStart w:id="16" w:name="kstm2429676d1_ex51"/>
      <w:bookmarkEnd w:id="15"/>
      <w:bookmarkEnd w:id="16"/>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tbl>
      <w:tblPr>
        <w:tblW w:w="6155" w:type="dxa"/>
        <w:jc w:val="left"/>
        <w:tblInd w:w="0" w:type="dxa"/>
        <w:tblLayout w:type="fixed"/>
        <w:tblCellMar>
          <w:top w:w="0" w:type="dxa"/>
          <w:left w:w="0" w:type="dxa"/>
          <w:bottom w:w="28" w:type="dxa"/>
          <w:right w:w="0" w:type="dxa"/>
        </w:tblCellMar>
      </w:tblPr>
      <w:tblGrid>
        <w:gridCol w:w="3935"/>
        <w:gridCol w:w="2220"/>
      </w:tblGrid>
      <w:tr>
        <w:trPr/>
        <w:tc>
          <w:tcPr>
            <w:tcW w:w="3935" w:type="dxa"/>
            <w:tcBorders>
              <w:bottom w:val="single" w:sz="8" w:space="0" w:color="000000"/>
            </w:tcBorders>
            <w:vAlign w:val="center"/>
          </w:tcPr>
          <w:p>
            <w:pPr>
              <w:pStyle w:val="TableContents"/>
              <w:bidi w:val="0"/>
              <w:jc w:val="left"/>
              <w:rPr/>
            </w:pPr>
            <w:r>
              <w:rPr/>
              <w:t>Troutman Pepper Hamilton Sanders LLP</w:t>
              <w:br/>
              <w:t>600 Peachtree Street NE, Suite 3000</w:t>
              <w:br/>
              <w:t>Atlanta, GA 30308-2216</w:t>
              <w:br/>
              <w:br/>
              <w:t>troutman.com</w:t>
            </w:r>
          </w:p>
          <w:p>
            <w:pPr>
              <w:pStyle w:val="TableContents"/>
              <w:bidi w:val="0"/>
              <w:spacing w:before="0" w:after="283"/>
              <w:jc w:val="left"/>
              <w:rPr/>
            </w:pPr>
            <w:r>
              <w:rPr/>
              <w:t> </w:t>
            </w:r>
          </w:p>
        </w:tc>
        <w:tc>
          <w:tcPr>
            <w:tcW w:w="2220" w:type="dxa"/>
            <w:tcBorders>
              <w:bottom w:val="single" w:sz="8" w:space="0" w:color="000000"/>
            </w:tcBorders>
            <w:vAlign w:val="center"/>
          </w:tcPr>
          <w:p>
            <w:pPr>
              <w:pStyle w:val="TableContents"/>
              <w:bidi w:val="0"/>
              <w:spacing w:before="0" w:after="283"/>
              <w:jc w:val="right"/>
              <w:rPr/>
            </w:pPr>
            <w:r>
              <w:rPr/>
              <w:drawing>
                <wp:inline distT="0" distB="0" distL="0" distR="0">
                  <wp:extent cx="1362075" cy="552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5"/>
                          <a:stretch>
                            <a:fillRect/>
                          </a:stretch>
                        </pic:blipFill>
                        <pic:spPr bwMode="auto">
                          <a:xfrm>
                            <a:off x="0" y="0"/>
                            <a:ext cx="1362075" cy="552450"/>
                          </a:xfrm>
                          <a:prstGeom prst="rect">
                            <a:avLst/>
                          </a:prstGeom>
                        </pic:spPr>
                      </pic:pic>
                    </a:graphicData>
                  </a:graphic>
                </wp:inline>
              </w:drawing>
            </w: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404.885.3000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404.885.3900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Technology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Westside Parkway, Suite 150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Alpharetta, GA 30004</w:t>
      </w:r>
    </w:p>
    <w:p>
      <w:pPr>
        <w:pStyle w:val="TextBody"/>
        <w:bidi w:val="0"/>
        <w:spacing w:before="0" w:after="0"/>
        <w:ind w:left="0" w:right="0" w:hanging="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44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RE:</w:t>
            </w:r>
          </w:p>
        </w:tc>
        <w:tc>
          <w:tcPr>
            <w:tcW w:w="3695" w:type="dxa"/>
            <w:tcBorders/>
            <w:vAlign w:val="center"/>
          </w:tcPr>
          <w:p>
            <w:pPr>
              <w:pStyle w:val="TableContents"/>
              <w:bidi w:val="0"/>
              <w:spacing w:before="0" w:after="283"/>
              <w:jc w:val="both"/>
              <w:rPr>
                <w:b/>
              </w:rPr>
            </w:pPr>
            <w:r>
              <w:rPr>
                <w:b/>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requested our opinion, as counsel to Priority Technology Holdings, Inc., a Delaware corporation (the “Company”), with respect to certain matters in connection with the filing by the Company of a Registration Statement on Form S-3 (the “Registration Statement”) with the Securities and Exchange Commission (the “SEC”), including a related prospectus (the “Prospectus”), covering the registration of up to $100,000,000 in the aggregate of shares of common stock of the Company, par value $0.001 per share (the “Common Stock”) to be issued directly by the Company and up to 13,418,109 in the aggregate of shares of our Common Stock for resale by selling stockholders (the “Shares”), including up to 1,803,841 shares (the “Warrant Shares”) of Common Stock issuable upon the exercise of warrants (the “Warrants”) initially issued in a private placement, pursuant to a securities purchase agreement, dated April 27, 2021 (the “Purchase Agreement”), by and between the Company and credit funds managed by certain affiliates of Ares Management Corporation (the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(i) the Registration Statement, (ii) the Prospectus, (iii) the Company’s Second Amended and Restated Certificate of Incorporation, as amended, and Amended and Restated Bylaws, as amended, (iv) the Purchase Agreement, (v) the Warrants, and (vi) originals or copies certified to our satisfaction of such records, documents, certificates, memoranda and other instruments as in our judgment are necessary or appropriate to enable us to render the opinion expressed below. We have assumed the genuineness and authenticity of all documents submitted to us as originals and the conformity to originals of all documents submitted to us as copies thereof; the accuracy, completeness and authenticity of certificates of public officials; and the due execution and delivery of all documents by all persons other than the Company where due execution and delivery are a prerequisite to the effectiveness thereof. As to certain factual matters, we have relied upon a certificate of an officer of the Company and have not independently sought to verify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3800" w:type="dxa"/>
        <w:jc w:val="left"/>
        <w:tblInd w:w="0" w:type="dxa"/>
        <w:tblLayout w:type="fixed"/>
        <w:tblCellMar>
          <w:top w:w="0" w:type="dxa"/>
          <w:left w:w="0" w:type="dxa"/>
          <w:bottom w:w="28" w:type="dxa"/>
          <w:right w:w="0" w:type="dxa"/>
        </w:tblCellMar>
      </w:tblPr>
      <w:tblGrid>
        <w:gridCol w:w="1640"/>
        <w:gridCol w:w="2160"/>
      </w:tblGrid>
      <w:tr>
        <w:trPr/>
        <w:tc>
          <w:tcPr>
            <w:tcW w:w="164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141B4D"/>
                <w:sz w:val="20"/>
              </w:rPr>
            </w:pPr>
            <w:r>
              <w:rPr>
                <w:rFonts w:ascii="Times New Roman;Times;Serif" w:hAnsi="Times New Roman;Times;Serif"/>
                <w:b w:val="false"/>
                <w:i w:val="false"/>
                <w:caps w:val="false"/>
                <w:smallCaps w:val="false"/>
                <w:color w:val="141B4D"/>
                <w:sz w:val="20"/>
              </w:rPr>
              <w:t>November 27, 2024</w:t>
            </w:r>
          </w:p>
          <w:p>
            <w:pPr>
              <w:pStyle w:val="TableContents"/>
              <w:bidi w:val="0"/>
              <w:spacing w:before="0" w:after="0"/>
              <w:ind w:left="0" w:right="0" w:hanging="0"/>
              <w:jc w:val="left"/>
              <w:rPr>
                <w:rFonts w:ascii="Times New Roman;Times;Serif" w:hAnsi="Times New Roman;Times;Serif"/>
                <w:b w:val="false"/>
                <w:i w:val="false"/>
                <w:caps w:val="false"/>
                <w:smallCaps w:val="false"/>
                <w:color w:val="141B4D"/>
                <w:sz w:val="20"/>
              </w:rPr>
            </w:pPr>
            <w:r>
              <w:rPr>
                <w:rFonts w:ascii="Times New Roman;Times;Serif" w:hAnsi="Times New Roman;Times;Serif"/>
                <w:b w:val="false"/>
                <w:i w:val="false"/>
                <w:caps w:val="false"/>
                <w:smallCaps w:val="false"/>
                <w:color w:val="141B4D"/>
                <w:sz w:val="20"/>
              </w:rPr>
              <w:t>Page 2</w:t>
            </w:r>
          </w:p>
        </w:tc>
        <w:tc>
          <w:tcPr>
            <w:tcW w:w="2160" w:type="dxa"/>
            <w:tcBorders>
              <w:bottom w:val="single" w:sz="8" w:space="0" w:color="000000"/>
            </w:tcBorders>
            <w:vAlign w:val="center"/>
          </w:tcPr>
          <w:p>
            <w:pPr>
              <w:pStyle w:val="TableContents"/>
              <w:bidi w:val="0"/>
              <w:jc w:val="right"/>
              <w:rPr/>
            </w:pPr>
            <w:r>
              <w:rPr/>
              <w:drawing>
                <wp:inline distT="0" distB="0" distL="0" distR="0">
                  <wp:extent cx="1362075" cy="552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6"/>
                          <a:stretch>
                            <a:fillRect/>
                          </a:stretch>
                        </pic:blipFill>
                        <pic:spPr bwMode="auto">
                          <a:xfrm>
                            <a:off x="0" y="0"/>
                            <a:ext cx="1362075" cy="552450"/>
                          </a:xfrm>
                          <a:prstGeom prst="rect">
                            <a:avLst/>
                          </a:prstGeom>
                        </pic:spPr>
                      </pic:pic>
                    </a:graphicData>
                  </a:graphic>
                </wp:inline>
              </w:drawing>
            </w:r>
          </w:p>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herein below is subject to, and qualified and limited by the effects of: (i) bankruptcy, fraudulent conveyance or fraudulent transfer, insolvency, reorganization, moratorium, liquidation, conservatorship and similar laws, and limitations imposed under judicial decisions related to or affecting creditors’ rights and remedies generally, (ii) general equitable principles, regardless of whether the issue of enforceability is considered in a proceeding in equity or at law, and principles limiting the availability of the remedy of specific performance, (iii) concepts of good faith, fair dealing and reasonableness and (iv) the possible unenforceability under certain circumstances of provisions providing for indemnification or contribution that is contrary to public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283"/>
              <w:jc w:val="both"/>
              <w:rPr/>
            </w:pPr>
            <w:r>
              <w:rPr/>
              <w:t>the Warrant Shares, have been duly authorized and when issued and paid for upon the exercise of the Warrants in accordance with the terms of the Warrants, will be validly issued, fully paid and nonassessable;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2.</w:t>
            </w:r>
          </w:p>
        </w:tc>
        <w:tc>
          <w:tcPr>
            <w:tcW w:w="9977" w:type="dxa"/>
            <w:tcBorders/>
            <w:vAlign w:val="center"/>
          </w:tcPr>
          <w:p>
            <w:pPr>
              <w:pStyle w:val="TableContents"/>
              <w:bidi w:val="0"/>
              <w:spacing w:before="0" w:after="283"/>
              <w:jc w:val="both"/>
              <w:rPr/>
            </w:pPr>
            <w:r>
              <w:rPr/>
              <w:t>the Shares have been duly authorized and when issued and paid for will be validly issued, fully paid and nonassessable.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opining only as to matters expressly set forth herein, and no opinion should be inferred as to any other matters. This opinion is based upon currently existing statutes, rules, regulations and judicial decisions, and, following the effective date of the Registration Statement,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SEC as an exhibit to the Registration Statement in accordance with the requirements of Item 601(b)(5) of Regulation S-K under the Securities Act of 1933 (as amended,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SEC. This opinion may not be relied upon, furnished or quoted by you for any other purpose, without our prior written consent.</w:t>
      </w:r>
    </w:p>
    <w:p>
      <w:pPr>
        <w:pStyle w:val="TextBody"/>
        <w:bidi w:val="0"/>
        <w:spacing w:before="0" w:after="0"/>
        <w:ind w:left="0" w:right="0" w:firstLine="720"/>
        <w:jc w:val="both"/>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75"/>
        <w:gridCol w:w="3545"/>
      </w:tblGrid>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Troutman Pepper Hamilton Sanders LLP</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 Pepper Hamilton Sanders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7" w:name="tm2429676d1_ex23-1.htm"/>
      <w:bookmarkStart w:id="18" w:name="kstm2429676d1_ex231"/>
      <w:bookmarkEnd w:id="17"/>
      <w:bookmarkEnd w:id="18"/>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the Registration Statement (Form S-3 No. 333-xxxxx) and related prospectus of Priority Technology Holdings, Inc. for the registration of (i) up to $100,000,000 of shares of its common stock and (ii) up to 13,418,109 in the aggregate of shares of its common stock by certain selling stockholders and to the incorporation by reference therein of our report dated March 12, 2024, with respect to the consolidated financial statements of Priority Technology Holdings, Inc. included in its Annual Report (Form 10-K) for the year ended December 31, 2023, filed with the Securities and Exchange Commission.</w:t>
      </w:r>
    </w:p>
    <w:p>
      <w:pPr>
        <w:pStyle w:val="TextBody"/>
        <w:bidi w:val="0"/>
        <w:spacing w:before="0" w:after="0"/>
        <w:ind w:left="640" w:right="0" w:hanging="0"/>
        <w:jc w:val="left"/>
        <w:rPr>
          <w:caps w:val="false"/>
          <w:smallCaps w:val="false"/>
        </w:rPr>
      </w:pPr>
      <w:r>
        <w:rPr>
          <w:caps w:val="false"/>
          <w:smallCaps w:val="false"/>
        </w:rPr>
        <w:t> </w:t>
      </w:r>
    </w:p>
    <w:tbl>
      <w:tblPr>
        <w:tblW w:w="1955" w:type="dxa"/>
        <w:jc w:val="left"/>
        <w:tblInd w:w="0" w:type="dxa"/>
        <w:tblLayout w:type="fixed"/>
        <w:tblCellMar>
          <w:top w:w="0" w:type="dxa"/>
          <w:left w:w="0" w:type="dxa"/>
          <w:bottom w:w="0" w:type="dxa"/>
          <w:right w:w="0" w:type="dxa"/>
        </w:tblCellMar>
      </w:tblPr>
      <w:tblGrid>
        <w:gridCol w:w="1880"/>
        <w:gridCol w:w="75"/>
      </w:tblGrid>
      <w:tr>
        <w:trPr/>
        <w:tc>
          <w:tcPr>
            <w:tcW w:w="1880" w:type="dxa"/>
            <w:tcBorders/>
            <w:vAlign w:val="center"/>
          </w:tcPr>
          <w:p>
            <w:pPr>
              <w:pStyle w:val="TableContents"/>
              <w:bidi w:val="0"/>
              <w:spacing w:before="0" w:after="283"/>
              <w:jc w:val="left"/>
              <w:rPr>
                <w:sz w:val="20"/>
              </w:rPr>
            </w:pPr>
            <w:r>
              <w:rPr>
                <w:sz w:val="20"/>
              </w:rPr>
              <w:t>/s/ Ernst &amp; Young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6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9" w:name="tm2429676d1_ex-filingfees.htm"/>
      <w:bookmarkStart w:id="20" w:name="kstm2429676d1_exfilingfees"/>
      <w:bookmarkEnd w:id="19"/>
      <w:bookmarkEnd w:id="20"/>
      <w:r>
        <w:rPr>
          <w:rFonts w:ascii="Times New Roman;Times;Serif" w:hAnsi="Times New Roman;Times;Serif"/>
          <w:b/>
          <w:i w:val="false"/>
          <w:caps w:val="false"/>
          <w:smallCaps w:val="false"/>
          <w:sz w:val="20"/>
        </w:rPr>
        <w:t>Exhibit 107</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S-3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Priority Technology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60" w:type="dxa"/>
          <w:left w:w="28" w:type="dxa"/>
          <w:bottom w:w="28" w:type="dxa"/>
          <w:right w:w="28" w:type="dxa"/>
        </w:tblCellMar>
      </w:tblPr>
      <w:tblGrid>
        <w:gridCol w:w="579"/>
        <w:gridCol w:w="1550"/>
        <w:gridCol w:w="725"/>
        <w:gridCol w:w="1170"/>
        <w:gridCol w:w="1172"/>
        <w:gridCol w:w="1182"/>
        <w:gridCol w:w="1606"/>
        <w:gridCol w:w="1115"/>
        <w:gridCol w:w="1106"/>
      </w:tblGrid>
      <w:tr>
        <w:trPr/>
        <w:tc>
          <w:tcPr>
            <w:tcW w:w="5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Title of Each Class of</w:t>
              <w:br/>
              <w:t>Securities to be Registered</w:t>
            </w:r>
          </w:p>
        </w:tc>
        <w:tc>
          <w:tcPr>
            <w:tcW w:w="7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Security</w:t>
              <w:br/>
              <w:t>Type</w:t>
            </w:r>
          </w:p>
        </w:tc>
        <w:tc>
          <w:tcPr>
            <w:tcW w:w="11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Fee Calculation </w:t>
              <w:br/>
              <w:t>Rule</w:t>
            </w:r>
          </w:p>
        </w:tc>
        <w:tc>
          <w:tcPr>
            <w:tcW w:w="117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Amount to be </w:t>
              <w:br/>
              <w:t>Registered (1)</w:t>
            </w:r>
          </w:p>
        </w:tc>
        <w:tc>
          <w:tcPr>
            <w:tcW w:w="118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Proposed </w:t>
              <w:br/>
              <w:t xml:space="preserve">Maximum </w:t>
              <w:br/>
              <w:t>Offering Price Per</w:t>
              <w:br/>
              <w:t>Share</w:t>
            </w:r>
          </w:p>
        </w:tc>
        <w:tc>
          <w:tcPr>
            <w:tcW w:w="160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Maximum Aggregate </w:t>
              <w:br/>
              <w:t>Offering Price (4)</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Fee Rate</w:t>
            </w:r>
          </w:p>
        </w:tc>
        <w:tc>
          <w:tcPr>
            <w:tcW w:w="110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Amount of </w:t>
              <w:br/>
              <w:t xml:space="preserve">Registration </w:t>
              <w:br/>
              <w:t>Fee</w:t>
            </w:r>
          </w:p>
        </w:tc>
      </w:tr>
      <w:tr>
        <w:trPr/>
        <w:tc>
          <w:tcPr>
            <w:tcW w:w="579"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sz w:val="20"/>
              </w:rPr>
            </w:pPr>
            <w:r>
              <w:rPr>
                <w:sz w:val="20"/>
              </w:rPr>
              <w:t>Fees to be</w:t>
              <w:br/>
              <w:t>Paid</w:t>
            </w:r>
          </w:p>
        </w:tc>
        <w:tc>
          <w:tcPr>
            <w:tcW w:w="9626" w:type="dxa"/>
            <w:gridSpan w:val="8"/>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sz w:val="20"/>
              </w:rPr>
            </w:pPr>
            <w:r>
              <w:rPr>
                <w:b/>
                <w:sz w:val="20"/>
              </w:rPr>
              <w:t>Primary Offering</w:t>
            </w:r>
          </w:p>
        </w:tc>
      </w:tr>
      <w:tr>
        <w:trPr/>
        <w:tc>
          <w:tcPr>
            <w:tcW w:w="579"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pPr>
            <w:r>
              <w:rPr/>
              <w:t> </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Common stock, par value</w:t>
              <w:br/>
              <w:t>$0.001 per share (2)</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Equity</w:t>
            </w:r>
          </w:p>
        </w:tc>
        <w:tc>
          <w:tcPr>
            <w:tcW w:w="1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Rule 457(o)</w:t>
            </w:r>
          </w:p>
        </w:tc>
        <w:tc>
          <w:tcPr>
            <w:tcW w:w="11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$100,000,000</w:t>
            </w:r>
          </w:p>
        </w:tc>
        <w:tc>
          <w:tcPr>
            <w:tcW w:w="11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w:t>
            </w:r>
          </w:p>
        </w:tc>
        <w:tc>
          <w:tcPr>
            <w:tcW w:w="16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$100,000,000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$0.00015310</w:t>
            </w:r>
          </w:p>
        </w:tc>
        <w:tc>
          <w:tcPr>
            <w:tcW w:w="11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$15,310.00</w:t>
            </w:r>
          </w:p>
        </w:tc>
      </w:tr>
      <w:tr>
        <w:trPr/>
        <w:tc>
          <w:tcPr>
            <w:tcW w:w="579"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sz w:val="20"/>
              </w:rPr>
            </w:pPr>
            <w:r>
              <w:rPr>
                <w:sz w:val="20"/>
              </w:rPr>
              <w:t>Fees to be</w:t>
              <w:br/>
              <w:t>Paid</w:t>
            </w:r>
          </w:p>
        </w:tc>
        <w:tc>
          <w:tcPr>
            <w:tcW w:w="9626" w:type="dxa"/>
            <w:gridSpan w:val="8"/>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sz w:val="20"/>
              </w:rPr>
            </w:pPr>
            <w:r>
              <w:rPr>
                <w:b/>
                <w:sz w:val="20"/>
              </w:rPr>
              <w:t>Secondary Offering</w:t>
            </w:r>
          </w:p>
        </w:tc>
      </w:tr>
      <w:tr>
        <w:trPr/>
        <w:tc>
          <w:tcPr>
            <w:tcW w:w="579"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pPr>
            <w:r>
              <w:rPr/>
              <w:t> </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Common Stock, par value</w:t>
              <w:br/>
              <w:t>$0.001 per share</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Equity</w:t>
            </w:r>
          </w:p>
        </w:tc>
        <w:tc>
          <w:tcPr>
            <w:tcW w:w="1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Rule 457(a)</w:t>
            </w:r>
          </w:p>
        </w:tc>
        <w:tc>
          <w:tcPr>
            <w:tcW w:w="11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13,418,109</w:t>
            </w:r>
          </w:p>
        </w:tc>
        <w:tc>
          <w:tcPr>
            <w:tcW w:w="11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$10.02 (4)</w:t>
            </w:r>
          </w:p>
        </w:tc>
        <w:tc>
          <w:tcPr>
            <w:tcW w:w="16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$134,449,452.18</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$0.00015310</w:t>
            </w:r>
          </w:p>
        </w:tc>
        <w:tc>
          <w:tcPr>
            <w:tcW w:w="11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$20,584.21</w:t>
            </w:r>
          </w:p>
        </w:tc>
      </w:tr>
      <w:tr>
        <w:trPr/>
        <w:tc>
          <w:tcPr>
            <w:tcW w:w="579"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pPr>
            <w:r>
              <w:rPr/>
              <w:t> </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sz w:val="20"/>
              </w:rPr>
            </w:pPr>
            <w:r>
              <w:rPr>
                <w:b/>
                <w:sz w:val="20"/>
              </w:rPr>
              <w:t>Total Registration Fee</w:t>
              <w:br/>
              <w:t>(Primary and Secondary)</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6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$35,894.21</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both"/>
              <w:rPr/>
            </w:pPr>
            <w:r>
              <w:rPr/>
              <w:t>Pursuant to Rule 416 of the Securities Act of 1933, as amended, or the Securities Act, this registration statement also covers any additional securities that may be offered or issued in connection with any stock splits, stock dividends or similar transactions.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283"/>
              <w:jc w:val="both"/>
              <w:rPr/>
            </w:pPr>
            <w:r>
              <w:rPr/>
              <w:t>The amount being registered hereunder consists of up to $100,000,000 of an indeterminable amount of additional shares of common stock as may be offered by the registrant from time to time.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283"/>
              <w:jc w:val="both"/>
              <w:rPr/>
            </w:pPr>
            <w:r>
              <w:rPr/>
              <w:t>Estimated solely for the purpose of calculating the registration fee in accordance with Rule 457(o) under the Securities Act, based on an estimate of the proposed maximum offering price. The proposed maximum aggregate offering price per share will be determined from time to time by the registrant in connection with the issuance by the registrant of the securities registered hereunder.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283"/>
              <w:jc w:val="both"/>
              <w:rPr/>
            </w:pPr>
            <w:r>
              <w:rPr/>
              <w:t>Estimated solely for the purpose of calculating the registration fee pursuant to Rule 457(c) under the Securities Act. The price is based on the average of the high and low sale prices for the common stock on November 26, 2024, as reported on The Nasdaq Capital Market. With respect to the offering of common stock by the selling stockholders named herein, the proposed maximum offering price per share will be determined from time to time in connection with, and at the time of, the sale by the holder of such securities.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360" w:right="0" w:hanging="36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0001653558/000165355824000039/prth-20231231.htm" TargetMode="External"/><Relationship Id="rId5" Type="http://schemas.openxmlformats.org/officeDocument/2006/relationships/hyperlink" Target="https://www.sec.gov/ix?doc=/Archives/edgar/data/0001653558/000165355824000069/prth-20240331.htm" TargetMode="External"/><Relationship Id="rId6" Type="http://schemas.openxmlformats.org/officeDocument/2006/relationships/hyperlink" Target="https://www.sec.gov/ix?doc=/Archives/edgar/data/0001653558/000165355824000106/prth-20240630.htm" TargetMode="External"/><Relationship Id="rId7" Type="http://schemas.openxmlformats.org/officeDocument/2006/relationships/hyperlink" Target="https://www.sec.gov/ix?doc=/Archives/edgar/data/0001653558/000165355824000144/prth-20240930.htm" TargetMode="External"/><Relationship Id="rId8" Type="http://schemas.openxmlformats.org/officeDocument/2006/relationships/hyperlink" Target="https://www.sec.gov/Archives/edgar/data/1653558/000165355824000053/definitiveproxy2024.htm" TargetMode="External"/><Relationship Id="rId9" Type="http://schemas.openxmlformats.org/officeDocument/2006/relationships/hyperlink" Target="https://www.sec.gov/ix?doc=/Archives/edgar/data/0001653558/000165355824000027/prth-20240223.htm" TargetMode="External"/><Relationship Id="rId10" Type="http://schemas.openxmlformats.org/officeDocument/2006/relationships/hyperlink" Target="https://www.sec.gov/ix?doc=/Archives/edgar/data/0001653558/000165355824000073/prth-20240516.htm" TargetMode="External"/><Relationship Id="rId11" Type="http://schemas.openxmlformats.org/officeDocument/2006/relationships/hyperlink" Target="https://www.sec.gov/ix?doc=/Archives/edgar/data/0001653558/000165355824000076/prth-20240522.htm" TargetMode="External"/><Relationship Id="rId12" Type="http://schemas.openxmlformats.org/officeDocument/2006/relationships/hyperlink" Target="https://www.sec.gov/ix?doc=/Archives/edgar/data/0001653558/000165355824000153/prth-20241121.htm" TargetMode="External"/><Relationship Id="rId13" Type="http://schemas.openxmlformats.org/officeDocument/2006/relationships/hyperlink" Target="https://www.sec.gov/Archives/edgar/data/1653558/000165355823000030/prioritytechnology-ex45.htm" TargetMode="External"/><Relationship Id="rId14" Type="http://schemas.openxmlformats.org/officeDocument/2006/relationships/hyperlink" Target="https://www.sec.gov/Archives/edgar/data/0001653558/000165355821000031/projectwarriorfinxera-merg.htm" TargetMode="External"/><Relationship Id="rId15" Type="http://schemas.openxmlformats.org/officeDocument/2006/relationships/hyperlink" Target="https://www.sec.gov/Archives/edgar/data/0001653558/000165355821000031/projectwarriorfinxera-merg.htm" TargetMode="External"/><Relationship Id="rId16" Type="http://schemas.openxmlformats.org/officeDocument/2006/relationships/hyperlink" Target="https://www.sec.gov/Archives/edgar/data/0001653558/000165355821000031/projectwarriorfinxera-merg.htm" TargetMode="External"/><Relationship Id="rId17" Type="http://schemas.openxmlformats.org/officeDocument/2006/relationships/hyperlink" Target="http://www.sec.gov/Archives/edgar/data/1653558/000161577418007231/s111606_ex3-1.htm" TargetMode="External"/><Relationship Id="rId18" Type="http://schemas.openxmlformats.org/officeDocument/2006/relationships/hyperlink" Target="http://www.sec.gov/Archives/edgar/data/1653558/000161577418007231/s111606_ex3-1.htm" TargetMode="External"/><Relationship Id="rId19" Type="http://schemas.openxmlformats.org/officeDocument/2006/relationships/hyperlink" Target="https://www.sec.gov/Archives/edgar/data/1653558/000165355821000060/annex1certificateofamendme.htm" TargetMode="External"/><Relationship Id="rId20" Type="http://schemas.openxmlformats.org/officeDocument/2006/relationships/hyperlink" Target="https://www.sec.gov/Archives/edgar/data/1653558/000165355821000060/annex1certificateofamendme.htm" TargetMode="External"/><Relationship Id="rId21" Type="http://schemas.openxmlformats.org/officeDocument/2006/relationships/hyperlink" Target="https://www.sec.gov/Archives/edgar/data/0001653558/000165355821000065/exhibit31-priorityxcertifi.htm" TargetMode="External"/><Relationship Id="rId22" Type="http://schemas.openxmlformats.org/officeDocument/2006/relationships/hyperlink" Target="https://www.sec.gov/Archives/edgar/data/0001653558/000165355821000065/exhibit31-priorityxcertifi.htm" TargetMode="External"/><Relationship Id="rId23" Type="http://schemas.openxmlformats.org/officeDocument/2006/relationships/hyperlink" Target="https://www.sec.gov/Archives/edgar/data/0001653558/000165355821000065/exhibit31-priorityxcertifi.htm" TargetMode="External"/><Relationship Id="rId24" Type="http://schemas.openxmlformats.org/officeDocument/2006/relationships/hyperlink" Target="http://www.sec.gov/Archives/edgar/data/1653558/000161577418007231/s111606_ex3-2.htm" TargetMode="External"/><Relationship Id="rId25" Type="http://schemas.openxmlformats.org/officeDocument/2006/relationships/hyperlink" Target="http://www.sec.gov/Archives/edgar/data/1653558/000161577418007231/s111606_ex3-2.htm" TargetMode="External"/><Relationship Id="rId26" Type="http://schemas.openxmlformats.org/officeDocument/2006/relationships/hyperlink" Target="http://www.sec.gov/Archives/edgar/data/1653558/000161577416006436/s103712_ex4-2.htm" TargetMode="External"/><Relationship Id="rId27" Type="http://schemas.openxmlformats.org/officeDocument/2006/relationships/hyperlink" Target="http://www.sec.gov/Archives/edgar/data/1653558/000161577416006436/s103712_ex4-2.htm" TargetMode="External"/><Relationship Id="rId28" Type="http://schemas.openxmlformats.org/officeDocument/2006/relationships/hyperlink" Target="https://www.sec.gov/Archives/edgar/data/1653558/000165355821000065/exhibit101-priorityxpurcha.htm" TargetMode="External"/><Relationship Id="rId29" Type="http://schemas.openxmlformats.org/officeDocument/2006/relationships/hyperlink" Target="https://www.sec.gov/Archives/edgar/data/1653558/000165355821000065/exhibit101-priorityxpurcha.htm" TargetMode="External"/><Relationship Id="rId30" Type="http://schemas.openxmlformats.org/officeDocument/2006/relationships/hyperlink" Target="https://www.sec.gov/Archives/edgar/data/1653558/000165355821000065/exhibit102-priorityxregist.htm" TargetMode="External"/><Relationship Id="rId31" Type="http://schemas.openxmlformats.org/officeDocument/2006/relationships/hyperlink" Target="https://www.sec.gov/Archives/edgar/data/1653558/000165355821000065/exhibit102-priorityxregist.htm" TargetMode="External"/><Relationship Id="rId32" Type="http://schemas.openxmlformats.org/officeDocument/2006/relationships/hyperlink" Target="https://www.sec.gov/Archives/edgar/data/1653558/000165355821000065/exhibit41-priorityxwarrant.htm" TargetMode="External"/><Relationship Id="rId33" Type="http://schemas.openxmlformats.org/officeDocument/2006/relationships/hyperlink" Target="https://www.sec.gov/Archives/edgar/data/1653558/000165355821000065/exhibit41-priorityxwarrant.htm" TargetMode="External"/><Relationship Id="rId34" Type="http://schemas.openxmlformats.org/officeDocument/2006/relationships/hyperlink" Target="https://www.sec.gov/Archives/edgar/data/1653558/000165355821000065/exhibit41-priorityxwarrant.htm" TargetMode="External"/><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13074</Words>
  <Characters>70980</Characters>
  <CharactersWithSpaces>84135</CharactersWithSpaces>
  <Paragraphs>1189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