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0001747632</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64"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ind w:right="1040"/>
        <w:spacing w:after="0" w:line="281" w:lineRule="auto"/>
        <w:rPr>
          <w:sz w:val="20"/>
          <w:szCs w:val="20"/>
          <w:color w:val="auto"/>
        </w:rPr>
      </w:pPr>
      <w:r>
        <w:rPr>
          <w:rFonts w:ascii="Arial" w:cs="Arial" w:eastAsia="Arial" w:hAnsi="Arial"/>
          <w:sz w:val="22"/>
          <w:szCs w:val="22"/>
          <w:color w:val="auto"/>
        </w:rPr>
        <w:t>Priority Technology Holdings Inc 001-37872</w:t>
      </w:r>
    </w:p>
    <w:p>
      <w:pPr>
        <w:spacing w:after="0" w:line="2" w:lineRule="exact"/>
        <w:rPr>
          <w:sz w:val="24"/>
          <w:szCs w:val="24"/>
          <w:color w:val="auto"/>
        </w:rPr>
      </w:pPr>
    </w:p>
    <w:p>
      <w:pPr>
        <w:spacing w:after="0"/>
        <w:rPr>
          <w:sz w:val="20"/>
          <w:szCs w:val="20"/>
          <w:color w:val="auto"/>
        </w:rPr>
      </w:pPr>
      <w:r>
        <w:rPr>
          <w:rFonts w:ascii="Arial" w:cs="Arial" w:eastAsia="Arial" w:hAnsi="Arial"/>
          <w:sz w:val="19"/>
          <w:szCs w:val="19"/>
          <w:color w:val="auto"/>
        </w:rPr>
        <w:t>2001 Westside Parkway - Suite 155</w:t>
      </w:r>
    </w:p>
    <w:p>
      <w:pPr>
        <w:spacing w:after="0" w:line="33" w:lineRule="exact"/>
        <w:rPr>
          <w:sz w:val="24"/>
          <w:szCs w:val="24"/>
          <w:color w:val="auto"/>
        </w:rPr>
      </w:pPr>
    </w:p>
    <w:p>
      <w:pPr>
        <w:spacing w:after="0"/>
        <w:rPr>
          <w:sz w:val="20"/>
          <w:szCs w:val="20"/>
          <w:color w:val="auto"/>
        </w:rPr>
      </w:pPr>
      <w:r>
        <w:rPr>
          <w:rFonts w:ascii="Arial" w:cs="Arial" w:eastAsia="Arial" w:hAnsi="Arial"/>
          <w:sz w:val="22"/>
          <w:szCs w:val="22"/>
          <w:color w:val="auto"/>
        </w:rPr>
        <w:t>Alpharetta</w:t>
      </w:r>
    </w:p>
    <w:p>
      <w:pPr>
        <w:spacing w:after="0" w:line="230" w:lineRule="auto"/>
        <w:rPr>
          <w:sz w:val="20"/>
          <w:szCs w:val="20"/>
          <w:color w:val="auto"/>
        </w:rPr>
      </w:pPr>
      <w:r>
        <w:rPr>
          <w:rFonts w:ascii="Arial" w:cs="Arial" w:eastAsia="Arial" w:hAnsi="Arial"/>
          <w:sz w:val="22"/>
          <w:szCs w:val="22"/>
          <w:color w:val="auto"/>
        </w:rPr>
        <w:t>GEORGIA</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30004</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404-952-2107</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Sean Kiewiet</w:t>
      </w:r>
    </w:p>
    <w:p>
      <w:pPr>
        <w:spacing w:after="0" w:line="44" w:lineRule="exact"/>
        <w:rPr>
          <w:sz w:val="24"/>
          <w:szCs w:val="24"/>
          <w:color w:val="auto"/>
        </w:rPr>
      </w:pPr>
    </w:p>
    <w:p>
      <w:pPr>
        <w:sectPr>
          <w:pgSz w:w="11900" w:h="16838" w:orient="portrait"/>
          <w:cols w:equalWidth="0" w:num="2">
            <w:col w:w="6580" w:space="720"/>
            <w:col w:w="394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28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Affiliate</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00" w:type="dxa"/>
            <w:vAlign w:val="bottom"/>
            <w:vMerge w:val="restart"/>
          </w:tcPr>
          <w:p>
            <w:pPr>
              <w:ind w:left="32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3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0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J.P. Morgan Securities</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LLC</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Arial" w:cs="Arial" w:eastAsia="Arial" w:hAnsi="Arial"/>
                <w:sz w:val="22"/>
                <w:szCs w:val="22"/>
                <w:color w:val="auto"/>
              </w:rPr>
              <w:t>Common</w:t>
            </w: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390 Madison Avenue</w:t>
            </w:r>
          </w:p>
        </w:tc>
        <w:tc>
          <w:tcPr>
            <w:tcW w:w="1300" w:type="dxa"/>
            <w:vAlign w:val="bottom"/>
          </w:tcPr>
          <w:p>
            <w:pPr>
              <w:jc w:val="right"/>
              <w:ind w:right="532"/>
              <w:spacing w:after="0" w:line="243" w:lineRule="exact"/>
              <w:rPr>
                <w:sz w:val="20"/>
                <w:szCs w:val="20"/>
                <w:color w:val="auto"/>
              </w:rPr>
            </w:pPr>
            <w:r>
              <w:rPr>
                <w:rFonts w:ascii="Arial" w:cs="Arial" w:eastAsia="Arial" w:hAnsi="Arial"/>
                <w:sz w:val="22"/>
                <w:szCs w:val="22"/>
                <w:color w:val="auto"/>
              </w:rPr>
              <w:t>50000</w:t>
            </w:r>
          </w:p>
        </w:tc>
        <w:tc>
          <w:tcPr>
            <w:tcW w:w="1140" w:type="dxa"/>
            <w:vAlign w:val="bottom"/>
          </w:tcPr>
          <w:p>
            <w:pPr>
              <w:jc w:val="right"/>
              <w:ind w:right="352"/>
              <w:spacing w:after="0" w:line="243" w:lineRule="exact"/>
              <w:rPr>
                <w:sz w:val="20"/>
                <w:szCs w:val="20"/>
                <w:color w:val="auto"/>
              </w:rPr>
            </w:pPr>
            <w:r>
              <w:rPr>
                <w:rFonts w:ascii="Arial" w:cs="Arial" w:eastAsia="Arial" w:hAnsi="Arial"/>
                <w:sz w:val="22"/>
                <w:szCs w:val="22"/>
                <w:color w:val="auto"/>
                <w:w w:val="89"/>
              </w:rPr>
              <w:t>171000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6th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New York  NY  10017</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Arial" w:cs="Arial" w:eastAsia="Arial" w:hAnsi="Arial"/>
                <w:sz w:val="22"/>
                <w:szCs w:val="22"/>
                <w:color w:val="auto"/>
                <w:w w:val="85"/>
              </w:rPr>
              <w:t>76571408</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09/14/2023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58"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Arial" w:cs="Arial" w:eastAsia="Arial" w:hAnsi="Arial"/>
          <w:sz w:val="22"/>
          <w:szCs w:val="22"/>
          <w:b w:val="1"/>
          <w:bCs w:val="1"/>
          <w:color w:val="auto"/>
        </w:rPr>
        <w:t>Class</w:t>
      </w:r>
      <w:r>
        <w:rPr>
          <w:sz w:val="20"/>
          <w:szCs w:val="20"/>
          <w:color w:val="auto"/>
        </w:rPr>
        <w:tab/>
      </w:r>
      <w:r>
        <w:rPr>
          <w:rFonts w:ascii="Arial" w:cs="Arial" w:eastAsia="Arial" w:hAnsi="Arial"/>
          <w:sz w:val="22"/>
          <w:szCs w:val="22"/>
          <w:b w:val="1"/>
          <w:bCs w:val="1"/>
          <w:color w:val="auto"/>
        </w:rPr>
        <w:t>Acquired</w:t>
      </w:r>
      <w:r>
        <w:rPr>
          <w:sz w:val="20"/>
          <w:szCs w:val="20"/>
          <w:color w:val="auto"/>
        </w:rPr>
        <w:tab/>
      </w:r>
      <w:r>
        <w:rPr>
          <w:rFonts w:ascii="Arial" w:cs="Arial" w:eastAsia="Arial" w:hAnsi="Arial"/>
          <w:sz w:val="22"/>
          <w:szCs w:val="22"/>
          <w:b w:val="1"/>
          <w:bCs w:val="1"/>
          <w:color w:val="auto"/>
        </w:rPr>
        <w:t>Acquisition</w:t>
      </w:r>
      <w:r>
        <w:rPr>
          <w:sz w:val="20"/>
          <w:szCs w:val="20"/>
          <w:color w:val="auto"/>
        </w:rPr>
        <w:tab/>
      </w:r>
      <w:r>
        <w:rPr>
          <w:rFonts w:ascii="Arial" w:cs="Arial" w:eastAsia="Arial" w:hAnsi="Arial"/>
          <w:sz w:val="22"/>
          <w:szCs w:val="22"/>
          <w:b w:val="1"/>
          <w:bCs w:val="1"/>
          <w:color w:val="auto"/>
        </w:rPr>
        <w:t>Person from</w:t>
        <w:tab/>
        <w:t>this</w:t>
        <w:tab/>
        <w:t>Donor</w:t>
      </w:r>
      <w:r>
        <w:rPr>
          <w:sz w:val="20"/>
          <w:szCs w:val="20"/>
          <w:color w:val="auto"/>
        </w:rPr>
        <w:tab/>
      </w:r>
      <w:r>
        <w:rPr>
          <w:rFonts w:ascii="Arial" w:cs="Arial" w:eastAsia="Arial" w:hAnsi="Arial"/>
          <w:sz w:val="22"/>
          <w:szCs w:val="22"/>
          <w:b w:val="1"/>
          <w:bCs w:val="1"/>
          <w:color w:val="auto"/>
        </w:rPr>
        <w:t>Securities</w:t>
        <w:tab/>
        <w:t>Payment</w:t>
      </w:r>
      <w:r>
        <w:rPr>
          <w:sz w:val="20"/>
          <w:szCs w:val="20"/>
          <w:color w:val="auto"/>
        </w:rPr>
        <w:tab/>
      </w:r>
      <w:r>
        <w:rPr>
          <w:rFonts w:ascii="Arial" w:cs="Arial" w:eastAsia="Arial" w:hAnsi="Arial"/>
          <w:sz w:val="19"/>
          <w:szCs w:val="19"/>
          <w:b w:val="1"/>
          <w:bCs w:val="1"/>
          <w:color w:val="auto"/>
        </w:rPr>
        <w:t>Payment *</w:t>
      </w:r>
    </w:p>
    <w:p>
      <w:pPr>
        <w:sectPr>
          <w:pgSz w:w="11900" w:h="16838" w:orient="portrait"/>
          <w:cols w:equalWidth="0" w:num="1">
            <w:col w:w="11240"/>
          </w:cols>
          <w:pgMar w:left="320" w:top="267" w:right="339" w:bottom="0" w:gutter="0" w:footer="0" w:header="0"/>
          <w:type w:val="continuous"/>
        </w:sectPr>
      </w:pPr>
    </w:p>
    <w:bookmarkStart w:id="1" w:name="page2"/>
    <w:bookmarkEnd w:id="1"/>
    <w:p>
      <w:pPr>
        <w:ind w:left="2840"/>
        <w:spacing w:after="0"/>
        <w:rPr>
          <w:sz w:val="20"/>
          <w:szCs w:val="20"/>
          <w:color w:val="auto"/>
        </w:rPr>
      </w:pPr>
      <w:r>
        <w:rPr>
          <w:rFonts w:ascii="Arial" w:cs="Arial" w:eastAsia="Arial" w:hAnsi="Arial"/>
          <w:sz w:val="19"/>
          <w:szCs w:val="19"/>
          <w:b w:val="1"/>
          <w:bCs w:val="1"/>
          <w:color w:val="auto"/>
        </w:rPr>
        <w:t>Transaction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22"/>
          <w:szCs w:val="22"/>
          <w:b w:val="1"/>
          <w:bCs w:val="1"/>
          <w:color w:val="auto"/>
        </w:rPr>
        <w:t>Whom</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Acquired</w:t>
      </w:r>
    </w:p>
    <w:p>
      <w:pPr>
        <w:spacing w:after="0" w:line="20" w:lineRule="exact"/>
        <w:rPr>
          <w:sz w:val="20"/>
          <w:szCs w:val="20"/>
          <w:color w:val="auto"/>
        </w:rPr>
      </w:pPr>
      <w:r>
        <w:rPr>
          <w:sz w:val="20"/>
          <w:szCs w:val="20"/>
          <w:color w:val="auto"/>
        </w:rPr>
        <w:br w:type="column"/>
      </w:r>
    </w:p>
    <w:p>
      <w:pPr>
        <w:ind w:left="180"/>
        <w:spacing w:after="0"/>
        <w:tabs>
          <w:tab w:leader="none" w:pos="520" w:val="left"/>
          <w:tab w:leader="none" w:pos="1640" w:val="left"/>
        </w:tabs>
        <w:rPr>
          <w:sz w:val="20"/>
          <w:szCs w:val="20"/>
          <w:color w:val="auto"/>
        </w:rPr>
      </w:pPr>
      <w:r>
        <w:rPr>
          <w:rFonts w:ascii="Arial" w:cs="Arial" w:eastAsia="Arial" w:hAnsi="Arial"/>
          <w:sz w:val="22"/>
          <w:szCs w:val="22"/>
          <w:b w:val="1"/>
          <w:bCs w:val="1"/>
          <w:color w:val="auto"/>
        </w:rPr>
        <w:t>a</w:t>
        <w:tab/>
        <w:t>Acquired</w:t>
      </w:r>
      <w:r>
        <w:rPr>
          <w:sz w:val="20"/>
          <w:szCs w:val="20"/>
          <w:color w:val="auto"/>
        </w:rPr>
        <w:tab/>
      </w:r>
      <w:r>
        <w:rPr>
          <w:rFonts w:ascii="Arial" w:cs="Arial" w:eastAsia="Arial" w:hAnsi="Arial"/>
          <w:sz w:val="19"/>
          <w:szCs w:val="19"/>
          <w:b w:val="1"/>
          <w:bCs w:val="1"/>
          <w:color w:val="auto"/>
        </w:rPr>
        <w:t>Acquired</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Gift?</w:t>
      </w:r>
    </w:p>
    <w:p>
      <w:pPr>
        <w:spacing w:after="0" w:line="40" w:lineRule="exact"/>
        <w:rPr>
          <w:sz w:val="20"/>
          <w:szCs w:val="20"/>
          <w:color w:val="auto"/>
        </w:rPr>
      </w:pPr>
    </w:p>
    <w:p>
      <w:pPr>
        <w:sectPr>
          <w:pgSz w:w="11900" w:h="16838" w:orient="portrait"/>
          <w:cols w:equalWidth="0" w:num="3">
            <w:col w:w="3940" w:space="620"/>
            <w:col w:w="860" w:space="340"/>
            <w:col w:w="5480"/>
          </w:cols>
          <w:pgMar w:left="320" w:top="111" w:right="339" w:bottom="1440" w:gutter="0" w:footer="0" w:header="0"/>
        </w:sectPr>
      </w:pPr>
    </w:p>
    <w:p>
      <w:pPr>
        <w:ind w:left="40"/>
        <w:spacing w:after="0"/>
        <w:rPr>
          <w:sz w:val="20"/>
          <w:szCs w:val="20"/>
          <w:color w:val="auto"/>
        </w:rPr>
      </w:pPr>
      <w:r>
        <w:rPr>
          <w:rFonts w:ascii="Arial" w:cs="Arial" w:eastAsia="Arial" w:hAnsi="Arial"/>
          <w:sz w:val="19"/>
          <w:szCs w:val="19"/>
          <w:color w:val="auto"/>
        </w:rPr>
        <w:t>Common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07/25/2018 Founder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Issuer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50000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07/25/2018 n/a</w:t>
      </w:r>
    </w:p>
    <w:p>
      <w:pPr>
        <w:spacing w:after="0" w:line="200" w:lineRule="exact"/>
        <w:rPr>
          <w:sz w:val="20"/>
          <w:szCs w:val="20"/>
          <w:color w:val="auto"/>
        </w:rPr>
      </w:pPr>
    </w:p>
    <w:p>
      <w:pPr>
        <w:sectPr>
          <w:pgSz w:w="11900" w:h="16838" w:orient="portrait"/>
          <w:cols w:equalWidth="0" w:num="5">
            <w:col w:w="860" w:space="660"/>
            <w:col w:w="2380" w:space="360"/>
            <w:col w:w="2240" w:space="720"/>
            <w:col w:w="580" w:space="720"/>
            <w:col w:w="2720"/>
          </w:cols>
          <w:pgMar w:left="320" w:top="111" w:right="339" w:bottom="1440" w:gutter="0" w:footer="0" w:header="0"/>
          <w:type w:val="continuous"/>
        </w:sectPr>
      </w:pPr>
    </w:p>
    <w:p>
      <w:pPr>
        <w:spacing w:after="0" w:line="108"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51"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6"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51"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1560" w:type="dxa"/>
            <w:vAlign w:val="bottom"/>
          </w:tcPr>
          <w:p>
            <w:pPr>
              <w:spacing w:after="0"/>
              <w:rPr>
                <w:sz w:val="20"/>
                <w:szCs w:val="20"/>
                <w:color w:val="auto"/>
              </w:rPr>
            </w:pPr>
            <w:r>
              <w:rPr>
                <w:rFonts w:ascii="Arial" w:cs="Arial" w:eastAsia="Arial" w:hAnsi="Arial"/>
                <w:sz w:val="22"/>
                <w:szCs w:val="22"/>
                <w:color w:val="auto"/>
              </w:rPr>
              <w:t>Remarks</w:t>
            </w:r>
          </w:p>
        </w:tc>
        <w:tc>
          <w:tcPr>
            <w:tcW w:w="1260" w:type="dxa"/>
            <w:vAlign w:val="bottom"/>
          </w:tcPr>
          <w:p>
            <w:pPr>
              <w:spacing w:after="0"/>
              <w:rPr>
                <w:sz w:val="23"/>
                <w:szCs w:val="23"/>
                <w:color w:val="auto"/>
              </w:rPr>
            </w:pPr>
          </w:p>
        </w:tc>
      </w:tr>
      <w:tr>
        <w:trPr>
          <w:trHeight w:val="297"/>
        </w:trPr>
        <w:tc>
          <w:tcPr>
            <w:tcW w:w="1560" w:type="dxa"/>
            <w:vAlign w:val="bottom"/>
          </w:tcPr>
          <w:p>
            <w:pPr>
              <w:spacing w:after="0"/>
              <w:rPr>
                <w:sz w:val="20"/>
                <w:szCs w:val="20"/>
                <w:color w:val="auto"/>
              </w:rPr>
            </w:pPr>
            <w:r>
              <w:rPr>
                <w:rFonts w:ascii="Arial" w:cs="Arial" w:eastAsia="Arial" w:hAnsi="Arial"/>
                <w:sz w:val="22"/>
                <w:szCs w:val="22"/>
                <w:color w:val="auto"/>
              </w:rPr>
              <w:t>Date of Notice</w:t>
            </w:r>
          </w:p>
        </w:tc>
        <w:tc>
          <w:tcPr>
            <w:tcW w:w="1260" w:type="dxa"/>
            <w:vAlign w:val="bottom"/>
          </w:tcPr>
          <w:p>
            <w:pPr>
              <w:jc w:val="right"/>
              <w:spacing w:after="0"/>
              <w:rPr>
                <w:sz w:val="20"/>
                <w:szCs w:val="20"/>
                <w:color w:val="auto"/>
              </w:rPr>
            </w:pPr>
            <w:r>
              <w:rPr>
                <w:rFonts w:ascii="Arial" w:cs="Arial" w:eastAsia="Arial" w:hAnsi="Arial"/>
                <w:sz w:val="22"/>
                <w:szCs w:val="22"/>
                <w:color w:val="auto"/>
              </w:rPr>
              <w:t>09/14/2023</w:t>
            </w:r>
          </w:p>
        </w:tc>
      </w:tr>
      <w:tr>
        <w:trPr>
          <w:trHeight w:val="297"/>
        </w:trPr>
        <w:tc>
          <w:tcPr>
            <w:tcW w:w="156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126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186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J.P. Morgan Securities LLC as agent and attorney-in-fact for Sean Kiewiet</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2023-09-14T16:51:26Z</dcterms:created>
  <dcterms:modified xsi:type="dcterms:W3CDTF">2023-09-14T16:51:26Z</dcterms:modified>
</cp:coreProperties>
</file>