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March 10, 2026</w:t>
      </w:r>
    </w:p>
    <w:p>
      <w:pPr>
        <w:spacing w:after="0" w:line="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7355" cy="537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r>
      <w:tr>
        <w:trPr>
          <w:trHeight w:val="234"/>
        </w:trPr>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520" w:type="dxa"/>
            <w:vAlign w:val="bottom"/>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212" w:lineRule="exact"/>
        <w:rPr>
          <w:sz w:val="24"/>
          <w:szCs w:val="24"/>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447675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March 10, 2026, Priority Technology Holdings, Inc. ("Priority") issued a press release announcing its financial results for the quarter ended December 31, 2025.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March 10, 2026, Priority will hold an earnings conference call and webcast at 11:00 a.m. (Eastern Time) to discuss the financial results for the quarter ended December 31, 2025.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March 10, 2026</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March 10, 2026</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86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16510</wp:posOffset>
            </wp:positionV>
            <wp:extent cx="129159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Priority Technology Holdings, Inc. Announces Fourth Quarter and Full Year </w:t>
      </w: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6"/>
          <w:szCs w:val="16"/>
          <w:b w:val="1"/>
          <w:bCs w:val="1"/>
          <w:color w:val="auto"/>
        </w:rPr>
        <w:t xml:space="preserve"> Financial Results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xml:space="preserve">Strong </w:t>
      </w:r>
      <w:r>
        <w:rPr>
          <w:rFonts w:ascii="Times New Roman" w:cs="Times New Roman" w:eastAsia="Times New Roman" w:hAnsi="Times New Roman"/>
          <w:sz w:val="15"/>
          <w:szCs w:val="15"/>
          <w:i w:val="1"/>
          <w:iCs w:val="1"/>
          <w:color w:val="auto"/>
        </w:rPr>
        <w:t>Fourth Quarter</w:t>
      </w:r>
      <w:r>
        <w:rPr>
          <w:rFonts w:ascii="Times New Roman" w:cs="Times New Roman" w:eastAsia="Times New Roman" w:hAnsi="Times New Roman"/>
          <w:sz w:val="14"/>
          <w:szCs w:val="14"/>
          <w:i w:val="1"/>
          <w:iCs w:val="1"/>
          <w:color w:val="auto"/>
        </w:rPr>
        <w:t xml:space="preserve"> Growth Driven by Performance Across Diverse Business Segments</w:t>
      </w:r>
    </w:p>
    <w:p>
      <w:pPr>
        <w:spacing w:after="0" w:line="17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ALPHARETTA, GA - March 10, 2026 -- Priority Technology Holdings, Inc. (NASDAQ: PRTH) ("Priority" or the "Company"), is a payments and banking fintech purpose-built to collect, store, lend and send money with a connected commerce engine that combines full-service merchant acquiring for accounts receivable, complete automated payables tools for bill payment, and sophisticated treasury management solutions to accelerate cash flow and optimize working capital for its customers, announced its fourth quarter and full year 2025 financial results including strong year-over-year diversified revenue growth.</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Fourth Quarter 2025 Compared with Fourth Quarter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fourth quarter of 2025 compared with the fourth quarter of 2024, are as follows</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$247.1 million increased 8.8% from $227.1 million, including 6.8% of organic growth</w:t>
      </w:r>
    </w:p>
    <w:p>
      <w:pPr>
        <w:spacing w:after="0" w:line="2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$100.2 million increased 19.4% from $83.9 million</w:t>
      </w:r>
    </w:p>
    <w:p>
      <w:pPr>
        <w:ind w:left="420" w:hanging="212"/>
        <w:spacing w:after="0" w:line="232"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40.6% increased 360 basis points from 37.0%</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$33.5 million decreased 1.9% from $34.1 million</w:t>
      </w:r>
    </w:p>
    <w:p>
      <w:pPr>
        <w:spacing w:after="0" w:line="1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$60.1 million increased 16.2% from $51.7 million</w:t>
      </w:r>
    </w:p>
    <w:p>
      <w:pPr>
        <w:spacing w:after="0" w:line="7" w:lineRule="exact"/>
        <w:rPr>
          <w:rFonts w:ascii="Times New Roman" w:cs="Times New Roman" w:eastAsia="Times New Roman" w:hAnsi="Times New Roman"/>
          <w:sz w:val="13"/>
          <w:szCs w:val="13"/>
          <w:color w:val="auto"/>
        </w:rPr>
      </w:pPr>
    </w:p>
    <w:p>
      <w:pPr>
        <w:ind w:left="420" w:hanging="212"/>
        <w:spacing w:after="0" w:line="220"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EPS - diluted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$0.27 increased 50.0% from $0.18</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October 2025, the Company acquired the assets of Dealer Merchant Services, a leading provider of vertically focused software and payments in the automotive dealership arena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Full Year 2025 Compared with Full Year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Full Year of 2025 compared with the Full Year of 2024, are as follows</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$953.0 million increased 8.3% from $879.7 million, including 7.7% in organic growth</w:t>
      </w:r>
    </w:p>
    <w:p>
      <w:pPr>
        <w:spacing w:after="0" w:line="3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$374.7 million increased 14.2% from $328.1 million</w:t>
      </w:r>
    </w:p>
    <w:p>
      <w:pPr>
        <w:ind w:left="420" w:hanging="212"/>
        <w:spacing w:after="0" w:line="220" w:lineRule="auto"/>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39.3% increased 200 basis points from 37.3%</w:t>
      </w: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$141.2 million increased 5.9% from $133.4 million</w:t>
      </w:r>
    </w:p>
    <w:p>
      <w:pPr>
        <w:spacing w:after="0" w:line="2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$225.2 million increased 10.2% from $204.3 million</w:t>
      </w:r>
    </w:p>
    <w:p>
      <w:pPr>
        <w:spacing w:after="0" w:line="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EPS - diluted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$1.03</w:t>
      </w:r>
      <w:r>
        <w:rPr>
          <w:rFonts w:ascii="Times New Roman" w:cs="Times New Roman" w:eastAsia="Times New Roman" w:hAnsi="Times New Roman"/>
          <w:sz w:val="13"/>
          <w:szCs w:val="13"/>
          <w:color w:val="auto"/>
        </w:rPr>
        <w:t xml:space="preserve"> increased 102.0% from $0.51</w:t>
      </w:r>
    </w:p>
    <w:p>
      <w:pPr>
        <w:spacing w:after="0" w:line="122" w:lineRule="exact"/>
        <w:rPr>
          <w:sz w:val="20"/>
          <w:szCs w:val="20"/>
          <w:color w:val="auto"/>
        </w:rPr>
      </w:pPr>
    </w:p>
    <w:p>
      <w:pPr>
        <w:ind w:left="420" w:right="240" w:hanging="212"/>
        <w:spacing w:after="0" w:line="268" w:lineRule="auto"/>
        <w:tabs>
          <w:tab w:leader="none" w:pos="412" w:val="left"/>
        </w:tabs>
        <w:numPr>
          <w:ilvl w:val="0"/>
          <w:numId w:val="4"/>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Adjusted EBITDA (non-GAAP), and Adjusted EPS (non-GAAP), to their most comparable GAAP measures provided below for additional information.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51" w:right="299" w:bottom="1440" w:gutter="0" w:footer="0" w:header="0"/>
        </w:sectPr>
      </w:pPr>
    </w:p>
    <w:bookmarkStart w:id="4" w:name="page5"/>
    <w:bookmarkEnd w:id="4"/>
    <w:p>
      <w:pPr>
        <w:ind w:left="420" w:hanging="212"/>
        <w:spacing w:after="0"/>
        <w:tabs>
          <w:tab w:leader="none" w:pos="420" w:val="left"/>
        </w:tabs>
        <w:numPr>
          <w:ilvl w:val="0"/>
          <w:numId w:val="5"/>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add mathematically due to rounding</w:t>
      </w:r>
    </w:p>
    <w:p>
      <w:pPr>
        <w:spacing w:after="0" w:line="26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222222"/>
        </w:rPr>
        <w:t>“Our results reflect the strength and diversification of Priority’s Connected Commerce platform, with almost 9% revenue growth and over 19% adjusted gross profit growth in the fourth quarter,” said Tom Priore, Chairman and CEO of Priority. “The ability to deliver payments and treasury solutions across our business segments generated over 18% revenue growth for Treasury Solutions and 13% growth for Payables, while adjusted gross profit margins expanded by nearly 360 basis points.”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2026 Financial Guidance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Priority's outlook remains strong, which is reflected in our full year 2026 guidance:</w:t>
      </w:r>
    </w:p>
    <w:p>
      <w:pPr>
        <w:spacing w:after="0" w:line="184"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3"/>
          <w:szCs w:val="13"/>
          <w:color w:val="auto"/>
        </w:rPr>
        <w:t>Revenue forecast to achieve a growth rate of 6% to 9% compared to fiscal 2025 results, resulting in a revenue range between $1.01 billion to $1.04 billion</w:t>
      </w:r>
    </w:p>
    <w:p>
      <w:pPr>
        <w:spacing w:after="0" w:line="100" w:lineRule="exact"/>
        <w:rPr>
          <w:rFonts w:ascii="Arial" w:cs="Arial" w:eastAsia="Arial" w:hAnsi="Arial"/>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to range between $405 million and $425 million</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Adjusted EBITDA (a non-GAAP measure) forecast to range between $230 million to $245 million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86" w:lineRule="exact"/>
        <w:rPr>
          <w:sz w:val="20"/>
          <w:szCs w:val="20"/>
          <w:color w:val="auto"/>
        </w:rPr>
      </w:pPr>
    </w:p>
    <w:p>
      <w:pPr>
        <w:ind w:right="20"/>
        <w:spacing w:after="0" w:line="324" w:lineRule="auto"/>
        <w:rPr>
          <w:sz w:val="20"/>
          <w:szCs w:val="20"/>
          <w:color w:val="auto"/>
        </w:rPr>
      </w:pPr>
      <w:r>
        <w:rPr>
          <w:rFonts w:ascii="Times New Roman" w:cs="Times New Roman" w:eastAsia="Times New Roman" w:hAnsi="Times New Roman"/>
          <w:sz w:val="13"/>
          <w:szCs w:val="13"/>
          <w:color w:val="070707"/>
        </w:rPr>
        <w:t xml:space="preserve">Priority's leadership will host a conference call on </w:t>
      </w:r>
      <w:r>
        <w:rPr>
          <w:rFonts w:ascii="Times New Roman" w:cs="Times New Roman" w:eastAsia="Times New Roman" w:hAnsi="Times New Roman"/>
          <w:sz w:val="13"/>
          <w:szCs w:val="13"/>
          <w:color w:val="000000"/>
        </w:rPr>
        <w:t>Tuesday, March 10, 2026</w:t>
      </w:r>
      <w:r>
        <w:rPr>
          <w:rFonts w:ascii="Times New Roman" w:cs="Times New Roman" w:eastAsia="Times New Roman" w:hAnsi="Times New Roman"/>
          <w:sz w:val="13"/>
          <w:szCs w:val="13"/>
          <w:color w:val="070707"/>
        </w:rPr>
        <w:t xml:space="preserve"> at 10:00 a.m. EST to discuss its fourth quarter and full-year </w:t>
      </w:r>
      <w:r>
        <w:rPr>
          <w:rFonts w:ascii="Times New Roman" w:cs="Times New Roman" w:eastAsia="Times New Roman" w:hAnsi="Times New Roman"/>
          <w:sz w:val="13"/>
          <w:szCs w:val="13"/>
          <w:color w:val="000000"/>
        </w:rPr>
        <w:t>2025</w:t>
      </w:r>
      <w:r>
        <w:rPr>
          <w:rFonts w:ascii="Times New Roman" w:cs="Times New Roman" w:eastAsia="Times New Roman" w:hAnsi="Times New Roman"/>
          <w:sz w:val="13"/>
          <w:szCs w:val="13"/>
          <w:color w:val="070707"/>
        </w:rPr>
        <w:t xml:space="preserve"> financial results. Participants can access the call by p</w:t>
      </w:r>
      <w:r>
        <w:rPr>
          <w:rFonts w:ascii="Times New Roman" w:cs="Times New Roman" w:eastAsia="Times New Roman" w:hAnsi="Times New Roman"/>
          <w:sz w:val="13"/>
          <w:szCs w:val="13"/>
          <w:color w:val="000000"/>
        </w:rPr>
        <w:t>hone in the U.S. or</w:t>
      </w:r>
      <w:r>
        <w:rPr>
          <w:rFonts w:ascii="Times New Roman" w:cs="Times New Roman" w:eastAsia="Times New Roman" w:hAnsi="Times New Roman"/>
          <w:sz w:val="13"/>
          <w:szCs w:val="13"/>
          <w:color w:val="070707"/>
        </w:rPr>
        <w:t xml:space="preserve"> </w:t>
      </w:r>
      <w:r>
        <w:rPr>
          <w:rFonts w:ascii="Times New Roman" w:cs="Times New Roman" w:eastAsia="Times New Roman" w:hAnsi="Times New Roman"/>
          <w:sz w:val="13"/>
          <w:szCs w:val="13"/>
          <w:color w:val="000000"/>
        </w:rPr>
        <w:t>Canada at (833) 636-1319 or internationally at (412) 902-4286.</w:t>
      </w:r>
    </w:p>
    <w:p>
      <w:pPr>
        <w:spacing w:after="0" w:line="107"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https://viavid.webcasts.com/starthere.jsp?ei=1751303&amp;tp_key=851a6179f9</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w:t>
      </w:r>
    </w:p>
    <w:p>
      <w:pPr>
        <w:spacing w:after="0" w:line="99" w:lineRule="exact"/>
        <w:rPr>
          <w:sz w:val="20"/>
          <w:szCs w:val="20"/>
          <w:color w:val="auto"/>
        </w:rPr>
      </w:pPr>
    </w:p>
    <w:p>
      <w:pPr>
        <w:spacing w:after="0" w:line="338"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March 24, 2026 at 11:59 p.m. EST. To listen to the audio replay, dial (844) 512-2921 or (412) 317-6671 and enter conference ID number </w:t>
      </w:r>
      <w:r>
        <w:rPr>
          <w:rFonts w:ascii="Times New Roman" w:cs="Times New Roman" w:eastAsia="Times New Roman" w:hAnsi="Times New Roman"/>
          <w:sz w:val="13"/>
          <w:szCs w:val="13"/>
          <w:b w:val="1"/>
          <w:bCs w:val="1"/>
          <w:color w:val="222222"/>
        </w:rPr>
        <w:t>10206470</w:t>
      </w:r>
      <w:r>
        <w:rPr>
          <w:rFonts w:ascii="Times New Roman" w:cs="Times New Roman" w:eastAsia="Times New Roman" w:hAnsi="Times New Roman"/>
          <w:sz w:val="13"/>
          <w:szCs w:val="13"/>
          <w:color w:val="auto"/>
        </w:rPr>
        <w:t>. Alternatively, you may access the webcast replay in the "Investor Relations" section of the Company's website at https://ir.prioritycommerce.com/.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32"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7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Gross Profit and Adjusted Gross Profit Margin</w:t>
      </w:r>
    </w:p>
    <w:p>
      <w:pPr>
        <w:spacing w:after="0" w:line="152" w:lineRule="exact"/>
        <w:rPr>
          <w:sz w:val="20"/>
          <w:szCs w:val="20"/>
          <w:color w:val="auto"/>
        </w:rPr>
      </w:pPr>
    </w:p>
    <w:p>
      <w:pPr>
        <w:ind w:right="120"/>
        <w:spacing w:after="0" w:line="338"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services (excludes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0" w:type="dxa"/>
            <w:vAlign w:val="bottom"/>
          </w:tcPr>
          <w:p>
            <w:pPr>
              <w:spacing w:after="0"/>
              <w:rPr>
                <w:sz w:val="12"/>
                <w:szCs w:val="12"/>
                <w:color w:val="auto"/>
              </w:rPr>
            </w:pPr>
          </w:p>
        </w:tc>
        <w:tc>
          <w:tcPr>
            <w:tcW w:w="28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80" w:type="dxa"/>
            <w:vAlign w:val="bottom"/>
          </w:tcPr>
          <w:p>
            <w:pPr>
              <w:spacing w:after="0"/>
              <w:rPr>
                <w:sz w:val="12"/>
                <w:szCs w:val="12"/>
                <w:color w:val="auto"/>
              </w:rPr>
            </w:pPr>
          </w:p>
        </w:tc>
        <w:tc>
          <w:tcPr>
            <w:tcW w:w="186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4"/>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247,128</w:t>
            </w:r>
          </w:p>
        </w:tc>
        <w:tc>
          <w:tcPr>
            <w:tcW w:w="80" w:type="dxa"/>
            <w:vAlign w:val="bottom"/>
          </w:tcPr>
          <w:p>
            <w:pPr>
              <w:spacing w:after="0"/>
              <w:rPr>
                <w:sz w:val="13"/>
                <w:szCs w:val="13"/>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227,067</w:t>
            </w:r>
          </w:p>
        </w:tc>
        <w:tc>
          <w:tcPr>
            <w:tcW w:w="80" w:type="dxa"/>
            <w:vAlign w:val="bottom"/>
          </w:tcPr>
          <w:p>
            <w:pPr>
              <w:spacing w:after="0"/>
              <w:rPr>
                <w:sz w:val="13"/>
                <w:szCs w:val="13"/>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953,009</w:t>
            </w:r>
          </w:p>
        </w:tc>
        <w:tc>
          <w:tcPr>
            <w:tcW w:w="80" w:type="dxa"/>
            <w:vAlign w:val="bottom"/>
          </w:tcPr>
          <w:p>
            <w:pPr>
              <w:spacing w:after="0"/>
              <w:rPr>
                <w:sz w:val="13"/>
                <w:szCs w:val="13"/>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879,702</w:t>
            </w:r>
          </w:p>
        </w:tc>
        <w:tc>
          <w:tcPr>
            <w:tcW w:w="0" w:type="dxa"/>
            <w:vAlign w:val="bottom"/>
          </w:tcPr>
          <w:p>
            <w:pPr>
              <w:spacing w:after="0"/>
              <w:rPr>
                <w:sz w:val="1"/>
                <w:szCs w:val="1"/>
                <w:color w:val="auto"/>
              </w:rPr>
            </w:pPr>
          </w:p>
        </w:tc>
      </w:tr>
      <w:tr>
        <w:trPr>
          <w:trHeight w:val="174"/>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Cost of services (excludes depreciation and amortization)</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(146,882)</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(143,134)</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(578,315)</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(551,621)</w:t>
            </w:r>
          </w:p>
        </w:tc>
        <w:tc>
          <w:tcPr>
            <w:tcW w:w="0" w:type="dxa"/>
            <w:vAlign w:val="bottom"/>
          </w:tcPr>
          <w:p>
            <w:pPr>
              <w:spacing w:after="0"/>
              <w:rPr>
                <w:sz w:val="1"/>
                <w:szCs w:val="1"/>
                <w:color w:val="auto"/>
              </w:rPr>
            </w:pPr>
          </w:p>
        </w:tc>
      </w:tr>
      <w:tr>
        <w:trPr>
          <w:trHeight w:val="163"/>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100,246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83,933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374,694</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328,081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40.6 %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37.0 %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39.3 %</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37.3 %</w:t>
            </w:r>
          </w:p>
        </w:tc>
        <w:tc>
          <w:tcPr>
            <w:tcW w:w="0" w:type="dxa"/>
            <w:vAlign w:val="bottom"/>
          </w:tcPr>
          <w:p>
            <w:pPr>
              <w:spacing w:after="0"/>
              <w:rPr>
                <w:sz w:val="1"/>
                <w:szCs w:val="1"/>
                <w:color w:val="auto"/>
              </w:rPr>
            </w:pPr>
          </w:p>
        </w:tc>
      </w:tr>
      <w:tr>
        <w:trPr>
          <w:trHeight w:val="174"/>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(7,166)</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(4,467)</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(21,747)</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(16,516)</w:t>
            </w:r>
          </w:p>
        </w:tc>
        <w:tc>
          <w:tcPr>
            <w:tcW w:w="0" w:type="dxa"/>
            <w:vAlign w:val="bottom"/>
          </w:tcPr>
          <w:p>
            <w:pPr>
              <w:spacing w:after="0"/>
              <w:rPr>
                <w:sz w:val="1"/>
                <w:szCs w:val="1"/>
                <w:color w:val="auto"/>
              </w:rPr>
            </w:pPr>
          </w:p>
        </w:tc>
      </w:tr>
      <w:tr>
        <w:trPr>
          <w:trHeight w:val="163"/>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93,080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79,466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352,947</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311,565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37.7 %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35.0 %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37.0 %</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35.4 %</w:t>
            </w:r>
          </w:p>
        </w:tc>
        <w:tc>
          <w:tcPr>
            <w:tcW w:w="0" w:type="dxa"/>
            <w:vAlign w:val="bottom"/>
          </w:tcPr>
          <w:p>
            <w:pPr>
              <w:spacing w:after="0"/>
              <w:rPr>
                <w:sz w:val="1"/>
                <w:szCs w:val="1"/>
                <w:color w:val="auto"/>
              </w:rPr>
            </w:pPr>
          </w:p>
        </w:tc>
      </w:tr>
      <w:tr>
        <w:trPr>
          <w:trHeight w:val="881"/>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4" w:right="29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79" w:lineRule="exact"/>
        <w:rPr>
          <w:sz w:val="20"/>
          <w:szCs w:val="20"/>
          <w:color w:val="auto"/>
        </w:rPr>
      </w:pPr>
    </w:p>
    <w:p>
      <w:pPr>
        <w:jc w:val="both"/>
        <w:ind w:left="8"/>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expense,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84"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57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24"/>
                <w:szCs w:val="24"/>
                <w:color w:val="auto"/>
              </w:rPr>
            </w:pPr>
          </w:p>
        </w:tc>
        <w:tc>
          <w:tcPr>
            <w:tcW w:w="25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20" w:type="dxa"/>
            <w:vAlign w:val="bottom"/>
          </w:tcPr>
          <w:p>
            <w:pPr>
              <w:spacing w:after="0"/>
              <w:rPr>
                <w:sz w:val="24"/>
                <w:szCs w:val="24"/>
                <w:color w:val="auto"/>
              </w:rPr>
            </w:pPr>
          </w:p>
        </w:tc>
        <w:tc>
          <w:tcPr>
            <w:tcW w:w="15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4"/>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8,946</w:t>
            </w:r>
          </w:p>
        </w:tc>
        <w:tc>
          <w:tcPr>
            <w:tcW w:w="80" w:type="dxa"/>
            <w:vAlign w:val="bottom"/>
          </w:tcPr>
          <w:p>
            <w:pPr>
              <w:spacing w:after="0"/>
              <w:rPr>
                <w:sz w:val="13"/>
                <w:szCs w:val="13"/>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7,220</w:t>
            </w:r>
          </w:p>
        </w:tc>
        <w:tc>
          <w:tcPr>
            <w:tcW w:w="60" w:type="dxa"/>
            <w:vAlign w:val="bottom"/>
          </w:tcPr>
          <w:p>
            <w:pPr>
              <w:spacing w:after="0"/>
              <w:rPr>
                <w:sz w:val="13"/>
                <w:szCs w:val="13"/>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55,681</w:t>
            </w:r>
          </w:p>
        </w:tc>
        <w:tc>
          <w:tcPr>
            <w:tcW w:w="60" w:type="dxa"/>
            <w:vAlign w:val="bottom"/>
          </w:tcPr>
          <w:p>
            <w:pPr>
              <w:spacing w:after="0"/>
              <w:rPr>
                <w:sz w:val="13"/>
                <w:szCs w:val="13"/>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24,015</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90,654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88,948</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(9,402)</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13,266</w:t>
            </w:r>
          </w:p>
        </w:tc>
        <w:tc>
          <w:tcPr>
            <w:tcW w:w="0" w:type="dxa"/>
            <w:vAlign w:val="bottom"/>
          </w:tcPr>
          <w:p>
            <w:pPr>
              <w:spacing w:after="0"/>
              <w:rPr>
                <w:sz w:val="1"/>
                <w:szCs w:val="1"/>
                <w:color w:val="auto"/>
              </w:rPr>
            </w:pPr>
          </w:p>
        </w:tc>
      </w:tr>
      <w:tr>
        <w:trPr>
          <w:trHeight w:val="172"/>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20,191</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13,811</w:t>
            </w: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63,183</w:t>
            </w: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58,041</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55,224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47,412</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200,116</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184,270</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modification and extinguishment expenses</w:t>
            </w:r>
          </w:p>
        </w:tc>
        <w:tc>
          <w:tcPr>
            <w:tcW w:w="2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10,369</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5,718</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line="171" w:lineRule="exact"/>
              <w:rPr>
                <w:sz w:val="20"/>
                <w:szCs w:val="20"/>
                <w:color w:val="auto"/>
              </w:rPr>
            </w:pPr>
            <w:r>
              <w:rPr>
                <w:rFonts w:ascii="Times New Roman" w:cs="Times New Roman" w:eastAsia="Times New Roman" w:hAnsi="Times New Roman"/>
                <w:sz w:val="13"/>
                <w:szCs w:val="13"/>
                <w:color w:val="auto"/>
              </w:rPr>
              <w:t>Non-cash stock-based compensation</w:t>
            </w:r>
            <w:r>
              <w:rPr>
                <w:rFonts w:ascii="Times New Roman" w:cs="Times New Roman" w:eastAsia="Times New Roman" w:hAnsi="Times New Roman"/>
                <w:sz w:val="17"/>
                <w:szCs w:val="17"/>
                <w:color w:val="auto"/>
                <w:vertAlign w:val="superscript"/>
              </w:rPr>
              <w:t>(1)</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8,306</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line="171" w:lineRule="exact"/>
              <w:rPr>
                <w:sz w:val="20"/>
                <w:szCs w:val="20"/>
                <w:color w:val="auto"/>
              </w:rPr>
            </w:pPr>
            <w:r>
              <w:rPr>
                <w:rFonts w:ascii="Times New Roman" w:cs="Times New Roman" w:eastAsia="Times New Roman" w:hAnsi="Times New Roman"/>
                <w:sz w:val="13"/>
                <w:szCs w:val="13"/>
                <w:color w:val="auto"/>
              </w:rPr>
              <w:t>Non-cash bargain purchase gain</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(non-recurring)</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(3,989)</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5780" w:type="dxa"/>
            <w:vAlign w:val="bottom"/>
          </w:tcPr>
          <w:p>
            <w:pPr>
              <w:ind w:left="140"/>
              <w:spacing w:after="0" w:line="176" w:lineRule="exact"/>
              <w:rPr>
                <w:sz w:val="20"/>
                <w:szCs w:val="20"/>
                <w:color w:val="auto"/>
              </w:rPr>
            </w:pPr>
            <w:r>
              <w:rPr>
                <w:rFonts w:ascii="Times New Roman" w:cs="Times New Roman" w:eastAsia="Times New Roman" w:hAnsi="Times New Roman"/>
                <w:sz w:val="13"/>
                <w:szCs w:val="13"/>
                <w:color w:val="auto"/>
              </w:rPr>
              <w:t>Salary and employee benefits</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3"/>
                <w:szCs w:val="13"/>
                <w:color w:val="auto"/>
              </w:rPr>
              <w:t xml:space="preserve"> (non-recurring)</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5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60,063</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51,735</w:t>
            </w:r>
          </w:p>
        </w:tc>
        <w:tc>
          <w:tcPr>
            <w:tcW w:w="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225,166</w:t>
            </w:r>
          </w:p>
        </w:tc>
        <w:tc>
          <w:tcPr>
            <w:tcW w:w="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204,267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28" w:hanging="128"/>
        <w:spacing w:after="0"/>
        <w:tabs>
          <w:tab w:leader="none" w:pos="128"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Excludes stock-based compensation settled in cash subsequent to December 31, 2025.</w:t>
      </w:r>
    </w:p>
    <w:p>
      <w:pPr>
        <w:spacing w:after="0" w:line="22" w:lineRule="exact"/>
        <w:rPr>
          <w:rFonts w:ascii="Times New Roman" w:cs="Times New Roman" w:eastAsia="Times New Roman" w:hAnsi="Times New Roman"/>
          <w:sz w:val="9"/>
          <w:szCs w:val="9"/>
          <w:color w:val="auto"/>
        </w:rPr>
      </w:pPr>
    </w:p>
    <w:p>
      <w:pPr>
        <w:ind w:left="128" w:hanging="128"/>
        <w:spacing w:after="0"/>
        <w:tabs>
          <w:tab w:leader="none" w:pos="128"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Bargain purchase gain recognized from acquiring Sila, Inc.</w:t>
      </w:r>
    </w:p>
    <w:p>
      <w:pPr>
        <w:spacing w:after="0" w:line="17" w:lineRule="exact"/>
        <w:rPr>
          <w:rFonts w:ascii="Times New Roman" w:cs="Times New Roman" w:eastAsia="Times New Roman" w:hAnsi="Times New Roman"/>
          <w:sz w:val="9"/>
          <w:szCs w:val="9"/>
          <w:color w:val="auto"/>
        </w:rPr>
      </w:pPr>
    </w:p>
    <w:p>
      <w:pPr>
        <w:ind w:left="128" w:hanging="128"/>
        <w:spacing w:after="0"/>
        <w:tabs>
          <w:tab w:leader="none" w:pos="128"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Represents stock-based compensation that was settled in cash (non-recurring).</w:t>
      </w:r>
    </w:p>
    <w:p>
      <w:pPr>
        <w:spacing w:after="0" w:line="3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p>
      <w:pPr>
        <w:spacing w:after="0" w:line="23"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56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2"/>
                <w:szCs w:val="12"/>
                <w:color w:val="auto"/>
              </w:rPr>
            </w:pPr>
          </w:p>
        </w:tc>
        <w:tc>
          <w:tcPr>
            <w:tcW w:w="26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00" w:type="dxa"/>
            <w:vAlign w:val="bottom"/>
          </w:tcPr>
          <w:p>
            <w:pPr>
              <w:spacing w:after="0"/>
              <w:rPr>
                <w:sz w:val="12"/>
                <w:szCs w:val="12"/>
                <w:color w:val="auto"/>
              </w:rPr>
            </w:pPr>
          </w:p>
        </w:tc>
        <w:tc>
          <w:tcPr>
            <w:tcW w:w="1600" w:type="dxa"/>
            <w:vAlign w:val="bottom"/>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5"/>
        </w:trPr>
        <w:tc>
          <w:tcPr>
            <w:tcW w:w="5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expenses, net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74"/>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Litigation settlement</w:t>
            </w:r>
          </w:p>
        </w:tc>
        <w:tc>
          <w:tcPr>
            <w:tcW w:w="2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1,633</w:t>
            </w: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1,379</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5,718</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3,510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8"/>
          </w:cols>
          <w:pgMar w:left="292" w:top="958"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Earnings (Loss) Per Share (Adjusted EPS)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Adjusted EPS is a performance measure. Adjusted EPS is calculated by dividing adjusted net income attributable to common shareholders by weighted average number shares outstanding for the respective periods.</w:t>
      </w:r>
    </w:p>
    <w:p>
      <w:pPr>
        <w:spacing w:after="0" w:line="202"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3"/>
          <w:szCs w:val="13"/>
          <w:color w:val="auto"/>
        </w:rPr>
        <w:t>Adjusted net income attributable to common shareholders begins with net income attributable to common shareholders adjusted to exclude various items listed below. We believe that Adjusted EPS is a measure that is useful to investors and management in understanding our ongoing profitability and in analysis of ongoing profitability trends.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7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Reconciliation of Adjusted EPS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45"/>
        </w:trPr>
        <w:tc>
          <w:tcPr>
            <w:tcW w:w="57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 attributable to common shareholders</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8,946</w:t>
            </w:r>
          </w:p>
        </w:tc>
        <w:tc>
          <w:tcPr>
            <w:tcW w:w="80" w:type="dxa"/>
            <w:vAlign w:val="bottom"/>
          </w:tcPr>
          <w:p>
            <w:pPr>
              <w:spacing w:after="0"/>
              <w:rPr>
                <w:sz w:val="14"/>
                <w:szCs w:val="14"/>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(3,769)</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55,681</w:t>
            </w:r>
          </w:p>
        </w:tc>
        <w:tc>
          <w:tcPr>
            <w:tcW w:w="6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(23,960)</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Non-recurring release of valuation allowance on deferred tax assets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(20,386)</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Accelerated accretion expense and excise tax attributable to redeemable senior preferred stockholders</w:t>
            </w:r>
          </w:p>
        </w:tc>
        <w:tc>
          <w:tcPr>
            <w:tcW w:w="8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17,703</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Debt modification and extinguishment expenses</w:t>
            </w:r>
          </w:p>
        </w:tc>
        <w:tc>
          <w:tcPr>
            <w:tcW w:w="8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10,369</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8,306</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 (non recurring)</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5,718</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acquisition related intangible assets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41,996</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42,173</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Salary and employee benefits (non recurring)</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700" w:type="dxa"/>
            <w:vAlign w:val="bottom"/>
          </w:tcPr>
          <w:p>
            <w:pPr>
              <w:spacing w:after="0" w:line="171" w:lineRule="exact"/>
              <w:rPr>
                <w:sz w:val="20"/>
                <w:szCs w:val="20"/>
                <w:color w:val="auto"/>
              </w:rPr>
            </w:pPr>
            <w:r>
              <w:rPr>
                <w:rFonts w:ascii="Times New Roman" w:cs="Times New Roman" w:eastAsia="Times New Roman" w:hAnsi="Times New Roman"/>
                <w:sz w:val="13"/>
                <w:szCs w:val="13"/>
                <w:color w:val="auto"/>
              </w:rPr>
              <w:t>Tax impact of adjustments</w:t>
            </w:r>
            <w:r>
              <w:rPr>
                <w:rFonts w:ascii="Times New Roman" w:cs="Times New Roman" w:eastAsia="Times New Roman" w:hAnsi="Times New Roman"/>
                <w:sz w:val="17"/>
                <w:szCs w:val="17"/>
                <w:color w:val="auto"/>
                <w:vertAlign w:val="superscript"/>
              </w:rPr>
              <w:t>(1)</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(18,469)</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(16,158)</w:t>
            </w:r>
          </w:p>
        </w:tc>
        <w:tc>
          <w:tcPr>
            <w:tcW w:w="0" w:type="dxa"/>
            <w:vAlign w:val="bottom"/>
          </w:tcPr>
          <w:p>
            <w:pPr>
              <w:spacing w:after="0"/>
              <w:rPr>
                <w:sz w:val="1"/>
                <w:szCs w:val="1"/>
                <w:color w:val="auto"/>
              </w:rPr>
            </w:pPr>
          </w:p>
        </w:tc>
      </w:tr>
      <w:tr>
        <w:trPr>
          <w:trHeight w:val="174"/>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Non-cash bargain purchase gain (non-recurring)</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(3,989)</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income attributable to common share holders</w:t>
            </w:r>
          </w:p>
        </w:tc>
        <w:tc>
          <w:tcPr>
            <w:tcW w:w="82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22,255</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14,425</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83,872</w:t>
            </w:r>
          </w:p>
        </w:tc>
        <w:tc>
          <w:tcPr>
            <w:tcW w:w="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39,755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7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78,241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79,798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77,993</w:t>
            </w:r>
          </w:p>
        </w:tc>
        <w:tc>
          <w:tcPr>
            <w:tcW w:w="0" w:type="dxa"/>
            <w:vAlign w:val="bottom"/>
          </w:tcPr>
          <w:p>
            <w:pPr>
              <w:spacing w:after="0"/>
              <w:rPr>
                <w:sz w:val="1"/>
                <w:szCs w:val="1"/>
                <w:color w:val="auto"/>
              </w:rPr>
            </w:pPr>
          </w:p>
        </w:tc>
      </w:tr>
      <w:tr>
        <w:trPr>
          <w:trHeight w:val="169"/>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Effect of dilutive potential common shares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0" w:type="dxa"/>
            <w:vAlign w:val="bottom"/>
          </w:tcPr>
          <w:p>
            <w:pPr>
              <w:spacing w:after="0"/>
              <w:rPr>
                <w:sz w:val="1"/>
                <w:szCs w:val="1"/>
                <w:color w:val="auto"/>
              </w:rPr>
            </w:pPr>
          </w:p>
        </w:tc>
      </w:tr>
      <w:tr>
        <w:trPr>
          <w:trHeight w:val="174"/>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Weighted average shares outstanding (diluted)</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83,622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79,386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81,468</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78,640</w:t>
            </w:r>
          </w:p>
        </w:tc>
        <w:tc>
          <w:tcPr>
            <w:tcW w:w="0" w:type="dxa"/>
            <w:vAlign w:val="bottom"/>
          </w:tcPr>
          <w:p>
            <w:pPr>
              <w:spacing w:after="0"/>
              <w:rPr>
                <w:sz w:val="1"/>
                <w:szCs w:val="1"/>
                <w:color w:val="auto"/>
              </w:rPr>
            </w:pPr>
          </w:p>
        </w:tc>
      </w:tr>
      <w:tr>
        <w:trPr>
          <w:trHeight w:val="350"/>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Earnings (loss) per common share</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tcPr>
          <w:p>
            <w:pPr>
              <w:spacing w:after="0"/>
              <w:rPr>
                <w:sz w:val="14"/>
                <w:szCs w:val="14"/>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6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172"/>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tcPr>
          <w:p>
            <w:pPr>
              <w:spacing w:after="0"/>
              <w:rPr>
                <w:sz w:val="14"/>
                <w:szCs w:val="14"/>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6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350"/>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earnings per common share</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80" w:type="dxa"/>
            <w:vAlign w:val="bottom"/>
          </w:tcPr>
          <w:p>
            <w:pPr>
              <w:spacing w:after="0"/>
              <w:rPr>
                <w:sz w:val="14"/>
                <w:szCs w:val="14"/>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6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0" w:type="dxa"/>
            <w:vAlign w:val="bottom"/>
          </w:tcPr>
          <w:p>
            <w:pPr>
              <w:spacing w:after="0"/>
              <w:rPr>
                <w:sz w:val="1"/>
                <w:szCs w:val="1"/>
                <w:color w:val="auto"/>
              </w:rPr>
            </w:pPr>
          </w:p>
        </w:tc>
      </w:tr>
      <w:tr>
        <w:trPr>
          <w:trHeight w:val="172"/>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80" w:type="dxa"/>
            <w:vAlign w:val="bottom"/>
          </w:tcPr>
          <w:p>
            <w:pPr>
              <w:spacing w:after="0"/>
              <w:rPr>
                <w:sz w:val="14"/>
                <w:szCs w:val="14"/>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6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The tax impact calculated using the blended statutory income tax rate (i.e. 26.0% for 2025 and 26.0% for 2024)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1111" w:right="299" w:bottom="1440" w:gutter="0" w:footer="0" w:header="0"/>
        </w:sectPr>
      </w:pPr>
    </w:p>
    <w:bookmarkStart w:id="8" w:name="page9"/>
    <w:bookmarkEnd w:id="8"/>
    <w:p>
      <w:pPr>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140"/>
          </w:cols>
          <w:pgMar w:left="300" w:top="818"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the payments and banking solution that enables businesses to collect, store, lend and send funds through a unified commerce engine. Our platform combines payables, merchant solutions,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 (NASDAQ: PRTH), visit 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2026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10, 2026.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636"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Income (Loss)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2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420" w:type="dxa"/>
            <w:vAlign w:val="bottom"/>
            <w:tcBorders>
              <w:bottom w:val="single" w:sz="8" w:color="auto"/>
            </w:tcBorders>
            <w:gridSpan w:val="4"/>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247,128</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227,067</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953,009</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879,702</w:t>
            </w:r>
          </w:p>
        </w:tc>
        <w:tc>
          <w:tcPr>
            <w:tcW w:w="0" w:type="dxa"/>
            <w:vAlign w:val="bottom"/>
          </w:tcPr>
          <w:p>
            <w:pPr>
              <w:spacing w:after="0"/>
              <w:rPr>
                <w:sz w:val="1"/>
                <w:szCs w:val="1"/>
                <w:color w:val="auto"/>
              </w:rPr>
            </w:pPr>
          </w:p>
        </w:tc>
      </w:tr>
      <w:tr>
        <w:trPr>
          <w:trHeight w:val="131"/>
        </w:trPr>
        <w:tc>
          <w:tcPr>
            <w:tcW w:w="52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services (excludes depreciation and amortization)</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146,882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143,134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578,315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551,621</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28,812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23,199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107,787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89,216</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20,191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13,811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63,183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58,041</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17,745</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12,784</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62,479</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47,403</w:t>
            </w:r>
          </w:p>
        </w:tc>
        <w:tc>
          <w:tcPr>
            <w:tcW w:w="0" w:type="dxa"/>
            <w:vAlign w:val="bottom"/>
          </w:tcPr>
          <w:p>
            <w:pPr>
              <w:spacing w:after="0"/>
              <w:rPr>
                <w:sz w:val="1"/>
                <w:szCs w:val="1"/>
                <w:color w:val="auto"/>
              </w:rPr>
            </w:pPr>
          </w:p>
        </w:tc>
      </w:tr>
      <w:tr>
        <w:trPr>
          <w:trHeight w:val="142"/>
        </w:trPr>
        <w:tc>
          <w:tcPr>
            <w:tcW w:w="5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213,630</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192,928</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811,764</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746,281</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33,498</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34,139</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141,245</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133,421</w:t>
            </w:r>
          </w:p>
        </w:tc>
        <w:tc>
          <w:tcPr>
            <w:tcW w:w="0" w:type="dxa"/>
            <w:vAlign w:val="bottom"/>
          </w:tcPr>
          <w:p>
            <w:pPr>
              <w:spacing w:after="0"/>
              <w:rPr>
                <w:sz w:val="1"/>
                <w:szCs w:val="1"/>
                <w:color w:val="auto"/>
              </w:rPr>
            </w:pPr>
          </w:p>
        </w:tc>
      </w:tr>
      <w:tr>
        <w:trPr>
          <w:trHeight w:val="131"/>
        </w:trPr>
        <w:tc>
          <w:tcPr>
            <w:tcW w:w="52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(21,961)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(23,111)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(90,654)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(88,948)</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9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(1,703)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(12,514)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(10,369)</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1,535</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1,165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8,202</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3,177</w:t>
            </w:r>
          </w:p>
        </w:tc>
        <w:tc>
          <w:tcPr>
            <w:tcW w:w="0" w:type="dxa"/>
            <w:vAlign w:val="bottom"/>
          </w:tcPr>
          <w:p>
            <w:pPr>
              <w:spacing w:after="0"/>
              <w:rPr>
                <w:sz w:val="1"/>
                <w:szCs w:val="1"/>
                <w:color w:val="auto"/>
              </w:rPr>
            </w:pPr>
          </w:p>
        </w:tc>
      </w:tr>
      <w:tr>
        <w:trPr>
          <w:trHeight w:val="142"/>
        </w:trPr>
        <w:tc>
          <w:tcPr>
            <w:tcW w:w="5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(20,426)</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(23,649)</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(94,966)</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(96,140)</w:t>
            </w:r>
          </w:p>
        </w:tc>
        <w:tc>
          <w:tcPr>
            <w:tcW w:w="0" w:type="dxa"/>
            <w:vAlign w:val="bottom"/>
          </w:tcPr>
          <w:p>
            <w:pPr>
              <w:spacing w:after="0"/>
              <w:rPr>
                <w:sz w:val="1"/>
                <w:szCs w:val="1"/>
                <w:color w:val="auto"/>
              </w:rPr>
            </w:pPr>
          </w:p>
        </w:tc>
      </w:tr>
      <w:tr>
        <w:trPr>
          <w:trHeight w:val="140"/>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900" w:type="dxa"/>
            <w:vAlign w:val="bottom"/>
          </w:tcPr>
          <w:p>
            <w:pPr>
              <w:spacing w:after="0"/>
              <w:rPr>
                <w:sz w:val="12"/>
                <w:szCs w:val="12"/>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13,072</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10,490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46,279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37,281</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4,126</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3,270</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(9,402)</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13,266</w:t>
            </w:r>
          </w:p>
        </w:tc>
        <w:tc>
          <w:tcPr>
            <w:tcW w:w="0" w:type="dxa"/>
            <w:vAlign w:val="bottom"/>
          </w:tcPr>
          <w:p>
            <w:pPr>
              <w:spacing w:after="0"/>
              <w:rPr>
                <w:sz w:val="1"/>
                <w:szCs w:val="1"/>
                <w:color w:val="auto"/>
              </w:rPr>
            </w:pPr>
          </w:p>
        </w:tc>
      </w:tr>
      <w:tr>
        <w:trPr>
          <w:trHeight w:val="140"/>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900" w:type="dxa"/>
            <w:vAlign w:val="bottom"/>
          </w:tcPr>
          <w:p>
            <w:pPr>
              <w:spacing w:after="0"/>
              <w:rPr>
                <w:sz w:val="12"/>
                <w:szCs w:val="12"/>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8,946</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7,220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55,681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24,015</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accretion, and related excise tax attributable to redeemable senior preferred stockholders</w:t>
            </w:r>
          </w:p>
        </w:tc>
        <w:tc>
          <w:tcPr>
            <w:tcW w:w="9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(10,989)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(47,336)</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non-controlling interests in consolidated subsidiary, net of deferred tax benefit</w:t>
            </w:r>
          </w:p>
        </w:tc>
        <w:tc>
          <w:tcPr>
            <w:tcW w:w="9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(639)</w:t>
            </w:r>
          </w:p>
        </w:tc>
        <w:tc>
          <w:tcPr>
            <w:tcW w:w="0" w:type="dxa"/>
            <w:vAlign w:val="bottom"/>
          </w:tcPr>
          <w:p>
            <w:pPr>
              <w:spacing w:after="0"/>
              <w:rPr>
                <w:sz w:val="1"/>
                <w:szCs w:val="1"/>
                <w:color w:val="auto"/>
              </w:rPr>
            </w:pPr>
          </w:p>
        </w:tc>
      </w:tr>
      <w:tr>
        <w:trPr>
          <w:trHeight w:val="136"/>
        </w:trPr>
        <w:tc>
          <w:tcPr>
            <w:tcW w:w="52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income (loss) attributable to common shareholders</w:t>
            </w:r>
          </w:p>
        </w:tc>
        <w:tc>
          <w:tcPr>
            <w:tcW w:w="9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8,946</w:t>
            </w: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(3,769)</w:t>
            </w:r>
          </w:p>
        </w:tc>
        <w:tc>
          <w:tcPr>
            <w:tcW w:w="80" w:type="dxa"/>
            <w:vAlign w:val="bottom"/>
          </w:tcPr>
          <w:p>
            <w:pPr>
              <w:spacing w:after="0"/>
              <w:rPr>
                <w:sz w:val="11"/>
                <w:szCs w:val="11"/>
                <w:color w:val="auto"/>
              </w:rPr>
            </w:pPr>
          </w:p>
        </w:tc>
        <w:tc>
          <w:tcPr>
            <w:tcW w:w="340" w:type="dxa"/>
            <w:vAlign w:val="bottom"/>
            <w:tcBorders>
              <w:top w:val="single" w:sz="8" w:color="auto"/>
            </w:tcBorders>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55,681</w:t>
            </w:r>
          </w:p>
        </w:tc>
        <w:tc>
          <w:tcPr>
            <w:tcW w:w="80" w:type="dxa"/>
            <w:vAlign w:val="bottom"/>
          </w:tcPr>
          <w:p>
            <w:pPr>
              <w:spacing w:after="0"/>
              <w:rPr>
                <w:sz w:val="11"/>
                <w:szCs w:val="11"/>
                <w:color w:val="auto"/>
              </w:rPr>
            </w:pPr>
          </w:p>
        </w:tc>
        <w:tc>
          <w:tcPr>
            <w:tcW w:w="460" w:type="dxa"/>
            <w:vAlign w:val="bottom"/>
            <w:tcBorders>
              <w:top w:val="single" w:sz="8" w:color="auto"/>
            </w:tcBorders>
          </w:tcPr>
          <w:p>
            <w:pPr>
              <w:jc w:val="right"/>
              <w:ind w:right="32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(23,960)</w:t>
            </w:r>
          </w:p>
        </w:tc>
        <w:tc>
          <w:tcPr>
            <w:tcW w:w="0" w:type="dxa"/>
            <w:vAlign w:val="bottom"/>
          </w:tcPr>
          <w:p>
            <w:pPr>
              <w:spacing w:after="0"/>
              <w:rPr>
                <w:sz w:val="1"/>
                <w:szCs w:val="1"/>
                <w:color w:val="auto"/>
              </w:rPr>
            </w:pPr>
          </w:p>
        </w:tc>
      </w:tr>
      <w:tr>
        <w:trPr>
          <w:trHeight w:val="157"/>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8,931</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(3,878)</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55,647</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(24,107)</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80" w:type="dxa"/>
            <w:vAlign w:val="bottom"/>
          </w:tcPr>
          <w:p>
            <w:pPr>
              <w:spacing w:after="0"/>
              <w:rPr>
                <w:sz w:val="13"/>
                <w:szCs w:val="13"/>
                <w:color w:val="auto"/>
              </w:rPr>
            </w:pPr>
          </w:p>
        </w:tc>
        <w:tc>
          <w:tcPr>
            <w:tcW w:w="90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0.70</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80" w:type="dxa"/>
            <w:vAlign w:val="bottom"/>
          </w:tcPr>
          <w:p>
            <w:pPr>
              <w:spacing w:after="0"/>
              <w:rPr>
                <w:sz w:val="13"/>
                <w:szCs w:val="13"/>
                <w:color w:val="auto"/>
              </w:rPr>
            </w:pPr>
          </w:p>
        </w:tc>
        <w:tc>
          <w:tcPr>
            <w:tcW w:w="90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0.68</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w:t>
            </w:r>
          </w:p>
        </w:tc>
        <w:tc>
          <w:tcPr>
            <w:tcW w:w="0" w:type="dxa"/>
            <w:vAlign w:val="bottom"/>
          </w:tcPr>
          <w:p>
            <w:pPr>
              <w:spacing w:after="0"/>
              <w:rPr>
                <w:sz w:val="1"/>
                <w:szCs w:val="1"/>
                <w:color w:val="auto"/>
              </w:rPr>
            </w:pPr>
          </w:p>
        </w:tc>
      </w:tr>
      <w:tr>
        <w:trPr>
          <w:trHeight w:val="358"/>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earnings per common share</w:t>
            </w:r>
            <w:r>
              <w:rPr>
                <w:rFonts w:ascii="Times New Roman" w:cs="Times New Roman" w:eastAsia="Times New Roman" w:hAnsi="Times New Roman"/>
                <w:sz w:val="15"/>
                <w:szCs w:val="15"/>
                <w:b w:val="1"/>
                <w:bCs w:val="1"/>
                <w:color w:val="auto"/>
                <w:vertAlign w:val="superscript"/>
              </w:rPr>
              <w:t>(1):</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80" w:type="dxa"/>
            <w:vAlign w:val="bottom"/>
          </w:tcPr>
          <w:p>
            <w:pPr>
              <w:spacing w:after="0"/>
              <w:rPr>
                <w:sz w:val="13"/>
                <w:szCs w:val="13"/>
                <w:color w:val="auto"/>
              </w:rPr>
            </w:pPr>
          </w:p>
        </w:tc>
        <w:tc>
          <w:tcPr>
            <w:tcW w:w="90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0.18</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0.51</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80" w:type="dxa"/>
            <w:vAlign w:val="bottom"/>
          </w:tcPr>
          <w:p>
            <w:pPr>
              <w:spacing w:after="0"/>
              <w:rPr>
                <w:sz w:val="13"/>
                <w:szCs w:val="13"/>
                <w:color w:val="auto"/>
              </w:rPr>
            </w:pPr>
          </w:p>
        </w:tc>
        <w:tc>
          <w:tcPr>
            <w:tcW w:w="90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0.18</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0.51</w:t>
            </w:r>
          </w:p>
        </w:tc>
        <w:tc>
          <w:tcPr>
            <w:tcW w:w="0" w:type="dxa"/>
            <w:vAlign w:val="bottom"/>
          </w:tcPr>
          <w:p>
            <w:pPr>
              <w:spacing w:after="0"/>
              <w:rPr>
                <w:sz w:val="1"/>
                <w:szCs w:val="1"/>
                <w:color w:val="auto"/>
              </w:rPr>
            </w:pPr>
          </w:p>
        </w:tc>
      </w:tr>
      <w:tr>
        <w:trPr>
          <w:trHeight w:val="358"/>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81,081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78,241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79,798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77,993</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83,622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78,241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81,468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77,993</w:t>
            </w:r>
          </w:p>
        </w:tc>
        <w:tc>
          <w:tcPr>
            <w:tcW w:w="0" w:type="dxa"/>
            <w:vAlign w:val="bottom"/>
          </w:tcPr>
          <w:p>
            <w:pPr>
              <w:spacing w:after="0"/>
              <w:rPr>
                <w:sz w:val="1"/>
                <w:szCs w:val="1"/>
                <w:color w:val="auto"/>
              </w:rPr>
            </w:pPr>
          </w:p>
        </w:tc>
      </w:tr>
      <w:tr>
        <w:trPr>
          <w:trHeight w:val="882"/>
        </w:trPr>
        <w:tc>
          <w:tcPr>
            <w:tcW w:w="5240" w:type="dxa"/>
            <w:vAlign w:val="bottom"/>
          </w:tcPr>
          <w:p>
            <w:pPr>
              <w:spacing w:after="0"/>
              <w:rPr>
                <w:sz w:val="24"/>
                <w:szCs w:val="24"/>
                <w:color w:val="auto"/>
              </w:rPr>
            </w:pPr>
          </w:p>
        </w:tc>
        <w:tc>
          <w:tcPr>
            <w:tcW w:w="9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8</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85" w:right="2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1"/>
        </w:trPr>
        <w:tc>
          <w:tcPr>
            <w:tcW w:w="718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500" w:type="dxa"/>
            <w:vAlign w:val="bottom"/>
          </w:tcPr>
          <w:p>
            <w:pPr>
              <w:jc w:val="right"/>
              <w:ind w:right="13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77,192</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58,600</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16,457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67,969</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32,145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22,990</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0" w:type="dxa"/>
            <w:vAlign w:val="bottom"/>
          </w:tcPr>
          <w:p>
            <w:pPr>
              <w:spacing w:after="0"/>
              <w:rPr>
                <w:sz w:val="1"/>
                <w:szCs w:val="1"/>
                <w:color w:val="auto"/>
              </w:rPr>
            </w:pPr>
          </w:p>
        </w:tc>
      </w:tr>
      <w:tr>
        <w:trPr>
          <w:trHeight w:val="155"/>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1,295,896</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940,798</w:t>
            </w:r>
          </w:p>
        </w:tc>
        <w:tc>
          <w:tcPr>
            <w:tcW w:w="0" w:type="dxa"/>
            <w:vAlign w:val="bottom"/>
          </w:tcPr>
          <w:p>
            <w:pPr>
              <w:spacing w:after="0"/>
              <w:rPr>
                <w:sz w:val="1"/>
                <w:szCs w:val="1"/>
                <w:color w:val="auto"/>
              </w:rPr>
            </w:pPr>
          </w:p>
        </w:tc>
      </w:tr>
      <w:tr>
        <w:trPr>
          <w:trHeight w:val="140"/>
        </w:trPr>
        <w:tc>
          <w:tcPr>
            <w:tcW w:w="7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1,515,052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1,105,085</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58,636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52,477</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416,641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315,190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240,874</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24,697</w:t>
            </w:r>
          </w:p>
        </w:tc>
        <w:tc>
          <w:tcPr>
            <w:tcW w:w="0" w:type="dxa"/>
            <w:vAlign w:val="bottom"/>
          </w:tcPr>
          <w:p>
            <w:pPr>
              <w:spacing w:after="0"/>
              <w:rPr>
                <w:sz w:val="1"/>
                <w:szCs w:val="1"/>
                <w:color w:val="auto"/>
              </w:rPr>
            </w:pPr>
          </w:p>
        </w:tc>
      </w:tr>
      <w:tr>
        <w:trPr>
          <w:trHeight w:val="155"/>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29,306</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22,717</w:t>
            </w:r>
          </w:p>
        </w:tc>
        <w:tc>
          <w:tcPr>
            <w:tcW w:w="0" w:type="dxa"/>
            <w:vAlign w:val="bottom"/>
          </w:tcPr>
          <w:p>
            <w:pPr>
              <w:spacing w:after="0"/>
              <w:rPr>
                <w:sz w:val="1"/>
                <w:szCs w:val="1"/>
                <w:color w:val="auto"/>
              </w:rPr>
            </w:pPr>
          </w:p>
        </w:tc>
      </w:tr>
      <w:tr>
        <w:trPr>
          <w:trHeight w:val="142"/>
        </w:trPr>
        <w:tc>
          <w:tcPr>
            <w:tcW w:w="7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2,398,804</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Stockholders' Deficit and Non-controlling interests</w:t>
            </w: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1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500" w:type="dxa"/>
            <w:vAlign w:val="bottom"/>
          </w:tcPr>
          <w:p>
            <w:pPr>
              <w:jc w:val="right"/>
              <w:ind w:right="13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70,636</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37,560</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15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0" w:type="dxa"/>
            <w:vAlign w:val="bottom"/>
          </w:tcPr>
          <w:p>
            <w:pPr>
              <w:spacing w:after="0"/>
              <w:rPr>
                <w:sz w:val="1"/>
                <w:szCs w:val="1"/>
                <w:color w:val="auto"/>
              </w:rPr>
            </w:pPr>
          </w:p>
        </w:tc>
      </w:tr>
      <w:tr>
        <w:trPr>
          <w:trHeight w:val="155"/>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obligations</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1,297,263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940,213</w:t>
            </w:r>
          </w:p>
        </w:tc>
        <w:tc>
          <w:tcPr>
            <w:tcW w:w="0" w:type="dxa"/>
            <w:vAlign w:val="bottom"/>
          </w:tcPr>
          <w:p>
            <w:pPr>
              <w:spacing w:after="0"/>
              <w:rPr>
                <w:sz w:val="1"/>
                <w:szCs w:val="1"/>
                <w:color w:val="auto"/>
              </w:rPr>
            </w:pPr>
          </w:p>
        </w:tc>
      </w:tr>
      <w:tr>
        <w:trPr>
          <w:trHeight w:val="140"/>
        </w:trPr>
        <w:tc>
          <w:tcPr>
            <w:tcW w:w="7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1,410,334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1,051,671</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1,039,358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920,888</w:t>
            </w:r>
          </w:p>
        </w:tc>
        <w:tc>
          <w:tcPr>
            <w:tcW w:w="0" w:type="dxa"/>
            <w:vAlign w:val="bottom"/>
          </w:tcPr>
          <w:p>
            <w:pPr>
              <w:spacing w:after="0"/>
              <w:rPr>
                <w:sz w:val="1"/>
                <w:szCs w:val="1"/>
                <w:color w:val="auto"/>
              </w:rPr>
            </w:pPr>
          </w:p>
        </w:tc>
      </w:tr>
      <w:tr>
        <w:trPr>
          <w:trHeight w:val="155"/>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41,484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19,326</w:t>
            </w:r>
          </w:p>
        </w:tc>
        <w:tc>
          <w:tcPr>
            <w:tcW w:w="0" w:type="dxa"/>
            <w:vAlign w:val="bottom"/>
          </w:tcPr>
          <w:p>
            <w:pPr>
              <w:spacing w:after="0"/>
              <w:rPr>
                <w:sz w:val="1"/>
                <w:szCs w:val="1"/>
                <w:color w:val="auto"/>
              </w:rPr>
            </w:pPr>
          </w:p>
        </w:tc>
      </w:tr>
      <w:tr>
        <w:trPr>
          <w:trHeight w:val="142"/>
        </w:trPr>
        <w:tc>
          <w:tcPr>
            <w:tcW w:w="7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2,491,176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1,991,885</w:t>
            </w:r>
          </w:p>
        </w:tc>
        <w:tc>
          <w:tcPr>
            <w:tcW w:w="0" w:type="dxa"/>
            <w:vAlign w:val="bottom"/>
          </w:tcPr>
          <w:p>
            <w:pPr>
              <w:spacing w:after="0"/>
              <w:rPr>
                <w:sz w:val="1"/>
                <w:szCs w:val="1"/>
                <w:color w:val="auto"/>
              </w:rPr>
            </w:pPr>
          </w:p>
        </w:tc>
      </w:tr>
      <w:tr>
        <w:trPr>
          <w:trHeight w:val="131"/>
        </w:trPr>
        <w:tc>
          <w:tcPr>
            <w:tcW w:w="718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Stockholders' deficit:</w:t>
            </w: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15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(19,607)</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0" w:type="dxa"/>
            <w:vAlign w:val="bottom"/>
          </w:tcPr>
          <w:p>
            <w:pPr>
              <w:spacing w:after="0"/>
              <w:rPr>
                <w:sz w:val="1"/>
                <w:szCs w:val="1"/>
                <w:color w:val="auto"/>
              </w:rPr>
            </w:pPr>
          </w:p>
        </w:tc>
      </w:tr>
      <w:tr>
        <w:trPr>
          <w:trHeight w:val="155"/>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(91,453)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(147,134)</w:t>
            </w:r>
          </w:p>
        </w:tc>
        <w:tc>
          <w:tcPr>
            <w:tcW w:w="0" w:type="dxa"/>
            <w:vAlign w:val="bottom"/>
          </w:tcPr>
          <w:p>
            <w:pPr>
              <w:spacing w:after="0"/>
              <w:rPr>
                <w:sz w:val="1"/>
                <w:szCs w:val="1"/>
                <w:color w:val="auto"/>
              </w:rPr>
            </w:pPr>
          </w:p>
        </w:tc>
      </w:tr>
      <w:tr>
        <w:trPr>
          <w:trHeight w:val="140"/>
        </w:trPr>
        <w:tc>
          <w:tcPr>
            <w:tcW w:w="7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shareholders of PRTH</w:t>
            </w: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(100,415)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(166,840)</w:t>
            </w:r>
          </w:p>
        </w:tc>
        <w:tc>
          <w:tcPr>
            <w:tcW w:w="0" w:type="dxa"/>
            <w:vAlign w:val="bottom"/>
          </w:tcPr>
          <w:p>
            <w:pPr>
              <w:spacing w:after="0"/>
              <w:rPr>
                <w:sz w:val="1"/>
                <w:szCs w:val="1"/>
                <w:color w:val="auto"/>
              </w:rPr>
            </w:pPr>
          </w:p>
        </w:tc>
      </w:tr>
      <w:tr>
        <w:trPr>
          <w:trHeight w:val="155"/>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interests</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8,043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1,815</w:t>
            </w:r>
          </w:p>
        </w:tc>
        <w:tc>
          <w:tcPr>
            <w:tcW w:w="0" w:type="dxa"/>
            <w:vAlign w:val="bottom"/>
          </w:tcPr>
          <w:p>
            <w:pPr>
              <w:spacing w:after="0"/>
              <w:rPr>
                <w:sz w:val="1"/>
                <w:szCs w:val="1"/>
                <w:color w:val="auto"/>
              </w:rPr>
            </w:pPr>
          </w:p>
        </w:tc>
      </w:tr>
      <w:tr>
        <w:trPr>
          <w:trHeight w:val="142"/>
        </w:trPr>
        <w:tc>
          <w:tcPr>
            <w:tcW w:w="7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1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(92,372)</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(165,025)</w:t>
            </w:r>
          </w:p>
        </w:tc>
        <w:tc>
          <w:tcPr>
            <w:tcW w:w="0" w:type="dxa"/>
            <w:vAlign w:val="bottom"/>
          </w:tcPr>
          <w:p>
            <w:pPr>
              <w:spacing w:after="0"/>
              <w:rPr>
                <w:sz w:val="1"/>
                <w:szCs w:val="1"/>
                <w:color w:val="auto"/>
              </w:rPr>
            </w:pPr>
          </w:p>
        </w:tc>
      </w:tr>
      <w:tr>
        <w:trPr>
          <w:trHeight w:val="142"/>
        </w:trPr>
        <w:tc>
          <w:tcPr>
            <w:tcW w:w="7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Non-controlling interests</w:t>
            </w: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2,398,804</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80"/>
          </w:cols>
          <w:pgMar w:left="300" w:top="28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0" w:type="dxa"/>
            <w:vAlign w:val="bottom"/>
          </w:tcPr>
          <w:p>
            <w:pPr>
              <w:spacing w:after="0"/>
              <w:rPr>
                <w:sz w:val="1"/>
                <w:szCs w:val="1"/>
                <w:color w:val="auto"/>
              </w:rPr>
            </w:pPr>
          </w:p>
        </w:tc>
      </w:tr>
      <w:tr>
        <w:trPr>
          <w:trHeight w:val="131"/>
        </w:trPr>
        <w:tc>
          <w:tcPr>
            <w:tcW w:w="5000" w:type="dxa"/>
            <w:vAlign w:val="bottom"/>
            <w:vMerge w:val="continue"/>
          </w:tcPr>
          <w:p>
            <w:pPr>
              <w:spacing w:after="0"/>
              <w:rPr>
                <w:sz w:val="11"/>
                <w:szCs w:val="11"/>
                <w:color w:val="auto"/>
              </w:rPr>
            </w:pPr>
          </w:p>
        </w:tc>
        <w:tc>
          <w:tcPr>
            <w:tcW w:w="3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35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55,681</w:t>
            </w:r>
          </w:p>
        </w:tc>
        <w:tc>
          <w:tcPr>
            <w:tcW w:w="80" w:type="dxa"/>
            <w:vAlign w:val="bottom"/>
          </w:tcPr>
          <w:p>
            <w:pPr>
              <w:spacing w:after="0"/>
              <w:rPr>
                <w:sz w:val="13"/>
                <w:szCs w:val="13"/>
                <w:color w:val="auto"/>
              </w:rPr>
            </w:pPr>
          </w:p>
        </w:tc>
        <w:tc>
          <w:tcPr>
            <w:tcW w:w="6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24,015</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(used in) operating activities: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63,183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58,041</w:t>
            </w: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 ESPP, and incentive units compensation</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10,807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6,118</w:t>
            </w:r>
          </w:p>
        </w:tc>
        <w:tc>
          <w:tcPr>
            <w:tcW w:w="0" w:type="dxa"/>
            <w:vAlign w:val="bottom"/>
          </w:tcPr>
          <w:p>
            <w:pPr>
              <w:spacing w:after="0"/>
              <w:rPr>
                <w:sz w:val="1"/>
                <w:szCs w:val="1"/>
                <w:color w:val="auto"/>
              </w:rPr>
            </w:pPr>
          </w:p>
        </w:tc>
      </w:tr>
      <w:tr>
        <w:trPr>
          <w:trHeight w:val="153"/>
        </w:trPr>
        <w:tc>
          <w:tcPr>
            <w:tcW w:w="50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1,798</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2,736</w:t>
            </w:r>
          </w:p>
        </w:tc>
        <w:tc>
          <w:tcPr>
            <w:tcW w:w="0" w:type="dxa"/>
            <w:vAlign w:val="bottom"/>
          </w:tcPr>
          <w:p>
            <w:pPr>
              <w:spacing w:after="0"/>
              <w:rPr>
                <w:sz w:val="1"/>
                <w:szCs w:val="1"/>
                <w:color w:val="auto"/>
              </w:rPr>
            </w:pPr>
          </w:p>
        </w:tc>
      </w:tr>
      <w:tr>
        <w:trPr>
          <w:trHeight w:val="153"/>
        </w:trPr>
        <w:tc>
          <w:tcPr>
            <w:tcW w:w="50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10,369</w:t>
            </w:r>
          </w:p>
        </w:tc>
        <w:tc>
          <w:tcPr>
            <w:tcW w:w="0" w:type="dxa"/>
            <w:vAlign w:val="bottom"/>
          </w:tcPr>
          <w:p>
            <w:pPr>
              <w:spacing w:after="0"/>
              <w:rPr>
                <w:sz w:val="1"/>
                <w:szCs w:val="1"/>
                <w:color w:val="auto"/>
              </w:rPr>
            </w:pPr>
          </w:p>
        </w:tc>
      </w:tr>
      <w:tr>
        <w:trPr>
          <w:trHeight w:val="153"/>
        </w:trPr>
        <w:tc>
          <w:tcPr>
            <w:tcW w:w="50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Deferred income tax benefit</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(2,194)</w:t>
            </w:r>
          </w:p>
        </w:tc>
        <w:tc>
          <w:tcPr>
            <w:tcW w:w="0" w:type="dxa"/>
            <w:vAlign w:val="bottom"/>
          </w:tcPr>
          <w:p>
            <w:pPr>
              <w:spacing w:after="0"/>
              <w:rPr>
                <w:sz w:val="1"/>
                <w:szCs w:val="1"/>
                <w:color w:val="auto"/>
              </w:rPr>
            </w:pPr>
          </w:p>
        </w:tc>
      </w:tr>
      <w:tr>
        <w:trPr>
          <w:trHeight w:val="153"/>
        </w:trPr>
        <w:tc>
          <w:tcPr>
            <w:tcW w:w="50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contingent consideration liability</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w:t>
            </w:r>
          </w:p>
        </w:tc>
        <w:tc>
          <w:tcPr>
            <w:tcW w:w="0" w:type="dxa"/>
            <w:vAlign w:val="bottom"/>
          </w:tcPr>
          <w:p>
            <w:pPr>
              <w:spacing w:after="0"/>
              <w:rPr>
                <w:sz w:val="1"/>
                <w:szCs w:val="1"/>
                <w:color w:val="auto"/>
              </w:rPr>
            </w:pPr>
          </w:p>
        </w:tc>
      </w:tr>
      <w:tr>
        <w:trPr>
          <w:trHeight w:val="153"/>
        </w:trPr>
        <w:tc>
          <w:tcPr>
            <w:tcW w:w="50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Bargain purchase gain</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(21,863)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(9,387)</w:t>
            </w: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(6,062)</w:t>
            </w: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(8,554)</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(3,633)</w:t>
            </w: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4,535</w:t>
            </w: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residuals commissions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5,027</w:t>
            </w: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(1,688)</w:t>
            </w:r>
          </w:p>
        </w:tc>
        <w:tc>
          <w:tcPr>
            <w:tcW w:w="0" w:type="dxa"/>
            <w:vAlign w:val="bottom"/>
          </w:tcPr>
          <w:p>
            <w:pPr>
              <w:spacing w:after="0"/>
              <w:rPr>
                <w:sz w:val="1"/>
                <w:szCs w:val="1"/>
                <w:color w:val="auto"/>
              </w:rPr>
            </w:pPr>
          </w:p>
        </w:tc>
      </w:tr>
      <w:tr>
        <w:trPr>
          <w:trHeight w:val="153"/>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 net</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(6,214)</w:t>
            </w:r>
          </w:p>
        </w:tc>
        <w:tc>
          <w:tcPr>
            <w:tcW w:w="0" w:type="dxa"/>
            <w:vAlign w:val="bottom"/>
          </w:tcPr>
          <w:p>
            <w:pPr>
              <w:spacing w:after="0"/>
              <w:rPr>
                <w:sz w:val="1"/>
                <w:szCs w:val="1"/>
                <w:color w:val="auto"/>
              </w:rPr>
            </w:pPr>
          </w:p>
        </w:tc>
      </w:tr>
      <w:tr>
        <w:trPr>
          <w:trHeight w:val="155"/>
        </w:trPr>
        <w:tc>
          <w:tcPr>
            <w:tcW w:w="5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liabilities, net</w:t>
            </w:r>
          </w:p>
        </w:tc>
        <w:tc>
          <w:tcPr>
            <w:tcW w:w="3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(3,612)</w:t>
            </w: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1,254</w:t>
            </w:r>
          </w:p>
        </w:tc>
        <w:tc>
          <w:tcPr>
            <w:tcW w:w="0" w:type="dxa"/>
            <w:vAlign w:val="bottom"/>
          </w:tcPr>
          <w:p>
            <w:pPr>
              <w:spacing w:after="0"/>
              <w:rPr>
                <w:sz w:val="1"/>
                <w:szCs w:val="1"/>
                <w:color w:val="auto"/>
              </w:rPr>
            </w:pPr>
          </w:p>
        </w:tc>
      </w:tr>
      <w:tr>
        <w:trPr>
          <w:trHeight w:val="142"/>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100,005</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85,609</w:t>
            </w:r>
          </w:p>
        </w:tc>
        <w:tc>
          <w:tcPr>
            <w:tcW w:w="0" w:type="dxa"/>
            <w:vAlign w:val="bottom"/>
          </w:tcPr>
          <w:p>
            <w:pPr>
              <w:spacing w:after="0"/>
              <w:rPr>
                <w:sz w:val="1"/>
                <w:szCs w:val="1"/>
                <w:color w:val="auto"/>
              </w:rPr>
            </w:pPr>
          </w:p>
        </w:tc>
      </w:tr>
      <w:tr>
        <w:trPr>
          <w:trHeight w:val="131"/>
        </w:trPr>
        <w:tc>
          <w:tcPr>
            <w:tcW w:w="50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businesses, net of cash acquired</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(39,301)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(24,926)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(21,693)</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(11,134)</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(3,361)</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of assets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(69,462)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(5,667)</w:t>
            </w:r>
          </w:p>
        </w:tc>
        <w:tc>
          <w:tcPr>
            <w:tcW w:w="0" w:type="dxa"/>
            <w:vAlign w:val="bottom"/>
          </w:tcPr>
          <w:p>
            <w:pPr>
              <w:spacing w:after="0"/>
              <w:rPr>
                <w:sz w:val="1"/>
                <w:szCs w:val="1"/>
                <w:color w:val="auto"/>
              </w:rPr>
            </w:pPr>
          </w:p>
        </w:tc>
      </w:tr>
      <w:tr>
        <w:trPr>
          <w:trHeight w:val="155"/>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investing activities</w:t>
            </w:r>
          </w:p>
        </w:tc>
        <w:tc>
          <w:tcPr>
            <w:tcW w:w="3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(29,218)</w:t>
            </w: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(4,825)</w:t>
            </w:r>
          </w:p>
        </w:tc>
        <w:tc>
          <w:tcPr>
            <w:tcW w:w="0" w:type="dxa"/>
            <w:vAlign w:val="bottom"/>
          </w:tcPr>
          <w:p>
            <w:pPr>
              <w:spacing w:after="0"/>
              <w:rPr>
                <w:sz w:val="1"/>
                <w:szCs w:val="1"/>
                <w:color w:val="auto"/>
              </w:rPr>
            </w:pPr>
          </w:p>
        </w:tc>
      </w:tr>
      <w:tr>
        <w:trPr>
          <w:trHeight w:val="142"/>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(174,041)</w:t>
            </w: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(35,546)</w:t>
            </w:r>
          </w:p>
        </w:tc>
        <w:tc>
          <w:tcPr>
            <w:tcW w:w="0" w:type="dxa"/>
            <w:vAlign w:val="bottom"/>
          </w:tcPr>
          <w:p>
            <w:pPr>
              <w:spacing w:after="0"/>
              <w:rPr>
                <w:sz w:val="1"/>
                <w:szCs w:val="1"/>
                <w:color w:val="auto"/>
              </w:rPr>
            </w:pPr>
          </w:p>
        </w:tc>
      </w:tr>
      <w:tr>
        <w:trPr>
          <w:trHeight w:val="131"/>
        </w:trPr>
        <w:tc>
          <w:tcPr>
            <w:tcW w:w="50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1,066,607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945,126</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(7,680)</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(960,985)</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(658,835)</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senior preferred stock</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(225,000)</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accumulated dividend on redeemable preferred stock</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(54,557)</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redeemable non-controlling interest in subsidiary</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Shares withheld for taxes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(1,538)</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(23,646)</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the exercise of stock options</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1,816</w:t>
            </w: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obligations, net</w:t>
            </w: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355,127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179,614</w:t>
            </w:r>
          </w:p>
        </w:tc>
        <w:tc>
          <w:tcPr>
            <w:tcW w:w="0" w:type="dxa"/>
            <w:vAlign w:val="bottom"/>
          </w:tcPr>
          <w:p>
            <w:pPr>
              <w:spacing w:after="0"/>
              <w:rPr>
                <w:sz w:val="1"/>
                <w:szCs w:val="1"/>
                <w:color w:val="auto"/>
              </w:rPr>
            </w:pPr>
          </w:p>
        </w:tc>
      </w:tr>
      <w:tr>
        <w:trPr>
          <w:trHeight w:val="155"/>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 related to a business combination</w:t>
            </w:r>
          </w:p>
        </w:tc>
        <w:tc>
          <w:tcPr>
            <w:tcW w:w="3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(20,051)</w:t>
            </w: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(5,592)</w:t>
            </w:r>
          </w:p>
        </w:tc>
        <w:tc>
          <w:tcPr>
            <w:tcW w:w="0" w:type="dxa"/>
            <w:vAlign w:val="bottom"/>
          </w:tcPr>
          <w:p>
            <w:pPr>
              <w:spacing w:after="0"/>
              <w:rPr>
                <w:sz w:val="1"/>
                <w:szCs w:val="1"/>
                <w:color w:val="auto"/>
              </w:rPr>
            </w:pPr>
          </w:p>
        </w:tc>
      </w:tr>
      <w:tr>
        <w:trPr>
          <w:trHeight w:val="142"/>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3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426,170</w:t>
            </w: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147,578</w:t>
            </w:r>
          </w:p>
        </w:tc>
        <w:tc>
          <w:tcPr>
            <w:tcW w:w="0" w:type="dxa"/>
            <w:vAlign w:val="bottom"/>
          </w:tcPr>
          <w:p>
            <w:pPr>
              <w:spacing w:after="0"/>
              <w:rPr>
                <w:sz w:val="1"/>
                <w:szCs w:val="1"/>
                <w:color w:val="auto"/>
              </w:rPr>
            </w:pPr>
          </w:p>
        </w:tc>
      </w:tr>
      <w:tr>
        <w:trPr>
          <w:trHeight w:val="691"/>
        </w:trPr>
        <w:tc>
          <w:tcPr>
            <w:tcW w:w="5000" w:type="dxa"/>
            <w:vAlign w:val="bottom"/>
          </w:tcPr>
          <w:p>
            <w:pPr>
              <w:spacing w:after="0"/>
              <w:rPr>
                <w:sz w:val="24"/>
                <w:szCs w:val="24"/>
                <w:color w:val="auto"/>
              </w:rPr>
            </w:pPr>
          </w:p>
        </w:tc>
        <w:tc>
          <w:tcPr>
            <w:tcW w:w="3120" w:type="dxa"/>
            <w:vAlign w:val="bottom"/>
          </w:tcPr>
          <w:p>
            <w:pPr>
              <w:jc w:val="right"/>
              <w:ind w:right="2360"/>
              <w:spacing w:after="0"/>
              <w:rPr>
                <w:sz w:val="20"/>
                <w:szCs w:val="20"/>
                <w:color w:val="auto"/>
              </w:rPr>
            </w:pPr>
            <w:r>
              <w:rPr>
                <w:rFonts w:ascii="Times New Roman" w:cs="Times New Roman" w:eastAsia="Times New Roman" w:hAnsi="Times New Roman"/>
                <w:sz w:val="12"/>
                <w:szCs w:val="12"/>
                <w:color w:val="auto"/>
              </w:rPr>
              <w:t>10</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41" w:right="31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equivalents at end of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Restricted cash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(restricted in nature)</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1"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jc w:val="center"/>
        <w:ind w:right="408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4040" w:type="dxa"/>
        <w:tblCellMar>
          <w:top w:w="0" w:type="dxa"/>
          <w:left w:w="0" w:type="dxa"/>
          <w:bottom w:w="0" w:type="dxa"/>
          <w:right w:w="0" w:type="dxa"/>
        </w:tblCellMar>
      </w:tblPr>
      <w:tr>
        <w:trPr>
          <w:trHeight w:val="142"/>
        </w:trPr>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284"/>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352,134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197,641</w:t>
            </w:r>
          </w:p>
        </w:tc>
      </w:tr>
      <w:tr>
        <w:trPr>
          <w:trHeight w:val="155"/>
        </w:trPr>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993,864</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796,223</w:t>
            </w:r>
          </w:p>
        </w:tc>
      </w:tr>
      <w:tr>
        <w:trPr>
          <w:trHeight w:val="142"/>
        </w:trPr>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1,345,998</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993,864</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33"/>
        </w:trPr>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77,192</w:t>
            </w:r>
          </w:p>
        </w:tc>
        <w:tc>
          <w:tcPr>
            <w:tcW w:w="80" w:type="dxa"/>
            <w:vAlign w:val="bottom"/>
          </w:tcPr>
          <w:p>
            <w:pPr>
              <w:spacing w:after="0"/>
              <w:rPr>
                <w:sz w:val="24"/>
                <w:szCs w:val="2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58,600</w:t>
            </w:r>
          </w:p>
        </w:tc>
      </w:tr>
      <w:tr>
        <w:trPr>
          <w:trHeight w:val="153"/>
        </w:trPr>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16,457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r>
      <w:tr>
        <w:trPr>
          <w:trHeight w:val="155"/>
        </w:trPr>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1,252,349</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924,174</w:t>
            </w:r>
          </w:p>
        </w:tc>
      </w:tr>
      <w:tr>
        <w:trPr>
          <w:trHeight w:val="142"/>
        </w:trPr>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1,345,998</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993,864</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2">
            <w:col w:w="3840" w:space="240"/>
            <w:col w:w="7200"/>
          </w:cols>
          <w:pgMar w:left="300" w:top="141" w:right="319" w:bottom="1440" w:gutter="0" w:footer="0" w:header="0"/>
        </w:sectPr>
      </w:pPr>
    </w:p>
    <w:bookmarkStart w:id="14" w:name="page15"/>
    <w:bookmarkEnd w:id="14"/>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Unaudited Reportable Segments' Results</w:t>
      </w: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42"/>
        </w:trPr>
        <w:tc>
          <w:tcPr>
            <w:tcW w:w="486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0"/>
        </w:trPr>
        <w:tc>
          <w:tcPr>
            <w:tcW w:w="4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48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165,275</w:t>
            </w:r>
          </w:p>
        </w:tc>
        <w:tc>
          <w:tcPr>
            <w:tcW w:w="24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155,672</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642,069</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613,547</w:t>
            </w:r>
          </w:p>
        </w:tc>
      </w:tr>
      <w:tr>
        <w:trPr>
          <w:trHeight w:val="155"/>
        </w:trPr>
        <w:tc>
          <w:tcPr>
            <w:tcW w:w="48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30,612</w:t>
            </w:r>
          </w:p>
        </w:tc>
        <w:tc>
          <w:tcPr>
            <w:tcW w:w="24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26,648</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111,793</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108,913</w:t>
            </w:r>
          </w:p>
        </w:tc>
      </w:tr>
      <w:tr>
        <w:trPr>
          <w:trHeight w:val="331"/>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18,549,964</w:t>
            </w:r>
          </w:p>
        </w:tc>
        <w:tc>
          <w:tcPr>
            <w:tcW w:w="24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18,137,274</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72,373,800</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71,566,091</w:t>
            </w:r>
          </w:p>
        </w:tc>
      </w:tr>
      <w:tr>
        <w:trPr>
          <w:trHeight w:val="155"/>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transaction count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218,807</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215,267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888,688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857,548</w:t>
            </w:r>
          </w:p>
        </w:tc>
      </w:tr>
      <w:tr>
        <w:trPr>
          <w:trHeight w:val="331"/>
        </w:trPr>
        <w:tc>
          <w:tcPr>
            <w:tcW w:w="4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26,759</w:t>
            </w:r>
          </w:p>
        </w:tc>
        <w:tc>
          <w:tcPr>
            <w:tcW w:w="24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23,735</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100,872</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89,103</w:t>
            </w:r>
          </w:p>
        </w:tc>
      </w:tr>
      <w:tr>
        <w:trPr>
          <w:trHeight w:val="155"/>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3,850</w:t>
            </w:r>
          </w:p>
        </w:tc>
        <w:tc>
          <w:tcPr>
            <w:tcW w:w="24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2,395</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14,591</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7,605</w:t>
            </w:r>
          </w:p>
        </w:tc>
      </w:tr>
      <w:tr>
        <w:trPr>
          <w:trHeight w:val="295"/>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48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Buyer funded card processing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795,210</w:t>
            </w:r>
          </w:p>
        </w:tc>
        <w:tc>
          <w:tcPr>
            <w:tcW w:w="24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733,680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3,090,310</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2,816,270</w:t>
            </w:r>
          </w:p>
        </w:tc>
      </w:tr>
      <w:tr>
        <w:trPr>
          <w:trHeight w:val="153"/>
        </w:trPr>
        <w:tc>
          <w:tcPr>
            <w:tcW w:w="48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Supplier funded issuing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231,461</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$63</w:t>
            </w: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244,689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919,860</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977,278</w:t>
            </w:r>
          </w:p>
        </w:tc>
      </w:tr>
      <w:tr>
        <w:trPr>
          <w:trHeight w:val="155"/>
        </w:trPr>
        <w:tc>
          <w:tcPr>
            <w:tcW w:w="48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ACH transaction count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5,009</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19,286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17,182</w:t>
            </w:r>
          </w:p>
        </w:tc>
      </w:tr>
      <w:tr>
        <w:trPr>
          <w:trHeight w:val="331"/>
        </w:trPr>
        <w:tc>
          <w:tcPr>
            <w:tcW w:w="4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57,349</w:t>
            </w:r>
          </w:p>
        </w:tc>
        <w:tc>
          <w:tcPr>
            <w:tcW w:w="24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48,690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215,779</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180,448</w:t>
            </w:r>
          </w:p>
        </w:tc>
      </w:tr>
      <w:tr>
        <w:trPr>
          <w:trHeight w:val="155"/>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47,554</w:t>
            </w:r>
          </w:p>
        </w:tc>
        <w:tc>
          <w:tcPr>
            <w:tcW w:w="24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42,025</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182,231</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154,936</w:t>
            </w:r>
          </w:p>
        </w:tc>
      </w:tr>
      <w:tr>
        <w:trPr>
          <w:trHeight w:val="322"/>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1,101,919</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891,157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1,022,225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797,567</w:t>
            </w:r>
          </w:p>
        </w:tc>
      </w:tr>
      <w:tr>
        <w:trPr>
          <w:trHeight w:val="153"/>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monthly enrollments</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53,542</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52,444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57,123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56,072</w:t>
            </w:r>
          </w:p>
        </w:tc>
      </w:tr>
      <w:tr>
        <w:trPr>
          <w:trHeight w:val="155"/>
        </w:trPr>
        <w:tc>
          <w:tcPr>
            <w:tcW w:w="4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total account balances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1,336,551</w:t>
            </w:r>
          </w:p>
        </w:tc>
        <w:tc>
          <w:tcPr>
            <w:tcW w:w="24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970,572</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1,193,011</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140"/>
          </w:cols>
          <w:pgMar w:left="300" w:top="296" w:right="45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Unaudited Reportable Segments' Results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December 31, 2025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8"/>
              </w:rPr>
              <w:t>Merchant Solutions</w:t>
            </w: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8"/>
              </w:rPr>
              <w:t>Treasury Solutions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30,612</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spacing w:after="0"/>
              <w:rPr>
                <w:sz w:val="13"/>
                <w:szCs w:val="13"/>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w w:val="96"/>
              </w:rPr>
              <w:t>3,850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47,554</w:t>
            </w:r>
          </w:p>
        </w:tc>
        <w:tc>
          <w:tcPr>
            <w:tcW w:w="2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(21,953)</w:t>
            </w: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60,063</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(20,847)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(21,961)</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(10,237)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(5,119)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(3,552)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(20,191)</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0" w:type="dxa"/>
            <w:vAlign w:val="bottom"/>
          </w:tcPr>
          <w:p>
            <w:pPr>
              <w:spacing w:after="0"/>
              <w:rPr>
                <w:sz w:val="1"/>
                <w:szCs w:val="1"/>
                <w:color w:val="auto"/>
              </w:rPr>
            </w:pPr>
          </w:p>
        </w:tc>
      </w:tr>
      <w:tr>
        <w:trPr>
          <w:trHeight w:val="153"/>
        </w:trPr>
        <w:tc>
          <w:tcPr>
            <w:tcW w:w="47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Non-cash stock based compensation</w:t>
            </w:r>
            <w:r>
              <w:rPr>
                <w:rFonts w:ascii="Times New Roman" w:cs="Times New Roman" w:eastAsia="Times New Roman" w:hAnsi="Times New Roman"/>
                <w:sz w:val="15"/>
                <w:szCs w:val="15"/>
                <w:color w:val="auto"/>
                <w:vertAlign w:val="superscript"/>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(1,187)</w:t>
            </w:r>
          </w:p>
        </w:tc>
        <w:tc>
          <w:tcPr>
            <w:tcW w:w="0" w:type="dxa"/>
            <w:vAlign w:val="bottom"/>
          </w:tcPr>
          <w:p>
            <w:pPr>
              <w:spacing w:after="0"/>
              <w:rPr>
                <w:sz w:val="1"/>
                <w:szCs w:val="1"/>
                <w:color w:val="auto"/>
              </w:rPr>
            </w:pPr>
          </w:p>
        </w:tc>
      </w:tr>
      <w:tr>
        <w:trPr>
          <w:trHeight w:val="157"/>
        </w:trPr>
        <w:tc>
          <w:tcPr>
            <w:tcW w:w="472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Salary and employee benefits (non recurring)</w:t>
            </w:r>
            <w:r>
              <w:rPr>
                <w:rFonts w:ascii="Times New Roman" w:cs="Times New Roman" w:eastAsia="Times New Roman" w:hAnsi="Times New Roman"/>
                <w:sz w:val="15"/>
                <w:szCs w:val="15"/>
                <w:color w:val="auto"/>
                <w:vertAlign w:val="superscript"/>
              </w:rPr>
              <w:t>(2)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(2,501)</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Bargain purchase gain (non-recurring)</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19,408</w:t>
            </w: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2,532</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42,256</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(51,124)</w:t>
            </w:r>
          </w:p>
        </w:tc>
        <w:tc>
          <w:tcPr>
            <w:tcW w:w="80" w:type="dxa"/>
            <w:vAlign w:val="bottom"/>
          </w:tcPr>
          <w:p>
            <w:pPr>
              <w:spacing w:after="0"/>
              <w:rPr>
                <w:sz w:val="12"/>
                <w:szCs w:val="12"/>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13,072</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(4,126)</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8,946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8"/>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 2025</w:t>
            </w: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Payables Solutions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5"/>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720" w:type="dxa"/>
            <w:vAlign w:val="bottom"/>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111,793</w:t>
            </w:r>
          </w:p>
        </w:tc>
        <w:tc>
          <w:tcPr>
            <w:tcW w:w="80" w:type="dxa"/>
            <w:vAlign w:val="bottom"/>
          </w:tcPr>
          <w:p>
            <w:pPr>
              <w:spacing w:after="0"/>
              <w:rPr>
                <w:sz w:val="13"/>
                <w:szCs w:val="13"/>
                <w:color w:val="auto"/>
              </w:rPr>
            </w:pP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14,591</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182,231</w:t>
            </w:r>
          </w:p>
        </w:tc>
        <w:tc>
          <w:tcPr>
            <w:tcW w:w="260" w:type="dxa"/>
            <w:vAlign w:val="bottom"/>
          </w:tcPr>
          <w:p>
            <w:pPr>
              <w:spacing w:after="0"/>
              <w:rPr>
                <w:sz w:val="13"/>
                <w:szCs w:val="13"/>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(83,449)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225,166</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(90,654)</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(5,081)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(19,626)</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(7,374)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(63,183)</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(5,718)</w:t>
            </w:r>
          </w:p>
        </w:tc>
        <w:tc>
          <w:tcPr>
            <w:tcW w:w="0" w:type="dxa"/>
            <w:vAlign w:val="bottom"/>
          </w:tcPr>
          <w:p>
            <w:pPr>
              <w:spacing w:after="0"/>
              <w:rPr>
                <w:sz w:val="1"/>
                <w:szCs w:val="1"/>
                <w:color w:val="auto"/>
              </w:rPr>
            </w:pPr>
          </w:p>
        </w:tc>
      </w:tr>
      <w:tr>
        <w:trPr>
          <w:trHeight w:val="153"/>
        </w:trPr>
        <w:tc>
          <w:tcPr>
            <w:tcW w:w="47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Non-cash stock based compensation</w:t>
            </w:r>
            <w:r>
              <w:rPr>
                <w:rFonts w:ascii="Times New Roman" w:cs="Times New Roman" w:eastAsia="Times New Roman" w:hAnsi="Times New Roman"/>
                <w:sz w:val="15"/>
                <w:szCs w:val="15"/>
                <w:color w:val="auto"/>
                <w:vertAlign w:val="superscript"/>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(8,306)</w:t>
            </w:r>
          </w:p>
        </w:tc>
        <w:tc>
          <w:tcPr>
            <w:tcW w:w="0" w:type="dxa"/>
            <w:vAlign w:val="bottom"/>
          </w:tcPr>
          <w:p>
            <w:pPr>
              <w:spacing w:after="0"/>
              <w:rPr>
                <w:sz w:val="1"/>
                <w:szCs w:val="1"/>
                <w:color w:val="auto"/>
              </w:rPr>
            </w:pPr>
          </w:p>
        </w:tc>
      </w:tr>
      <w:tr>
        <w:trPr>
          <w:trHeight w:val="153"/>
        </w:trPr>
        <w:tc>
          <w:tcPr>
            <w:tcW w:w="47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Salary and employee benefits (non recurring)</w:t>
            </w:r>
            <w:r>
              <w:rPr>
                <w:rFonts w:ascii="Times New Roman" w:cs="Times New Roman" w:eastAsia="Times New Roman" w:hAnsi="Times New Roman"/>
                <w:sz w:val="15"/>
                <w:szCs w:val="15"/>
                <w:color w:val="auto"/>
                <w:vertAlign w:val="superscript"/>
              </w:rPr>
              <w:t>(2)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(2,501)</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Bargain purchase gain (non-recurring)</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3,989</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79,366</w:t>
            </w:r>
          </w:p>
        </w:tc>
        <w:tc>
          <w:tcPr>
            <w:tcW w:w="80" w:type="dxa"/>
            <w:vAlign w:val="bottom"/>
          </w:tcPr>
          <w:p>
            <w:pPr>
              <w:spacing w:after="0"/>
              <w:rPr>
                <w:sz w:val="12"/>
                <w:szCs w:val="12"/>
                <w:color w:val="auto"/>
              </w:rPr>
            </w:pP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7,016</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161,943 $— $</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(202,046)</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46,279</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9,402</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55,681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132"/>
        <w:spacing w:after="0"/>
        <w:tabs>
          <w:tab w:leader="none" w:pos="34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excludes stock based compensation settled in cash of $2.5 million subsequent to the year ended December 31, 2025</w:t>
      </w:r>
    </w:p>
    <w:p>
      <w:pPr>
        <w:spacing w:after="0" w:line="128" w:lineRule="exact"/>
        <w:rPr>
          <w:rFonts w:ascii="Times New Roman" w:cs="Times New Roman" w:eastAsia="Times New Roman" w:hAnsi="Times New Roman"/>
          <w:sz w:val="10"/>
          <w:szCs w:val="10"/>
          <w:color w:val="auto"/>
        </w:rPr>
      </w:pPr>
    </w:p>
    <w:p>
      <w:pPr>
        <w:ind w:left="340" w:hanging="132"/>
        <w:spacing w:after="0"/>
        <w:tabs>
          <w:tab w:leader="none" w:pos="34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cash settled stock based compensation which is non-recurring in nature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220"/>
          </w:cols>
          <w:pgMar w:left="300" w:top="296" w:right="3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Reportable Segments' Results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12"/>
          </w:tcPr>
          <w:p>
            <w:pPr>
              <w:ind w:left="600"/>
              <w:spacing w:after="0"/>
              <w:rPr>
                <w:sz w:val="20"/>
                <w:szCs w:val="20"/>
                <w:color w:val="auto"/>
              </w:rPr>
            </w:pPr>
            <w:r>
              <w:rPr>
                <w:rFonts w:ascii="Times New Roman" w:cs="Times New Roman" w:eastAsia="Times New Roman" w:hAnsi="Times New Roman"/>
                <w:sz w:val="12"/>
                <w:szCs w:val="12"/>
                <w:b w:val="1"/>
                <w:bCs w:val="1"/>
                <w:color w:val="auto"/>
              </w:rPr>
              <w:t>Three Months Ended December 31, 2024</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2,395</w:t>
            </w:r>
          </w:p>
        </w:tc>
        <w:tc>
          <w:tcPr>
            <w:tcW w:w="60" w:type="dxa"/>
            <w:vAlign w:val="bottom"/>
          </w:tcPr>
          <w:p>
            <w:pPr>
              <w:spacing w:after="0"/>
              <w:rPr>
                <w:sz w:val="13"/>
                <w:szCs w:val="13"/>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42,025</w:t>
            </w:r>
          </w:p>
        </w:tc>
        <w:tc>
          <w:tcPr>
            <w:tcW w:w="6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(19,333)</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51,735</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(22,051)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(23,111)</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(13,811)</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(1,703)</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(1,241)</w:t>
            </w:r>
          </w:p>
        </w:tc>
        <w:tc>
          <w:tcPr>
            <w:tcW w:w="0" w:type="dxa"/>
            <w:vAlign w:val="bottom"/>
          </w:tcPr>
          <w:p>
            <w:pPr>
              <w:spacing w:after="0"/>
              <w:rPr>
                <w:sz w:val="1"/>
                <w:szCs w:val="1"/>
                <w:color w:val="auto"/>
              </w:rPr>
            </w:pPr>
          </w:p>
        </w:tc>
      </w:tr>
      <w:tr>
        <w:trPr>
          <w:trHeight w:val="140"/>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19,845</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148</w:t>
            </w:r>
          </w:p>
        </w:tc>
        <w:tc>
          <w:tcPr>
            <w:tcW w:w="60" w:type="dxa"/>
            <w:vAlign w:val="bottom"/>
          </w:tcPr>
          <w:p>
            <w:pPr>
              <w:spacing w:after="0"/>
              <w:rPr>
                <w:sz w:val="12"/>
                <w:szCs w:val="12"/>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37,494</w:t>
            </w:r>
          </w:p>
        </w:tc>
        <w:tc>
          <w:tcPr>
            <w:tcW w:w="6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(46,997)</w:t>
            </w:r>
          </w:p>
        </w:tc>
        <w:tc>
          <w:tcPr>
            <w:tcW w:w="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10,490</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(3,270)</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7,220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9"/>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1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108,913</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7,605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154,936</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(67,187)</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204,267</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(84,607)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(88,948)</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(30,865)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(5,258)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(16,928)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(58,041)</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(10,369)</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(3,510)</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(5,751)</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(6,118)</w:t>
            </w:r>
          </w:p>
        </w:tc>
        <w:tc>
          <w:tcPr>
            <w:tcW w:w="0" w:type="dxa"/>
            <w:vAlign w:val="bottom"/>
          </w:tcPr>
          <w:p>
            <w:pPr>
              <w:spacing w:after="0"/>
              <w:rPr>
                <w:sz w:val="1"/>
                <w:szCs w:val="1"/>
                <w:color w:val="auto"/>
              </w:rPr>
            </w:pPr>
          </w:p>
        </w:tc>
      </w:tr>
      <w:tr>
        <w:trPr>
          <w:trHeight w:val="140"/>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78,031</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(2,213)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137,877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(176,414)</w:t>
            </w:r>
          </w:p>
        </w:tc>
        <w:tc>
          <w:tcPr>
            <w:tcW w:w="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37,281</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(13,266)</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24,015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280"/>
          </w:cols>
          <w:pgMar w:left="300" w:top="296" w:right="319" w:bottom="144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2026-03-10T07:12:31Z</dcterms:created>
  <dcterms:modified xsi:type="dcterms:W3CDTF">2026-03-10T07:12:31Z</dcterms:modified>
</cp:coreProperties>
</file>