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993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9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BRADLEY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CRO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52,302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156,904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24,509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5.85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132,395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52,302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52,302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156,902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obligations.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18, 2020, the Reporting Person was granted 209,204 restricted stock units which vest 50% on February 18, 2021; 25% on February 18, 2022; and 25% on February 18, 2023 subject to the Reporting Person's continued employment with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Miller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03/31/2022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597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2022-03-31T16:28:49Z</dcterms:created>
  <dcterms:modified xsi:type="dcterms:W3CDTF">2022-03-31T16:28:49Z</dcterms:modified>
</cp:coreProperties>
</file>