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2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2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82,086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26,110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22, 2023, the Reporting Person was granted 26,110 restricted stock units which vest 25% on April 1, 2023, 25% on July 1, 2023, 25% on October 1, 2023, and 25% on January 1, 2024 subject to theReporting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828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2023-03-26T03:18:13Z</dcterms:created>
  <dcterms:modified xsi:type="dcterms:W3CDTF">2023-03-26T03:18:13Z</dcterms:modified>
</cp:coreProperties>
</file>