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76"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1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3"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3"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 I ACQUISITIONS,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3"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3"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3"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3" w:lineRule="exact"/>
        <w:rPr>
          <w:rFonts w:ascii="MS PGothic" w:cs="MS PGothic" w:eastAsia="MS PGothic" w:hAnsi="MS PGothic"/>
          <w:sz w:val="18"/>
          <w:szCs w:val="18"/>
          <w:color w:val="auto"/>
        </w:rPr>
      </w:pPr>
    </w:p>
    <w:p>
      <w:pPr>
        <w:ind w:left="660" w:hanging="330"/>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660" w:hanging="330"/>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660" w:hanging="330"/>
        <w:spacing w:after="0" w:line="275"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660" w:hanging="330"/>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660" w:hanging="330"/>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414655</wp:posOffset>
            </wp:positionH>
            <wp:positionV relativeFrom="paragraph">
              <wp:posOffset>151130</wp:posOffset>
            </wp:positionV>
            <wp:extent cx="68376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-130175</wp:posOffset>
            </wp:positionV>
            <wp:extent cx="68376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-548640</wp:posOffset>
            </wp:positionV>
            <wp:extent cx="68376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-1103630</wp:posOffset>
            </wp:positionV>
            <wp:extent cx="6837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-1521460</wp:posOffset>
            </wp:positionV>
            <wp:extent cx="68376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768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3" w:lineRule="exact"/>
        <w:rPr>
          <w:sz w:val="24"/>
          <w:szCs w:val="24"/>
          <w:color w:val="auto"/>
        </w:rPr>
      </w:pPr>
    </w:p>
    <w:p>
      <w:pPr>
        <w:ind w:left="340" w:hanging="332"/>
        <w:spacing w:after="0" w:line="275" w:lineRule="auto"/>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MS PGothic" w:cs="MS PGothic" w:eastAsia="MS PGothic" w:hAnsi="MS PGothic"/>
          <w:sz w:val="18"/>
          <w:szCs w:val="18"/>
          <w:color w:val="auto"/>
        </w:rPr>
      </w:pPr>
    </w:p>
    <w:p>
      <w:pPr>
        <w:ind w:left="660" w:hanging="330"/>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6" w:lineRule="exact"/>
        <w:rPr>
          <w:rFonts w:ascii="Arial" w:cs="Arial" w:eastAsia="Arial" w:hAnsi="Arial"/>
          <w:sz w:val="18"/>
          <w:szCs w:val="18"/>
          <w:color w:val="auto"/>
        </w:rPr>
      </w:pPr>
    </w:p>
    <w:p>
      <w:pPr>
        <w:ind w:left="660" w:hanging="330"/>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6" w:lineRule="exact"/>
        <w:rPr>
          <w:rFonts w:ascii="Arial" w:cs="Arial" w:eastAsia="Arial" w:hAnsi="Arial"/>
          <w:sz w:val="18"/>
          <w:szCs w:val="18"/>
          <w:color w:val="auto"/>
        </w:rPr>
      </w:pPr>
    </w:p>
    <w:p>
      <w:pPr>
        <w:ind w:left="660" w:hanging="330"/>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6" w:lineRule="exact"/>
        <w:rPr>
          <w:rFonts w:ascii="Arial" w:cs="Arial" w:eastAsia="Arial" w:hAnsi="Arial"/>
          <w:sz w:val="18"/>
          <w:szCs w:val="18"/>
          <w:color w:val="auto"/>
        </w:rPr>
      </w:pPr>
    </w:p>
    <w:p>
      <w:pPr>
        <w:ind w:left="660" w:hanging="330"/>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414655</wp:posOffset>
            </wp:positionH>
            <wp:positionV relativeFrom="paragraph">
              <wp:posOffset>151130</wp:posOffset>
            </wp:positionV>
            <wp:extent cx="68376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-130175</wp:posOffset>
            </wp:positionV>
            <wp:extent cx="6837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-412115</wp:posOffset>
            </wp:positionV>
            <wp:extent cx="6837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-693420</wp:posOffset>
            </wp:positionV>
            <wp:extent cx="6837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586105</wp:posOffset>
            </wp:positionV>
            <wp:extent cx="7247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 w:name="page2"/>
    <w:bookmarkEnd w:id="1"/>
    <w:p>
      <w:pPr>
        <w:spacing w:after="0"/>
        <w:tabs>
          <w:tab w:leader="none" w:pos="5700" w:val="left"/>
        </w:tabs>
        <w:rPr>
          <w:sz w:val="20"/>
          <w:szCs w:val="20"/>
          <w:color w:val="auto"/>
        </w:rPr>
      </w:pPr>
      <w:r>
        <w:rPr>
          <w:rFonts w:ascii="Arial" w:cs="Arial" w:eastAsia="Arial" w:hAnsi="Arial"/>
          <w:sz w:val="18"/>
          <w:szCs w:val="18"/>
          <w:b w:val="1"/>
          <w:bCs w:val="1"/>
          <w:color w:val="FF0000"/>
        </w:rPr>
        <w:drawing>
          <wp:anchor simplePos="0" relativeHeight="251657728" behindDoc="1" locked="0" layoutInCell="0" allowOverlap="1">
            <wp:simplePos x="0" y="0"/>
            <wp:positionH relativeFrom="page">
              <wp:posOffset>157480</wp:posOffset>
            </wp:positionH>
            <wp:positionV relativeFrom="page">
              <wp:posOffset>584200</wp:posOffset>
            </wp:positionV>
            <wp:extent cx="7247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8255"/>
                    </a:xfrm>
                    <a:prstGeom prst="rect">
                      <a:avLst/>
                    </a:prstGeom>
                    <a:noFill/>
                  </pic:spPr>
                </pic:pic>
              </a:graphicData>
            </a:graphic>
          </wp:anchor>
        </w:drawing>
        <w:t>PRELIMINARY PROXY STATEMENT</w:t>
      </w:r>
      <w:r>
        <w:rPr>
          <w:sz w:val="20"/>
          <w:szCs w:val="20"/>
          <w:color w:val="auto"/>
        </w:rPr>
        <w:tab/>
      </w:r>
      <w:r>
        <w:rPr>
          <w:rFonts w:ascii="Arial" w:cs="Arial" w:eastAsia="Arial" w:hAnsi="Arial"/>
          <w:sz w:val="17"/>
          <w:szCs w:val="17"/>
          <w:color w:val="FF0000"/>
        </w:rPr>
        <w:t>SUBJECT TO COMPLETION, DATED MAY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7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M I ACQUISITIONS, INC.</w:t>
      </w:r>
    </w:p>
    <w:p>
      <w:pPr>
        <w:ind w:left="4740"/>
        <w:spacing w:after="0" w:line="204"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dated [●], 2018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first mailed to stockholders on or about [●], 2018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You are cordially invited to attend the special meeting of stockholders of M I Acquisitions, Inc. (“we,” “us,” “our,” the “Company” or “M I Acquisitions”), which will be held at [●] on [●], 2018, at [●] a.m. M I Acquisitions was formed on April 23, 2015 for the purpose of entering into a merger, share exchange, asset acquisition, stock purchase, recapitalization or other similar business combination with one or more businesses or entities, which we refer to as a “target business.”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the special meeting, holders of M I Acquisitions’ shares of common stock will be asked to approve the contribution agreement, dated as of February 26, 2018, as amended and restated on March 26, 2018 and April 17, 2018, (the “Purchase Agreement”) by and among M I Acquisitions, Priority Investment Holdings, LLC and Priority Incentive Equity Holdings, LLC (collectively, the “Sellers”) to acquire all of the outstanding equity interests of Priority Holdings, LLC (“Priority”), as well as to approve the other proposals described herein.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 w:name="page3"/>
    <w:bookmarkEnd w:id="2"/>
    <w:p>
      <w:pPr>
        <w:jc w:val="both"/>
        <w:spacing w:after="0" w:line="284" w:lineRule="auto"/>
        <w:rPr>
          <w:sz w:val="20"/>
          <w:szCs w:val="20"/>
          <w:color w:val="auto"/>
        </w:rPr>
      </w:pPr>
      <w:r>
        <w:rPr>
          <w:rFonts w:ascii="Arial" w:cs="Arial" w:eastAsia="Arial" w:hAnsi="Arial"/>
          <w:sz w:val="16"/>
          <w:szCs w:val="16"/>
          <w:color w:val="auto"/>
        </w:rPr>
        <w:t>An additional 9.8 million shares of M I Acquisitions common stock may be issued as earn-out consideration to the Sellers, or at their election, to members of Priority’s management or other service providers post-business combination pursuant to the Priority Technology Holdings, Inc. Earnout Incentive Plan (the “Earnout Incentive Plan”)—4.9 million shares for the first earn out and 4.9 million shares for the second earn 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 The transactions contemplated under the Purchase Agreement relating to the business combination with Priority are referred to in this proxy statement as the “Business Combination” and the proposal to adopt the Business Combination, including the initial consideration paid to the Sellers and the earn-out consideration, is referred to as the “Business Combination Proposal” or “Proposal No. 1.”</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 2018, there was approximately [·] in the M I Acquisitions trust account, or approximately $[·] per share of common stock issued in M I Acquisitions’ initial public offering. Pursuant to the Current Certificate of Incorporation of M I Acquisitions, a holder of M I Acquisitions common stock may demand that M I Acquisitions redeem such common stock for cash. Under the Purchase Agreement, the Business Combination is conditioned upon, among other things, there being a minimum of $20 million of cash in our trust account after giving effect to the redemption of M I Acquisitions common stock that holders of M I Acquisitions common stock validly elected to redeem in connection with the Business Combination. Therefore, unless these conditions are waived by M I Acquisitions and Priority, the Purchase Agreement could terminate and the proposed Business Combination may not be consummated. On [●], 2018, the record date for the special meeting of stockholders, the last sale price of M I Acquisitions common stock was $[●]. Our common stock, units and warrants are currently listed on the NASDAQ Capital Market under the symbols “MACQ”, “MACQU”, and “MACQW”, respectively. We have applied to continue the listing of our common stock and warrants on the NASDAQ Capital Market under the symbol(s) “PRTH” and “PRTHW”, respectively, upon closing of the Business Combination.</w:t>
      </w:r>
    </w:p>
    <w:p>
      <w:pPr>
        <w:spacing w:after="0" w:line="19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At the special meeting, stockholders will be asked to approve the Purchase Agreement and approve the Business Combination, including the initial consideration paid to the Sellers and the earn-out consideration. In addition, you are being asked to consider and vote upon (i) five separate proposals to approve and adopt amendments to the Company’s Current Certificate of Incorporation, (ii) a proposal to approve the Priority Technology Holdings, Inc. 2018 Equity Incentive Plan (the “2018 Equity Incentive Plan”), a copy of which is attached to this proxy statement as Annex G, including the authorization of the initial share reserve thereunder, (iii) a proposal to approve the Earnout Incentive Plan, which will provide for the earnout consideration contemplated in the Purchase Agreement, a copy of which is attached to this proxy statement as Annex H, including the authorization of the initial share reserve thereunder and</w:t>
      </w:r>
    </w:p>
    <w:p>
      <w:pPr>
        <w:spacing w:after="0" w:line="3" w:lineRule="exact"/>
        <w:rPr>
          <w:sz w:val="20"/>
          <w:szCs w:val="20"/>
          <w:color w:val="auto"/>
        </w:rPr>
      </w:pPr>
    </w:p>
    <w:p>
      <w:pPr>
        <w:jc w:val="both"/>
        <w:ind w:firstLine="8"/>
        <w:spacing w:after="0" w:line="252" w:lineRule="auto"/>
        <w:tabs>
          <w:tab w:leader="none" w:pos="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adjourn the special meeting to a later date or dates, if necessary, to permit further solicitation and vote of proxies if there are insufficient votes for, or otherwise in connection with, the approval of the Business Combination Proposal or any of the other proposals described above. A copy of our proposed second amended and restated certificate of incorporation reflecting the proposed amendments, assuming the consummation of the Business Combination, is attached as Annex E to the accompanying proxy statement.</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stockholder’s vote is very important. Whether or not you plan to attend the M I Acquisitions special meeting in person, please submit your proxy card without delay. Stockholders may revoke proxies at any time before they are voted at the meeting. Voting by proxy will not prevent a stockholder from voting in person if such stockholder subsequently chooses to attend the M I Acquisitions special meeting.</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We encourage you to read this proxy statement carefully. In particular, you should review the matters discussed under the caption “Risk Factors” beginning on page 24.</w:t>
      </w:r>
    </w:p>
    <w:p>
      <w:pPr>
        <w:spacing w:after="0" w:line="162"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M I Acquisitions’ board of directors unanimously recommends that M I Acquisitions stockholders vote “FOR” approval of each of the proposals described herein.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2018</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HOW TO OBTAIN ADDITIONAL INFORMATION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proxy statement incorporates important business and financial information about M I Acquisitions that is not included or delivered herewith. If you would like to receive additional information or if you would like additional copies of this document, agreements contained in the appendices or any other documents filed by M I Acquisitions with the Securities and Exchange Commission, such information is available without charge upon written or oral request. Please contact the following:</w:t>
      </w:r>
    </w:p>
    <w:p>
      <w:pPr>
        <w:spacing w:after="0" w:line="18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 I Acquisitions, Inc.</w:t>
      </w:r>
    </w:p>
    <w:p>
      <w:pPr>
        <w:ind w:left="4740"/>
        <w:spacing w:after="0" w:line="204"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Joshua Sason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(347) 491-4240</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would like to request documents, please do so no later than [●], 2018 to receive them before the M I Acquisitions special meeting. Please be sure to include your complete name and address in your request. Please see “Where You Can Find Additional Information” to find out where you can find more information about M I Acquisitions and Priority. You should rely only on the information contained in this proxy statement in deciding how to vote on the Business Combination. Neither M I Acquisitions nor Priority has authorized anyone to give any information or to make any representations other than those contained in this proxy statement. Do not rely upon any information or representations made outside of this proxy statement. The information contained in this proxy statement may change after the date of this proxy statement. Do not assume after the date of this proxy statement that the information contained in this proxy statement is still correct.</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 w:name="page5"/>
    <w:bookmarkEnd w:id="4"/>
    <w:p>
      <w:pPr>
        <w:ind w:left="4660"/>
        <w:spacing w:after="0"/>
        <w:rPr>
          <w:sz w:val="20"/>
          <w:szCs w:val="20"/>
          <w:color w:val="auto"/>
        </w:rPr>
      </w:pPr>
      <w:r>
        <w:rPr>
          <w:rFonts w:ascii="Arial" w:cs="Arial" w:eastAsia="Arial" w:hAnsi="Arial"/>
          <w:sz w:val="18"/>
          <w:szCs w:val="18"/>
          <w:b w:val="1"/>
          <w:bCs w:val="1"/>
          <w:color w:val="auto"/>
        </w:rPr>
        <w:t>M I ACQUISITIONS, INC.</w:t>
      </w:r>
    </w:p>
    <w:p>
      <w:pPr>
        <w:ind w:left="4740"/>
        <w:spacing w:after="0" w:line="204"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(347) 491-4240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OF M I ACQUISITIONS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 2018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M I Acquisitions, Inc. (“M I Acquisitions”)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special meeting of stockholders of M I Acquisitions will be held at [●] on [●], 2018, at [●] a.m., for the following purposes:</w:t>
      </w:r>
    </w:p>
    <w:p>
      <w:pPr>
        <w:spacing w:after="0" w:line="223" w:lineRule="exact"/>
        <w:rPr>
          <w:sz w:val="20"/>
          <w:szCs w:val="20"/>
          <w:color w:val="auto"/>
        </w:rPr>
      </w:pPr>
    </w:p>
    <w:p>
      <w:pPr>
        <w:jc w:val="both"/>
        <w:ind w:left="660" w:hanging="330"/>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authorization for M I Acquisitions’ board of directors to acquire all of the issued and outstanding equity interests of Priority, as provided for in the Purchase Agreement, including the initial consideration paid to the Sellers and the earn-out consideration, or the “Business Combination.” This proposal is referred to as the “Business Combination Proposal” or “Proposal No. 1.”</w:t>
      </w:r>
    </w:p>
    <w:p>
      <w:pPr>
        <w:spacing w:after="0" w:line="182"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amendment of the certificate of incorporation of M I Acquisitions (the “Current Certificate of Incorporation”) to increase the number of authorized shares of common stock and preferred stock. This proposal is referred to as the “Authorized Share Increase Proposal” or “Proposal No. 2.”</w:t>
      </w:r>
    </w:p>
    <w:p>
      <w:pPr>
        <w:spacing w:after="0" w:line="18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amendment of the Current Certificate of Incorporation to provide for declassification of the board of directors into one class. This proposal is referred to as the “Board Declassification Proposal” or “Proposal No. 3.”</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amendment of the Current Certificate of Incorporation to change the stockholder vote required to approve a further amendment thereof. This proposal is referred to as the “Voting Threshold Proposal” or “Proposal No. 4.”</w:t>
      </w:r>
    </w:p>
    <w:p>
      <w:pPr>
        <w:spacing w:after="0" w:line="170" w:lineRule="exact"/>
        <w:rPr>
          <w:rFonts w:ascii="Arial" w:cs="Arial" w:eastAsia="Arial" w:hAnsi="Arial"/>
          <w:sz w:val="18"/>
          <w:szCs w:val="18"/>
          <w:color w:val="auto"/>
        </w:rPr>
      </w:pPr>
    </w:p>
    <w:p>
      <w:pPr>
        <w:jc w:val="both"/>
        <w:ind w:left="660" w:hanging="330"/>
        <w:spacing w:after="0" w:line="27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the amendment of the Current Certificate of Incorporation to elect not to be governed by Section 203 of the Delaware General Corporation Law (the “DGCL”) and, instead, include a provision in our certificate of incorporation that is substantially similar to Section 203 of the DGCL, but excludes the Sellers, certain affiliates and each of their respective transferees from the definition of “interested stockholder,” and to make certain related changes. This proposal is referred to as the “Section 203 Proposal” or “Proposal No. 5.”</w:t>
      </w:r>
    </w:p>
    <w:p>
      <w:pPr>
        <w:spacing w:after="0" w:line="169" w:lineRule="exact"/>
        <w:rPr>
          <w:rFonts w:ascii="Arial" w:cs="Arial" w:eastAsia="Arial" w:hAnsi="Arial"/>
          <w:sz w:val="17"/>
          <w:szCs w:val="17"/>
          <w:color w:val="auto"/>
        </w:rPr>
      </w:pPr>
    </w:p>
    <w:p>
      <w:pPr>
        <w:ind w:left="660" w:hanging="330"/>
        <w:spacing w:after="0" w:line="30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certain other changes to the Current Certificate of Incorporation, including eliminating certain provisions specific to our status as a special purpose acquisition company. This proposal is referred to as the “Additional Amendments Proposal” or “Proposal No. 6.”</w:t>
      </w:r>
    </w:p>
    <w:p>
      <w:pPr>
        <w:spacing w:after="0" w:line="146" w:lineRule="exact"/>
        <w:rPr>
          <w:rFonts w:ascii="Arial" w:cs="Arial" w:eastAsia="Arial" w:hAnsi="Arial"/>
          <w:sz w:val="17"/>
          <w:szCs w:val="17"/>
          <w:color w:val="auto"/>
        </w:rPr>
      </w:pPr>
    </w:p>
    <w:p>
      <w:pPr>
        <w:ind w:left="660" w:hanging="330"/>
        <w:spacing w:after="0" w:line="27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2018 Equity Incentive Plan, including the authorization of the initial share reserve under the 2018 Equity Incentive Plan. This proposal is referred to as the “2018 Equity Incentive Plan Proposal” or “Proposal No. 7.”</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Earnout Incentive Plan, including the authorization of the initial share reserve under the Earnout Incentive Plan. This proposal is referred to as the “Earnout Incentive Plan Proposal” or “Proposal No. 8.”</w:t>
      </w:r>
    </w:p>
    <w:p>
      <w:pPr>
        <w:spacing w:after="0" w:line="170" w:lineRule="exact"/>
        <w:rPr>
          <w:rFonts w:ascii="Arial" w:cs="Arial" w:eastAsia="Arial" w:hAnsi="Arial"/>
          <w:sz w:val="18"/>
          <w:szCs w:val="18"/>
          <w:color w:val="auto"/>
        </w:rPr>
      </w:pPr>
    </w:p>
    <w:p>
      <w:pPr>
        <w:jc w:val="both"/>
        <w:ind w:left="660" w:hanging="330"/>
        <w:spacing w:after="0" w:line="340"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the issuance of more than 20% of the issued and outstanding shares of Common stock of M I Acquisitions pursuant to the terms of the Purchase Agreement, as required by Nasdaq Listing Rules 5635(a) and (d). This proposal is referred to as the “Nasdaq Proposal” or “Proposal No. 9.”</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 w:name="page6"/>
    <w:bookmarkEnd w:id="5"/>
    <w:p>
      <w:pPr>
        <w:ind w:left="660" w:hanging="330"/>
        <w:spacing w:after="0" w:line="30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approve the adjournment of the special meeting in the event M I Acquisitions does not receive the requisite stockholder vote to approve the Business Combination or the other proposals described above. This proposal is called the “Adjournment Proposal” or “Proposal No. 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Proposals 1 through 10 are collectively referred to herein as the “Proposals.”</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 2018, there were 7,058,743 shares of M I Acquisitions common stock issued and outstanding and entitled to vote. Only M I Acquisitions common stockholders who hold shares of record as of the close of business on [●], 2018 are entitled to vote at the special meeting or any adjournment of the special meeting. This proxy statement is first being mailed to stockholders on or about [●], 2018. Approval of the Business Combination Proposal, the 2018 Equity Incentive Plan Proposal, the Earnout Incentive Plan Proposal, the Nasdaq Proposal and the Adjournment Proposal will require the affirmative vote of the holders of a majority of the issued and outstanding shares of common stock of M I Acquisitions present and entitled to vote at the special meeting. Approval of the Authorized Share Increase Proposal, the Board Declassification Proposal, the Voting Threshold Proposal, the Section 203 Proposal and the Additional Amendments Proposal will require the approval of a majority of the issued and outstanding shares of common stock of M I Acquisitions. Attending the special meeting either in person or by proxy and abstaining from voting will have the same effect as voting against all the proposals and, assuming a quorum is present, broker non-votes will have no effect on the Business Combination Proposal, the 2018 Equity Incentive Plan Proposal, the Earnout Incentive Plan Proposal, the Nasdaq Proposal and the Adjournment Proposal, but will be the same as a vote against the Authorized Share Increase Proposal, the Board Declassification Proposal, the Voting Threshold Proposal, the Section 203 Proposal and the Additional Amendments Proposal.</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common stock, units and warrants are currently listed on the NASDAQ Capital Market under the symbols “MACQ”, “MACQU”, and “MACQW”, respectively. We have applied to continue the listing of our common stock and warrants on the NASDAQ Capital Market under the symbol(s) “PRTH” and “PRTHW”, respectively, upon closing of the Business Combination.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Holders of M I Acquisitions common stock will not be entitled to appraisal rights under Delaware law in connection with the Business Combination.</w:t>
      </w:r>
    </w:p>
    <w:p>
      <w:pPr>
        <w:spacing w:after="0" w:line="23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Whether or not you plan to attend the special meeting in person, please submit your proxy card without delay. Voting by proxy will not prevent you from voting your shares in person if you subsequently choose to attend the special meeting. If you fail to return your proxy card, the effect will be that your shares will not be counted for purposes of determining whether a quorum is present at the special meeting. You may revoke a proxy at any time before it is voted at the special meeting by executing and returning a proxy card dated later than the previous one, by attending the special meeting in person and casting your vote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by ballot or by submitting a written revocation to M I Acquisitions at M I Acquisitions, Inc., 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10005, Attention: Joshua Sason, Telephone: (347) 491-4240, that is received by us before we take the vote at the special meeting. If you hold your shares through a bank or brokerage firm, you should follow the instructions of your bank or brokerage firm regarding revocation of proxies.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Approval of all of the proposals except for the 2018 Equity Incentive Plan Proposal and the Adjournment Proposal are necessary to complete the Business Combination. M I Acquisitions’ board of directors unanimously recommends that M I Acquisitions stockholders vote “FOR” approval of each of the proposals.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2018</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bottom w:val="single" w:sz="8" w:color="auto"/>
            </w:tcBorders>
            <w:gridSpan w:val="7"/>
          </w:tcPr>
          <w:p>
            <w:pPr>
              <w:ind w:left="380"/>
              <w:spacing w:after="0"/>
              <w:rPr>
                <w:sz w:val="20"/>
                <w:szCs w:val="20"/>
                <w:color w:val="auto"/>
              </w:rPr>
            </w:pPr>
            <w:r>
              <w:rPr>
                <w:rFonts w:ascii="Arial" w:cs="Arial" w:eastAsia="Arial" w:hAnsi="Arial"/>
                <w:sz w:val="18"/>
                <w:szCs w:val="18"/>
                <w:b w:val="1"/>
                <w:bCs w:val="1"/>
                <w:color w:val="auto"/>
              </w:rPr>
              <w:t>Page</w:t>
            </w:r>
          </w:p>
        </w:tc>
      </w:tr>
      <w:tr>
        <w:trPr>
          <w:trHeight w:val="209"/>
        </w:trPr>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9">
              <w:r>
                <w:rPr>
                  <w:rFonts w:ascii="Arial" w:cs="Arial" w:eastAsia="Arial" w:hAnsi="Arial"/>
                  <w:sz w:val="18"/>
                  <w:szCs w:val="18"/>
                  <w:color w:val="0000EE"/>
                </w:rPr>
                <w:t>SUMMARY TERM SHEET</w:t>
              </w:r>
            </w:hyperlink>
          </w:p>
        </w:tc>
        <w:tc>
          <w:tcPr>
            <w:tcW w:w="640" w:type="dxa"/>
            <w:vAlign w:val="bottom"/>
            <w:gridSpan w:val="5"/>
            <w:shd w:val="clear" w:color="auto" w:fill="CCEEFF"/>
          </w:tcPr>
          <w:p>
            <w:pPr>
              <w:jc w:val="center"/>
              <w:ind w:left="390"/>
              <w:spacing w:after="0" w:line="175"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w:t>
              </w:r>
            </w:hyperlink>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1">
              <w:r>
                <w:rPr>
                  <w:rFonts w:ascii="Arial" w:cs="Arial" w:eastAsia="Arial" w:hAnsi="Arial"/>
                  <w:sz w:val="18"/>
                  <w:szCs w:val="18"/>
                  <w:color w:val="0000EE"/>
                </w:rPr>
                <w:t>QUESTIONS AND ANSWERS ABOUT THE PROPOSALS FOR M I ACQUISITIONS STOCKHOLDERS</w:t>
              </w:r>
            </w:hyperlink>
          </w:p>
        </w:tc>
        <w:tc>
          <w:tcPr>
            <w:tcW w:w="640" w:type="dxa"/>
            <w:vAlign w:val="bottom"/>
            <w:gridSpan w:val="5"/>
            <w:shd w:val="clear" w:color="auto" w:fill="CCEEFF"/>
          </w:tcPr>
          <w:p>
            <w:pPr>
              <w:jc w:val="center"/>
              <w:ind w:left="390"/>
              <w:spacing w:after="0" w:line="175"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3</w:t>
              </w:r>
            </w:hyperlink>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9">
              <w:r>
                <w:rPr>
                  <w:rFonts w:ascii="Arial" w:cs="Arial" w:eastAsia="Arial" w:hAnsi="Arial"/>
                  <w:sz w:val="18"/>
                  <w:szCs w:val="18"/>
                  <w:color w:val="0000EE"/>
                </w:rPr>
                <w:t>DELIVERY OF DOCUMENTS TO M I ACQUISITIONS STOCKHOLDERS</w:t>
              </w:r>
            </w:hyperlink>
          </w:p>
        </w:tc>
        <w:tc>
          <w:tcPr>
            <w:tcW w:w="640" w:type="dxa"/>
            <w:vAlign w:val="bottom"/>
            <w:gridSpan w:val="5"/>
            <w:shd w:val="clear" w:color="auto" w:fill="CCEEFF"/>
          </w:tcPr>
          <w:p>
            <w:pPr>
              <w:jc w:val="center"/>
              <w:ind w:left="370"/>
              <w:spacing w:after="0" w:line="175"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11</w:t>
              </w:r>
            </w:hyperlink>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20">
              <w:r>
                <w:rPr>
                  <w:rFonts w:ascii="Arial" w:cs="Arial" w:eastAsia="Arial" w:hAnsi="Arial"/>
                  <w:sz w:val="18"/>
                  <w:szCs w:val="18"/>
                  <w:color w:val="0000EE"/>
                </w:rPr>
                <w:t>SUMMARY OF THE PROXY STATEMENT</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12</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33">
              <w:r>
                <w:rPr>
                  <w:rFonts w:ascii="Arial" w:cs="Arial" w:eastAsia="Arial" w:hAnsi="Arial"/>
                  <w:sz w:val="18"/>
                  <w:szCs w:val="18"/>
                  <w:color w:val="0000EE"/>
                </w:rPr>
                <w:t>PRICE RANGE OF SECURITIES AND DIVIDENDS</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25</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26</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57">
              <w:r>
                <w:rPr>
                  <w:rFonts w:ascii="Arial" w:cs="Arial" w:eastAsia="Arial" w:hAnsi="Arial"/>
                  <w:sz w:val="18"/>
                  <w:szCs w:val="18"/>
                  <w:color w:val="0000EE"/>
                </w:rPr>
                <w:t>SPECIAL NOTE REGARDING FORWARD-LOOKING STATEMENTS</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49</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58">
              <w:r>
                <w:rPr>
                  <w:rFonts w:ascii="Arial" w:cs="Arial" w:eastAsia="Arial" w:hAnsi="Arial"/>
                  <w:sz w:val="18"/>
                  <w:szCs w:val="18"/>
                  <w:color w:val="0000EE"/>
                </w:rPr>
                <w:t>SPECIAL MEETING OF M I ACQUISITIONS STOCKHOLDERS</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50</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63">
              <w:r>
                <w:rPr>
                  <w:rFonts w:ascii="Arial" w:cs="Arial" w:eastAsia="Arial" w:hAnsi="Arial"/>
                  <w:sz w:val="18"/>
                  <w:szCs w:val="18"/>
                  <w:color w:val="0000EE"/>
                </w:rPr>
                <w:t>PROPOSAL NO. 1 – THE BUSINESS COMBINATION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55</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74">
              <w:r>
                <w:rPr>
                  <w:rFonts w:ascii="Arial" w:cs="Arial" w:eastAsia="Arial" w:hAnsi="Arial"/>
                  <w:sz w:val="18"/>
                  <w:szCs w:val="18"/>
                  <w:color w:val="0000EE"/>
                </w:rPr>
                <w:t>THE PURCHASE AGREEMENT</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66</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78">
              <w:r>
                <w:rPr>
                  <w:rFonts w:ascii="Arial" w:cs="Arial" w:eastAsia="Arial" w:hAnsi="Arial"/>
                  <w:sz w:val="18"/>
                  <w:szCs w:val="18"/>
                  <w:color w:val="0000EE"/>
                </w:rPr>
                <w:t>PROPOSAL NO. 2 – THE AUTHORIZED SHARE INCREASE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70</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80">
              <w:r>
                <w:rPr>
                  <w:rFonts w:ascii="Arial" w:cs="Arial" w:eastAsia="Arial" w:hAnsi="Arial"/>
                  <w:sz w:val="18"/>
                  <w:szCs w:val="18"/>
                  <w:color w:val="0000EE"/>
                </w:rPr>
                <w:t>PROPOSAL NO. 3 - THE BOARD DECLASSIFICATION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72</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84">
              <w:r>
                <w:rPr>
                  <w:rFonts w:ascii="Arial" w:cs="Arial" w:eastAsia="Arial" w:hAnsi="Arial"/>
                  <w:sz w:val="18"/>
                  <w:szCs w:val="18"/>
                  <w:color w:val="0000EE"/>
                </w:rPr>
                <w:t>PROPOSAL NO. 4 - THE VOTING THRESHOLD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75</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87">
              <w:r>
                <w:rPr>
                  <w:rFonts w:ascii="Arial" w:cs="Arial" w:eastAsia="Arial" w:hAnsi="Arial"/>
                  <w:sz w:val="18"/>
                  <w:szCs w:val="18"/>
                  <w:color w:val="0000EE"/>
                </w:rPr>
                <w:t>PROPOSAL NO. 5 - THE SECTION 203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78</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93">
              <w:r>
                <w:rPr>
                  <w:rFonts w:ascii="Arial" w:cs="Arial" w:eastAsia="Arial" w:hAnsi="Arial"/>
                  <w:sz w:val="18"/>
                  <w:szCs w:val="18"/>
                  <w:color w:val="0000EE"/>
                </w:rPr>
                <w:t>PROPOSAL NO. 6 - THE ADDITIONAL AMENDMENTS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83</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07">
              <w:r>
                <w:rPr>
                  <w:rFonts w:ascii="Arial" w:cs="Arial" w:eastAsia="Arial" w:hAnsi="Arial"/>
                  <w:sz w:val="18"/>
                  <w:szCs w:val="18"/>
                  <w:color w:val="0000EE"/>
                </w:rPr>
                <w:t>PROPOSAL NO. 7—THE 2018 EQUITY INCENTIVE PLAN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97</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11">
              <w:r>
                <w:rPr>
                  <w:rFonts w:ascii="Arial" w:cs="Arial" w:eastAsia="Arial" w:hAnsi="Arial"/>
                  <w:sz w:val="18"/>
                  <w:szCs w:val="18"/>
                  <w:color w:val="0000EE"/>
                </w:rPr>
                <w:t>PROPOSAL NO. 8 - THE EARNOUT INCENTIVE PLAN PROPOSAL</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11">
              <w:r>
                <w:rPr>
                  <w:rFonts w:ascii="Arial" w:cs="Arial" w:eastAsia="Arial" w:hAnsi="Arial"/>
                  <w:sz w:val="18"/>
                  <w:szCs w:val="18"/>
                  <w:color w:val="0000EE"/>
                  <w:w w:val="93"/>
                </w:rPr>
                <w:t>101</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14">
              <w:r>
                <w:rPr>
                  <w:rFonts w:ascii="Arial" w:cs="Arial" w:eastAsia="Arial" w:hAnsi="Arial"/>
                  <w:sz w:val="18"/>
                  <w:szCs w:val="18"/>
                  <w:color w:val="0000EE"/>
                </w:rPr>
                <w:t>PROPOSAL NO. 9 - THE NASDAQ PROPOSAL</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104</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16">
              <w:r>
                <w:rPr>
                  <w:rFonts w:ascii="Arial" w:cs="Arial" w:eastAsia="Arial" w:hAnsi="Arial"/>
                  <w:sz w:val="18"/>
                  <w:szCs w:val="18"/>
                  <w:color w:val="0000EE"/>
                </w:rPr>
                <w:t>PROPOSAL NO. 10 - THE ADJOURNMENT PROPOSAL</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16">
              <w:r>
                <w:rPr>
                  <w:rFonts w:ascii="Arial" w:cs="Arial" w:eastAsia="Arial" w:hAnsi="Arial"/>
                  <w:sz w:val="18"/>
                  <w:szCs w:val="18"/>
                  <w:color w:val="0000EE"/>
                  <w:w w:val="93"/>
                </w:rPr>
                <w:t>106</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17">
              <w:r>
                <w:rPr>
                  <w:rFonts w:ascii="Arial" w:cs="Arial" w:eastAsia="Arial" w:hAnsi="Arial"/>
                  <w:sz w:val="18"/>
                  <w:szCs w:val="18"/>
                  <w:color w:val="0000EE"/>
                </w:rPr>
                <w:t>COMPARATIVE PER SHARE DATA</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17">
              <w:r>
                <w:rPr>
                  <w:rFonts w:ascii="Arial" w:cs="Arial" w:eastAsia="Arial" w:hAnsi="Arial"/>
                  <w:sz w:val="18"/>
                  <w:szCs w:val="18"/>
                  <w:color w:val="0000EE"/>
                  <w:w w:val="93"/>
                </w:rPr>
                <w:t>107</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19">
              <w:r>
                <w:rPr>
                  <w:rFonts w:ascii="Arial" w:cs="Arial" w:eastAsia="Arial" w:hAnsi="Arial"/>
                  <w:sz w:val="18"/>
                  <w:szCs w:val="18"/>
                  <w:color w:val="0000EE"/>
                </w:rPr>
                <w:t>UNAUDITED PRO FORMA CONDENSED COMBINED FINANCIAL INFORMATION</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19">
              <w:r>
                <w:rPr>
                  <w:rFonts w:ascii="Arial" w:cs="Arial" w:eastAsia="Arial" w:hAnsi="Arial"/>
                  <w:sz w:val="18"/>
                  <w:szCs w:val="18"/>
                  <w:color w:val="0000EE"/>
                  <w:w w:val="93"/>
                </w:rPr>
                <w:t>109</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32">
              <w:r>
                <w:rPr>
                  <w:rFonts w:ascii="Arial" w:cs="Arial" w:eastAsia="Arial" w:hAnsi="Arial"/>
                  <w:sz w:val="18"/>
                  <w:szCs w:val="18"/>
                  <w:color w:val="0000EE"/>
                </w:rPr>
                <w:t>PRIORITY’S BUSINESS</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32">
              <w:r>
                <w:rPr>
                  <w:rFonts w:ascii="Arial" w:cs="Arial" w:eastAsia="Arial" w:hAnsi="Arial"/>
                  <w:sz w:val="18"/>
                  <w:szCs w:val="18"/>
                  <w:color w:val="0000EE"/>
                  <w:w w:val="93"/>
                </w:rPr>
                <w:t>121</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w w:val="99"/>
              </w:rPr>
            </w:pPr>
            <w:hyperlink w:anchor="page156">
              <w:r>
                <w:rPr>
                  <w:rFonts w:ascii="Arial" w:cs="Arial" w:eastAsia="Arial" w:hAnsi="Arial"/>
                  <w:sz w:val="18"/>
                  <w:szCs w:val="18"/>
                  <w:color w:val="0000EE"/>
                  <w:w w:val="99"/>
                </w:rPr>
                <w:t>MANAGEMENT’S DISCUSSION AND ANALYSIS OF FINANCIAL CONDITION AND RESULTS OF OPERATIONS OF PRIORITY</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56">
              <w:r>
                <w:rPr>
                  <w:rFonts w:ascii="Arial" w:cs="Arial" w:eastAsia="Arial" w:hAnsi="Arial"/>
                  <w:sz w:val="18"/>
                  <w:szCs w:val="18"/>
                  <w:color w:val="0000EE"/>
                  <w:w w:val="93"/>
                </w:rPr>
                <w:t>145</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77">
              <w:r>
                <w:rPr>
                  <w:rFonts w:ascii="Arial" w:cs="Arial" w:eastAsia="Arial" w:hAnsi="Arial"/>
                  <w:sz w:val="18"/>
                  <w:szCs w:val="18"/>
                  <w:color w:val="0000EE"/>
                </w:rPr>
                <w:t>M I ACQUISITIONS’ BUSINESS</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77">
              <w:r>
                <w:rPr>
                  <w:rFonts w:ascii="Arial" w:cs="Arial" w:eastAsia="Arial" w:hAnsi="Arial"/>
                  <w:sz w:val="18"/>
                  <w:szCs w:val="18"/>
                  <w:color w:val="0000EE"/>
                  <w:w w:val="93"/>
                </w:rPr>
                <w:t>166</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82">
              <w:r>
                <w:rPr>
                  <w:rFonts w:ascii="Arial" w:cs="Arial" w:eastAsia="Arial" w:hAnsi="Arial"/>
                  <w:sz w:val="18"/>
                  <w:szCs w:val="18"/>
                  <w:color w:val="0000EE"/>
                </w:rPr>
                <w:t>MANAGEMENT’S DISCUSSION AND ANALYSIS OF FINANCIAL CONDITION</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82">
              <w:r>
                <w:rPr>
                  <w:rFonts w:ascii="Arial" w:cs="Arial" w:eastAsia="Arial" w:hAnsi="Arial"/>
                  <w:sz w:val="18"/>
                  <w:szCs w:val="18"/>
                  <w:color w:val="0000EE"/>
                  <w:w w:val="93"/>
                </w:rPr>
                <w:t>171</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84">
              <w:r>
                <w:rPr>
                  <w:rFonts w:ascii="Arial" w:cs="Arial" w:eastAsia="Arial" w:hAnsi="Arial"/>
                  <w:sz w:val="18"/>
                  <w:szCs w:val="18"/>
                  <w:color w:val="0000EE"/>
                </w:rPr>
                <w:t>DIRECTORS, EXECUTIVE OFFICERS, EXECUTIVE COMPENSATION AND CORPORATE GOVERNANCE</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84">
              <w:r>
                <w:rPr>
                  <w:rFonts w:ascii="Arial" w:cs="Arial" w:eastAsia="Arial" w:hAnsi="Arial"/>
                  <w:sz w:val="18"/>
                  <w:szCs w:val="18"/>
                  <w:color w:val="0000EE"/>
                  <w:w w:val="93"/>
                </w:rPr>
                <w:t>173</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w w:val="98"/>
              </w:rPr>
            </w:pPr>
            <w:hyperlink w:anchor="page188">
              <w:r>
                <w:rPr>
                  <w:rFonts w:ascii="Arial" w:cs="Arial" w:eastAsia="Arial" w:hAnsi="Arial"/>
                  <w:sz w:val="18"/>
                  <w:szCs w:val="18"/>
                  <w:color w:val="0000EE"/>
                  <w:w w:val="98"/>
                </w:rPr>
                <w:t>SECURITY OWNERSHIP OF CERTAIN BENEFICIAL OWNERS AND MANAGEMENT BEFORE THE BUSINESS COMBINATION</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88">
              <w:r>
                <w:rPr>
                  <w:rFonts w:ascii="Arial" w:cs="Arial" w:eastAsia="Arial" w:hAnsi="Arial"/>
                  <w:sz w:val="18"/>
                  <w:szCs w:val="18"/>
                  <w:color w:val="0000EE"/>
                  <w:w w:val="93"/>
                </w:rPr>
                <w:t>177</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89">
              <w:r>
                <w:rPr>
                  <w:rFonts w:ascii="Arial" w:cs="Arial" w:eastAsia="Arial" w:hAnsi="Arial"/>
                  <w:sz w:val="18"/>
                  <w:szCs w:val="18"/>
                  <w:color w:val="0000EE"/>
                </w:rPr>
                <w:t>SECURITY OWNERSHIP OF M I ACQUISITIONS AFTER THE BUSINESS COMBINATION</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89">
              <w:r>
                <w:rPr>
                  <w:rFonts w:ascii="Arial" w:cs="Arial" w:eastAsia="Arial" w:hAnsi="Arial"/>
                  <w:sz w:val="18"/>
                  <w:szCs w:val="18"/>
                  <w:color w:val="0000EE"/>
                  <w:w w:val="93"/>
                </w:rPr>
                <w:t>178</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90">
              <w:r>
                <w:rPr>
                  <w:rFonts w:ascii="Arial" w:cs="Arial" w:eastAsia="Arial" w:hAnsi="Arial"/>
                  <w:sz w:val="18"/>
                  <w:szCs w:val="18"/>
                  <w:color w:val="0000EE"/>
                </w:rPr>
                <w:t>CERTAIN RELATIONSHIPS AND RELATED PERSON TRANSACTIONS</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90">
              <w:r>
                <w:rPr>
                  <w:rFonts w:ascii="Arial" w:cs="Arial" w:eastAsia="Arial" w:hAnsi="Arial"/>
                  <w:sz w:val="18"/>
                  <w:szCs w:val="18"/>
                  <w:color w:val="0000EE"/>
                  <w:w w:val="93"/>
                </w:rPr>
                <w:t>179</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92">
              <w:r>
                <w:rPr>
                  <w:rFonts w:ascii="Arial" w:cs="Arial" w:eastAsia="Arial" w:hAnsi="Arial"/>
                  <w:sz w:val="18"/>
                  <w:szCs w:val="18"/>
                  <w:color w:val="0000EE"/>
                </w:rPr>
                <w:t>DESCRIPTION OF M I ACQUISITIONS’ SECURITIES</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92">
              <w:r>
                <w:rPr>
                  <w:rFonts w:ascii="Arial" w:cs="Arial" w:eastAsia="Arial" w:hAnsi="Arial"/>
                  <w:sz w:val="18"/>
                  <w:szCs w:val="18"/>
                  <w:color w:val="0000EE"/>
                  <w:w w:val="93"/>
                </w:rPr>
                <w:t>181</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7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96">
              <w:r>
                <w:rPr>
                  <w:rFonts w:ascii="Arial" w:cs="Arial" w:eastAsia="Arial" w:hAnsi="Arial"/>
                  <w:sz w:val="18"/>
                  <w:szCs w:val="18"/>
                  <w:color w:val="0000EE"/>
                </w:rPr>
                <w:t>SECURITIES ELIGIBLE FOR FUTURE SALE</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96">
              <w:r>
                <w:rPr>
                  <w:rFonts w:ascii="Arial" w:cs="Arial" w:eastAsia="Arial" w:hAnsi="Arial"/>
                  <w:sz w:val="18"/>
                  <w:szCs w:val="18"/>
                  <w:color w:val="0000EE"/>
                  <w:w w:val="93"/>
                </w:rPr>
                <w:t>185</w:t>
              </w:r>
            </w:hyperlink>
          </w:p>
        </w:tc>
      </w:tr>
      <w:tr>
        <w:trPr>
          <w:trHeight w:val="20"/>
        </w:trPr>
        <w:tc>
          <w:tcPr>
            <w:tcW w:w="12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887"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7"/>
        </w:trPr>
        <w:tc>
          <w:tcPr>
            <w:tcW w:w="10820" w:type="dxa"/>
            <w:vAlign w:val="bottom"/>
            <w:gridSpan w:val="6"/>
            <w:shd w:val="clear" w:color="auto" w:fill="CCEEFF"/>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EXPERTS</w:t>
              </w:r>
            </w:hyperlink>
          </w:p>
        </w:tc>
        <w:tc>
          <w:tcPr>
            <w:tcW w:w="600" w:type="dxa"/>
            <w:vAlign w:val="bottom"/>
            <w:gridSpan w:val="3"/>
            <w:shd w:val="clear" w:color="auto" w:fill="CCEEFF"/>
          </w:tcPr>
          <w:p>
            <w:pPr>
              <w:jc w:val="right"/>
              <w:ind w:right="320"/>
              <w:spacing w:after="0"/>
              <w:rPr>
                <w:rFonts w:ascii="Arial" w:cs="Arial" w:eastAsia="Arial" w:hAnsi="Arial"/>
                <w:sz w:val="18"/>
                <w:szCs w:val="18"/>
                <w:color w:val="0000EE"/>
                <w:w w:val="86"/>
              </w:rPr>
            </w:pPr>
            <w:hyperlink w:anchor="page197">
              <w:r>
                <w:rPr>
                  <w:rFonts w:ascii="Arial" w:cs="Arial" w:eastAsia="Arial" w:hAnsi="Arial"/>
                  <w:sz w:val="18"/>
                  <w:szCs w:val="18"/>
                  <w:color w:val="0000EE"/>
                  <w:w w:val="86"/>
                </w:rPr>
                <w:t>186</w:t>
              </w:r>
            </w:hyperlink>
          </w:p>
        </w:tc>
      </w:tr>
      <w:tr>
        <w:trPr>
          <w:trHeight w:val="215"/>
        </w:trPr>
        <w:tc>
          <w:tcPr>
            <w:tcW w:w="780" w:type="dxa"/>
            <w:vAlign w:val="bottom"/>
            <w:tcBorders>
              <w:top w:val="single" w:sz="8" w:color="0000EE"/>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95"/>
        </w:trPr>
        <w:tc>
          <w:tcPr>
            <w:tcW w:w="10820" w:type="dxa"/>
            <w:vAlign w:val="bottom"/>
            <w:gridSpan w:val="6"/>
            <w:shd w:val="clear" w:color="auto" w:fill="CCEEFF"/>
          </w:tcPr>
          <w:p>
            <w:pPr>
              <w:spacing w:after="0" w:line="175" w:lineRule="exact"/>
              <w:rPr>
                <w:rFonts w:ascii="Arial" w:cs="Arial" w:eastAsia="Arial" w:hAnsi="Arial"/>
                <w:sz w:val="18"/>
                <w:szCs w:val="18"/>
                <w:color w:val="0000EE"/>
              </w:rPr>
            </w:pPr>
            <w:hyperlink w:anchor="page198">
              <w:r>
                <w:rPr>
                  <w:rFonts w:ascii="Arial" w:cs="Arial" w:eastAsia="Arial" w:hAnsi="Arial"/>
                  <w:sz w:val="18"/>
                  <w:szCs w:val="18"/>
                  <w:color w:val="0000EE"/>
                </w:rPr>
                <w:t>STOCKHOLDER PROPOSALS AND OTHER MATTERS</w:t>
              </w:r>
            </w:hyperlink>
          </w:p>
        </w:tc>
        <w:tc>
          <w:tcPr>
            <w:tcW w:w="600" w:type="dxa"/>
            <w:vAlign w:val="bottom"/>
            <w:gridSpan w:val="3"/>
            <w:shd w:val="clear" w:color="auto" w:fill="CCEEFF"/>
          </w:tcPr>
          <w:p>
            <w:pPr>
              <w:jc w:val="right"/>
              <w:ind w:right="320"/>
              <w:spacing w:after="0" w:line="175" w:lineRule="exact"/>
              <w:rPr>
                <w:rFonts w:ascii="Arial" w:cs="Arial" w:eastAsia="Arial" w:hAnsi="Arial"/>
                <w:sz w:val="18"/>
                <w:szCs w:val="18"/>
                <w:color w:val="0000EE"/>
                <w:w w:val="86"/>
              </w:rPr>
            </w:pPr>
            <w:hyperlink w:anchor="page198">
              <w:r>
                <w:rPr>
                  <w:rFonts w:ascii="Arial" w:cs="Arial" w:eastAsia="Arial" w:hAnsi="Arial"/>
                  <w:sz w:val="18"/>
                  <w:szCs w:val="18"/>
                  <w:color w:val="0000EE"/>
                  <w:w w:val="86"/>
                </w:rPr>
                <w:t>187</w:t>
              </w:r>
            </w:hyperlink>
          </w:p>
        </w:tc>
      </w:tr>
      <w:tr>
        <w:trPr>
          <w:trHeight w:val="215"/>
        </w:trPr>
        <w:tc>
          <w:tcPr>
            <w:tcW w:w="780" w:type="dxa"/>
            <w:vAlign w:val="bottom"/>
            <w:tcBorders>
              <w:top w:val="single" w:sz="8" w:color="0000EE"/>
            </w:tcBorders>
          </w:tcPr>
          <w:p>
            <w:pPr>
              <w:spacing w:after="0"/>
              <w:rPr>
                <w:sz w:val="18"/>
                <w:szCs w:val="18"/>
                <w:color w:val="auto"/>
              </w:rPr>
            </w:pPr>
          </w:p>
        </w:tc>
        <w:tc>
          <w:tcPr>
            <w:tcW w:w="35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95"/>
        </w:trPr>
        <w:tc>
          <w:tcPr>
            <w:tcW w:w="10820" w:type="dxa"/>
            <w:vAlign w:val="bottom"/>
            <w:gridSpan w:val="6"/>
            <w:shd w:val="clear" w:color="auto" w:fill="CCEEFF"/>
          </w:tcPr>
          <w:p>
            <w:pPr>
              <w:spacing w:after="0" w:line="175" w:lineRule="exact"/>
              <w:rPr>
                <w:rFonts w:ascii="Arial" w:cs="Arial" w:eastAsia="Arial" w:hAnsi="Arial"/>
                <w:sz w:val="18"/>
                <w:szCs w:val="18"/>
                <w:color w:val="0000EE"/>
              </w:rPr>
            </w:pPr>
            <w:hyperlink w:anchor="page199">
              <w:r>
                <w:rPr>
                  <w:rFonts w:ascii="Arial" w:cs="Arial" w:eastAsia="Arial" w:hAnsi="Arial"/>
                  <w:sz w:val="18"/>
                  <w:szCs w:val="18"/>
                  <w:color w:val="0000EE"/>
                </w:rPr>
                <w:t>WHERE YOU CAN FIND ADDITIONAL INFORMATION</w:t>
              </w:r>
            </w:hyperlink>
          </w:p>
        </w:tc>
        <w:tc>
          <w:tcPr>
            <w:tcW w:w="600" w:type="dxa"/>
            <w:vAlign w:val="bottom"/>
            <w:gridSpan w:val="3"/>
            <w:shd w:val="clear" w:color="auto" w:fill="CCEEFF"/>
          </w:tcPr>
          <w:p>
            <w:pPr>
              <w:jc w:val="right"/>
              <w:ind w:right="320"/>
              <w:spacing w:after="0" w:line="175" w:lineRule="exact"/>
              <w:rPr>
                <w:rFonts w:ascii="Arial" w:cs="Arial" w:eastAsia="Arial" w:hAnsi="Arial"/>
                <w:sz w:val="18"/>
                <w:szCs w:val="18"/>
                <w:color w:val="0000EE"/>
                <w:w w:val="86"/>
              </w:rPr>
            </w:pPr>
            <w:hyperlink w:anchor="page199">
              <w:r>
                <w:rPr>
                  <w:rFonts w:ascii="Arial" w:cs="Arial" w:eastAsia="Arial" w:hAnsi="Arial"/>
                  <w:sz w:val="18"/>
                  <w:szCs w:val="18"/>
                  <w:color w:val="0000EE"/>
                  <w:w w:val="86"/>
                </w:rPr>
                <w:t>188</w:t>
              </w:r>
            </w:hyperlink>
          </w:p>
        </w:tc>
      </w:tr>
      <w:tr>
        <w:trPr>
          <w:trHeight w:val="215"/>
        </w:trPr>
        <w:tc>
          <w:tcPr>
            <w:tcW w:w="780" w:type="dxa"/>
            <w:vAlign w:val="bottom"/>
            <w:tcBorders>
              <w:top w:val="single" w:sz="8" w:color="0000EE"/>
            </w:tcBorders>
          </w:tcPr>
          <w:p>
            <w:pPr>
              <w:spacing w:after="0"/>
              <w:rPr>
                <w:sz w:val="18"/>
                <w:szCs w:val="18"/>
                <w:color w:val="auto"/>
              </w:rPr>
            </w:pPr>
          </w:p>
        </w:tc>
        <w:tc>
          <w:tcPr>
            <w:tcW w:w="35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95"/>
        </w:trPr>
        <w:tc>
          <w:tcPr>
            <w:tcW w:w="10820" w:type="dxa"/>
            <w:vAlign w:val="bottom"/>
            <w:gridSpan w:val="6"/>
            <w:shd w:val="clear" w:color="auto" w:fill="CCEEFF"/>
          </w:tcPr>
          <w:p>
            <w:pPr>
              <w:spacing w:after="0" w:line="175" w:lineRule="exact"/>
              <w:rPr>
                <w:rFonts w:ascii="Arial" w:cs="Arial" w:eastAsia="Arial" w:hAnsi="Arial"/>
                <w:sz w:val="18"/>
                <w:szCs w:val="18"/>
                <w:color w:val="0000EE"/>
              </w:rPr>
            </w:pPr>
            <w:hyperlink w:anchor="page200">
              <w:r>
                <w:rPr>
                  <w:rFonts w:ascii="Arial" w:cs="Arial" w:eastAsia="Arial" w:hAnsi="Arial"/>
                  <w:sz w:val="18"/>
                  <w:szCs w:val="18"/>
                  <w:color w:val="0000EE"/>
                </w:rPr>
                <w:t>INDEX TO FINANCIAL STATEMENTS - MI ACQUISITIONS, INC.</w:t>
              </w:r>
            </w:hyperlink>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320"/>
              <w:spacing w:after="0" w:line="175" w:lineRule="exact"/>
              <w:rPr>
                <w:rFonts w:ascii="Arial" w:cs="Arial" w:eastAsia="Arial" w:hAnsi="Arial"/>
                <w:sz w:val="18"/>
                <w:szCs w:val="18"/>
                <w:color w:val="0000EE"/>
                <w:w w:val="88"/>
              </w:rPr>
            </w:pPr>
            <w:hyperlink w:anchor="page200">
              <w:r>
                <w:rPr>
                  <w:rFonts w:ascii="Arial" w:cs="Arial" w:eastAsia="Arial" w:hAnsi="Arial"/>
                  <w:sz w:val="18"/>
                  <w:szCs w:val="18"/>
                  <w:color w:val="0000EE"/>
                  <w:w w:val="88"/>
                </w:rPr>
                <w:t>F-1</w:t>
              </w:r>
            </w:hyperlink>
          </w:p>
        </w:tc>
      </w:tr>
      <w:tr>
        <w:trPr>
          <w:trHeight w:val="215"/>
        </w:trPr>
        <w:tc>
          <w:tcPr>
            <w:tcW w:w="780" w:type="dxa"/>
            <w:vAlign w:val="bottom"/>
            <w:tcBorders>
              <w:top w:val="single" w:sz="8" w:color="0000EE"/>
            </w:tcBorders>
          </w:tcPr>
          <w:p>
            <w:pPr>
              <w:spacing w:after="0"/>
              <w:rPr>
                <w:sz w:val="18"/>
                <w:szCs w:val="18"/>
                <w:color w:val="auto"/>
              </w:rPr>
            </w:pPr>
          </w:p>
        </w:tc>
        <w:tc>
          <w:tcPr>
            <w:tcW w:w="35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75"/>
        </w:trPr>
        <w:tc>
          <w:tcPr>
            <w:tcW w:w="10820" w:type="dxa"/>
            <w:vAlign w:val="bottom"/>
            <w:gridSpan w:val="6"/>
            <w:shd w:val="clear" w:color="auto" w:fill="CCEEFF"/>
          </w:tcPr>
          <w:p>
            <w:pPr>
              <w:spacing w:after="0" w:line="175" w:lineRule="exact"/>
              <w:rPr>
                <w:rFonts w:ascii="Arial" w:cs="Arial" w:eastAsia="Arial" w:hAnsi="Arial"/>
                <w:sz w:val="18"/>
                <w:szCs w:val="18"/>
                <w:color w:val="0000EE"/>
              </w:rPr>
            </w:pPr>
            <w:hyperlink w:anchor="page200">
              <w:r>
                <w:rPr>
                  <w:rFonts w:ascii="Arial" w:cs="Arial" w:eastAsia="Arial" w:hAnsi="Arial"/>
                  <w:sz w:val="18"/>
                  <w:szCs w:val="18"/>
                  <w:color w:val="0000EE"/>
                </w:rPr>
                <w:t>INDEX TO FINANCIAL STATEMENTS - PRIORITY HOLDINGS, LLC</w:t>
              </w:r>
            </w:hyperlink>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320"/>
              <w:spacing w:after="0" w:line="175" w:lineRule="exact"/>
              <w:rPr>
                <w:rFonts w:ascii="Arial" w:cs="Arial" w:eastAsia="Arial" w:hAnsi="Arial"/>
                <w:sz w:val="18"/>
                <w:szCs w:val="18"/>
                <w:color w:val="0000EE"/>
                <w:w w:val="88"/>
              </w:rPr>
            </w:pPr>
            <w:hyperlink w:anchor="page200">
              <w:r>
                <w:rPr>
                  <w:rFonts w:ascii="Arial" w:cs="Arial" w:eastAsia="Arial" w:hAnsi="Arial"/>
                  <w:sz w:val="18"/>
                  <w:szCs w:val="18"/>
                  <w:color w:val="0000EE"/>
                  <w:w w:val="88"/>
                </w:rPr>
                <w:t>F-1</w:t>
              </w:r>
            </w:hyperlink>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3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14" w:right="2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ANNEX A –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ANNEX B – FOUNDERS SHARE AGREEMENT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ANNEX C – LETTER AGREEMENT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ANNEX D – FORM OF AMENDED AND RESTATED OPERATING AGREEMENT OF PRIORITY</w:t>
      </w:r>
    </w:p>
    <w:p>
      <w:pPr>
        <w:spacing w:after="0" w:line="8"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ANNEX E – FORM OF SECOND AMENDED AND RESTATED CERTIFICATE OF INCORPORATION OF M I ACQUISITIONS ANNEX F – FORM OF AMENDED AND RESTATED BYLAWS OF M I ACQUISITIONS</w:t>
      </w:r>
    </w:p>
    <w:p>
      <w:pPr>
        <w:spacing w:after="0" w:line="1" w:lineRule="exact"/>
        <w:rPr>
          <w:sz w:val="20"/>
          <w:szCs w:val="20"/>
          <w:color w:val="auto"/>
        </w:rPr>
      </w:pPr>
    </w:p>
    <w:p>
      <w:pPr>
        <w:ind w:right="1820"/>
        <w:spacing w:after="0" w:line="288" w:lineRule="auto"/>
        <w:rPr>
          <w:sz w:val="20"/>
          <w:szCs w:val="20"/>
          <w:color w:val="auto"/>
        </w:rPr>
      </w:pPr>
      <w:r>
        <w:rPr>
          <w:rFonts w:ascii="Arial" w:cs="Arial" w:eastAsia="Arial" w:hAnsi="Arial"/>
          <w:sz w:val="17"/>
          <w:szCs w:val="17"/>
          <w:color w:val="auto"/>
        </w:rPr>
        <w:t>ANNEX G – FORM OF PRIORITY TECHNOLOGY HOLDINGS, INC. 2018 EQUITY INCENTIVE PLAN ANNEX H – FORM OF PRIORITY TECHNOLOGY HOLDINGS, INC. EARNOUT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ANNEX A-1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ANNEX B-1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ANNEX C-1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ANNEX D-1</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ANNEX E-1</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ANNEX F-1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ANNEX G-1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ANNEX H-1</w:t>
      </w:r>
    </w:p>
    <w:p>
      <w:pPr>
        <w:spacing w:after="0" w:line="258" w:lineRule="exact"/>
        <w:rPr>
          <w:sz w:val="20"/>
          <w:szCs w:val="20"/>
          <w:color w:val="auto"/>
        </w:rPr>
      </w:pPr>
    </w:p>
    <w:p>
      <w:pPr>
        <w:sectPr>
          <w:pgSz w:w="11900" w:h="16838" w:orient="portrait"/>
          <w:cols w:equalWidth="0" w:num="2">
            <w:col w:w="9760" w:space="720"/>
            <w:col w:w="940"/>
          </w:cols>
          <w:pgMar w:left="240" w:top="914" w:right="239" w:bottom="1440" w:gutter="0" w:footer="0" w:header="0"/>
          <w:type w:val="continuous"/>
        </w:sectPr>
      </w:pP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SUMMARY TERM SHEET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This summary term sheet, together with the sections entitled “Questions and Answers About the Proposals for M I Acquisitions Stockholders” and “Summary of the Proxy Statement,” summarizes certain information contained in this proxy statement, but does not contain all of the information that is important to you. You should read carefully this entire proxy statement, including the attached Annexes, for a more complete understanding of the matters to be considered at the special meeting of stockholders of M I Acquisitions.</w:t>
      </w:r>
    </w:p>
    <w:p>
      <w:pPr>
        <w:spacing w:after="0" w:line="185" w:lineRule="exact"/>
        <w:rPr>
          <w:sz w:val="20"/>
          <w:szCs w:val="20"/>
          <w:color w:val="auto"/>
        </w:rPr>
      </w:pPr>
    </w:p>
    <w:p>
      <w:pPr>
        <w:ind w:left="660" w:right="20" w:hanging="330"/>
        <w:spacing w:after="0" w:line="27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 I Acquisitions is a special purpose acquisition company formed for the purpose of entering into a merger, share exchange, asset acquisition, stock purchase, recapitalization or other similar business combination with one or more businesses or entities.</w:t>
      </w:r>
    </w:p>
    <w:p>
      <w:pPr>
        <w:spacing w:after="0" w:line="170" w:lineRule="exact"/>
        <w:rPr>
          <w:rFonts w:ascii="Arial" w:cs="Arial" w:eastAsia="Arial" w:hAnsi="Arial"/>
          <w:sz w:val="18"/>
          <w:szCs w:val="18"/>
          <w:color w:val="auto"/>
        </w:rPr>
      </w:pPr>
    </w:p>
    <w:p>
      <w:pPr>
        <w:jc w:val="both"/>
        <w:ind w:left="660" w:hanging="330"/>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 I Acquisitions completed its initial public offering (“IPO”) on September 19, 2016 of 5,000,000 units, which each unit consisting of one share of common stock, par value $0.001 per share, and one warrant, which entitles the holder thereof to purchase one share of common stock. Simultaneously with the consummation of the IPO, we consummated the private placement of 402,500 private units at a price of $10.00 per unit, generating total proceeds of $4,025,000. For more information regarding our common stock and warrants, please see the section entitled “Description of M I Acquisitions’ Securities” on page 174.</w:t>
      </w:r>
    </w:p>
    <w:p>
      <w:pPr>
        <w:spacing w:after="0" w:line="190" w:lineRule="exact"/>
        <w:rPr>
          <w:rFonts w:ascii="Arial" w:cs="Arial" w:eastAsia="Arial" w:hAnsi="Arial"/>
          <w:sz w:val="18"/>
          <w:szCs w:val="18"/>
          <w:color w:val="auto"/>
        </w:rPr>
      </w:pPr>
    </w:p>
    <w:p>
      <w:pPr>
        <w:jc w:val="both"/>
        <w:ind w:left="660" w:hanging="330"/>
        <w:spacing w:after="0" w:line="27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Priority is a leading provider of merchant acquiring and commercial payment solutions, offering unique product capabilities to small and mid-sized businesses (“SMBs”), enterprises and distribution partners in the United States. Priority was founded in 2005 with a mission to build a merchant inspired payments platform that would advance the goals of its SMB and enterprise clients and distribution partners. Since 2013, Priority has grown from the 38th largest U.S. merchant acquirer to become the 13th largest as of 2017, measured by Visa and MasterCard purchase volume according to The Nilson Report. Priority is currently the 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largest non-bank merchant acquirer in the United States. For more information about Priority, please see the sections entitled “Priority’s Business” on page 118, “Management’s Discussion and Analysis of Financial Condition and Results of Operations of Priority” on page 142 and “Directors, Executive Officers, Executive Compensation and Corporate Governance” on page 166.</w:t>
      </w:r>
    </w:p>
    <w:p>
      <w:pPr>
        <w:spacing w:after="0" w:line="176" w:lineRule="exact"/>
        <w:rPr>
          <w:rFonts w:ascii="Arial" w:cs="Arial" w:eastAsia="Arial" w:hAnsi="Arial"/>
          <w:sz w:val="16"/>
          <w:szCs w:val="16"/>
          <w:color w:val="auto"/>
        </w:rPr>
      </w:pPr>
    </w:p>
    <w:p>
      <w:pPr>
        <w:jc w:val="both"/>
        <w:ind w:left="660" w:hanging="330"/>
        <w:spacing w:after="0" w:line="274"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Upon the closing of the transactions contemplated by the Contribution Agreement, dated as of February 26, 2018, as amended and restated on March 26, 2018 and April 17, 2018 (the “Purchase Agreement”), by and among M I Acquisitions, Priority Investment Holdings, LLC (“PIH”) and Priority Incentive Equity Holdings, LLC (“PIEH” and, together with PIH, the “Sellers”), M I Acquisitions will acquire 100% of the issued and outstanding equity securities of Priority, which will result in Priority becoming a wholly-owned subsidiary of M I Acquisitions. See “Proposal No. 1 – The Business Combination Proposal – General Description of the Business Combination” on page 53 for more information.</w:t>
      </w:r>
    </w:p>
    <w:p>
      <w:pPr>
        <w:spacing w:after="0" w:line="174" w:lineRule="exact"/>
        <w:rPr>
          <w:rFonts w:ascii="Arial" w:cs="Arial" w:eastAsia="Arial" w:hAnsi="Arial"/>
          <w:sz w:val="17"/>
          <w:szCs w:val="17"/>
          <w:color w:val="auto"/>
        </w:rPr>
      </w:pPr>
    </w:p>
    <w:p>
      <w:pPr>
        <w:jc w:val="both"/>
        <w:ind w:left="660" w:hanging="330"/>
        <w:spacing w:after="0" w:line="26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See “Management’s Discussion and Analysis of Financial Condition and Results of Operations of Priority—Certain Non-GAAP Measures—EBITDA, Adjusted EBITDA and Earnout Adjusted EBITDA” for the definitions of EBITDA, Adjusted EBITDA and Earnout Adjusted EBITDA and reconciliations of EBITDA, Adjusted EBITDA and Earnout Adjusted EBITDA to net income (loss). In addition, any cash that Priority spends to acquire any technology assets, up to $5.0 million, to purchase securities from the M I’s founders pursuant to the Founders Share Agreement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Sellers).</w:t>
      </w:r>
    </w:p>
    <w:p>
      <w:pPr>
        <w:spacing w:after="0" w:line="190" w:lineRule="exact"/>
        <w:rPr>
          <w:rFonts w:ascii="Arial" w:cs="Arial" w:eastAsia="Arial" w:hAnsi="Arial"/>
          <w:sz w:val="17"/>
          <w:szCs w:val="17"/>
          <w:color w:val="auto"/>
        </w:rPr>
      </w:pPr>
    </w:p>
    <w:p>
      <w:pPr>
        <w:jc w:val="both"/>
        <w:ind w:left="660" w:hanging="330"/>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additional 9.8 million shares of M I Acquisitions common stock may be issued as earn out consideration to the Sellers, or at their election, to members of Priority’s management or other service providers post-business combination pursuant to the Earnout Incentive Plan. For more information about the Purchase Agreement please see the section entitled “The Purchase Agreement – Business Combination with Priority; Acquisition Consideration” on page 64.</w:t>
      </w:r>
    </w:p>
    <w:p>
      <w:pPr>
        <w:spacing w:after="0" w:line="185" w:lineRule="exact"/>
        <w:rPr>
          <w:rFonts w:ascii="Arial" w:cs="Arial" w:eastAsia="Arial" w:hAnsi="Arial"/>
          <w:sz w:val="18"/>
          <w:szCs w:val="18"/>
          <w:color w:val="auto"/>
        </w:rPr>
      </w:pPr>
    </w:p>
    <w:p>
      <w:pPr>
        <w:jc w:val="both"/>
        <w:ind w:left="660" w:hanging="330"/>
        <w:spacing w:after="0" w:line="27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After the Business Combination, assuming no redemptions of common stock for cash, M I Acquisitions’ current public stockholders (the “Public Stockholders”) will own approximately 8% of the post-Business Combination entity, M I Acquisitions’ current directors, officers and affiliates will own approximately 1% of the post-Business Combination entity, and the Sellers will own approximately 91% of the post-Business Combination entity. Assuming redemption by holders of 63.7% of the 5.3 million shares of M I Acquisitions’ outstanding common stock, M I Acquisitions’ Public Stockholders will own approximately 3% of the post-Business Combination entity, M I Acquisitions’ current directors, officers and affiliates will own approximately 1% of the post-Business Combination entity, and the Sellers will own approximately 96% of the post-Business Combination entity. See “Unaudited Pro Forma Condensed Combined Financial Information” on page 107.</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 w:name="page10"/>
    <w:bookmarkEnd w:id="9"/>
    <w:p>
      <w:pPr>
        <w:jc w:val="both"/>
        <w:ind w:left="330" w:hanging="330"/>
        <w:spacing w:after="0" w:line="272" w:lineRule="auto"/>
        <w:tabs>
          <w:tab w:leader="none" w:pos="33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 I Acquisitions’ management team and board of directors considered a wide variety of factors in connection with its evaluation of the Business Combination, including that Priority is a leading provider of merchant acquiring and commercial payment solutions with proprietary technology and infrastructure, ranking as the 6th largest non-bank acquirer as per The Nilson Report, that its business model is expected to be easily understood by the investment community and that its relatively low attrition rates in comparison to competitors provides Priority with a sustainable competitive advantage to its peers. See “Proposal No. 1 – The Business Combination Proposal—The Board of Directors’ Reasons for the Approval of the Business Combination” on page 57 for more information about the decision-making process.</w:t>
      </w:r>
    </w:p>
    <w:p>
      <w:pPr>
        <w:spacing w:after="0" w:line="176" w:lineRule="exact"/>
        <w:rPr>
          <w:rFonts w:ascii="Arial" w:cs="Arial" w:eastAsia="Arial" w:hAnsi="Arial"/>
          <w:sz w:val="17"/>
          <w:szCs w:val="17"/>
          <w:color w:val="auto"/>
        </w:rPr>
      </w:pPr>
    </w:p>
    <w:p>
      <w:pPr>
        <w:jc w:val="both"/>
        <w:ind w:left="330" w:hanging="330"/>
        <w:spacing w:after="0" w:line="295" w:lineRule="auto"/>
        <w:tabs>
          <w:tab w:leader="none" w:pos="33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Pursuant to the Current Certificate of Incorporation of M I Acquisitions, a holder of M I Acquisitions common stock may demand that M I Acquisitions redeem such common stock for cash. In order to exercise your redemption rights, you must make an election on the applicable proxy card to redeem such shares of M I Acquisitions common stock or submit a request in writing to M I Acquisitions’ transfer agent at the address listed on page 117, and deliver your shares to M I Acquisitions’ transfer agent physically or electronically through DTC prior to the special meeting of M I Acquisitions’ stockholders. Please see the section entitled “Special Meetings of M I Acquisitions Stockholders—Redemption Rights” on page 50.</w:t>
      </w:r>
    </w:p>
    <w:p>
      <w:pPr>
        <w:spacing w:after="0" w:line="159" w:lineRule="exact"/>
        <w:rPr>
          <w:rFonts w:ascii="Arial" w:cs="Arial" w:eastAsia="Arial" w:hAnsi="Arial"/>
          <w:sz w:val="16"/>
          <w:szCs w:val="16"/>
          <w:color w:val="auto"/>
        </w:rPr>
      </w:pPr>
    </w:p>
    <w:p>
      <w:pPr>
        <w:jc w:val="both"/>
        <w:ind w:left="330" w:hanging="330"/>
        <w:spacing w:after="0" w:line="289" w:lineRule="auto"/>
        <w:tabs>
          <w:tab w:leader="none" w:pos="33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addition to voting on the proposal to approve the Purchase Agreement and approve the Business Combination, the M I Acquisitions stockholders will be asked to vote on: (i) five separate proposals to approve and adopt amendments to the M I Acquisitions’ Current Certificate of Incorporation, (ii) a proposal to approve the 2018 Equity Incentive Plan, a copy of which is attached to this proxy statement as Annex G, including the authorization of the initial share reserve thereunder, (iii) a proposal to approve the Earnout Incentive Plan, which will provide for the earnout consideration contemplated in the Purchase Agreement, a copy of which is attached to this proxy statement as Annex H, including the authorization of the initial share reserve thereunder and (iv) a proposal to adjourn the special meeting to a later date or dates, if necessary, to permit further solicitation and vote of proxies if there are insufficient votes for, or otherwise in connection with, the approval of the Business Combination Proposal or any of the other proposals described above. Each of these proposals is described in greater detail in this proxy statement.</w:t>
      </w:r>
    </w:p>
    <w:p>
      <w:pPr>
        <w:spacing w:after="0" w:line="163" w:lineRule="exact"/>
        <w:rPr>
          <w:rFonts w:ascii="Arial" w:cs="Arial" w:eastAsia="Arial" w:hAnsi="Arial"/>
          <w:sz w:val="16"/>
          <w:szCs w:val="16"/>
          <w:color w:val="auto"/>
        </w:rPr>
      </w:pPr>
    </w:p>
    <w:p>
      <w:pPr>
        <w:jc w:val="both"/>
        <w:ind w:left="330" w:hanging="330"/>
        <w:spacing w:after="0" w:line="262" w:lineRule="auto"/>
        <w:tabs>
          <w:tab w:leader="none" w:pos="3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Agreement may be terminated and/or abandoned at any time prior to the consummation of the Business Combination in specified circumstances. For more information about the termination rights under the Purchase Agreement, please see the section entitled “The Purchase Agreement—Termination” on page 65.</w:t>
      </w:r>
    </w:p>
    <w:p>
      <w:pPr>
        <w:spacing w:after="0" w:line="182" w:lineRule="exact"/>
        <w:rPr>
          <w:rFonts w:ascii="Arial" w:cs="Arial" w:eastAsia="Arial" w:hAnsi="Arial"/>
          <w:sz w:val="18"/>
          <w:szCs w:val="18"/>
          <w:color w:val="auto"/>
        </w:rPr>
      </w:pPr>
    </w:p>
    <w:p>
      <w:pPr>
        <w:ind w:left="330" w:hanging="330"/>
        <w:spacing w:after="0" w:line="275" w:lineRule="auto"/>
        <w:tabs>
          <w:tab w:leader="none" w:pos="3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proposed Business Combination involves numerous risks. For more information about these risks, please see the section entitled “Risk Factors” on page 24.</w:t>
      </w:r>
    </w:p>
    <w:p>
      <w:pPr>
        <w:spacing w:after="0" w:line="170" w:lineRule="exact"/>
        <w:rPr>
          <w:rFonts w:ascii="Arial" w:cs="Arial" w:eastAsia="Arial" w:hAnsi="Arial"/>
          <w:sz w:val="18"/>
          <w:szCs w:val="18"/>
          <w:color w:val="auto"/>
        </w:rPr>
      </w:pPr>
    </w:p>
    <w:p>
      <w:pPr>
        <w:jc w:val="both"/>
        <w:ind w:left="330" w:hanging="330"/>
        <w:spacing w:after="0" w:line="258" w:lineRule="auto"/>
        <w:tabs>
          <w:tab w:leader="none" w:pos="3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careful consideration of the terms and conditions of the Purchase Agreement and the related agreements, the board of directors of M I Acquisitions has determined that the Business Combination and the transactions contemplated thereby are fair to and in the best interests of M I Acquisitions and its stockholders. The Board unanimously recommends that our stockholders vote “FOR” approval of the Business Combination and “FOR” all other proposals presented to our stockholders in this proxy statement.</w:t>
      </w:r>
    </w:p>
    <w:p>
      <w:pPr>
        <w:spacing w:after="0" w:line="185" w:lineRule="exact"/>
        <w:rPr>
          <w:rFonts w:ascii="Arial" w:cs="Arial" w:eastAsia="Arial" w:hAnsi="Arial"/>
          <w:sz w:val="18"/>
          <w:szCs w:val="18"/>
          <w:color w:val="auto"/>
        </w:rPr>
      </w:pPr>
    </w:p>
    <w:p>
      <w:pPr>
        <w:jc w:val="both"/>
        <w:ind w:left="330" w:hanging="330"/>
        <w:spacing w:after="0" w:line="258" w:lineRule="auto"/>
        <w:tabs>
          <w:tab w:leader="none" w:pos="3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you consider the recommendation of the board of directors in favor of approval of the Business Combination Proposal and other proposals, you should keep in mind that the directors and officers of M I Acquisitions have interests in the Business Combination that are different from, or in addition to, your interests as a stockholder. Please see “Proposal No. 1 – The Business Combination Proposal—Interests of Certain Persons in the Business Combination” on page 59 for more information.</w:t>
      </w:r>
    </w:p>
    <w:p>
      <w:pPr>
        <w:spacing w:after="0" w:line="400" w:lineRule="exact"/>
        <w:rPr>
          <w:sz w:val="20"/>
          <w:szCs w:val="20"/>
          <w:color w:val="auto"/>
        </w:rPr>
      </w:pPr>
    </w:p>
    <w:p>
      <w:pPr>
        <w:jc w:val="center"/>
        <w:ind w:right="29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13970</wp:posOffset>
            </wp:positionV>
            <wp:extent cx="7247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90"/>
          </w:cols>
          <w:pgMar w:left="570" w:top="90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QUESTIONS AND ANSWERS ABOUT THE PROPOSALS FOR M I ACQUISITIONS STOCKHOLDERS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questions and answers below highlight only selected information from this proxy statement and only briefly address some commonly asked questions about the proposals to be presented at the special meeting of M I Acquisitions stockholders, including with respect to the proposed Business Combination. The following questions and answers do not include all the information that is important to our stockholders. We urge stockholders to read carefully this entire proxy statement, including the Annexes and the other documents referred to herein, to fully understand the proposed Business Combination and the voting procedures for the special meeting, which will be held on [●] at [●] local time at [●].</w:t>
      </w:r>
    </w:p>
    <w:p>
      <w:pPr>
        <w:spacing w:after="0" w:line="187"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this document?</w:t>
      </w:r>
    </w:p>
    <w:p>
      <w:pPr>
        <w:spacing w:after="0" w:line="227" w:lineRule="exact"/>
        <w:rPr>
          <w:sz w:val="20"/>
          <w:szCs w:val="20"/>
          <w:color w:val="auto"/>
        </w:rPr>
      </w:pPr>
    </w:p>
    <w:p>
      <w:pPr>
        <w:jc w:val="both"/>
        <w:ind w:firstLine="8"/>
        <w:spacing w:after="0" w:line="290" w:lineRule="auto"/>
        <w:tabs>
          <w:tab w:leader="none" w:pos="604" w:val="left"/>
        </w:tabs>
        <w:numPr>
          <w:ilvl w:val="0"/>
          <w:numId w:val="12"/>
        </w:numPr>
        <w:rPr>
          <w:rFonts w:ascii="Arial" w:cs="Arial" w:eastAsia="Arial" w:hAnsi="Arial"/>
          <w:sz w:val="16"/>
          <w:szCs w:val="16"/>
          <w:color w:val="auto"/>
        </w:rPr>
      </w:pPr>
      <w:r>
        <w:rPr>
          <w:rFonts w:ascii="Arial" w:cs="Arial" w:eastAsia="Arial" w:hAnsi="Arial"/>
          <w:sz w:val="16"/>
          <w:szCs w:val="16"/>
          <w:color w:val="auto"/>
        </w:rPr>
        <w:t>M I Acquisitions and the holders of all of the issued and outstanding equity interests of Priority Holdings, LLC (“Priority”), have agreed to a business combination under the terms of a Contribution Agreement, dated as of February 26, 2018, as amended and restated on March 26, 2018 and April 17, 2018 (the “Purchase Agreement”), by and among M I Acquisitions, Priority Investment Holdings, LLC (“PIH”) and Priority Incentive Equity Holdings, LLC (“PIEH” and, together with PIH, the “Sellers”), and other related proposals. The consummation of the transactions contemplated by the Purchase Agreement relating to the business combination with Priority are referred to as the “Business Combination” and the proposal to approve the Business Combination is referred to as the “Business Combination Proposal.” The Purchase Agreement is attached to this proxy statement as Annex A and is incorporated into this proxy statement by reference. You are encouraged to read this proxy statement, including the “Risk Factors” section, and all the annexes hereto.</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 I Acquisitions stockholders are being asked to consider and vote upon a proposal to adopt the Purchase Agreement, pursuant to which M I Acquisitions will acquire all of the issued and outstanding equity interests of Priority, and related proposals.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units that were issued in M I Acquisitions’ initial public offering each consist of one share of common stock and one warrant. Each warrant entitles the holder thereof to purchase one share of common stock. The warrants are exercisable at a price of $11.50 per share of common stock, subject to adjustment as described in the prospectus filed in connection with the initial public offering, and will become exercisable 30 days after the completion of the Business Combination. The warrants will expire five years after the completion of the Business Combination or earlier upon redemption or liquidation, as described herein.</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Business Combination is consummated, holders of M I Acquisitions common stock (except stockholders who are insiders) will be entitled to redeem their M I Acquisitions common stock for a pro rata share of the trust account (currently anticipated to be no less than approximately $[●] per share) net of taxes payable.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common stock, units and warrants are currently listed on the NASDAQ Capital Market under the symbols “MACQ”, “MACQU”, and “MACQW”, respectively. We plan to continue the listing of our common stock and warrants on the NASDAQ Capital Market under the symbol(s) “PRTH” and “PRTHW”, respectively, upon closing of the Business Combination.</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proxy statement contains important information about the proposed Business Combination and the other matters to be acted upon at the special meeting of M I Acquisitions stockholders. You should read it carefully.</w:t>
      </w:r>
    </w:p>
    <w:p>
      <w:pPr>
        <w:spacing w:after="0" w:line="167" w:lineRule="exact"/>
        <w:rPr>
          <w:sz w:val="20"/>
          <w:szCs w:val="20"/>
          <w:color w:val="auto"/>
        </w:rPr>
      </w:pPr>
    </w:p>
    <w:p>
      <w:pPr>
        <w:ind w:left="600" w:hanging="592"/>
        <w:spacing w:after="0"/>
        <w:tabs>
          <w:tab w:leader="none" w:pos="6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special meeting?</w:t>
      </w:r>
    </w:p>
    <w:p>
      <w:pPr>
        <w:spacing w:after="0" w:line="227"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special meeting will be held on [●] at [●] local time at [●].</w:t>
      </w:r>
    </w:p>
    <w:p>
      <w:pPr>
        <w:spacing w:after="0" w:line="219" w:lineRule="exact"/>
        <w:rPr>
          <w:sz w:val="20"/>
          <w:szCs w:val="20"/>
          <w:color w:val="auto"/>
        </w:rPr>
      </w:pPr>
    </w:p>
    <w:p>
      <w:pPr>
        <w:ind w:left="600" w:hanging="592"/>
        <w:spacing w:after="0"/>
        <w:tabs>
          <w:tab w:leader="none" w:pos="6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being voted on?</w:t>
      </w:r>
    </w:p>
    <w:p>
      <w:pPr>
        <w:spacing w:after="0" w:line="227"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Below are the proposals on which M I Acquisitions stockholders are being asked to vote:</w:t>
      </w:r>
    </w:p>
    <w:p>
      <w:pPr>
        <w:spacing w:after="0" w:line="223"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approve the authorization for M I Acquisitions to acquire all of the issued and outstanding equity interests of Priority, as provided for in the Purchase Agreement, including the initial consideration paid to the Sellers and the earn-out consideration, or the “Business Combination.” This proposal is referred to as the “Business Combination Proposal” or “Proposal No. 1.”</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 w:name="page12"/>
    <w:bookmarkEnd w:id="11"/>
    <w:p>
      <w:pPr>
        <w:jc w:val="both"/>
        <w:ind w:left="652" w:hanging="330"/>
        <w:spacing w:after="0" w:line="262" w:lineRule="auto"/>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the amendment of the certificate of incorporation of M I Acquisitions (the “Current Certificate of Incorporation”) to increase the number of authorized shares of common stock and preferred stock. This proposal is referred to as the “Authorized Share Increase Proposal” or “Proposal No. 2.”</w:t>
      </w:r>
    </w:p>
    <w:p>
      <w:pPr>
        <w:spacing w:after="0" w:line="182" w:lineRule="exact"/>
        <w:rPr>
          <w:rFonts w:ascii="Arial" w:cs="Arial" w:eastAsia="Arial" w:hAnsi="Arial"/>
          <w:sz w:val="18"/>
          <w:szCs w:val="18"/>
          <w:color w:val="auto"/>
        </w:rPr>
      </w:pPr>
    </w:p>
    <w:p>
      <w:pPr>
        <w:ind w:left="652" w:hanging="330"/>
        <w:spacing w:after="0" w:line="275" w:lineRule="auto"/>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the amendment of the Current Certificate of Incorporation to provide for declassification of the board of directors into one class. This proposal is referred to as the “Board Declassification Proposal” or “Proposal No. 3.”</w:t>
      </w:r>
    </w:p>
    <w:p>
      <w:pPr>
        <w:spacing w:after="0" w:line="170" w:lineRule="exact"/>
        <w:rPr>
          <w:rFonts w:ascii="Arial" w:cs="Arial" w:eastAsia="Arial" w:hAnsi="Arial"/>
          <w:sz w:val="18"/>
          <w:szCs w:val="18"/>
          <w:color w:val="auto"/>
        </w:rPr>
      </w:pPr>
    </w:p>
    <w:p>
      <w:pPr>
        <w:ind w:left="652" w:hanging="330"/>
        <w:spacing w:after="0" w:line="275" w:lineRule="auto"/>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the amendment of the Current Certificate of Incorporation to change the stockholder vote required to approve a further amendment thereof. This proposal is referred to as the “Voting Threshold Proposal” or “Proposal No. 4.”</w:t>
      </w:r>
    </w:p>
    <w:p>
      <w:pPr>
        <w:spacing w:after="0" w:line="170" w:lineRule="exact"/>
        <w:rPr>
          <w:rFonts w:ascii="Arial" w:cs="Arial" w:eastAsia="Arial" w:hAnsi="Arial"/>
          <w:sz w:val="18"/>
          <w:szCs w:val="18"/>
          <w:color w:val="auto"/>
        </w:rPr>
      </w:pPr>
    </w:p>
    <w:p>
      <w:pPr>
        <w:jc w:val="both"/>
        <w:ind w:left="652" w:hanging="330"/>
        <w:spacing w:after="0" w:line="278" w:lineRule="auto"/>
        <w:tabs>
          <w:tab w:leader="none" w:pos="652" w:val="left"/>
        </w:tabs>
        <w:numPr>
          <w:ilvl w:val="1"/>
          <w:numId w:val="17"/>
        </w:numPr>
        <w:rPr>
          <w:rFonts w:ascii="Arial" w:cs="Arial" w:eastAsia="Arial" w:hAnsi="Arial"/>
          <w:sz w:val="17"/>
          <w:szCs w:val="17"/>
          <w:color w:val="auto"/>
        </w:rPr>
      </w:pPr>
      <w:r>
        <w:rPr>
          <w:rFonts w:ascii="Arial" w:cs="Arial" w:eastAsia="Arial" w:hAnsi="Arial"/>
          <w:sz w:val="17"/>
          <w:szCs w:val="17"/>
          <w:color w:val="auto"/>
        </w:rPr>
        <w:t>To approve the amendment of the Current Certificate of Incorporation to elect not to be governed by Section 203 of the Delaware General Corporation Law (the “DGCL”) and, instead, include a provision in our certificate of incorporation that is substantially similar to Section 203 of the DGCL, but excludes the Sellers, certain affiliates and each of their respective transferees from the definition of “interested stockholder,” and to make certain related changes. This proposal is referred to as the “Section 203 Proposal” or “Proposal No. 5.”</w:t>
      </w:r>
    </w:p>
    <w:p>
      <w:pPr>
        <w:spacing w:after="0" w:line="169" w:lineRule="exact"/>
        <w:rPr>
          <w:rFonts w:ascii="Arial" w:cs="Arial" w:eastAsia="Arial" w:hAnsi="Arial"/>
          <w:sz w:val="17"/>
          <w:szCs w:val="17"/>
          <w:color w:val="auto"/>
        </w:rPr>
      </w:pPr>
    </w:p>
    <w:p>
      <w:pPr>
        <w:jc w:val="both"/>
        <w:ind w:left="652" w:hanging="330"/>
        <w:spacing w:after="0" w:line="258" w:lineRule="auto"/>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certain other changes to the Current Certificate of Incorporation, including eliminating certain provisions specific to our status as a special purpose acquisition company. This proposal is referred to as the “Additional Amendments Proposal” or “Proposal No. 6.” The Board Declassification Proposal, the Voting Threshold Proposal, the Section 203 Proposal and the Additional Amendments Proposal are collectively referred to as the “Amendments Proposals.”</w:t>
      </w:r>
    </w:p>
    <w:p>
      <w:pPr>
        <w:spacing w:after="0" w:line="185" w:lineRule="exact"/>
        <w:rPr>
          <w:rFonts w:ascii="Arial" w:cs="Arial" w:eastAsia="Arial" w:hAnsi="Arial"/>
          <w:sz w:val="18"/>
          <w:szCs w:val="18"/>
          <w:color w:val="auto"/>
        </w:rPr>
      </w:pPr>
    </w:p>
    <w:p>
      <w:pPr>
        <w:ind w:left="652" w:hanging="330"/>
        <w:spacing w:after="0" w:line="275" w:lineRule="auto"/>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the 2018 Equity Incentive Plan, including the authorization of the initial share reserve under the 2018 Equity Incentive Plan. This proposal is referred to as the “2018 Equity Incentive Plan Proposal” or “Proposal No. 7.”</w:t>
      </w:r>
    </w:p>
    <w:p>
      <w:pPr>
        <w:spacing w:after="0" w:line="170" w:lineRule="exact"/>
        <w:rPr>
          <w:rFonts w:ascii="Arial" w:cs="Arial" w:eastAsia="Arial" w:hAnsi="Arial"/>
          <w:sz w:val="18"/>
          <w:szCs w:val="18"/>
          <w:color w:val="auto"/>
        </w:rPr>
      </w:pPr>
    </w:p>
    <w:p>
      <w:pPr>
        <w:ind w:left="652" w:hanging="330"/>
        <w:spacing w:after="0"/>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the Earnout Incentive Plan. This proposal is referred to as the “Earnout Incentive Plan Proposal” or “Proposal No. 8.”</w:t>
      </w:r>
    </w:p>
    <w:p>
      <w:pPr>
        <w:spacing w:after="0" w:line="223" w:lineRule="exact"/>
        <w:rPr>
          <w:rFonts w:ascii="Arial" w:cs="Arial" w:eastAsia="Arial" w:hAnsi="Arial"/>
          <w:sz w:val="18"/>
          <w:szCs w:val="18"/>
          <w:color w:val="auto"/>
        </w:rPr>
      </w:pPr>
    </w:p>
    <w:p>
      <w:pPr>
        <w:ind w:left="652" w:hanging="330"/>
        <w:spacing w:after="0" w:line="340" w:lineRule="auto"/>
        <w:tabs>
          <w:tab w:leader="none" w:pos="652"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approve the issuance of more than 20% of the issued and outstanding shares of common stock of M I Acquisitions pursuant to the terms of the Purchase Agreement, as required by Nasdaq Listing Rules 5635(a) and (d). This proposal is called the “Nasdaq Proposal” or “Proposal No. 9.”</w:t>
      </w:r>
    </w:p>
    <w:p>
      <w:pPr>
        <w:spacing w:after="0" w:line="123" w:lineRule="exact"/>
        <w:rPr>
          <w:rFonts w:ascii="Arial" w:cs="Arial" w:eastAsia="Arial" w:hAnsi="Arial"/>
          <w:sz w:val="16"/>
          <w:szCs w:val="16"/>
          <w:color w:val="auto"/>
        </w:rPr>
      </w:pPr>
    </w:p>
    <w:p>
      <w:pPr>
        <w:ind w:left="652" w:hanging="330"/>
        <w:spacing w:after="0" w:line="306" w:lineRule="auto"/>
        <w:tabs>
          <w:tab w:leader="none" w:pos="652" w:val="left"/>
        </w:tabs>
        <w:numPr>
          <w:ilvl w:val="1"/>
          <w:numId w:val="17"/>
        </w:numPr>
        <w:rPr>
          <w:rFonts w:ascii="Arial" w:cs="Arial" w:eastAsia="Arial" w:hAnsi="Arial"/>
          <w:sz w:val="17"/>
          <w:szCs w:val="17"/>
          <w:color w:val="auto"/>
        </w:rPr>
      </w:pPr>
      <w:r>
        <w:rPr>
          <w:rFonts w:ascii="Arial" w:cs="Arial" w:eastAsia="Arial" w:hAnsi="Arial"/>
          <w:sz w:val="17"/>
          <w:szCs w:val="17"/>
          <w:color w:val="auto"/>
        </w:rPr>
        <w:t>To approve the adjournment of the special meeting in the event M I Acquisitions does not receive the requisite stockholder vote to approve the Business Combination or the other proposals described above. This proposal is called the “Adjournment Proposal” or “Proposal No. 10.”</w:t>
      </w:r>
    </w:p>
    <w:p>
      <w:pPr>
        <w:spacing w:after="0" w:line="142" w:lineRule="exact"/>
        <w:rPr>
          <w:rFonts w:ascii="Arial" w:cs="Arial" w:eastAsia="Arial" w:hAnsi="Arial"/>
          <w:sz w:val="17"/>
          <w:szCs w:val="17"/>
          <w:color w:val="auto"/>
        </w:rPr>
      </w:pPr>
    </w:p>
    <w:p>
      <w:pPr>
        <w:ind w:left="592" w:hanging="592"/>
        <w:spacing w:after="0"/>
        <w:tabs>
          <w:tab w:leader="none" w:pos="59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Are the proposals conditioned on one another?</w:t>
      </w:r>
    </w:p>
    <w:p>
      <w:pPr>
        <w:spacing w:after="0" w:line="227" w:lineRule="exact"/>
        <w:rPr>
          <w:sz w:val="20"/>
          <w:szCs w:val="20"/>
          <w:color w:val="auto"/>
        </w:rPr>
      </w:pPr>
    </w:p>
    <w:p>
      <w:pPr>
        <w:jc w:val="both"/>
        <w:ind w:left="-8" w:firstLine="8"/>
        <w:spacing w:after="0" w:line="258" w:lineRule="auto"/>
        <w:tabs>
          <w:tab w:leader="none" w:pos="6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Yes. The Business Combination Proposal and the Nasdaq Proposal are conditioned upon the approval of the Amendments Proposals and the Earnout Incentive Plan Proposal. The Amendments Proposals are each conditioned upon the approval of the other Amendments Proposals as well as the Business Combination Proposal and the Nasdaq Proposal. The 2018 Equity Incentive Plan Proposal is conditioned upon the approval of each of the other proposals, aside from the Adjournment Proposal.</w:t>
      </w:r>
    </w:p>
    <w:p>
      <w:pPr>
        <w:spacing w:after="0" w:line="181"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providing stockholders with the opportunity to vote on the Business Combination?</w:t>
      </w:r>
    </w:p>
    <w:p>
      <w:pPr>
        <w:spacing w:after="0" w:line="227" w:lineRule="exact"/>
        <w:rPr>
          <w:sz w:val="20"/>
          <w:szCs w:val="20"/>
          <w:color w:val="auto"/>
        </w:rPr>
      </w:pPr>
    </w:p>
    <w:p>
      <w:pPr>
        <w:jc w:val="both"/>
        <w:ind w:left="-8" w:firstLine="8"/>
        <w:spacing w:after="0" w:line="285"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are seeking approval of the Business Combination Proposal, including the approval of the Purchase Agreement and the issuances of our common stock thereunder, including both the initial consideration and the earn-out consideration, for purposes of complying with applicable NASDAQ listing rules requiring stockholder approval of issuances of more than 20% of a listed company’s issued and outstanding common stock.</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12" w:name="page13"/>
    <w:bookmarkEnd w:id="12"/>
    <w:p>
      <w:pPr>
        <w:ind w:left="600" w:hanging="592"/>
        <w:spacing w:after="0"/>
        <w:tabs>
          <w:tab w:leader="none" w:pos="6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Amendments Proposals?</w:t>
      </w:r>
    </w:p>
    <w:p>
      <w:pPr>
        <w:spacing w:after="0" w:line="227" w:lineRule="exact"/>
        <w:rPr>
          <w:sz w:val="20"/>
          <w:szCs w:val="20"/>
          <w:color w:val="auto"/>
        </w:rPr>
      </w:pPr>
    </w:p>
    <w:p>
      <w:pPr>
        <w:jc w:val="both"/>
        <w:ind w:firstLine="8"/>
        <w:spacing w:after="0" w:line="278"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Delaware law and the Purchase Agreement, we are required to submit the Amendments Proposals to the Company’s stockholders for approval. For additional information please see “Proposal No. 3 - The Board Declassification Proposal” on page 70 of this proxy statement, “Proposal No. 4 - The Voting Threshold Proposal” on page 73 of this proxy statement, “Proposal No. 5 - The Section 203 Proposal” on page 76 of this proxy statement and “Proposal No. 6 - The Additional Amendments Proposal” on page 81 of this proxy statement for more information.</w:t>
      </w:r>
    </w:p>
    <w:p>
      <w:pPr>
        <w:spacing w:after="0" w:line="166" w:lineRule="exact"/>
        <w:rPr>
          <w:sz w:val="20"/>
          <w:szCs w:val="20"/>
          <w:color w:val="auto"/>
        </w:rPr>
      </w:pPr>
    </w:p>
    <w:p>
      <w:pPr>
        <w:ind w:left="600" w:hanging="592"/>
        <w:spacing w:after="0"/>
        <w:tabs>
          <w:tab w:leader="none" w:pos="6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2018 Equity Incentive Plan Proposal?</w:t>
      </w:r>
    </w:p>
    <w:p>
      <w:pPr>
        <w:spacing w:after="0" w:line="227" w:lineRule="exact"/>
        <w:rPr>
          <w:sz w:val="20"/>
          <w:szCs w:val="20"/>
          <w:color w:val="auto"/>
        </w:rPr>
      </w:pPr>
    </w:p>
    <w:p>
      <w:pPr>
        <w:jc w:val="both"/>
        <w:ind w:firstLine="8"/>
        <w:spacing w:after="0" w:line="262" w:lineRule="auto"/>
        <w:tabs>
          <w:tab w:leader="none" w:pos="5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purpose of the 2018 Equity Incentive Plan is to further align the interests of the eligible participants with those of stockholders by providing long-term incentive compensation opportunities tied to the performance of the post-combination company. Please see “Proposal No. 7 - The 2018 Equity Incentive Plan Proposal” on page 95 of this proxy statement for additional information.</w:t>
      </w:r>
    </w:p>
    <w:p>
      <w:pPr>
        <w:spacing w:after="0" w:line="178" w:lineRule="exact"/>
        <w:rPr>
          <w:sz w:val="20"/>
          <w:szCs w:val="20"/>
          <w:color w:val="auto"/>
        </w:rPr>
      </w:pPr>
    </w:p>
    <w:p>
      <w:pPr>
        <w:ind w:left="600" w:hanging="592"/>
        <w:spacing w:after="0"/>
        <w:tabs>
          <w:tab w:leader="none" w:pos="6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Adjournment Proposal?</w:t>
      </w:r>
    </w:p>
    <w:p>
      <w:pPr>
        <w:spacing w:after="0" w:line="227" w:lineRule="exact"/>
        <w:rPr>
          <w:sz w:val="20"/>
          <w:szCs w:val="20"/>
          <w:color w:val="auto"/>
        </w:rPr>
      </w:pPr>
    </w:p>
    <w:p>
      <w:pPr>
        <w:jc w:val="both"/>
        <w:ind w:firstLine="8"/>
        <w:spacing w:after="0" w:line="262" w:lineRule="auto"/>
        <w:tabs>
          <w:tab w:leader="none" w:pos="6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any of the other proposals. Please see “Proposal No. 10 - The Adjournment Proposal” on page 104 of this proxy statement for additional information.</w:t>
      </w:r>
    </w:p>
    <w:p>
      <w:pPr>
        <w:spacing w:after="0" w:line="178" w:lineRule="exact"/>
        <w:rPr>
          <w:sz w:val="20"/>
          <w:szCs w:val="20"/>
          <w:color w:val="auto"/>
        </w:rPr>
      </w:pPr>
    </w:p>
    <w:p>
      <w:pPr>
        <w:ind w:left="600" w:hanging="592"/>
        <w:spacing w:after="0"/>
        <w:tabs>
          <w:tab w:leader="none" w:pos="60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Do any of M I Acquisitions’ directors or officers have interests that may conflict with my interests with respect to the Business Combination?</w:t>
      </w:r>
    </w:p>
    <w:p>
      <w:pPr>
        <w:spacing w:after="0" w:line="250" w:lineRule="exact"/>
        <w:rPr>
          <w:sz w:val="20"/>
          <w:szCs w:val="20"/>
          <w:color w:val="auto"/>
        </w:rPr>
      </w:pPr>
    </w:p>
    <w:p>
      <w:pPr>
        <w:ind w:firstLine="8"/>
        <w:spacing w:after="0" w:line="275" w:lineRule="auto"/>
        <w:tabs>
          <w:tab w:leader="none" w:pos="6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M I Acquisitions’ directors and officers may have interests in the Business Combination that are different from your interests as a stockholder. You should keep in mind the following interests of M I Acquisitions’ directors and officers: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$8,600, or approximately $0.02 per share, to M SPAC Holdings I LLC and M SPAC Holdings II LLC, each of which is controlled by Joshua Sason.</w:t>
      </w:r>
    </w:p>
    <w:p>
      <w:pPr>
        <w:spacing w:after="0" w:line="18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 SPAC LLC, M SPAC Holdings I LLC and M SPAC Holdings II LLC, entities controlled by Joshua Sason, our Chief Executive Officer, purchased, pursuant to written purchase agreements with us, 402,500 private units for a purchase price of $10.00 per private unit, generating total proceeds of $4,025,000. These purchases took place on a private placement basis simultaneously with the consummation of the IPO. Simultaneously with the purchase of units resulting from the exercise of the over-allotment option by the underwriters, M SPAC LLC, M SPAC Holdings I LLC and M SPAC Holdings II LLC purchased an additional 18,607 private units at a price of $10.00 per unit. In light of the of the amount of consideration paid for the foregoing securities, M I Acquisitions’ directors and officers will likely benefit from the completion of the Business Combination, even if the Business Combination causes the market price of M I Acquisitions’ securities to significantly decrease. The likely benefit to M I Acquisitions’ directors and officers may influence their motivation for promoting the Business Combination and/or soliciting proxies for the approval of the Business Combination Proposal.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In the absence of stockholder approval for a further extension, if M I Acquisitions does not consummate the Business Combination by [______], 2018, we will</w:t>
      </w:r>
    </w:p>
    <w:p>
      <w:pPr>
        <w:spacing w:after="0" w:line="4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be required to dissolve and liquidate and the securities held by our insiders will be worthless because such holders have agreed to waive their rights to any liquidation distributions. We previously extended the time to complete an initial business combination to June 19, 2018 by depositing a total of $398,259 into our trust account. On June 15, 2018, M I Acquisitions extended the time to complete a business combination to [________], 2018, pursuant to a vote of its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stockholders. M I Acquisitions’ organizational documents originally provided that the extension would take place no later than June 19, 2018. No additional consideration was paid for the extension of such deadline to [________], 2018.</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the Record Date (as defined below), 1,748,634 shares, or approximately 25% of the outstanding shares of M I Acquisitions common stock, were held by M I Acquisitions’ initial stockholders (the “Initial Stockholders”). All of the Initial Stockholders have agreed to vote such shares in favor of each of the proposals.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M I Acquisitions liquidates prior to the consummation of a business combination, our insiders have contractually agreed that they will be personally liable to ensure that the proceeds in the trust account are not reduced by the claims of target business or claims of vendors or other entities that are owed money by us for services rendered or contracted for or products sold to us. Therefore, our directors and officers have a financial interest in consummating the Business Combination, thereby resulting in a conflict of interest.</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exercise of M I Acquisitions’ directors’ and officers’ discretion in agreeing to changes or waivers in the terms of the Business Combination may result in a conflict of interest when determining whether such changes or waivers are appropriate and in the best interests of M I Acquisitions stockholders.</w:t>
      </w:r>
    </w:p>
    <w:p>
      <w:pPr>
        <w:spacing w:after="0" w:line="178" w:lineRule="exact"/>
        <w:rPr>
          <w:sz w:val="20"/>
          <w:szCs w:val="20"/>
          <w:color w:val="auto"/>
        </w:rPr>
      </w:pPr>
    </w:p>
    <w:p>
      <w:pPr>
        <w:ind w:left="600" w:hanging="592"/>
        <w:spacing w:after="0"/>
        <w:tabs>
          <w:tab w:leader="none" w:pos="6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Who may vote at the special meeting of stockholders?</w:t>
      </w:r>
    </w:p>
    <w:p>
      <w:pPr>
        <w:spacing w:after="0" w:line="227" w:lineRule="exact"/>
        <w:rPr>
          <w:sz w:val="20"/>
          <w:szCs w:val="20"/>
          <w:color w:val="auto"/>
        </w:rPr>
      </w:pPr>
    </w:p>
    <w:p>
      <w:pPr>
        <w:jc w:val="both"/>
        <w:ind w:firstLine="8"/>
        <w:spacing w:after="0" w:line="285" w:lineRule="auto"/>
        <w:tabs>
          <w:tab w:leader="none" w:pos="779"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Only holders of record of M I Acquisitions common stock as of the close of business on [●], 2018 (the “Record Date”) may vote at the special meeting of stockholders. As of the Record Date, there were 7,058,743 shares of M I Acquisitions common stock outstanding and entitled to vote. Please see “Special Meeting of M I Acquisitions Stockholders—Record Date; Who is Entitled to Vote” on page 48 of this proxy statement for further information.</w:t>
      </w:r>
    </w:p>
    <w:p>
      <w:pPr>
        <w:spacing w:after="0" w:line="160" w:lineRule="exact"/>
        <w:rPr>
          <w:sz w:val="20"/>
          <w:szCs w:val="20"/>
          <w:color w:val="auto"/>
        </w:rPr>
      </w:pPr>
    </w:p>
    <w:p>
      <w:pPr>
        <w:ind w:left="600" w:hanging="592"/>
        <w:spacing w:after="0"/>
        <w:tabs>
          <w:tab w:leader="none" w:pos="6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quorum requirement for the special meeting of stockholders?</w:t>
      </w:r>
    </w:p>
    <w:p>
      <w:pPr>
        <w:spacing w:after="0" w:line="227" w:lineRule="exact"/>
        <w:rPr>
          <w:sz w:val="20"/>
          <w:szCs w:val="20"/>
          <w:color w:val="auto"/>
        </w:rPr>
      </w:pPr>
    </w:p>
    <w:p>
      <w:pPr>
        <w:jc w:val="both"/>
        <w:ind w:firstLine="8"/>
        <w:spacing w:after="0" w:line="255" w:lineRule="auto"/>
        <w:tabs>
          <w:tab w:leader="none" w:pos="7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Stockholders representing a majority of the M I Acquisitions common stock issued and outstanding as of the record date and entitled to vote at the special meeting must be present in person or represented by proxy in order to hold the special meeting and conduct business. This is called a quorum. M I Acquisitions common stock will be counted for purposes of determining if there is a quorum if the stockholder (i) is present and entitled to vote at the meeting or (ii) has properly submitted a proxy card. In the absence of a quorum, stockholders representing a majority of the votes present in person or represented by proxy at such meeting, may adjourn the meeting until a quorum is present.</w:t>
      </w:r>
    </w:p>
    <w:p>
      <w:pPr>
        <w:spacing w:after="0" w:line="187" w:lineRule="exact"/>
        <w:rPr>
          <w:sz w:val="20"/>
          <w:szCs w:val="20"/>
          <w:color w:val="auto"/>
        </w:rPr>
      </w:pPr>
    </w:p>
    <w:p>
      <w:pPr>
        <w:ind w:left="600" w:hanging="592"/>
        <w:spacing w:after="0"/>
        <w:tabs>
          <w:tab w:leader="none" w:pos="6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w:t>
      </w:r>
    </w:p>
    <w:p>
      <w:pPr>
        <w:spacing w:after="0" w:line="227" w:lineRule="exact"/>
        <w:rPr>
          <w:sz w:val="20"/>
          <w:szCs w:val="20"/>
          <w:color w:val="auto"/>
        </w:rPr>
      </w:pPr>
    </w:p>
    <w:p>
      <w:pPr>
        <w:jc w:val="both"/>
        <w:ind w:firstLine="8"/>
        <w:spacing w:after="0" w:line="268" w:lineRule="auto"/>
        <w:tabs>
          <w:tab w:leader="none" w:pos="624" w:val="left"/>
        </w:tabs>
        <w:numPr>
          <w:ilvl w:val="0"/>
          <w:numId w:val="35"/>
        </w:numPr>
        <w:rPr>
          <w:rFonts w:ascii="Arial" w:cs="Arial" w:eastAsia="Arial" w:hAnsi="Arial"/>
          <w:sz w:val="17"/>
          <w:szCs w:val="17"/>
          <w:color w:val="auto"/>
        </w:rPr>
      </w:pPr>
      <w:r>
        <w:rPr>
          <w:rFonts w:ascii="Arial" w:cs="Arial" w:eastAsia="Arial" w:hAnsi="Arial"/>
          <w:sz w:val="17"/>
          <w:szCs w:val="17"/>
          <w:color w:val="auto"/>
        </w:rPr>
        <w:t>Approval of the Business Combination Proposal, the 2018 Equity Incentive Plan Proposal, the Earnout Incentive Plan Proposal, the Nasdaq Proposal and the Adjournment Proposal will require the affirmative vote of the holders of a majority of the issued and outstanding shares of common stock of M I Acquisitions present and entitled to vote at the special meeting; provided, however, that if, among other things, less than $20 million remains in the trust account immediately after the closing of the Business Combination, after taking into account all redemptions, the Business Combination will not be completed. For more information about the closing conditions to the Business Combination, see the section entitled “The Purchase Agreement—Conditions to Closing” elsewhere in this proxy statement. Approval of each of the Amendments Proposals will require the approval of a majority of the issued and outstanding shares of common stock of M I Acquisitions. Attending the special meeting either in person or by proxy and abstaining from voting will have the same effect as voting against all the proposals and, assuming a quorum is present, broker non-votes will have no effect on the Business Combination Proposal, the 2018 Equity Incentive Plan Proposal, the Earnout Incentive Plan Proposal, the Nasdaq Proposal and the Adjournment Proposal, but will be the same as a vote against each of the Amendments Proposals.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 w:name="page15"/>
    <w:bookmarkEnd w:id="14"/>
    <w:p>
      <w:pPr>
        <w:ind w:left="600" w:hanging="592"/>
        <w:spacing w:after="0"/>
        <w:tabs>
          <w:tab w:leader="none" w:pos="6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Initial Stockholders vote?</w:t>
      </w:r>
    </w:p>
    <w:p>
      <w:pPr>
        <w:spacing w:after="0" w:line="227" w:lineRule="exact"/>
        <w:rPr>
          <w:sz w:val="20"/>
          <w:szCs w:val="20"/>
          <w:color w:val="auto"/>
        </w:rPr>
      </w:pPr>
    </w:p>
    <w:p>
      <w:pPr>
        <w:jc w:val="both"/>
        <w:ind w:firstLine="8"/>
        <w:spacing w:after="0" w:line="300"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 I Acquisitions’ Initial Stockholders, who as of the Record Date owned 1,748,634 shares of common stock of M I Acquisitions, or approximately 25% of the outstanding shares of common stock, have agreed to vote their respective shares acquired by them prior to the initial public offering in favor of the Business Combination Proposal, the Earnout Incentive Plan Proposal and the Amendments Proposals. M I Acquisitions’ Initial Stockholders have also agreed that they will vote any shares they purchase in the open market in or after the IPO in favor of each of the other proposals.</w:t>
      </w:r>
    </w:p>
    <w:p>
      <w:pPr>
        <w:spacing w:after="0" w:line="151" w:lineRule="exact"/>
        <w:rPr>
          <w:sz w:val="20"/>
          <w:szCs w:val="20"/>
          <w:color w:val="auto"/>
        </w:rPr>
      </w:pPr>
    </w:p>
    <w:p>
      <w:pPr>
        <w:ind w:left="600" w:hanging="592"/>
        <w:spacing w:after="0"/>
        <w:tabs>
          <w:tab w:leader="none" w:pos="6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Am I required to vote against the Business Combination Proposal in order to have my shares of common stock converted?</w:t>
      </w:r>
    </w:p>
    <w:p>
      <w:pPr>
        <w:spacing w:after="0" w:line="227" w:lineRule="exact"/>
        <w:rPr>
          <w:sz w:val="20"/>
          <w:szCs w:val="20"/>
          <w:color w:val="auto"/>
        </w:rPr>
      </w:pPr>
    </w:p>
    <w:p>
      <w:pPr>
        <w:jc w:val="both"/>
        <w:ind w:firstLine="8"/>
        <w:spacing w:after="0" w:line="270" w:lineRule="auto"/>
        <w:tabs>
          <w:tab w:leader="none" w:pos="661"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 You are not required to vote against the Business Combination Proposal in order to have the right (the “conversion rights”) to demand that M I Acquisitions convert your shares of common stock for cash equal to your pro rata share of the amount then on deposit in the trust account (before payment of deferred underwriting commissions and including interest earned on their pro rata portion of the trust account, net of taxes payable). If the Business Combination is not completed, then holders of the shares of common stock of M I Acquisitions who elected to exercise their conversion rights will not be entitled to convert their shares for the applicable pro rata share of the trust account. In addition, M I Acquisitions’ Current Certificate of Incorporation provides that an M I Acquisitions’ stockholder, together with any affiliate of such stockholder or any other person with whom such stockholder is acting in concert or as a “group” (as defined in Section 13(d)(3) of the Securities Exchange Act of 1934, as amended, or the Exchange Act), will be restricted from seeking conversion rights with respect to 20% or more of the shares of common stock sold in the IPO.</w:t>
      </w:r>
    </w:p>
    <w:p>
      <w:pPr>
        <w:spacing w:after="0" w:line="172" w:lineRule="exact"/>
        <w:rPr>
          <w:sz w:val="20"/>
          <w:szCs w:val="20"/>
          <w:color w:val="auto"/>
        </w:rPr>
      </w:pPr>
    </w:p>
    <w:p>
      <w:pPr>
        <w:ind w:left="600" w:hanging="592"/>
        <w:spacing w:after="0"/>
        <w:tabs>
          <w:tab w:leader="none" w:pos="6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conversion rights?</w:t>
      </w:r>
    </w:p>
    <w:p>
      <w:pPr>
        <w:spacing w:after="0" w:line="227" w:lineRule="exact"/>
        <w:rPr>
          <w:sz w:val="20"/>
          <w:szCs w:val="20"/>
          <w:color w:val="auto"/>
        </w:rPr>
      </w:pPr>
    </w:p>
    <w:p>
      <w:pPr>
        <w:jc w:val="both"/>
        <w:ind w:firstLine="8"/>
        <w:spacing w:after="0" w:line="285" w:lineRule="auto"/>
        <w:tabs>
          <w:tab w:leader="none" w:pos="582" w:val="left"/>
        </w:tabs>
        <w:numPr>
          <w:ilvl w:val="0"/>
          <w:numId w:val="41"/>
        </w:numPr>
        <w:rPr>
          <w:rFonts w:ascii="Arial" w:cs="Arial" w:eastAsia="Arial" w:hAnsi="Arial"/>
          <w:sz w:val="17"/>
          <w:szCs w:val="17"/>
          <w:color w:val="auto"/>
        </w:rPr>
      </w:pPr>
      <w:r>
        <w:rPr>
          <w:rFonts w:ascii="Arial" w:cs="Arial" w:eastAsia="Arial" w:hAnsi="Arial"/>
          <w:sz w:val="17"/>
          <w:szCs w:val="17"/>
          <w:color w:val="auto"/>
        </w:rPr>
        <w:t>You may demand that M I Acquisitions convert the shares of common stock held by you for cash by physically tendering your share certificates to M I Acquisitions’ transfer agent or delivering your shares to the transfer agent electronically using The Depository Trust Company’s DWAC (Deposit/Withdrawal At Custodian) System, in each case, by the business day prior to the consummation of the Business Combination.</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Any request for conversion, once made, may be withdrawn at any time up to the date of the special meeting of M I Acquisitions stockholders. The actual per share conversion price will be equal to the aggregate amount then on deposit in the trust account (before payment of deferred underwriting commissions and including interest earned on their pro rata portion of the trust account, net of taxes payable) divided by the number of shares of common stock sold in the IPO. Please see the section entitled “Special Meetings of M I Acquisitions Stockholders—Redemption Rights” on page 50 of this proxy statement for the procedures to be followed if you wish to convert your shares of common stock for cash.</w:t>
      </w:r>
    </w:p>
    <w:p>
      <w:pPr>
        <w:spacing w:after="0" w:line="171" w:lineRule="exact"/>
        <w:rPr>
          <w:sz w:val="20"/>
          <w:szCs w:val="20"/>
          <w:color w:val="auto"/>
        </w:rPr>
      </w:pPr>
    </w:p>
    <w:p>
      <w:pPr>
        <w:ind w:left="600" w:hanging="592"/>
        <w:spacing w:after="0"/>
        <w:tabs>
          <w:tab w:leader="none" w:pos="6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w:t>
      </w:r>
    </w:p>
    <w:p>
      <w:pPr>
        <w:spacing w:after="0" w:line="227" w:lineRule="exact"/>
        <w:rPr>
          <w:sz w:val="20"/>
          <w:szCs w:val="20"/>
          <w:color w:val="auto"/>
        </w:rPr>
      </w:pPr>
    </w:p>
    <w:p>
      <w:pPr>
        <w:jc w:val="both"/>
        <w:ind w:firstLine="8"/>
        <w:spacing w:after="0" w:line="253" w:lineRule="auto"/>
        <w:tabs>
          <w:tab w:leader="none" w:pos="5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you were a holder of record of M I Acquisitions common stock on the Record Date, you may vote with respect to the applicable proposals in person at the special meeting of M I Acquisitions stockholders, or by submitting a proxy by mail so that it is received prior to 9:00 a.m. on [●], 2018, in accordance with the instructions provided to you under “Special Meetings of M I Acquisitions Stockholders” on page 48 of this proxy statement. If you hold your shares in “street name,” which means your shares are held of record by a broker, bank or other nominee, your broker or bank or other nominee may provide voting instructions (including any telephone or Internet voting instructions). You should contact your broker, bank or nominee in advance to ensure that votes related to the shares you beneficially own will be properly counted. In this regard, you must provide the record holder of your shares with instructions on how to vote your shares or, if you wish to attend the special meeting of M I Acquisitions stockholders and vote in person, obtain a proxy from your broker, bank or nominee.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 w:name="page16"/>
    <w:bookmarkEnd w:id="15"/>
    <w:p>
      <w:pPr>
        <w:ind w:left="600" w:hanging="592"/>
        <w:spacing w:after="0"/>
        <w:tabs>
          <w:tab w:leader="none" w:pos="6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my bank, brokerage firm or nominee, will they automatically vote my shares for me?</w:t>
      </w:r>
    </w:p>
    <w:p>
      <w:pPr>
        <w:spacing w:after="0" w:line="227" w:lineRule="exact"/>
        <w:rPr>
          <w:sz w:val="20"/>
          <w:szCs w:val="20"/>
          <w:color w:val="auto"/>
        </w:rPr>
      </w:pPr>
    </w:p>
    <w:p>
      <w:pPr>
        <w:jc w:val="both"/>
        <w:ind w:firstLine="8"/>
        <w:spacing w:after="0" w:line="253" w:lineRule="auto"/>
        <w:tabs>
          <w:tab w:leader="none" w:pos="6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M I Acquisitions believes the proposals are non-discretionary and, therefore, your broker, bank or nominee cannot vote your shares without your instruction. Broker non-votes will not be considered present for the purposes of establishing a quorum and will have no effect on the proposals. If you do not provide instructions with your proxy, your bank, broker or other nominee may submit a proxy card expressly indicating that it is NOT voting your shares; this indication that a bank, broker or nominee is not voting your shares is referred to as a “broker non-vote.” Your bank, broker or other nominee can vote your shares only if you provide instructions on how to vote. You should instruct your broker to vote your M I Acquisitions shares in accordance with directions you provide.</w:t>
      </w:r>
    </w:p>
    <w:p>
      <w:pPr>
        <w:spacing w:after="0" w:line="186" w:lineRule="exact"/>
        <w:rPr>
          <w:sz w:val="20"/>
          <w:szCs w:val="20"/>
          <w:color w:val="auto"/>
        </w:rPr>
      </w:pPr>
    </w:p>
    <w:p>
      <w:pPr>
        <w:ind w:left="600" w:hanging="592"/>
        <w:spacing w:after="0"/>
        <w:tabs>
          <w:tab w:leader="none" w:pos="6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abstain from voting or fail to instruct my bank, brokerage firm or nominee?</w:t>
      </w:r>
    </w:p>
    <w:p>
      <w:pPr>
        <w:spacing w:after="0" w:line="227" w:lineRule="exact"/>
        <w:rPr>
          <w:sz w:val="20"/>
          <w:szCs w:val="20"/>
          <w:color w:val="auto"/>
        </w:rPr>
      </w:pPr>
    </w:p>
    <w:p>
      <w:pPr>
        <w:jc w:val="both"/>
        <w:ind w:firstLine="8"/>
        <w:spacing w:after="0" w:line="292" w:lineRule="auto"/>
        <w:tabs>
          <w:tab w:leader="none" w:pos="7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M I Acquisitions will count a properly executed proxy marked “ABSTAIN” with respect to a particular proposal as present for the purposes of determining whether a quorum is present at the special meeting of M I Acquisitions stockholders. For purposes of approval, an abstention on any proposals will have the same effect as a vote “AGAINST” such proposal. Additionally, failure to elect to exercise your redemption rights will preclude you from having your shares of common stock redeemed for cash. In order to exercise your redemption rights, you must make an election on the applicable proxy card to redeem such shares of M I Acquisitions common stock or submit a request in writing to M I Acquisitions’ transfer agent at the address listed on page 177, and deliver your shares to M I Acquisitions’ transfer agent physically or electronically through DTC prior to the special meeting of M I Acquisitions’ stockholders.</w:t>
      </w:r>
    </w:p>
    <w:p>
      <w:pPr>
        <w:spacing w:after="0" w:line="158" w:lineRule="exact"/>
        <w:rPr>
          <w:sz w:val="20"/>
          <w:szCs w:val="20"/>
          <w:color w:val="auto"/>
        </w:rPr>
      </w:pPr>
    </w:p>
    <w:p>
      <w:pPr>
        <w:ind w:left="600" w:hanging="592"/>
        <w:spacing w:after="0"/>
        <w:tabs>
          <w:tab w:leader="none" w:pos="6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mailed my proxy card?</w:t>
      </w:r>
    </w:p>
    <w:p>
      <w:pPr>
        <w:spacing w:after="0" w:line="227" w:lineRule="exact"/>
        <w:rPr>
          <w:sz w:val="20"/>
          <w:szCs w:val="20"/>
          <w:color w:val="auto"/>
        </w:rPr>
      </w:pPr>
    </w:p>
    <w:p>
      <w:pPr>
        <w:jc w:val="both"/>
        <w:ind w:firstLine="8"/>
        <w:spacing w:after="0" w:line="274" w:lineRule="auto"/>
        <w:tabs>
          <w:tab w:leader="none" w:pos="603" w:val="left"/>
        </w:tabs>
        <w:numPr>
          <w:ilvl w:val="0"/>
          <w:numId w:val="49"/>
        </w:numPr>
        <w:rPr>
          <w:rFonts w:ascii="Arial" w:cs="Arial" w:eastAsia="Arial" w:hAnsi="Arial"/>
          <w:sz w:val="17"/>
          <w:szCs w:val="17"/>
          <w:color w:val="auto"/>
        </w:rPr>
      </w:pPr>
      <w:r>
        <w:rPr>
          <w:rFonts w:ascii="Arial" w:cs="Arial" w:eastAsia="Arial" w:hAnsi="Arial"/>
          <w:sz w:val="17"/>
          <w:szCs w:val="17"/>
          <w:color w:val="auto"/>
        </w:rPr>
        <w:t>Yes. You may change your vote at any time before your proxy is voted at the special meeting. You may revoke your proxy by executing and returning a proxy card dated later than the previous one, or by attending the special meeting in person and casting your vote by ballot or by submitting a written revocation stating that you would like to revoke your proxy that we receive prior to the special meeting. If you hold your shares through a bank, brokerage firm or nominee, you should follow the instructions of your bank, brokerage firm or nominee regarding the revocation of proxies. If you are a record holder, you should send any notice of revocation or your completed new proxy card, as the case may be, to:</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 I Acquisitions, Inc.</w:t>
      </w:r>
    </w:p>
    <w:p>
      <w:pPr>
        <w:ind w:left="4740"/>
        <w:spacing w:after="0" w:line="204"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(347) 491-4240</w:t>
      </w:r>
    </w:p>
    <w:p>
      <w:pPr>
        <w:spacing w:after="0" w:line="205" w:lineRule="exact"/>
        <w:rPr>
          <w:sz w:val="20"/>
          <w:szCs w:val="20"/>
          <w:color w:val="auto"/>
        </w:rPr>
      </w:pPr>
    </w:p>
    <w:p>
      <w:pPr>
        <w:ind w:left="600" w:hanging="592"/>
        <w:spacing w:after="0"/>
        <w:tabs>
          <w:tab w:leader="none" w:pos="6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 for the special meeting?</w:t>
      </w:r>
    </w:p>
    <w:p>
      <w:pPr>
        <w:spacing w:after="0" w:line="227" w:lineRule="exact"/>
        <w:rPr>
          <w:sz w:val="20"/>
          <w:szCs w:val="20"/>
          <w:color w:val="auto"/>
        </w:rPr>
      </w:pPr>
    </w:p>
    <w:p>
      <w:pPr>
        <w:jc w:val="both"/>
        <w:ind w:firstLine="8"/>
        <w:spacing w:after="0" w:line="258" w:lineRule="auto"/>
        <w:tabs>
          <w:tab w:leader="none" w:pos="6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Proxies are being solicited on behalf of M I Acquisitions’ board of directors. M I Acquisitions will pay the cost of soliciting proxies for the special meeting. The solicitation is being made by mail but also may be made by telephone or in person. M I Acquisitions and its directors, officers and employees may also solicit proxies in person, by telephone or by other electronic means. M I Acquisitions may engage a proxy solicitation firm to assist it in soliciting proxies. Such a firm would be paid a customary fee and out-of-pocket expenses.</w:t>
      </w:r>
    </w:p>
    <w:p>
      <w:pPr>
        <w:spacing w:after="0" w:line="181" w:lineRule="exact"/>
        <w:rPr>
          <w:sz w:val="20"/>
          <w:szCs w:val="20"/>
          <w:color w:val="auto"/>
        </w:rPr>
      </w:pPr>
    </w:p>
    <w:p>
      <w:pPr>
        <w:ind w:left="600" w:hanging="592"/>
        <w:spacing w:after="0"/>
        <w:tabs>
          <w:tab w:leader="none" w:pos="6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227" w:lineRule="exact"/>
        <w:rPr>
          <w:sz w:val="20"/>
          <w:szCs w:val="20"/>
          <w:color w:val="auto"/>
        </w:rPr>
      </w:pPr>
    </w:p>
    <w:p>
      <w:pPr>
        <w:jc w:val="both"/>
        <w:ind w:firstLine="8"/>
        <w:spacing w:after="0" w:line="310" w:lineRule="auto"/>
        <w:tabs>
          <w:tab w:leader="none" w:pos="594" w:val="left"/>
        </w:tabs>
        <w:numPr>
          <w:ilvl w:val="0"/>
          <w:numId w:val="53"/>
        </w:numPr>
        <w:rPr>
          <w:rFonts w:ascii="Arial" w:cs="Arial" w:eastAsia="Arial" w:hAnsi="Arial"/>
          <w:sz w:val="16"/>
          <w:szCs w:val="16"/>
          <w:color w:val="auto"/>
        </w:rPr>
      </w:pPr>
      <w:r>
        <w:rPr>
          <w:rFonts w:ascii="Arial" w:cs="Arial" w:eastAsia="Arial" w:hAnsi="Arial"/>
          <w:sz w:val="16"/>
          <w:szCs w:val="16"/>
          <w:color w:val="auto"/>
        </w:rPr>
        <w:t>Yes. M I Acquisitions stockholders who intend to have their shares of common stock redeemed, by electing to have those shares redeemed for cash on the proxy card, should send their certificates by the day prior to the special meeting. Please see “Special Meeting of M I Acquisitions Stockholders— Redemption Rights” on page 50 of this proxy statement for the procedures to be followed if you wish to redeem your shares of common stock for cash.</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6" w:name="page17"/>
    <w:bookmarkEnd w:id="16"/>
    <w:p>
      <w:pPr>
        <w:ind w:left="592" w:hanging="592"/>
        <w:spacing w:after="0"/>
        <w:tabs>
          <w:tab w:leader="none" w:pos="59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occur?</w:t>
      </w:r>
    </w:p>
    <w:p>
      <w:pPr>
        <w:spacing w:after="0" w:line="227" w:lineRule="exact"/>
        <w:rPr>
          <w:sz w:val="20"/>
          <w:szCs w:val="20"/>
          <w:color w:val="auto"/>
        </w:rPr>
      </w:pPr>
    </w:p>
    <w:p>
      <w:pPr>
        <w:ind w:left="572" w:hanging="572"/>
        <w:spacing w:after="0"/>
        <w:tabs>
          <w:tab w:leader="none" w:pos="57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Assuming the requisite stockholder approvals are received, M I Acquisitions expects that the Business Combination will occur no later than [·], 2018.</w:t>
      </w:r>
    </w:p>
    <w:p>
      <w:pPr>
        <w:spacing w:after="0" w:line="242" w:lineRule="exact"/>
        <w:rPr>
          <w:sz w:val="20"/>
          <w:szCs w:val="20"/>
          <w:color w:val="auto"/>
        </w:rPr>
      </w:pPr>
    </w:p>
    <w:p>
      <w:pPr>
        <w:ind w:left="592" w:hanging="592"/>
        <w:spacing w:after="0"/>
        <w:tabs>
          <w:tab w:leader="none" w:pos="59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227" w:lineRule="exact"/>
        <w:rPr>
          <w:sz w:val="20"/>
          <w:szCs w:val="20"/>
          <w:color w:val="auto"/>
        </w:rPr>
      </w:pPr>
    </w:p>
    <w:p>
      <w:pPr>
        <w:jc w:val="both"/>
        <w:ind w:left="-8" w:firstLine="8"/>
        <w:spacing w:after="0" w:line="255"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the closing of the transactions contemplated by the Purchase Agreement, M I Acquisitions will acquire 100% of the issued and outstanding equity securities of Priority, which will result in Priority becoming a wholly-owned subsidiary of M I Acquisitions. In connection with the Business Combination, the cash held in the trust account will be used to pay for shares that have been converted, to pay cash transaction expenses in connection with the Business Combination, and for working capital and general corporate purposes. A copy of the Purchase Agreement is attached to this proxy statement as Annex A.</w:t>
      </w:r>
    </w:p>
    <w:p>
      <w:pPr>
        <w:spacing w:after="0" w:line="187" w:lineRule="exact"/>
        <w:rPr>
          <w:sz w:val="20"/>
          <w:szCs w:val="20"/>
          <w:color w:val="auto"/>
        </w:rPr>
      </w:pPr>
    </w:p>
    <w:p>
      <w:pPr>
        <w:ind w:left="-8" w:firstLine="8"/>
        <w:spacing w:after="0" w:line="280" w:lineRule="auto"/>
        <w:tabs>
          <w:tab w:leader="none" w:pos="59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M I Acquisitions and Priority equityholders hold in the combined company after the closing of the Business Combination?</w:t>
      </w:r>
    </w:p>
    <w:p>
      <w:pPr>
        <w:spacing w:after="0" w:line="166" w:lineRule="exact"/>
        <w:rPr>
          <w:sz w:val="20"/>
          <w:szCs w:val="20"/>
          <w:color w:val="auto"/>
        </w:rPr>
      </w:pPr>
    </w:p>
    <w:p>
      <w:pPr>
        <w:jc w:val="both"/>
        <w:ind w:left="-8" w:firstLine="8"/>
        <w:spacing w:after="0" w:line="270" w:lineRule="auto"/>
        <w:tabs>
          <w:tab w:leader="none" w:pos="675" w:val="left"/>
        </w:tabs>
        <w:numPr>
          <w:ilvl w:val="0"/>
          <w:numId w:val="59"/>
        </w:numPr>
        <w:rPr>
          <w:rFonts w:ascii="Arial" w:cs="Arial" w:eastAsia="Arial" w:hAnsi="Arial"/>
          <w:sz w:val="17"/>
          <w:szCs w:val="17"/>
          <w:color w:val="auto"/>
        </w:rPr>
      </w:pPr>
      <w:r>
        <w:rPr>
          <w:rFonts w:ascii="Arial" w:cs="Arial" w:eastAsia="Arial" w:hAnsi="Arial"/>
          <w:sz w:val="17"/>
          <w:szCs w:val="17"/>
          <w:color w:val="auto"/>
        </w:rPr>
        <w:t>It is anticipated that, upon the completion of the Business Combination, M I Acquisitions’ Public Stockholders will retain an ownership interest of approximately 8% of the combined company, M I Acquisitions’ current directors, officers and affiliates will own approximately 1% of the combined company, and current equityholders of Priority will own approximately 91% of the combined company. The ownership percentage with respect to the combined company following the Business Combination does not take into account (i) the redemption of any shares by M I Acquisitions’ public stockholders, (ii) the exercise of the units or the warrants outstanding following the Business Combination or (iii) the issuance of any shares upon completion of the Business Combination under the 2018 Equity Incentive Plan or the Earnout Incentive Plan, which are intended to be adopted following the closing of the Business Combination. If the actual facts are different than these assumptions (which they are likely to be), the percentage ownership retained by M I Acquisitions’ existing stockholders in the combined entity will be different.</w:t>
      </w:r>
    </w:p>
    <w:p>
      <w:pPr>
        <w:spacing w:after="0" w:line="172" w:lineRule="exact"/>
        <w:rPr>
          <w:sz w:val="20"/>
          <w:szCs w:val="20"/>
          <w:color w:val="auto"/>
        </w:rPr>
      </w:pPr>
    </w:p>
    <w:p>
      <w:pPr>
        <w:ind w:left="592" w:hanging="592"/>
        <w:spacing w:after="0"/>
        <w:tabs>
          <w:tab w:leader="none" w:pos="59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common stock before the special meeting?</w:t>
      </w:r>
    </w:p>
    <w:p>
      <w:pPr>
        <w:spacing w:after="0" w:line="227" w:lineRule="exact"/>
        <w:rPr>
          <w:sz w:val="20"/>
          <w:szCs w:val="20"/>
          <w:color w:val="auto"/>
        </w:rPr>
      </w:pPr>
    </w:p>
    <w:p>
      <w:pPr>
        <w:jc w:val="both"/>
        <w:ind w:left="-8" w:firstLine="8"/>
        <w:spacing w:after="0" w:line="255" w:lineRule="auto"/>
        <w:tabs>
          <w:tab w:leader="none" w:pos="5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record date is earlier than the date of the special meeting. If you transfer your shares of common stock after the record date, but before the special meeting, unless the transferee obtains from you a proxy to vote those shares, you will retain your right to vote at the special meeting. However, you will not be able to seek redemption of your shares because you will no longer be able to deliver them for cancellation upon consummation of the Business Combination. If you transfer your shares of common stock prior to the record date, you will have no right to vote those shares at the special meeting or redeem those shares for a pro rata portion of the proceeds held in our trust account.</w:t>
      </w:r>
    </w:p>
    <w:p>
      <w:pPr>
        <w:spacing w:after="0" w:line="187" w:lineRule="exact"/>
        <w:rPr>
          <w:sz w:val="20"/>
          <w:szCs w:val="20"/>
          <w:color w:val="auto"/>
        </w:rPr>
      </w:pPr>
    </w:p>
    <w:p>
      <w:pPr>
        <w:ind w:left="592" w:hanging="592"/>
        <w:spacing w:after="0"/>
        <w:tabs>
          <w:tab w:leader="none" w:pos="59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federal income tax consequences of exercising my redemption rights?</w:t>
      </w:r>
    </w:p>
    <w:p>
      <w:pPr>
        <w:spacing w:after="0" w:line="227" w:lineRule="exact"/>
        <w:rPr>
          <w:sz w:val="20"/>
          <w:szCs w:val="20"/>
          <w:color w:val="auto"/>
        </w:rPr>
      </w:pPr>
    </w:p>
    <w:p>
      <w:pPr>
        <w:jc w:val="both"/>
        <w:ind w:left="-8" w:firstLine="8"/>
        <w:spacing w:after="0" w:line="267" w:lineRule="auto"/>
        <w:tabs>
          <w:tab w:leader="none" w:pos="649" w:val="left"/>
        </w:tabs>
        <w:numPr>
          <w:ilvl w:val="0"/>
          <w:numId w:val="63"/>
        </w:numPr>
        <w:rPr>
          <w:rFonts w:ascii="Arial" w:cs="Arial" w:eastAsia="Arial" w:hAnsi="Arial"/>
          <w:sz w:val="17"/>
          <w:szCs w:val="17"/>
          <w:color w:val="auto"/>
        </w:rPr>
      </w:pPr>
      <w:r>
        <w:rPr>
          <w:rFonts w:ascii="Arial" w:cs="Arial" w:eastAsia="Arial" w:hAnsi="Arial"/>
          <w:sz w:val="17"/>
          <w:szCs w:val="17"/>
          <w:color w:val="auto"/>
        </w:rPr>
        <w:t>M I Acquisitions’ stockholders who exercise their redemption rights to receive cash in exchange for their shares of common stock generally will be required to treat the transaction as a sale of such shares and recognize gain or loss upon the redemption in an amount equal to the difference, if any, between the amount of cash received and the tax basis of the shares of common stock redeemed. Such gain or loss should be treated as capital gain or loss if such shares were held as a capital asset on the date of the redemption. The redemption, however, may be treated as a distribution to a redeeming stockholder for U.S. federal income tax purposes if the redemption does not effect a sufficient reduction (as determined under applicable federal income tax law) in the redeeming stockholder’s percentage ownership in us (whether such ownership is direct or through the application of certain attribution and constructive ownership rules). Any amounts treated as such a distribution will constitute a dividend to the extent not in excess of our current and accumulated earnings and profits as measured for U.S. federal income tax purposes. Any amounts treated as a distribution and that are in excess of our current and accumulated earnings and profits will reduce the redeeming stockholder’s basis in his or her redeemed shares of our common stock, and any remaining amount will be treated as gain realized on the sale or other disposition of our common stock. These tax consequences are described in more detail in the section entitled “Certain Material U.S. Federal Income Tax Considerations.” We urge you to consult your tax advisor regarding the tax consequences of exercising your redemption rights.</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12"/>
          </w:cols>
          <w:pgMar w:left="248" w:top="901" w:right="239" w:bottom="1440" w:gutter="0" w:footer="0" w:header="0"/>
        </w:sectPr>
      </w:pPr>
    </w:p>
    <w:bookmarkStart w:id="17" w:name="page18"/>
    <w:bookmarkEnd w:id="17"/>
    <w:p>
      <w:pPr>
        <w:ind w:left="600" w:hanging="592"/>
        <w:spacing w:after="0"/>
        <w:tabs>
          <w:tab w:leader="none" w:pos="6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warrant holder, can I exercise redemption rights with respect to my warrants?</w:t>
      </w:r>
    </w:p>
    <w:p>
      <w:pPr>
        <w:spacing w:after="0" w:line="227"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The holders of warrants have no redemption rights with respect to warrants.</w:t>
      </w:r>
    </w:p>
    <w:p>
      <w:pPr>
        <w:spacing w:after="0" w:line="219" w:lineRule="exact"/>
        <w:rPr>
          <w:sz w:val="20"/>
          <w:szCs w:val="20"/>
          <w:color w:val="auto"/>
        </w:rPr>
      </w:pPr>
    </w:p>
    <w:p>
      <w:pPr>
        <w:ind w:left="600" w:hanging="592"/>
        <w:spacing w:after="0"/>
        <w:tabs>
          <w:tab w:leader="none" w:pos="6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unit holder, can I exercise redemption rights with respect to my units?</w:t>
      </w:r>
    </w:p>
    <w:p>
      <w:pPr>
        <w:spacing w:after="0" w:line="227" w:lineRule="exact"/>
        <w:rPr>
          <w:sz w:val="20"/>
          <w:szCs w:val="20"/>
          <w:color w:val="auto"/>
        </w:rPr>
      </w:pPr>
    </w:p>
    <w:p>
      <w:pPr>
        <w:jc w:val="both"/>
        <w:ind w:firstLine="8"/>
        <w:spacing w:after="0" w:line="274" w:lineRule="auto"/>
        <w:tabs>
          <w:tab w:leader="none" w:pos="631"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 Holders of outstanding units must separate the underlying public shares and public warrants prior to exercising redemption rights with respect to the public shares. If you hold units registered in your own name, you must deliver the certificate for such units to our transfer agent, with written instructions to separate such units into public shares and public warrants. This must be completed far enough in advance to permit the mailing of the public share certificates back to you so that you may then exercise your redemption rights upon the separation of the public shares from the units. The address of our transfer agent is listed under the section “Description of M I Acquisitions’ Securities—M I Acquisitions’ Transfer Agent”.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 broker, dealer, commercial bank, trust company or other nominee holds your units, you must instruct such nominee to separate your units. Your nominee must send written instructions by facsimile to our transfer agent.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and public warrants. This must be completed far enough in advance to permit your nominee to exercise your redemption rights upon the separation of the public shares from the units. While this is typically done electronically the same business day, you should allow at least one full business day to accomplish the separation. If you fail to cause your public shares to be separated in a timely manner, you will likely not be able to exercise your redemption rights.</w:t>
      </w:r>
    </w:p>
    <w:p>
      <w:pPr>
        <w:spacing w:after="0" w:line="189" w:lineRule="exact"/>
        <w:rPr>
          <w:sz w:val="20"/>
          <w:szCs w:val="20"/>
          <w:color w:val="auto"/>
        </w:rPr>
      </w:pPr>
    </w:p>
    <w:p>
      <w:pPr>
        <w:ind w:left="600" w:hanging="592"/>
        <w:spacing w:after="0"/>
        <w:tabs>
          <w:tab w:leader="none" w:pos="6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May I seek statutory appraisal rights or dissenter rights with respect to my shares?</w:t>
      </w:r>
    </w:p>
    <w:p>
      <w:pPr>
        <w:spacing w:after="0" w:line="227" w:lineRule="exact"/>
        <w:rPr>
          <w:sz w:val="20"/>
          <w:szCs w:val="20"/>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Appraisal rights are not available to holders of M I Acquisitions common stock in connection with the Business Combination.</w:t>
      </w:r>
    </w:p>
    <w:p>
      <w:pPr>
        <w:spacing w:after="0" w:line="219" w:lineRule="exact"/>
        <w:rPr>
          <w:sz w:val="20"/>
          <w:szCs w:val="20"/>
          <w:color w:val="auto"/>
        </w:rPr>
      </w:pPr>
    </w:p>
    <w:p>
      <w:pPr>
        <w:ind w:left="600" w:hanging="592"/>
        <w:spacing w:after="0"/>
        <w:tabs>
          <w:tab w:leader="none" w:pos="6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227" w:lineRule="exact"/>
        <w:rPr>
          <w:sz w:val="20"/>
          <w:szCs w:val="20"/>
          <w:color w:val="auto"/>
        </w:rPr>
      </w:pPr>
    </w:p>
    <w:p>
      <w:pPr>
        <w:jc w:val="both"/>
        <w:ind w:firstLine="8"/>
        <w:spacing w:after="0" w:line="253" w:lineRule="auto"/>
        <w:tabs>
          <w:tab w:leader="none" w:pos="6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absence of stockholder approval for a further extension, if M I Acquisitions does not consummate the Business Combination by [________], 2018, then pursuant to its amended and restated certificate of incorporation, M I Acquisitions will (i) cease all operations except for the purpose of winding up, (ii) as promptly as reasonably possible but no more than ten business days after [_______], 2018,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M I Acquisitions’ remaining stockholders and board of directors, dissolve and liquidate, subject (in the case of (ii) and (iii)) to our obligations under Delaware law to provide for claims of creditors and the requirements of any other applicable law. Our insiders have agreed to waive their rights to share in any distribution with respect to their insider shares and any private shares.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any liquidation, the funds held in the trust account, plus any interest earned thereon (net of taxes payable), will be distributed pro-rata to holders of shares of M I Acquisitions’ common stock acquired in the IPO or in the aftermarket. If the Business Combination is not consummated within the timeframe discussed above, the warrants will expire worthless. The estimated consideration that each share of common stock would be paid at liquidation is $[·] per share, based on amounts on deposit in the trust account as of the Record Date. The closing price of M I Acquisitions’ common stock on the Nasdaq stock market as of the Record Date was $[·] per share of common stock.</w:t>
      </w:r>
    </w:p>
    <w:p>
      <w:pPr>
        <w:spacing w:after="0" w:line="187" w:lineRule="exact"/>
        <w:rPr>
          <w:sz w:val="20"/>
          <w:szCs w:val="20"/>
          <w:color w:val="auto"/>
        </w:rPr>
      </w:pPr>
    </w:p>
    <w:p>
      <w:pPr>
        <w:ind w:left="600" w:hanging="592"/>
        <w:spacing w:after="0"/>
        <w:tabs>
          <w:tab w:leader="none" w:pos="6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deposited in the trust account following the Business Combination?</w:t>
      </w:r>
    </w:p>
    <w:p>
      <w:pPr>
        <w:spacing w:after="0" w:line="227" w:lineRule="exact"/>
        <w:rPr>
          <w:sz w:val="20"/>
          <w:szCs w:val="20"/>
          <w:color w:val="auto"/>
        </w:rPr>
      </w:pPr>
    </w:p>
    <w:p>
      <w:pPr>
        <w:ind w:right="60" w:firstLine="8"/>
        <w:spacing w:after="0" w:line="275"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of the Record Date, 2018, there was approximately $[·] in the trust account, or approximately $[·] per share of common stock issued in the IPO. Following the closing of the Business Combination, funds in the trust account will be released: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 w:name="page19"/>
    <w:bookmarkEnd w:id="18"/>
    <w:p>
      <w:pPr>
        <w:ind w:left="660" w:hanging="330"/>
        <w:spacing w:after="0"/>
        <w:tabs>
          <w:tab w:leader="none" w:pos="6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to pay holders of shares of M I Acquisitions’ common stock exercising conversion rights, who will receive their per share conversion price;</w:t>
      </w:r>
    </w:p>
    <w:p>
      <w:pPr>
        <w:spacing w:after="0" w:line="234" w:lineRule="exact"/>
        <w:rPr>
          <w:rFonts w:ascii="Arial" w:cs="Arial" w:eastAsia="Arial" w:hAnsi="Arial"/>
          <w:sz w:val="17"/>
          <w:szCs w:val="17"/>
          <w:color w:val="auto"/>
        </w:rPr>
      </w:pPr>
    </w:p>
    <w:p>
      <w:pPr>
        <w:jc w:val="both"/>
        <w:ind w:left="660" w:hanging="330"/>
        <w:spacing w:after="0" w:line="262"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pay certain other fees, costs and expenses (including regulatory fees, legal fees, accounting fees, printer fees, and other professional fees) that were incurred by M I Acquisitions or Priority in connection with the transactions contemplated by the Business Combination and pursuant to the terms of the Purchase Agreement; and</w:t>
      </w:r>
    </w:p>
    <w:p>
      <w:pPr>
        <w:spacing w:after="0" w:line="182" w:lineRule="exact"/>
        <w:rPr>
          <w:rFonts w:ascii="Arial" w:cs="Arial" w:eastAsia="Arial" w:hAnsi="Arial"/>
          <w:sz w:val="18"/>
          <w:szCs w:val="18"/>
          <w:color w:val="auto"/>
        </w:rPr>
      </w:pPr>
    </w:p>
    <w:p>
      <w:pPr>
        <w:ind w:left="660" w:hanging="330"/>
        <w:spacing w:after="0"/>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for general corporate purposes including, but not limited to, working capital for operations of the combined entity.</w:t>
      </w:r>
    </w:p>
    <w:p>
      <w:pPr>
        <w:spacing w:after="0" w:line="219" w:lineRule="exact"/>
        <w:rPr>
          <w:rFonts w:ascii="Arial" w:cs="Arial" w:eastAsia="Arial" w:hAnsi="Arial"/>
          <w:sz w:val="18"/>
          <w:szCs w:val="18"/>
          <w:color w:val="auto"/>
        </w:rPr>
      </w:pPr>
    </w:p>
    <w:p>
      <w:pPr>
        <w:ind w:left="600" w:hanging="592"/>
        <w:spacing w:after="0"/>
        <w:tabs>
          <w:tab w:leader="none" w:pos="60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In accordance with which accounting standard will M I Acquisitions prepare its financial statements after the Business Combination?</w:t>
      </w:r>
    </w:p>
    <w:p>
      <w:pPr>
        <w:spacing w:after="0" w:line="239" w:lineRule="exact"/>
        <w:rPr>
          <w:sz w:val="20"/>
          <w:szCs w:val="20"/>
          <w:color w:val="auto"/>
        </w:rPr>
      </w:pPr>
    </w:p>
    <w:p>
      <w:pPr>
        <w:ind w:firstLine="8"/>
        <w:spacing w:after="0" w:line="275" w:lineRule="auto"/>
        <w:tabs>
          <w:tab w:leader="none" w:pos="856" w:val="left"/>
        </w:tabs>
        <w:numPr>
          <w:ilvl w:val="0"/>
          <w:numId w:val="75"/>
        </w:numPr>
        <w:rPr>
          <w:rFonts w:ascii="Arial" w:cs="Arial" w:eastAsia="Arial" w:hAnsi="Arial"/>
          <w:sz w:val="18"/>
          <w:szCs w:val="18"/>
          <w:color w:val="auto"/>
        </w:rPr>
      </w:pPr>
      <w:r>
        <w:rPr>
          <w:rFonts w:ascii="Arial" w:cs="Arial" w:eastAsia="Arial" w:hAnsi="Arial"/>
          <w:sz w:val="18"/>
          <w:szCs w:val="18"/>
          <w:color w:val="auto"/>
        </w:rPr>
        <w:t>M I Acquisitions intends to continue providing its investors with financial statements prepared in accordance with U.S. Generally Accepted Accounting Principles (“GAAP”), and the relevant securities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M I ACQUISITIONS STOCKHOLDERS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rules of the SEC, M I Acquisitions and services that it employs to deliver communications to its stockholders are permitted to deliver to two or more stockholders sharing the same address a single copy of the proxy statement, unless M I Acquisitions has received contrary instructions from one or more of such stockholders. Upon written or oral request, M I Acquisitions will deliver a separate copy of the proxy statement to any stockholder at a shared address to which a single copy of the proxy statement was delivered and who wishes to receive separate copies in the future. Stockholders receiving multiple copies of the proxy statement may likewise request that M I Acquisitions deliver single copies of the proxy statement in the future. Stockholders may notify M I Acquisitions of their requests by contacting M I Acquisitions at:</w:t>
      </w:r>
    </w:p>
    <w:p>
      <w:pPr>
        <w:spacing w:after="0" w:line="18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 I Acquisitions, Inc.</w:t>
      </w:r>
    </w:p>
    <w:p>
      <w:pPr>
        <w:ind w:left="4740"/>
        <w:spacing w:after="0" w:line="204"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Joshua Sason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(347) 491-4240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63379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2660" cy="6337935"/>
                    </a:xfrm>
                    <a:prstGeom prst="rect">
                      <a:avLst/>
                    </a:prstGeom>
                    <a:noFill/>
                  </pic:spPr>
                </pic:pic>
              </a:graphicData>
            </a:graphic>
          </wp:anchor>
        </w:drawing>
        <w:t>SUMMARY OF THE PROXY STATEMENT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This summary highlights selected information from this proxy statement but may not contain all of the information that may be important to you. Accordingly, we encourage you to read carefully this entire proxy statement, including the Purchase Agreement attached as Annex A, as these documents are the legal documents that govern the Business Combination and your rights in the Business Combination. Unless the context otherwise requires, references to “M I Acquisitions,” “we,” “us” or “our” in this proxy statement refers to M I Acquisitions,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01" w:lineRule="auto"/>
        <w:rPr>
          <w:sz w:val="20"/>
          <w:szCs w:val="20"/>
          <w:color w:val="auto"/>
        </w:rPr>
      </w:pPr>
      <w:r>
        <w:rPr>
          <w:rFonts w:ascii="Arial" w:cs="Arial" w:eastAsia="Arial" w:hAnsi="Arial"/>
          <w:sz w:val="18"/>
          <w:szCs w:val="18"/>
          <w:color w:val="auto"/>
        </w:rPr>
        <w:t>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Telephone: (347) 491-4240</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Inc. is a special purpose acquisition company formed on April 23, 2015 in Delaware for the purpose of entering into a merger, share exchange, asset acquisition, stock purchase, recapitalization or other similar business combination with one or more businesses or entities, which we refer to as a “target business.” M I Acquisitions intended to focus on acquiring a company or companies operating in the technology, media and telecommunications industries, but was not limited to a particular industry or geographic region.</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M I Acquisitions completed its initial public offering (“IPO”) on September 19, 2016 of 5,000,000 units, which each unit consisting of one share of common stock, par value $0.001 per share, and one warrant, which entitles the holder thereof to purchase one share of common stock. Simultaneously with the consummation of the IPO, we consummated the private placement of 402,500 private units at a price of $10.00 per unit, generating total proceeds of $4,025,000. The private units were purchased by M SPAC LLC, M SPAC Holdings I LLC and M SPAC Holdings II LLC, entities controlled by Joshua Sason, our Chief Executive Officer. M I Acquisitions received gross proceeds of approximately $54,025,000 from the IPO and private placement.</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After deducting the underwriting discounts and commissions and the offering expenses, the total net proceeds to us from the IPO (including the over-allotment option units) and private placements on September 19, 2016 and October 14, 2016 were $57,312,160, of which $54,694,127 was deposited into a trust account, and the remaining proceeds became available to be used to provide for business, legal and accounting due diligence on prospective business combinations and continuing general and administrative expenses. Through the Record Date, we have used approximately $[·] of the net proceeds that were not deposited into the trust account to pay general and administrative expenses. The net proceeds deposited into the trust account remain on deposit in the trust account earning interest. As of the Record Date, there was $[·] held in the trust account (including $[·] of accrued interest).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units, shares of common stock and warrants are each quoted on the Nasdaq stock market under the symbols “MACQU,” “MACQ,” and “MACQW,” respectively. Each of M I Acquisitions’ units consists of one share of common stock and one warrant to purchase one share of common stock. M I Acquisitions’ units commenced trading on September 14, 2016 and M I Acquisitions’ shares of common stock and warrants commenced trading on November 14, 2016.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29"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7157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2660" cy="7157720"/>
                    </a:xfrm>
                    <a:prstGeom prst="rect">
                      <a:avLst/>
                    </a:prstGeom>
                    <a:noFill/>
                  </pic:spPr>
                </pic:pic>
              </a:graphicData>
            </a:graphic>
          </wp:anchor>
        </w:drawing>
        <w:t>Priority Holdings, LLC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2001 Westside Parkway, Suite 155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Alpharetta, GA 30004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Attn: Thomas C. Priore, Executive Chairman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Telephone: (800) 935-5961</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Priority is a leading provider of merchant acquiring and commercial payment solutions, offering unique product capabilities to SMBs, enterprises and distribution partners in the United States. Priority was founded in 2005 with a mission to build a merchant inspired payments platform that would advance the goals of its SMB and enterprise clients and distribution partners. Since 2013, Priority has grown from the 38th largest U.S. merchant acquirer to become</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largest as of 2017, measured by Visa and MasterCard purchase volume according to The Nilson Report. Priority is currently the 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largest non-bank merchant acquirer in the United States. In 2017, Priority processed over 439 million transactions and over $34 billion in bankcard payment volume for approximately 174,000 merchants. In the three months ended March 31, 2018, Priority processed over 110 million transactions and over $9 billion in bankcard payment volume across approximately the same number of merchants. Headquartered in Alpharetta, GA, Priority has approximately 480 employees and is led by an experienced group of payments executives.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 and Purchase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Business Combination Consideration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Upon the closing of the transactions contemplated by the Purchase Agreement, M I Acquisitions will acquire 100% of the issued and outstanding equity securities of Priority, which will result in Priority becoming a wholly-owned subsidiary of M I Acquisitions.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In addition, any cash that Priority spends to acquire any technology assets, up to $5.0 million, to purchase securities from the M I’s founders pursuant to the Founders Share Agreement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Sellers).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An additional 9.8 million shares of M I Acquisitions common stock may be issued as earn out consideration to the Sellers, or at their election, to members of Priority’s management or other service providers post-business combination pursuant to the Earnout Incentive Plan—4.9 million shares for the first earn-out and 4.9 million shares for the second earn-out.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29" w:right="27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6312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2660" cy="6312535"/>
                    </a:xfrm>
                    <a:prstGeom prst="rect">
                      <a:avLst/>
                    </a:prstGeom>
                    <a:noFill/>
                  </pic:spPr>
                </pic:pic>
              </a:graphicData>
            </a:graphic>
          </wp:anchor>
        </w:drawing>
        <w:t>After the Business Combination, assuming no redemptions of common stock for cash, M I Acquisitions’ current public stockholders (the “Public Stockholders”) will own approximately 8% of the post-Business Combination entity, M I Acquisitions’ current directors, officers and affiliates will own approximately 1% of the post-Business Combination entity, and the Sellers will own approximately 91% of the post-Business Combination entity. Assuming redemption by holders of 63.7% of 5.3 million shares of M I Acquisitions common stock, M I Acquisitions’ Public Stockholders will own approximately 3% of the post-Business Combination entity, M I Acquisitions’ current directors, officers and affiliates will own approximately 1% of the post-Business Combination entity, and the Sellers will own approximately 96% of the post-Business Combination entity.</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consummation of the Business Combination is conditioned upon the majority of the shares of common stock voted by M I Acquisitions’ stockholders present and entitled to vote at the special meeting voting in favor of the Business Combination Proposal and the majority of the outstanding shares of common stock voting in favor of each of the Amendments Proposals. For more information about the closing conditions to the Business Combination, see the section entitled “The Purchase Agreement-Conditions to Closing” elsewhere in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Effective as of the closing date, the board of directors of M I Acquisitions will consist of seven members, all of whom will be designated by Sellers by written notice to M I Acquisitions immediately prior to the closing. For a period of approximately two years following the closing, the post-closing entity will allow one representative designated by Magna Management, LLC, a company controlled by certain of our insiders (“Magna Management”), to attend and participate in all meetings and other activities of the board of directors as a non-voting observer.</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Three directors will be deemed to be “independent directors” under Nasdaq rules and Rule 10A-3 under the Exchange Act, including Marc Manuel, our current Chief Financial Officer. Thomas Priore and John Priore, the Executive Chairman and the Chief Executive Officer, respectively, of M I Acquisitions after the consummation of the Business Combination, will also be directors. In addition, the Sellers expect to appoint two additional directors, who will likely be officers of M I Acquisitions after the consummation of the Business Combination. See “Directors, Executive Officers, Executive Compensation and Corporate Governance -Directors and Executive Officers after the Business Combination” elsewhere in this proxy statement.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Purchase Agreement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26, 2018, M I Acquisitions and the Sellers entered into the Purchase Agreement, pursuant to which M I Acquisitions will acquire all of the outstanding equity interests of Priority. The Purchase Agreement was amended and restated on March 26, 2018 and April 17, 2018. Upon the consummation of the Business Combination, Priority will become a wholly-owned subsidiary of M I Acquisitions, and the name of M I Acquisitions will be changed to Priority Technology Holdings, Inc.</w:t>
      </w:r>
    </w:p>
    <w:p>
      <w:pPr>
        <w:spacing w:after="0" w:line="185"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consideration for the transactions contemplated by the Purchase Agreement consists of shares of M I Acquisitions common stock, calculated as set forth above in “—The Business Combination and Purchase Agreement—Business Combination; Business Combination Consideration.”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of both parties to consummate the Purchase Agreement and the transactions contemplated thereby is conditioned on, among other things,</w:t>
      </w:r>
    </w:p>
    <w:p>
      <w:pPr>
        <w:spacing w:after="0" w:line="46" w:lineRule="exact"/>
        <w:rPr>
          <w:sz w:val="20"/>
          <w:szCs w:val="20"/>
          <w:color w:val="auto"/>
        </w:rPr>
      </w:pPr>
    </w:p>
    <w:p>
      <w:pPr>
        <w:jc w:val="both"/>
        <w:ind w:firstLine="5"/>
        <w:spacing w:after="0" w:line="251" w:lineRule="auto"/>
        <w:tabs>
          <w:tab w:leader="none" w:pos="27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absence of any order, stay, judgment or decree by any government agency or any litigation seeking to enjoin, modify, amend or prohibit the acquisition; (b) holders of a majority of the outstanding shares of common stock approving the Business Combination in accordance with M I Acquisition’s Amended and Restated Certificate of Incorporation; (c) there being no less than $20 million remaining in the trust account immediately after the closing of the acquisition, after taking into account all redemptions; and (d) all redemptions from the trust account being consummated in accordance with the Purchase Agreement and M I Acquisitions’ organizational documents.</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The obligations of Priority to consummate the transactions contemplated by the Purchase Agreement, in addition to the conditions described above, are conditioned upon each of the following (none of which can be satisfied until the closing of the Business Combination), among other things: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2" w:name="page23"/>
    <w:bookmarkEnd w:id="22"/>
    <w:p>
      <w:pPr>
        <w:ind w:left="640" w:hanging="313"/>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6995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2660" cy="6995160"/>
                    </a:xfrm>
                    <a:prstGeom prst="rect">
                      <a:avLst/>
                    </a:prstGeom>
                    <a:noFill/>
                  </pic:spPr>
                </pic:pic>
              </a:graphicData>
            </a:graphic>
          </wp:anchor>
        </w:drawing>
        <w:t>M I Acquisitions complying with all of its obligations required to be performed pursuant to the covenants in the Purchase Agreement;</w:t>
      </w:r>
    </w:p>
    <w:p>
      <w:pPr>
        <w:spacing w:after="0" w:line="223" w:lineRule="exact"/>
        <w:rPr>
          <w:rFonts w:ascii="Arial" w:cs="Arial" w:eastAsia="Arial" w:hAnsi="Arial"/>
          <w:sz w:val="18"/>
          <w:szCs w:val="18"/>
          <w:color w:val="auto"/>
        </w:rPr>
      </w:pPr>
    </w:p>
    <w:p>
      <w:pPr>
        <w:ind w:left="640" w:hanging="313"/>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representations and warranties of M I Acquisitions being true on and as of the closing date of the acquisition; and</w:t>
      </w:r>
    </w:p>
    <w:p>
      <w:pPr>
        <w:spacing w:after="0" w:line="223" w:lineRule="exact"/>
        <w:rPr>
          <w:rFonts w:ascii="Arial" w:cs="Arial" w:eastAsia="Arial" w:hAnsi="Arial"/>
          <w:sz w:val="18"/>
          <w:szCs w:val="18"/>
          <w:color w:val="auto"/>
        </w:rPr>
      </w:pPr>
    </w:p>
    <w:p>
      <w:pPr>
        <w:ind w:left="640" w:hanging="313"/>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 I Acquisitions’ common stock remaining listed for trading on Nasdaq.</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obligations of M I Acquisitions to consummate the transactions contemplated by the Purchase Agreement, in addition to the conditions described above in the first paragraph of this section, are conditioned upon each of the following (none of which can be satisfied until the closing of the Business Combination), among other things:</w:t>
      </w:r>
    </w:p>
    <w:p>
      <w:pPr>
        <w:spacing w:after="0" w:line="182" w:lineRule="exact"/>
        <w:rPr>
          <w:sz w:val="20"/>
          <w:szCs w:val="20"/>
          <w:color w:val="auto"/>
        </w:rPr>
      </w:pPr>
    </w:p>
    <w:p>
      <w:pPr>
        <w:ind w:left="640" w:hanging="313"/>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Priority complying with all of its obligations required to be performed pursuant to the covenants in the Purchase Agreement; and</w:t>
      </w:r>
    </w:p>
    <w:p>
      <w:pPr>
        <w:spacing w:after="0" w:line="223" w:lineRule="exact"/>
        <w:rPr>
          <w:rFonts w:ascii="Arial" w:cs="Arial" w:eastAsia="Arial" w:hAnsi="Arial"/>
          <w:sz w:val="18"/>
          <w:szCs w:val="18"/>
          <w:color w:val="auto"/>
        </w:rPr>
      </w:pPr>
    </w:p>
    <w:p>
      <w:pPr>
        <w:ind w:left="640" w:hanging="313"/>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representations and warranties of Priority being true on and as of the closing date of the Business Combination.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more information about the closing conditions to the Business Combination, see the section entitled “The Purchase Agreement-Conditions to Closing” elsewhere in this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 Relating to the Business Combination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Founders Share Agreement</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Concurrently with the Purchase Agreement, the founding stockholders of M I Acquisitions (the “Founders”) and Priority entered into a purchase agreement (the “Founders Share Agreement”), a copy of which is attached hereto as Annex B, pursuant to which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the Founders and Thomas C. Priore, the Executive Chairman of Priority, entered into a letter agreement (the “Letter Agreement”) pursuant to which the Founders granted Thomas Priore (i) the right to purchase at any time all or some of the Founders’ remaining shares of common stock of M I Acquisitions at the prevailing market price subject to certain conditions including a floor of $10.30 per share and (ii) a right of first refusal on any proposed transfer of shares by the Founders. A copy of the Letter Agreement is attached hereto as Annex 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Business Combination, M I Acquisitions and the Priority stockholders will enter into a Registration Rights Agreement to provide for the registration of the common stock being issued to the Priority stockholders in connection with the Business Combination. The Priority stockholders will be entitled to “piggy-back” registration rights with respect to registration statements filed following the consummation of the Business Combination, as well as certain demand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 of Directors and Reasons for the Business Combination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careful consideration of the terms and conditions of the Purchase Agreement and the related agreements, the board of directors of M I Acquisitions has determined that the Business Combination and the transactions contemplated thereby are fair to and in the best interests of M I Acquisitions and its stockholders. The board of directors did not obtain a fairness opinion on which to base its assessment. However, in considering the Business Combination with Priority, our management team and board of directors determined that Priority met, in some fashion, all of the criteria for our target company screening: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3" w:name="page24"/>
    <w:bookmarkEnd w:id="23"/>
    <w:p>
      <w:pPr>
        <w:ind w:left="1020" w:hanging="370"/>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7131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2660" cy="7131685"/>
                    </a:xfrm>
                    <a:prstGeom prst="rect">
                      <a:avLst/>
                    </a:prstGeom>
                    <a:noFill/>
                  </pic:spPr>
                </pic:pic>
              </a:graphicData>
            </a:graphic>
          </wp:anchor>
        </w:drawing>
        <w:t>Intelligible business model with public market comparables</w:t>
      </w:r>
    </w:p>
    <w:p>
      <w:pPr>
        <w:spacing w:after="0" w:line="223" w:lineRule="exact"/>
        <w:rPr>
          <w:sz w:val="20"/>
          <w:szCs w:val="20"/>
          <w:color w:val="auto"/>
        </w:rPr>
      </w:pPr>
    </w:p>
    <w:p>
      <w:pPr>
        <w:jc w:val="both"/>
        <w:ind w:left="640"/>
        <w:spacing w:after="0" w:line="269" w:lineRule="auto"/>
        <w:rPr>
          <w:sz w:val="20"/>
          <w:szCs w:val="20"/>
          <w:color w:val="auto"/>
        </w:rPr>
      </w:pPr>
      <w:r>
        <w:rPr>
          <w:rFonts w:ascii="Arial" w:cs="Arial" w:eastAsia="Arial" w:hAnsi="Arial"/>
          <w:sz w:val="17"/>
          <w:szCs w:val="17"/>
          <w:color w:val="auto"/>
        </w:rPr>
        <w:t>Priority is a leading provider of merchant acquiring and commercial payment solutions with proprietary technology and infrastructure, ranking as the 6th largest non-bank acquirer as per “The Nilson Report”. Because several of Priority’s peers such as Global Payments Inc. (NYSE: GPN) and Worldpay Inc. (NYSE: WP) have strong public markets followings and support from investors and investment banks, we believe that Priority’s business model will be easily understood by the investment community. Additionally, in 2016, FinTech Acquisition Corp., a $100.0 million special purpose acquisition corporation, completed its acquisition of CardConnect Corp., which was subsequently sold to First Data Corporation at a price per share of $15.00 per share. We believe that this set a strong precedent in the marketplace for electronic payments companies merging with special purpose acquisition companies and will provide further support from the investment community. Furthermore, as further described later in this section, the board believes that the transaction represents an attractive investment opportunity due to the Priority’s post-Business Combination valuation discount to similar publicly-listed comparable companies.</w:t>
      </w:r>
    </w:p>
    <w:p>
      <w:pPr>
        <w:spacing w:after="0" w:line="179" w:lineRule="exact"/>
        <w:rPr>
          <w:sz w:val="20"/>
          <w:szCs w:val="20"/>
          <w:color w:val="auto"/>
        </w:rPr>
      </w:pPr>
    </w:p>
    <w:p>
      <w:pPr>
        <w:ind w:left="1020" w:hanging="37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Proprietary and/or value-added products/services with sustainable competitive advantage</w:t>
      </w:r>
    </w:p>
    <w:p>
      <w:pPr>
        <w:spacing w:after="0" w:line="223"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Priority’s solutions are delivered through its internally developed enterprise suites, which include: MX Connect, MX Merchant and CPX. MX Connect provides Priority’s consumer payments reselling partners with automated tools that support low friction merchant on-boarding, underwriting and risk management, client service, and commission processing through a single mobile-enabled, web-based interface. The result is a smooth merchant activation onto Priority’s flagship consumer payments offering, MX Merchant, which provides core processing and business solutions to SMB clients, including a flexible and customizable set of business applications that help better manage critical business functions and revenue performance. CPX, like the MX Product line, provides a complete solution suite designed to monetize all types of B2B payments by maximizing automation for buyers and suppliers. Using these value-added product suites and a customer-focused approach, Priority strives to maintain low attrition rates in comparison to competitors. Priority’s attrition is approximately 12%. According to Adil Consulting, competing acquirers in the SMB segment have attrition rates that average 23%. We believe this provides Priority with a sustainable competitive advantage to its peers.</w:t>
      </w:r>
    </w:p>
    <w:p>
      <w:pPr>
        <w:spacing w:after="0" w:line="193" w:lineRule="exact"/>
        <w:rPr>
          <w:sz w:val="20"/>
          <w:szCs w:val="20"/>
          <w:color w:val="auto"/>
        </w:rPr>
      </w:pPr>
    </w:p>
    <w:p>
      <w:pPr>
        <w:ind w:left="1020" w:hanging="370"/>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Active in a positively-viewed industry that may be fragmented with high barriers to entry</w:t>
      </w:r>
    </w:p>
    <w:p>
      <w:pPr>
        <w:spacing w:after="0" w:line="223" w:lineRule="exact"/>
        <w:rPr>
          <w:sz w:val="20"/>
          <w:szCs w:val="20"/>
          <w:color w:val="auto"/>
        </w:rPr>
      </w:pPr>
    </w:p>
    <w:p>
      <w:pPr>
        <w:jc w:val="both"/>
        <w:ind w:left="640"/>
        <w:spacing w:after="0" w:line="269" w:lineRule="auto"/>
        <w:rPr>
          <w:sz w:val="20"/>
          <w:szCs w:val="20"/>
          <w:color w:val="auto"/>
        </w:rPr>
      </w:pPr>
      <w:r>
        <w:rPr>
          <w:rFonts w:ascii="Arial" w:cs="Arial" w:eastAsia="Arial" w:hAnsi="Arial"/>
          <w:sz w:val="17"/>
          <w:szCs w:val="17"/>
          <w:color w:val="auto"/>
        </w:rPr>
        <w:t>According to The Nilson Report, the electronic consumer payment volume in the United States is projected to increase from $7.5 trillion in 2016 to $10.0 trillion by 2021, representing a 5.9% compound annual growth rate. According to The Nilson Report, purchase volume on credit, debit and prepaid cards in the United States was approximately $6.2 trillion in 2016 and is estimated to reach nearly $8.5 trillion by 2021, a CAGR of 6.6%. Priority believes that the larger B2B market is somewhat less penetrated with card and other electronic payments and is poised for continued growth in the future. This long-term trend towards electronic payments and the growth of SMBs provide strong opportunity for Priority to continue to grow through both organic business development and acquisition of select, market participants. Furthermore, the electronic consumer payment industry requires participants to maintain and continuously improve internal technology and infrastructure, keeping barriers to entry relatively high. Therefore, we believe that Priority has positioned itself well to protect against market competition and from losing customers to new companies in the industry.</w:t>
      </w:r>
    </w:p>
    <w:p>
      <w:pPr>
        <w:spacing w:after="0" w:line="179" w:lineRule="exact"/>
        <w:rPr>
          <w:sz w:val="20"/>
          <w:szCs w:val="20"/>
          <w:color w:val="auto"/>
        </w:rPr>
      </w:pPr>
    </w:p>
    <w:p>
      <w:pPr>
        <w:ind w:firstLine="650"/>
        <w:spacing w:after="0" w:line="275" w:lineRule="auto"/>
        <w:tabs>
          <w:tab w:leader="none" w:pos="1021"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Strong and experienced management team supported by a motivated controlling counterparty seeking to take advantage of improved liquidity and access to public markets</w:t>
      </w:r>
    </w:p>
    <w:p>
      <w:pPr>
        <w:spacing w:after="0" w:line="171" w:lineRule="exact"/>
        <w:rPr>
          <w:sz w:val="20"/>
          <w:szCs w:val="20"/>
          <w:color w:val="auto"/>
        </w:rPr>
      </w:pPr>
    </w:p>
    <w:p>
      <w:pPr>
        <w:jc w:val="both"/>
        <w:ind w:left="640"/>
        <w:spacing w:after="0" w:line="268" w:lineRule="auto"/>
        <w:rPr>
          <w:sz w:val="20"/>
          <w:szCs w:val="20"/>
          <w:color w:val="auto"/>
        </w:rPr>
      </w:pPr>
      <w:r>
        <w:rPr>
          <w:rFonts w:ascii="Arial" w:cs="Arial" w:eastAsia="Arial" w:hAnsi="Arial"/>
          <w:sz w:val="17"/>
          <w:szCs w:val="17"/>
          <w:color w:val="auto"/>
        </w:rPr>
        <w:t>Priority’s leadership team has extensive expertise in the industry with over 150 years of combined financial technology, payment processing, or other corporate functional expertise. John Priore, Priority’s Chief Executive Officer, has over 26 years of experience including serving as an Executive Vice President of Financial Systems at Ingenico and a Divisional Vice President at First Data Corporation. Bruce Mattox, Priority’s Chief Financial Officer, has over 31 years of experience and is a former Vice President and Divisional Controller at Wachovia Bank of Georgia and is a former Controller and Director at First Data Merchant Services. We expect that all key Priority executives will continue with the combined company following the business combination. Thomas Priore, Priority’s Executive Chairman and its majority owner, has over 25 years of experience in corporate and financial management and over 17 years of experience building companies from start-ups to institutional caliber enterprises. In addition, the Priority equityholders will all receive equity consideration in the transaction. We believe that management and the existing Priority equityholders have aligned their future business strategy to include the benefits of continued access to public markets to support their ongoing development of the business.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4" w:name="page25"/>
    <w:bookmarkEnd w:id="24"/>
    <w:p>
      <w:pPr>
        <w:ind w:left="1020" w:hanging="370"/>
        <w:spacing w:after="0"/>
        <w:tabs>
          <w:tab w:leader="none" w:pos="1020"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3853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2660" cy="3853815"/>
                    </a:xfrm>
                    <a:prstGeom prst="rect">
                      <a:avLst/>
                    </a:prstGeom>
                    <a:noFill/>
                  </pic:spPr>
                </pic:pic>
              </a:graphicData>
            </a:graphic>
          </wp:anchor>
        </w:drawing>
        <w:t>Meaningful business size of at least ~$100.00 million in enterprise value with established and predictable history of revenue and profitability</w:t>
      </w:r>
    </w:p>
    <w:p>
      <w:pPr>
        <w:spacing w:after="0" w:line="246" w:lineRule="exact"/>
        <w:rPr>
          <w:sz w:val="20"/>
          <w:szCs w:val="20"/>
          <w:color w:val="auto"/>
        </w:rPr>
      </w:pPr>
    </w:p>
    <w:p>
      <w:pPr>
        <w:jc w:val="both"/>
        <w:ind w:left="640"/>
        <w:spacing w:after="0" w:line="292" w:lineRule="auto"/>
        <w:rPr>
          <w:sz w:val="20"/>
          <w:szCs w:val="20"/>
          <w:color w:val="auto"/>
        </w:rPr>
      </w:pPr>
      <w:r>
        <w:rPr>
          <w:rFonts w:ascii="Arial" w:cs="Arial" w:eastAsia="Arial" w:hAnsi="Arial"/>
          <w:sz w:val="16"/>
          <w:szCs w:val="16"/>
          <w:color w:val="auto"/>
        </w:rPr>
        <w:t>Following closing of the Business Combination, the expected pro forma enterprise value of the company will be approximately $1,003 million, which creates a company well above M I Acquisitions management’s targeted enterprise value minimum threshold of $100.0 million. Furthermore, since 2015, Priority has had consistent and growing annual revenue and Earnout Adjusted EBITDA. Annual revenue and annual Earnout Adjusted EBITDA have both increased for every fiscal year since 2015 and based upon current projections, is expected to continue to increase through 2019, with a 12% net revenue CAGR and a 19% Earnout Adjusted EBITDA CAGR over such period. We believe that Priority’s historic financial performance and projected future financial performance illustrate the strength of Priority as a partner for M I Acquisitions.</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several M I Acquisitions meetings of our executive team and in on-going consultation with the board of directors, a substantial amount of time was spent evaluating and reviewing the transaction consideration of $947.8 million to acquire 100% of the equity of Priority that had been negotiated by the management team with Priority equityholders. It was determined in consultation with our board and advisors that the best methodology for evaluating the consideration being paid to Priority would be to use the market comparable method, specifically looking at historical or projected EV/ Adjusted EBITDA multiples (enterprise value to Adjusted EBITDA) of what we viewed as similar publicly listed merchant acquirers or processors in comparison to Priority’s pro forma multiples pre-transaction. It was determined in January 2018, that similar public companies traded at approximately 14.7x Projected 2018 EV/Adjusted EBITDA multiple, representing a strong premium to the consideration being paid in the Priority transaction of 11.8x Priority's 2018 Projected EV/Earnout Adjusted EBITDA. Our executive team and the board consulted with Chardan Capital Markets about the consideration being paid to acquire Priority and about the strength of the company on an EV/Earnout Adjusted EBITDA valuation basis and Earnout Adjusted EBITDA growth basis in comparison to its peers on an EV/ Adjusted EBITDA valuation basis and Adjusted EBITDA growth basis, respectively. Priority projects a 38% Adjusted EBITDA growth rate for 2017 to 2018, in comparison to public company comparables who reflect a 13.0% Adjusted EBITDA growth rate over the same period.</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more information about M I Acquisitions’ decision making process, please see the section entitled “Proposal No. 1 – The Business Combination Proposal – The Board of Directors Reasons for the Approval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board of directors recommends that M I Acquisitions stockholders vote: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5" w:name="page26"/>
    <w:bookmarkEnd w:id="25"/>
    <w:p>
      <w:pPr>
        <w:ind w:left="640" w:hanging="313"/>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68586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2660" cy="6858635"/>
                    </a:xfrm>
                    <a:prstGeom prst="rect">
                      <a:avLst/>
                    </a:prstGeom>
                    <a:noFill/>
                  </pic:spPr>
                </pic:pic>
              </a:graphicData>
            </a:graphic>
          </wp:anchor>
        </w:drawing>
        <w:t>FOR the Business Combination Proposal;</w:t>
      </w:r>
    </w:p>
    <w:p>
      <w:pPr>
        <w:spacing w:after="0" w:line="22" w:lineRule="exact"/>
        <w:rPr>
          <w:rFonts w:ascii="Arial" w:cs="Arial" w:eastAsia="Arial" w:hAnsi="Arial"/>
          <w:sz w:val="18"/>
          <w:szCs w:val="18"/>
          <w:color w:val="auto"/>
        </w:rPr>
      </w:pPr>
    </w:p>
    <w:p>
      <w:pPr>
        <w:ind w:left="640" w:hanging="313"/>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Authorized Share Increase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Board Declassification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Voting Threshold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Section 203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Additional Amendments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2018 Equity Incentive Plan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Earnout Incentive Plan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Nasdaq Proposal; and</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Adjournment Proposal.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When you consider the recommendation of M I Acquisitions’ board of directors in favor of adoption of the Business Combination Proposal and other proposals, you should keep in mind that M I Acquisitions’ directors and officers have interests in the Business Combination that are different from, or in addition to, your interests as a stockholder, including:</w:t>
      </w:r>
    </w:p>
    <w:p>
      <w:pPr>
        <w:spacing w:after="0" w:line="182" w:lineRule="exact"/>
        <w:rPr>
          <w:sz w:val="20"/>
          <w:szCs w:val="20"/>
          <w:color w:val="auto"/>
        </w:rPr>
      </w:pPr>
    </w:p>
    <w:p>
      <w:pPr>
        <w:jc w:val="both"/>
        <w:ind w:left="640" w:right="120" w:hanging="313"/>
        <w:spacing w:after="0" w:line="272" w:lineRule="auto"/>
        <w:tabs>
          <w:tab w:leader="none" w:pos="6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the absence of stockholder approval for a further extension, if the proposed Business Combination is not completed by [_________], 2018, M I Acquisitions will be forced to liquidate. In such event, the 1,327,527 shares of M I Acquisitions common stock held by M I Acquisitions officers, directors and affiliates, which were acquired prior to the IPO for an aggregate purchase price of $25,000, will be worthless, as will the 421,107 private units that were acquired simultaneously in connection with the IPO for an aggregate purchase price of $4,211,070. Such shares of common stock and units had an aggregate market value of approximately $[●] based on the closing price of M I Acquisitions’ common stock of $[●] and M I Acquisitions’ warrants $[●], on the Nasdaq Capital Market as of the Record Date;</w:t>
      </w:r>
    </w:p>
    <w:p>
      <w:pPr>
        <w:spacing w:after="0" w:line="176" w:lineRule="exact"/>
        <w:rPr>
          <w:rFonts w:ascii="Arial" w:cs="Arial" w:eastAsia="Arial" w:hAnsi="Arial"/>
          <w:sz w:val="17"/>
          <w:szCs w:val="17"/>
          <w:color w:val="auto"/>
        </w:rPr>
      </w:pPr>
    </w:p>
    <w:p>
      <w:pPr>
        <w:jc w:val="both"/>
        <w:ind w:left="640" w:right="120" w:hanging="313"/>
        <w:spacing w:after="0" w:line="274" w:lineRule="auto"/>
        <w:tabs>
          <w:tab w:leader="none" w:pos="6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Unless M I Acquisitions consummates the Business Combination, its officers, directors and Initial Stockholders will not receive reimbursement for any out-of-pocket expenses incurred by them. As of the Record Date, M I Acquisitions’ officers, directors and Initial Stockholders were entitled to approximately $[●] in reimbursable expenses. As a result, the financial interest of M I Acquisitions’ officers, directors and Initial Stockholders or their affiliates could influence its officers’ and directors’ motivation in selecting Priority as a target and therefore there may be a conflict of interest when it determined that the Business Combination is in the stockholders’ best interest;</w:t>
      </w:r>
    </w:p>
    <w:p>
      <w:pPr>
        <w:spacing w:after="0" w:line="174" w:lineRule="exact"/>
        <w:rPr>
          <w:rFonts w:ascii="Arial" w:cs="Arial" w:eastAsia="Arial" w:hAnsi="Arial"/>
          <w:sz w:val="17"/>
          <w:szCs w:val="17"/>
          <w:color w:val="auto"/>
        </w:rPr>
      </w:pPr>
    </w:p>
    <w:p>
      <w:pPr>
        <w:jc w:val="both"/>
        <w:ind w:left="640" w:right="120" w:hanging="313"/>
        <w:spacing w:after="0" w:line="278" w:lineRule="auto"/>
        <w:tabs>
          <w:tab w:leader="none" w:pos="6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M I Acquisitions liquidates prior to the consummation of a business combination, our insiders have contractually agreed that they will be personally liable to ensure that the proceeds in the trust account are not reduced by the claims of target business or claims of vendors or other entities that are owed money by us for services rendered or contracted for or products sold to us. Therefore, our directors and officers have a financial interest in consummating the Business Combination, thereby resulting in a conflict of interest; and</w:t>
      </w:r>
    </w:p>
    <w:p>
      <w:pPr>
        <w:spacing w:after="0" w:line="169" w:lineRule="exact"/>
        <w:rPr>
          <w:rFonts w:ascii="Arial" w:cs="Arial" w:eastAsia="Arial" w:hAnsi="Arial"/>
          <w:sz w:val="17"/>
          <w:szCs w:val="17"/>
          <w:color w:val="auto"/>
        </w:rPr>
      </w:pPr>
    </w:p>
    <w:p>
      <w:pPr>
        <w:jc w:val="both"/>
        <w:ind w:left="640" w:right="120" w:hanging="313"/>
        <w:spacing w:after="0" w:line="262"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addition, the exercise of M I Acquisitions’ directors’ and officers’ discretion in agreeing to changes or waivers in the terms of the Business Combination may result in a conflict of interest when determining whether such changes or waivers are appropriate and in the best interests of M I Acquisitions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the Record Date, there were 7,058,743 shares of M I Acquisitions common stock issued and outstanding. Only M I Acquisitions stockholders who hold shares of common stock of record as of the close of business on the Record Date are entitled to vote at the special meeting of stockholders or any adjournment of the special meeting. Approval of each of the Amendments Proposals requires the affirmative vote of the holders of a majority of the outstanding shares of common stock of M I Acquisitions. Approval of each of the other proposals requires the affirmative vote of the holders of a majority of the issued and outstanding shares of common stock entitled to vote thereon as of the record date present in person or represented by proxy at the special meeting. Abstentions are considered present for the purposes of establishing a quorum but will have the same effect as a vote “AGAINST” any proposal. Broker non-votes will not be considered present for the purposes of establishing a quorum. A broker non-vote will have no effect on any of the proposals.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6" w:name="page27"/>
    <w:bookmarkEnd w:id="26"/>
    <w:p>
      <w:pPr>
        <w:jc w:val="both"/>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64490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2660" cy="6449060"/>
                    </a:xfrm>
                    <a:prstGeom prst="rect">
                      <a:avLst/>
                    </a:prstGeom>
                    <a:noFill/>
                  </pic:spPr>
                </pic:pic>
              </a:graphicData>
            </a:graphic>
          </wp:anchor>
        </w:drawing>
        <w:t>Please note that the Business Combination will not be completed unless the Business Combination Proposal and each of the Amendments Proposals are approved by stockholders at the special meeting.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Record Date, M I Acquisitions’ Initial Stockholders, either directly or beneficially, owned and were entitled to vote 1,748,634 shares of common stock, or approximately 25% of M I Acquisitions’ outstanding shares of common stock. M I Acquisitions’ Initial Stockholders have agreed to vote their respective shares of common stock acquired by them in favor of the Business Combination Proposal, the Earnout Incentive Plan Proposal and the Amendments Proposals. They have indicated that they intend to vote their shares, as applicable, “FOR” the Adjournment Proposal and the other proposals, although there is no agreement in place with respect to these proposals.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Holders of M I Acquisitions common stock are not entitled to appraisal rights under the DGCL.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 I Acquisitions is an “emerging growth company,” as defined in the Jumpstart Our Business Startups Act (or JOBS Act). It is anticipated that after the consummation of the Business Combination, M I Acquisitions will continue to be an “emerging growth company.” As an emerging growth company, M I Acquisitions will be eligible to take advantage of certain exemptions from various reporting requirements that are applicable to other public companies that are not emerging growth companies. These include, but are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the requirement to obtain stockholder approval of any golden parachute payments not previously approved.</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M I Acquisitions has elected not to opt out of such extended transition period, which means that when a standard is issued or revised and it has different application dates for public or private companies, M I Acquisitions, as an emerging growth company, will not adopt the new or revised standard until the time private companies are required to adopt the new or revised standard. This may make comparison of M I Acquisitions’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M I Acquisitions could remain an emerging growth company until the last day of its fiscal year following September 19, 2021 (the fifth anniversary of the consummation of its initial public offering). However, if M I Acquisitions’ non-convertible debt issued within a three-year period or its total revenues exceed $1.07 billion or the market value of its shares of common stock that are held by non-affiliates exceeds $700 million on the last day of the second fiscal quarter of any given fiscal year, M I Acquisitions would cease to be an emerging growth company as of the following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Accounting Treatment</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Business Combination will be accounted for as a reverse merger, with no goodwill or other intangible assets recorded, in accordance with GAAP. Under this method of accounting, M I Acquisitions will be treated as the “acquired” company for financial reporting purposes. Accordingly, for accounting purposes, the Business Combination will be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2761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2660" cy="2761615"/>
                    </a:xfrm>
                    <a:prstGeom prst="rect">
                      <a:avLst/>
                    </a:prstGeom>
                    <a:noFill/>
                  </pic:spPr>
                </pic:pic>
              </a:graphicData>
            </a:graphic>
          </wp:anchor>
        </w:drawing>
        <w:t>Priority has been determined to be the accounting acquirer based on evaluation of the following facts and circumstances:</w:t>
      </w:r>
    </w:p>
    <w:p>
      <w:pPr>
        <w:spacing w:after="0" w:line="223" w:lineRule="exact"/>
        <w:rPr>
          <w:sz w:val="20"/>
          <w:szCs w:val="20"/>
          <w:color w:val="auto"/>
        </w:rPr>
      </w:pPr>
    </w:p>
    <w:p>
      <w:pPr>
        <w:ind w:left="640" w:right="120" w:hanging="313"/>
        <w:spacing w:after="0" w:line="275"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Priority stockholder group will have the greatest voting interest in the combined entity under the no and maximum redemption scenarios with over 91% and 96% voting interest, respectively;</w:t>
      </w:r>
    </w:p>
    <w:p>
      <w:pPr>
        <w:spacing w:after="0" w:line="170" w:lineRule="exact"/>
        <w:rPr>
          <w:rFonts w:ascii="Arial" w:cs="Arial" w:eastAsia="Arial" w:hAnsi="Arial"/>
          <w:sz w:val="18"/>
          <w:szCs w:val="18"/>
          <w:color w:val="auto"/>
        </w:rPr>
      </w:pPr>
    </w:p>
    <w:p>
      <w:pPr>
        <w:ind w:left="640" w:hanging="313"/>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largest individual minority stockholder comes from Priority;</w:t>
      </w:r>
    </w:p>
    <w:p>
      <w:pPr>
        <w:spacing w:after="0" w:line="223" w:lineRule="exact"/>
        <w:rPr>
          <w:rFonts w:ascii="Arial" w:cs="Arial" w:eastAsia="Arial" w:hAnsi="Arial"/>
          <w:sz w:val="18"/>
          <w:szCs w:val="18"/>
          <w:color w:val="auto"/>
        </w:rPr>
      </w:pPr>
    </w:p>
    <w:p>
      <w:pPr>
        <w:ind w:left="640" w:hanging="313"/>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combined company’s board of directors will consist of seven directors, all of which will be selected by Priority;</w:t>
      </w:r>
    </w:p>
    <w:p>
      <w:pPr>
        <w:spacing w:after="0" w:line="223" w:lineRule="exact"/>
        <w:rPr>
          <w:rFonts w:ascii="Arial" w:cs="Arial" w:eastAsia="Arial" w:hAnsi="Arial"/>
          <w:sz w:val="18"/>
          <w:szCs w:val="18"/>
          <w:color w:val="auto"/>
        </w:rPr>
      </w:pPr>
    </w:p>
    <w:p>
      <w:pPr>
        <w:ind w:left="640" w:hanging="313"/>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Priority will hold C-suite management roles for the combined company.</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highlight w:val="white"/>
        </w:rPr>
        <w:t>Other factors were considered, including size of the entities and the location of the combined company’s headquarters, noting that the preponderance of evidence as described above is indicative that Priority is the accounting acquirer in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Business Combination and the other transactions contemplated by the Purchase Agreement are not subject to any additional federal or state regulatory requirements or approvals, including the Hart-Scott Rodino Antitrust Improvements Act of 1976.</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4587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2660" cy="4587875"/>
                    </a:xfrm>
                    <a:prstGeom prst="rect">
                      <a:avLst/>
                    </a:prstGeom>
                    <a:noFill/>
                  </pic:spPr>
                </pic:pic>
              </a:graphicData>
            </a:graphic>
          </wp:anchor>
        </w:drawing>
        <w:t>SUMMARY HISTORICAL FINANCIAL INFORMATION OF PRIORITY</w:t>
      </w:r>
    </w:p>
    <w:p>
      <w:pPr>
        <w:spacing w:after="0" w:line="227" w:lineRule="exact"/>
        <w:rPr>
          <w:sz w:val="20"/>
          <w:szCs w:val="20"/>
          <w:color w:val="auto"/>
        </w:rPr>
      </w:pPr>
    </w:p>
    <w:p>
      <w:pPr>
        <w:jc w:val="both"/>
        <w:ind w:left="200" w:right="140" w:firstLine="484"/>
        <w:spacing w:after="0" w:line="290" w:lineRule="auto"/>
        <w:rPr>
          <w:sz w:val="20"/>
          <w:szCs w:val="20"/>
          <w:color w:val="auto"/>
        </w:rPr>
      </w:pPr>
      <w:r>
        <w:rPr>
          <w:rFonts w:ascii="Arial" w:cs="Arial" w:eastAsia="Arial" w:hAnsi="Arial"/>
          <w:sz w:val="16"/>
          <w:szCs w:val="16"/>
          <w:color w:val="auto"/>
        </w:rPr>
        <w:t>The following table shows summary historical financial information of Priority for the periods and as of the dates indicated. The data below as of December 31, 2017 and 2016 and for the years ended December 31, 2017, 2016, and 2015 has been derived from Priority’s audited historical consolidated financial statements and the data as of March 31, 2018 and for the three-month periods ended March 31, 2018 and 2017 were derived from the unaudited financial statements as of March 31, 2018 and for the three months ended March 31, 2018 and 2017 included elsewhere in this proxy statement. The data below as of December 31, 2015 has been derived from Priority’s audited historical consolidated financial statements not included in this proxy statement. The information presented below should be read in conjunction with “Risk Factors”, “Management’s Discussion and Analysis of Financial Condition and Results of Operations of Priority” and the financial statements and the notes related thereto, included elsewhere in this proxy statement.</w:t>
      </w:r>
    </w:p>
    <w:p>
      <w:pPr>
        <w:spacing w:after="0" w:line="160" w:lineRule="exact"/>
        <w:rPr>
          <w:sz w:val="20"/>
          <w:szCs w:val="20"/>
          <w:color w:val="auto"/>
        </w:rPr>
      </w:pPr>
    </w:p>
    <w:tbl>
      <w:tblPr>
        <w:tblLayout w:type="fixed"/>
        <w:tblInd w:w="132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6"/>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2"/>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115,596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93,092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425,619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344,114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286,244</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(107,718)</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(86,528)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(390,370)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(318,274)</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(271,685)</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7,878</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35,249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25,840</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14,559</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rPr>
              <w:t>Total other expenses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(11,055)</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(7,785)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(30,655)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(5,654)</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4,594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20,186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w w:val="94"/>
              </w:rPr>
              <w:t>(Loss) earnings per unit -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0.85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units outstanding - basic</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and diluted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4,445</w:t>
            </w: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5,098</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As of</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20"/>
                <w:szCs w:val="20"/>
                <w:color w:val="auto"/>
              </w:rPr>
            </w:pPr>
          </w:p>
        </w:tc>
        <w:tc>
          <w:tcPr>
            <w:tcW w:w="22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As of December 31,</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3"/>
          </w:tcPr>
          <w:p>
            <w:pPr>
              <w:jc w:val="right"/>
              <w:ind w:right="57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255,925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266,707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265,707</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417,996</w:t>
            </w: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356,862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140,043</w:t>
            </w: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162,182</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members' (deficit) equity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(162,071)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103,525</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3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13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129" w:right="1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5142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2660" cy="5142865"/>
                    </a:xfrm>
                    <a:prstGeom prst="rect">
                      <a:avLst/>
                    </a:prstGeom>
                    <a:noFill/>
                  </pic:spPr>
                </pic:pic>
              </a:graphicData>
            </a:graphic>
          </wp:anchor>
        </w:drawing>
        <w:t>SUMMARY HISTORICAL FINANCIAL INFORMATION OF M I ACQUISITIONS</w:t>
      </w:r>
    </w:p>
    <w:p>
      <w:pPr>
        <w:spacing w:after="0" w:line="227" w:lineRule="exact"/>
        <w:rPr>
          <w:sz w:val="20"/>
          <w:szCs w:val="20"/>
          <w:color w:val="auto"/>
        </w:rPr>
      </w:pPr>
    </w:p>
    <w:p>
      <w:pPr>
        <w:jc w:val="both"/>
        <w:ind w:left="200" w:right="140" w:firstLine="484"/>
        <w:spacing w:after="0" w:line="269" w:lineRule="auto"/>
        <w:rPr>
          <w:sz w:val="20"/>
          <w:szCs w:val="20"/>
          <w:color w:val="auto"/>
        </w:rPr>
      </w:pPr>
      <w:r>
        <w:rPr>
          <w:rFonts w:ascii="Arial" w:cs="Arial" w:eastAsia="Arial" w:hAnsi="Arial"/>
          <w:sz w:val="17"/>
          <w:szCs w:val="17"/>
          <w:color w:val="auto"/>
        </w:rPr>
        <w:t>The following table shows summary historical financial information of M I Acquisitions for the periods and as of the dates indicated. The summary historical financial information of M I Acquisitions as of December 31, 2017 and 2016, for the years ended December 31, 2017 and 2016, and for the period from April 23, 2015 (Inception) through December 31, 2015 was derived from the audited historical financial statements of M I Acquisitions and the summary financial information as of March 31, 2018 and for the three-month periods ended March 31, 2018 and 2017 were derived from the unaudited financial statements as of March 31, 2018 and for the three months ended March 31, 2018 and 2017 included elsewhere in this proxy statement. The data below as of December 31, 2015 and for the period from April 23, 2015 (inception) through December 31, 2015 has been derived from M I Acquisitions' audited historical financial statements not included in this proxy statement. The following table should be read in conjunction with “M I Acquisitions Management’s Discussion and Analysis of Financial Condition and Results of Operations of M I Acquisitions” and the historical financial statements and the notes and schedules related thereto, included elsewhere in this proxy statement.</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b w:val="1"/>
                <w:bCs w:val="1"/>
                <w:color w:val="auto"/>
                <w:w w:val="97"/>
              </w:rPr>
              <w:t>Period from April 23, 2015</w:t>
            </w:r>
          </w:p>
        </w:tc>
        <w:tc>
          <w:tcPr>
            <w:tcW w:w="0" w:type="dxa"/>
            <w:vAlign w:val="bottom"/>
          </w:tcPr>
          <w:p>
            <w:pPr>
              <w:spacing w:after="0"/>
              <w:rPr>
                <w:sz w:val="1"/>
                <w:szCs w:val="1"/>
                <w:color w:val="auto"/>
              </w:rPr>
            </w:pPr>
          </w:p>
        </w:tc>
      </w:tr>
      <w:tr>
        <w:trPr>
          <w:trHeight w:val="233"/>
        </w:trPr>
        <w:tc>
          <w:tcPr>
            <w:tcW w:w="3620" w:type="dxa"/>
            <w:vAlign w:val="bottom"/>
          </w:tcPr>
          <w:p>
            <w:pPr>
              <w:spacing w:after="0"/>
              <w:rPr>
                <w:sz w:val="20"/>
                <w:szCs w:val="20"/>
                <w:color w:val="auto"/>
              </w:rPr>
            </w:pPr>
          </w:p>
        </w:tc>
        <w:tc>
          <w:tcPr>
            <w:tcW w:w="2720" w:type="dxa"/>
            <w:vAlign w:val="bottom"/>
            <w:gridSpan w:val="8"/>
          </w:tcPr>
          <w:p>
            <w:pPr>
              <w:ind w:left="140"/>
              <w:spacing w:after="0"/>
              <w:rPr>
                <w:sz w:val="20"/>
                <w:szCs w:val="20"/>
                <w:color w:val="auto"/>
              </w:rPr>
            </w:pPr>
            <w:r>
              <w:rPr>
                <w:rFonts w:ascii="Arial" w:cs="Arial" w:eastAsia="Arial" w:hAnsi="Arial"/>
                <w:sz w:val="18"/>
                <w:szCs w:val="18"/>
                <w:b w:val="1"/>
                <w:bCs w:val="1"/>
                <w:color w:val="auto"/>
                <w:w w:val="96"/>
              </w:rPr>
              <w:t>Three Months Ended March 31,</w:t>
            </w:r>
          </w:p>
        </w:tc>
        <w:tc>
          <w:tcPr>
            <w:tcW w:w="80" w:type="dxa"/>
            <w:vAlign w:val="bottom"/>
          </w:tcPr>
          <w:p>
            <w:pPr>
              <w:spacing w:after="0"/>
              <w:rPr>
                <w:sz w:val="20"/>
                <w:szCs w:val="20"/>
                <w:color w:val="auto"/>
              </w:rPr>
            </w:pPr>
          </w:p>
        </w:tc>
        <w:tc>
          <w:tcPr>
            <w:tcW w:w="228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2"/>
              </w:rPr>
              <w:t>Year Ended December 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(Inception) through</w:t>
            </w:r>
          </w:p>
        </w:tc>
        <w:tc>
          <w:tcPr>
            <w:tcW w:w="0" w:type="dxa"/>
            <w:vAlign w:val="bottom"/>
          </w:tcPr>
          <w:p>
            <w:pPr>
              <w:spacing w:after="0"/>
              <w:rPr>
                <w:sz w:val="1"/>
                <w:szCs w:val="1"/>
                <w:color w:val="auto"/>
              </w:rPr>
            </w:pPr>
          </w:p>
        </w:tc>
      </w:tr>
      <w:tr>
        <w:trPr>
          <w:trHeight w:val="222"/>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December 31, 2015</w:t>
            </w:r>
          </w:p>
        </w:tc>
        <w:tc>
          <w:tcPr>
            <w:tcW w:w="0" w:type="dxa"/>
            <w:vAlign w:val="bottom"/>
          </w:tcPr>
          <w:p>
            <w:pPr>
              <w:spacing w:after="0"/>
              <w:rPr>
                <w:sz w:val="1"/>
                <w:szCs w:val="1"/>
                <w:color w:val="auto"/>
              </w:rPr>
            </w:pPr>
          </w:p>
        </w:tc>
      </w:tr>
      <w:tr>
        <w:trPr>
          <w:trHeight w:val="209"/>
        </w:trPr>
        <w:tc>
          <w:tcPr>
            <w:tcW w:w="3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321,228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245,466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951,721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173,196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(321,228)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(245,466)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(951,721)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(173,196)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174,478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Settlement income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(146,750)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(188,845)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(124,854)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(107,995)</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01"/>
        </w:trPr>
        <w:tc>
          <w:tcPr>
            <w:tcW w:w="3620" w:type="dxa"/>
            <w:vAlign w:val="bottom"/>
          </w:tcPr>
          <w:p>
            <w:pPr>
              <w:spacing w:after="0" w:line="201" w:lineRule="exact"/>
              <w:rPr>
                <w:sz w:val="20"/>
                <w:szCs w:val="20"/>
                <w:color w:val="auto"/>
              </w:rPr>
            </w:pPr>
            <w:r>
              <w:rPr>
                <w:rFonts w:ascii="Arial" w:cs="Arial" w:eastAsia="Arial" w:hAnsi="Arial"/>
                <w:sz w:val="18"/>
                <w:szCs w:val="18"/>
                <w:color w:val="auto"/>
                <w:w w:val="92"/>
              </w:rPr>
              <w:t>Net loss per shares of common stock - basic and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1"/>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outstanding - basic and diluted</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2,352,922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2,310,710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2,330,884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1,664,794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80" w:type="dxa"/>
            <w:vAlign w:val="bottom"/>
            <w:gridSpan w:val="3"/>
          </w:tcPr>
          <w:p>
            <w:pPr>
              <w:ind w:left="1060"/>
              <w:spacing w:after="0"/>
              <w:rPr>
                <w:sz w:val="20"/>
                <w:szCs w:val="20"/>
                <w:color w:val="auto"/>
              </w:rPr>
            </w:pPr>
            <w:r>
              <w:rPr>
                <w:rFonts w:ascii="Arial" w:cs="Arial" w:eastAsia="Arial" w:hAnsi="Arial"/>
                <w:sz w:val="18"/>
                <w:szCs w:val="18"/>
                <w:b w:val="1"/>
                <w:bCs w:val="1"/>
                <w:color w:val="auto"/>
                <w:w w:val="90"/>
              </w:rPr>
              <w:t>As of March 31,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w w:val="89"/>
              </w:rPr>
              <w:t>As of December 31,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Balance Sheet Data:</w:t>
            </w:r>
          </w:p>
        </w:tc>
        <w:tc>
          <w:tcPr>
            <w:tcW w:w="10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55,464,473</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55,264,031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55,150,604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183,957</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liabilities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1,797,622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1,450,430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1,212,149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169,183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conversion</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48,666,845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48,813,595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48,938,449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5,000,006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129" w:right="1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63125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2660" cy="6312535"/>
                    </a:xfrm>
                    <a:prstGeom prst="rect">
                      <a:avLst/>
                    </a:prstGeom>
                    <a:noFill/>
                  </pic:spPr>
                </pic:pic>
              </a:graphicData>
            </a:graphic>
          </wp:anchor>
        </w:drawing>
        <w:t>SUMMARY UNAUDITED PRO FORMA CONDENSED COMBINED FINANCIAL INFORMATION</w:t>
      </w:r>
    </w:p>
    <w:p>
      <w:pPr>
        <w:spacing w:after="0" w:line="227"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7"/>
          <w:szCs w:val="17"/>
          <w:color w:val="auto"/>
        </w:rPr>
        <w:t>The following summary unaudited pro forma condensed combined financial data (the "summary pro forma data") gives effect to the transaction contemplated by the Business Combination and the other transaction described in the section entitled "Unaudited Pro Forma Condensed Combined Financial Information". The Business Combination will be accounted for as a reverse merger, with no goodwill or other intangible assets recorded, in accordance with GAAP. Under this method of accounting, M I Acquisitions will be treated as the “acquired” company for financial reporting purposes. Accordingly, for accounting purposes, the Business Combination will be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 The summary unaudited pro forma condensed combined balance sheet data as of March 31, 2018 gives effect to the Business Combination as if it had occurred on March 31, 2018. The summary unaudited pro forma condensed combined statement of operations data for the three months ended March 31, 2018 and year ended December 31, 2017 gives effect to the Business Combination as if it had occurred on January 1, 2017.</w:t>
      </w:r>
    </w:p>
    <w:p>
      <w:pPr>
        <w:spacing w:after="0" w:line="183" w:lineRule="exact"/>
        <w:rPr>
          <w:sz w:val="20"/>
          <w:szCs w:val="20"/>
          <w:color w:val="auto"/>
        </w:rPr>
      </w:pPr>
    </w:p>
    <w:p>
      <w:pPr>
        <w:jc w:val="both"/>
        <w:ind w:firstLine="484"/>
        <w:spacing w:after="0" w:line="290" w:lineRule="auto"/>
        <w:rPr>
          <w:sz w:val="20"/>
          <w:szCs w:val="20"/>
          <w:color w:val="auto"/>
        </w:rPr>
      </w:pPr>
      <w:r>
        <w:rPr>
          <w:rFonts w:ascii="Arial" w:cs="Arial" w:eastAsia="Arial" w:hAnsi="Arial"/>
          <w:sz w:val="16"/>
          <w:szCs w:val="16"/>
          <w:color w:val="auto"/>
        </w:rPr>
        <w:t>The summary pro forma data have been derived from, and should be read in conjunction with, the more detailed unaudited pro forma condensed combined financial information of the combined company appearing elsewhere in this proxy statement and the accompanying notes to the pro forma financial statements. The unaudited pro forma condensed combined financial information is based upon, and should be read in conjunction with, the historical consolidated financial statements and related notes of M I Acquisitions and Priority for the applicable periods included in this proxy statement. The summary pro forma data have been presented for informational purposes only and are not necessarily indicative of what the combined company's financial position or results of operations actually would have been had the Business Combination been completed as of the dates indicated. In addition, the summary pro forma data do not purport to project the future financial position or operating results of the combined company.</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unaudited pro forma condensed combined financial information has been prepared assuming four alternative levels of redemption into cash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common stock:</w:t>
      </w:r>
    </w:p>
    <w:p>
      <w:pPr>
        <w:spacing w:after="0" w:line="209" w:lineRule="exact"/>
        <w:rPr>
          <w:sz w:val="20"/>
          <w:szCs w:val="20"/>
          <w:color w:val="auto"/>
        </w:rPr>
      </w:pPr>
    </w:p>
    <w:p>
      <w:pPr>
        <w:jc w:val="both"/>
        <w:ind w:left="640" w:right="120" w:hanging="313"/>
        <w:spacing w:after="0" w:line="262"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Assuming No Redemption – GS Warrant Exercised: This presentation assumes that no current M I Acquisitions’ public stockholders exercise redemption rights with respect to their shares for a pro rata portion of the fund in M I Acquisitions’ trust account and the GS Warrant issued by Priority was exercised or is otherwise no longer outstanding at the Closing.</w:t>
      </w:r>
    </w:p>
    <w:p>
      <w:pPr>
        <w:spacing w:after="0" w:line="182" w:lineRule="exact"/>
        <w:rPr>
          <w:rFonts w:ascii="Arial" w:cs="Arial" w:eastAsia="Arial" w:hAnsi="Arial"/>
          <w:sz w:val="18"/>
          <w:szCs w:val="18"/>
          <w:color w:val="auto"/>
        </w:rPr>
      </w:pPr>
    </w:p>
    <w:p>
      <w:pPr>
        <w:jc w:val="both"/>
        <w:ind w:left="640" w:right="120" w:hanging="313"/>
        <w:spacing w:after="0" w:line="284" w:lineRule="auto"/>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Assuming Maximum Redemption – GS Warrant Exercised: This presentation assumes that stockholders holding 3.4 million of M I Acquisitions’ public shares exercise their redemption rights and that such shares are redeemed for their pro rata share ($10.43 per share) of the funds in its trust account and the GS Warrant issued by Priority was exercised or is otherwise no longer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the March 31,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$35.4 million. Aggregate redemption payments of $35.4 million calculated as $55.4 million in the trust account per the pro forma condensed combined balance sheet less $20.0 million required available cash from the trust account. Public redemption shares of approximately 3.4 million shares calculated as $35.4 million redemption payments divided by estimated per share redemption value of $10.43 ($55,383,870 in trust account per the pro forma condensed combined balance sheet divided by 5,310,109 M I Acquisitions public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29" w:right="279" w:bottom="1440" w:gutter="0" w:footer="0" w:header="0"/>
        </w:sectPr>
      </w:pPr>
    </w:p>
    <w:bookmarkStart w:id="31" w:name="page32"/>
    <w:bookmarkEnd w:id="31"/>
    <w:p>
      <w:pPr>
        <w:jc w:val="both"/>
        <w:ind w:left="320" w:hanging="313"/>
        <w:spacing w:after="0" w:line="262" w:lineRule="auto"/>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7046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2660" cy="7046595"/>
                    </a:xfrm>
                    <a:prstGeom prst="rect">
                      <a:avLst/>
                    </a:prstGeom>
                    <a:noFill/>
                  </pic:spPr>
                </pic:pic>
              </a:graphicData>
            </a:graphic>
          </wp:anchor>
        </w:drawing>
        <w:t>Assuming No Redemption – GS Warrant Outstanding: This presentation assumes that no current M I Acquisitions’ public stockholders exercise redemption rights with respect to their shares for a pro rata portion of the fund in M I Acquisitions’ trust account and the GS Warrant issued by Priority was not exercised and remains outstanding at the Closing.</w:t>
      </w:r>
    </w:p>
    <w:p>
      <w:pPr>
        <w:spacing w:after="0" w:line="182" w:lineRule="exact"/>
        <w:rPr>
          <w:rFonts w:ascii="Arial" w:cs="Arial" w:eastAsia="Arial" w:hAnsi="Arial"/>
          <w:sz w:val="18"/>
          <w:szCs w:val="18"/>
          <w:color w:val="auto"/>
        </w:rPr>
      </w:pPr>
    </w:p>
    <w:p>
      <w:pPr>
        <w:jc w:val="both"/>
        <w:ind w:left="320" w:hanging="313"/>
        <w:spacing w:after="0" w:line="284" w:lineRule="auto"/>
        <w:tabs>
          <w:tab w:leader="none" w:pos="3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Assuming Maximum Redemption – GS Warrant Outstanding: This presentation assumes that stockholders holding 3.4 million of M I Acquisitions’ public shares exercise their redemption rights and that such shares are redeemed for their pro rata share ($10.43 per share) of the funds in its trust account and the GS Warrant issued by Priority was not exercised and remains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March 31,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$35.4 million. Aggregate redemption payments of $35.4 million calculated as $55.4 million in trust account per the pro forma condensed combined balance sheet less $20.0 million required available cash from the trust account. Public redemption shares of approximately 3.4 million shares calculated as $35.4 million redemption payments divided by estimated per share redemption value of $10.43 ($55,383,870 in trust account per the pro forma condensed combined balance sheet divided by 5,310,109 M I Acquisitions public shares).</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760" w:type="dxa"/>
            <w:vAlign w:val="bottom"/>
            <w:gridSpan w:val="8"/>
          </w:tcPr>
          <w:p>
            <w:pPr>
              <w:ind w:left="80"/>
              <w:spacing w:after="0"/>
              <w:rPr>
                <w:sz w:val="20"/>
                <w:szCs w:val="20"/>
                <w:color w:val="auto"/>
              </w:rPr>
            </w:pPr>
            <w:r>
              <w:rPr>
                <w:rFonts w:ascii="Arial" w:cs="Arial" w:eastAsia="Arial" w:hAnsi="Arial"/>
                <w:sz w:val="16"/>
                <w:szCs w:val="16"/>
                <w:b w:val="1"/>
                <w:bCs w:val="1"/>
                <w:color w:val="auto"/>
                <w:w w:val="95"/>
              </w:rPr>
              <w:t>Scenario 1: GS Warrant Outstanding</w:t>
            </w:r>
          </w:p>
        </w:tc>
        <w:tc>
          <w:tcPr>
            <w:tcW w:w="80" w:type="dxa"/>
            <w:vAlign w:val="bottom"/>
          </w:tcPr>
          <w:p>
            <w:pPr>
              <w:spacing w:after="0"/>
              <w:rPr>
                <w:sz w:val="18"/>
                <w:szCs w:val="18"/>
                <w:color w:val="auto"/>
              </w:rPr>
            </w:pPr>
          </w:p>
        </w:tc>
        <w:tc>
          <w:tcPr>
            <w:tcW w:w="2560" w:type="dxa"/>
            <w:vAlign w:val="bottom"/>
            <w:gridSpan w:val="7"/>
          </w:tcPr>
          <w:p>
            <w:pPr>
              <w:jc w:val="right"/>
              <w:ind w:right="140"/>
              <w:spacing w:after="0"/>
              <w:rPr>
                <w:sz w:val="20"/>
                <w:szCs w:val="20"/>
                <w:color w:val="auto"/>
              </w:rPr>
            </w:pPr>
            <w:r>
              <w:rPr>
                <w:rFonts w:ascii="Arial" w:cs="Arial" w:eastAsia="Arial" w:hAnsi="Arial"/>
                <w:sz w:val="16"/>
                <w:szCs w:val="16"/>
                <w:b w:val="1"/>
                <w:bCs w:val="1"/>
                <w:color w:val="auto"/>
                <w:w w:val="92"/>
              </w:rPr>
              <w:t>Scenario 2: GS Warrant Exercised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Pro Forma</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Pro Forma</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Combined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Pro Forma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Combined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Combined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(Assuming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Combined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(Assuming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(Assuming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Maximum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(Assuming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0" w:type="dxa"/>
            <w:vAlign w:val="bottom"/>
            <w:gridSpan w:val="4"/>
          </w:tcPr>
          <w:p>
            <w:pPr>
              <w:ind w:left="80"/>
              <w:spacing w:after="0"/>
              <w:rPr>
                <w:sz w:val="20"/>
                <w:szCs w:val="20"/>
                <w:color w:val="auto"/>
              </w:rPr>
            </w:pPr>
            <w:r>
              <w:rPr>
                <w:rFonts w:ascii="Arial" w:cs="Arial" w:eastAsia="Arial" w:hAnsi="Arial"/>
                <w:sz w:val="16"/>
                <w:szCs w:val="16"/>
                <w:b w:val="1"/>
                <w:bCs w:val="1"/>
                <w:color w:val="auto"/>
                <w:w w:val="98"/>
              </w:rPr>
              <w:t>No Redemptions)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Redemptions)</w:t>
            </w:r>
          </w:p>
        </w:tc>
        <w:tc>
          <w:tcPr>
            <w:tcW w:w="1380" w:type="dxa"/>
            <w:vAlign w:val="bottom"/>
            <w:gridSpan w:val="4"/>
          </w:tcPr>
          <w:p>
            <w:pPr>
              <w:ind w:left="80"/>
              <w:spacing w:after="0"/>
              <w:rPr>
                <w:sz w:val="20"/>
                <w:szCs w:val="20"/>
                <w:color w:val="auto"/>
              </w:rPr>
            </w:pPr>
            <w:r>
              <w:rPr>
                <w:rFonts w:ascii="Arial" w:cs="Arial" w:eastAsia="Arial" w:hAnsi="Arial"/>
                <w:sz w:val="16"/>
                <w:szCs w:val="16"/>
                <w:b w:val="1"/>
                <w:bCs w:val="1"/>
                <w:color w:val="auto"/>
                <w:w w:val="96"/>
              </w:rPr>
              <w:t>No Redemptions)</w:t>
            </w:r>
          </w:p>
        </w:tc>
        <w:tc>
          <w:tcPr>
            <w:tcW w:w="10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Redemptions)</w:t>
            </w:r>
          </w:p>
        </w:tc>
        <w:tc>
          <w:tcPr>
            <w:tcW w:w="0" w:type="dxa"/>
            <w:vAlign w:val="bottom"/>
          </w:tcPr>
          <w:p>
            <w:pPr>
              <w:spacing w:after="0"/>
              <w:rPr>
                <w:sz w:val="1"/>
                <w:szCs w:val="1"/>
                <w:color w:val="auto"/>
              </w:rPr>
            </w:pPr>
          </w:p>
        </w:tc>
      </w:tr>
      <w:tr>
        <w:trPr>
          <w:trHeight w:val="195"/>
        </w:trPr>
        <w:tc>
          <w:tcPr>
            <w:tcW w:w="4800" w:type="dxa"/>
            <w:vAlign w:val="bottom"/>
            <w:gridSpan w:val="2"/>
          </w:tcPr>
          <w:p>
            <w:pPr>
              <w:spacing w:after="0"/>
              <w:rPr>
                <w:sz w:val="20"/>
                <w:szCs w:val="20"/>
                <w:color w:val="auto"/>
              </w:rPr>
            </w:pPr>
            <w:r>
              <w:rPr>
                <w:rFonts w:ascii="Arial" w:cs="Arial" w:eastAsia="Arial" w:hAnsi="Arial"/>
                <w:sz w:val="16"/>
                <w:szCs w:val="16"/>
                <w:color w:val="auto"/>
              </w:rPr>
              <w:t>(in thousands, except share and per share data)</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2"/>
              </w:rPr>
              <w:t>Summary Unaudited Pro Forma Condensed Combined Statement of</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Operations Data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b w:val="1"/>
                <w:bCs w:val="1"/>
                <w:color w:val="auto"/>
              </w:rPr>
              <w:t>Three Months Ended March 31, 2018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115,596</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115,596</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115,596</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Net loss per share - basic</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(0.04)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(0.05)</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(0.04)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outstanding - basic</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65,514,157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62,121,613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63,354,681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Net loss per share - diluted</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(0.04)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(0.04)</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(0.04)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outstanding - diluted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63,354,681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63,354,681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2"/>
              </w:rPr>
              <w:t>Summary Unaudited Pro Forma Condensed Combined Statement of</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Operations Data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b w:val="1"/>
                <w:bCs w:val="1"/>
                <w:color w:val="auto"/>
              </w:rPr>
              <w:t>Year Ended December 31, 2017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425,619</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425,619</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425,619</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Net earnings per share - basic</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outstanding - basic</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65,514,157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62,132,126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63,365,194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Net earnings per share - diluted</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outstanding - diluted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63,365,194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63,365,194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9"/>
              </w:rPr>
              <w:t>Summary Unaudited Pro Forma Condensed Combined Balance</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Sheet Data as of March 31, 2018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Total assets</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295,809</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260,425</w:t>
            </w:r>
          </w:p>
        </w:tc>
        <w:tc>
          <w:tcPr>
            <w:tcW w:w="12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295,809</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260,425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417,905</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417,905</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417,905</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Total deficit</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(122,096)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(157,480)</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(122,096)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(157,480)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13970</wp:posOffset>
            </wp:positionV>
            <wp:extent cx="7247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40"/>
          </w:cols>
          <w:pgMar w:left="760" w:top="1133" w:right="3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4980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2660" cy="4980940"/>
                    </a:xfrm>
                    <a:prstGeom prst="rect">
                      <a:avLst/>
                    </a:prstGeom>
                    <a:noFill/>
                  </pic:spPr>
                </pic:pic>
              </a:graphicData>
            </a:graphic>
          </wp:anchor>
        </w:drawing>
        <w:t>PRICE RANGE OF SECURITIES AND DIVIDENDS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units, shares of common stock and warrants are each quoted on the Nasdaq stock market under the symbols “MACQU,” “MACQ,” and “MACQW,” respectively. Each of M I Acquisitions’ units consists of one share of common stock and one warrant to purchase one share of common stock. M I Acquisitions’ units commenced trading on September 14, 2016 and M I Acquisitions’ shares of common stock and warrants commenced trading on December 6, 2016.</w:t>
      </w:r>
    </w:p>
    <w:p>
      <w:pPr>
        <w:spacing w:after="0" w:line="18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table below sets forth the high and low sale prices of M I Acquisitions’ common stock, warrants, and units as reported on the Nasdaq Stock Market for the period from December 6, 2016 (the date on which our common stock and warrants were first quoted on the Nasdaq Stock Market) through May 15, 2018 and for the period from September 14, 2016 (the date on which our units were first quoted on the Nasdaq Stock Market) through May 15, 2018.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ind w:right="67"/>
              <w:spacing w:after="0"/>
              <w:rPr>
                <w:sz w:val="20"/>
                <w:szCs w:val="20"/>
                <w:color w:val="auto"/>
              </w:rPr>
            </w:pPr>
            <w:r>
              <w:rPr>
                <w:rFonts w:ascii="Arial" w:cs="Arial" w:eastAsia="Arial" w:hAnsi="Arial"/>
                <w:sz w:val="18"/>
                <w:szCs w:val="18"/>
                <w:color w:val="auto"/>
              </w:rPr>
              <w:t>Units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6"/>
          </w:tcPr>
          <w:p>
            <w:pPr>
              <w:jc w:val="right"/>
              <w:ind w:right="66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Warrants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2"/>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Quarter ended:</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High</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Low</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High</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Low</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High</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Low</w:t>
            </w:r>
          </w:p>
        </w:tc>
        <w:tc>
          <w:tcPr>
            <w:tcW w:w="120" w:type="dxa"/>
            <w:vAlign w:val="bottom"/>
            <w:tcBorders>
              <w:bottom w:val="single" w:sz="8" w:color="CCEEFF"/>
            </w:tcBorders>
          </w:tcPr>
          <w:p>
            <w:pPr>
              <w:spacing w:after="0"/>
              <w:rPr>
                <w:sz w:val="19"/>
                <w:szCs w:val="19"/>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June 30, 2018 (through the Record Date)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March 31, 2018</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12.95</w:t>
            </w:r>
          </w:p>
        </w:tc>
        <w:tc>
          <w:tcPr>
            <w:tcW w:w="140" w:type="dxa"/>
            <w:vAlign w:val="bottom"/>
          </w:tcPr>
          <w:p>
            <w:pPr>
              <w:spacing w:after="0"/>
              <w:rPr>
                <w:sz w:val="18"/>
                <w:szCs w:val="18"/>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8"/>
                <w:szCs w:val="18"/>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0.95</w:t>
            </w:r>
          </w:p>
        </w:tc>
        <w:tc>
          <w:tcPr>
            <w:tcW w:w="140" w:type="dxa"/>
            <w:vAlign w:val="bottom"/>
          </w:tcPr>
          <w:p>
            <w:pPr>
              <w:spacing w:after="0"/>
              <w:rPr>
                <w:sz w:val="18"/>
                <w:szCs w:val="18"/>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8"/>
                <w:szCs w:val="18"/>
                <w:color w:val="auto"/>
              </w:rPr>
            </w:pPr>
          </w:p>
        </w:tc>
      </w:tr>
      <w:tr>
        <w:trPr>
          <w:trHeight w:val="215"/>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September 30, 2017</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10.49</w:t>
            </w:r>
          </w:p>
        </w:tc>
        <w:tc>
          <w:tcPr>
            <w:tcW w:w="140" w:type="dxa"/>
            <w:vAlign w:val="bottom"/>
          </w:tcPr>
          <w:p>
            <w:pPr>
              <w:spacing w:after="0"/>
              <w:rPr>
                <w:sz w:val="18"/>
                <w:szCs w:val="18"/>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18"/>
                <w:szCs w:val="18"/>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8"/>
                <w:szCs w:val="18"/>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Pr>
          <w:p>
            <w:pPr>
              <w:spacing w:after="0"/>
              <w:rPr>
                <w:sz w:val="18"/>
                <w:szCs w:val="18"/>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r>
      <w:tr>
        <w:trPr>
          <w:trHeight w:val="215"/>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June 30, 2017</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8"/>
                <w:szCs w:val="18"/>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March 31, 2017</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18"/>
                <w:szCs w:val="18"/>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0.48</w:t>
            </w:r>
          </w:p>
        </w:tc>
        <w:tc>
          <w:tcPr>
            <w:tcW w:w="140" w:type="dxa"/>
            <w:vAlign w:val="bottom"/>
          </w:tcPr>
          <w:p>
            <w:pPr>
              <w:spacing w:after="0"/>
              <w:rPr>
                <w:sz w:val="18"/>
                <w:szCs w:val="18"/>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8"/>
                <w:szCs w:val="18"/>
                <w:color w:val="auto"/>
              </w:rPr>
            </w:pPr>
          </w:p>
        </w:tc>
      </w:tr>
      <w:tr>
        <w:trPr>
          <w:trHeight w:val="215"/>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September 30, 2016**</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9"/>
                <w:szCs w:val="19"/>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bl>
    <w:p>
      <w:pPr>
        <w:spacing w:after="0" w:line="186" w:lineRule="exact"/>
        <w:rPr>
          <w:sz w:val="20"/>
          <w:szCs w:val="20"/>
          <w:color w:val="auto"/>
        </w:rPr>
      </w:pPr>
    </w:p>
    <w:p>
      <w:pPr>
        <w:ind w:left="640" w:right="120" w:hanging="635"/>
        <w:spacing w:after="0" w:line="275"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Reflects period from December 6, 2016 (the date on which our common stock and warrants were first quoted on the Nasdaq Stock Market) through December 31, 2016</w:t>
      </w:r>
    </w:p>
    <w:p>
      <w:pPr>
        <w:spacing w:after="0" w:line="171" w:lineRule="exact"/>
        <w:rPr>
          <w:sz w:val="20"/>
          <w:szCs w:val="20"/>
          <w:color w:val="auto"/>
        </w:rPr>
      </w:pPr>
    </w:p>
    <w:p>
      <w:pPr>
        <w:ind w:left="640" w:right="120" w:hanging="635"/>
        <w:spacing w:after="0" w:line="275"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Reflects period from September 14, 2016 (the date on which our units were first quoted on the Nasdaq Stock Market) through December 31, 2016</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has not paid any cash dividends on its common stock to date and does not intend to pay cash dividends prior to the completion of the Business Combination or another business combination. The payment of cash dividends following the Business Combination will be dependent upon the combined company’s revenues and earnings, if any, capital requirements and general financial condition. The payment of any dividends subsequent to the Business Combination will be within the discretion of its then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Priority’s securities are not publicly traded.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29" w:right="2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You should consider carefully the following risk factors, as well as the other information set forth in this proxy statement, before making a decision with respect to the Business Combination and the proposals to be voted on at the special meeting.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Related to Priority’s Business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risk factors apply to the business and operations of Priority and will also apply to the business and operations of the combined company following the completion of the Business Combination. As used in this section the term “Priority” refers to Priority and the combined company, as applicable. Any of the risk factors described below could significantly and adversely affect Priority’s and/or the combined company’s business, prospects, sales, revenues, gross profit, cash flows, financial condition, and results of operations.</w:t>
      </w:r>
    </w:p>
    <w:p>
      <w:pPr>
        <w:spacing w:after="0" w:line="185" w:lineRule="exact"/>
        <w:rPr>
          <w:sz w:val="20"/>
          <w:szCs w:val="20"/>
          <w:color w:val="auto"/>
        </w:rPr>
      </w:pPr>
    </w:p>
    <w:p>
      <w:pPr>
        <w:jc w:val="both"/>
        <w:spacing w:after="0" w:line="340" w:lineRule="auto"/>
        <w:rPr>
          <w:sz w:val="20"/>
          <w:szCs w:val="20"/>
          <w:color w:val="auto"/>
        </w:rPr>
      </w:pPr>
      <w:r>
        <w:rPr>
          <w:rFonts w:ascii="Arial" w:cs="Arial" w:eastAsia="Arial" w:hAnsi="Arial"/>
          <w:sz w:val="16"/>
          <w:szCs w:val="16"/>
          <w:b w:val="1"/>
          <w:bCs w:val="1"/>
          <w:i w:val="1"/>
          <w:iCs w:val="1"/>
          <w:color w:val="auto"/>
        </w:rPr>
        <w:t>The payment processing industry is highly competitive and such competition is likely to increase, which may adversely influence the prices Priority can charge to merchants for its services and the compensation Priority must pay to its distribution partners, and as a result, Priority’s profit margins.</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payment processing industry is highly competitive. Priority primarily compete in the small and medium business (“SMB”) merchant industry. Competition has increased recently as other providers of payment processing services have established a sizable market share in the SMB merchant acquiring industry. Priority’s primary competitors for SMB merchants in these markets include financial institutions and their affiliates and well-established payment processing companies that target SMB merchants directly and through third parties, including Bank of America Merchant Services, Chase Merchant Services, Elavon, Inc. (a subsidiary of U.S. Bancorp), Wells Fargo Merchant Services, First Data Corporation, Worldpay, Inc., Global Payments, Inc., TSYS and Square. Priority also competes with many of these same entities for the assistance of distribution partners. For example, many of Priority’s distribution partners are not exclusive to us but also have relationships with Priority’s competitors, such that Priority has to continually expend resources to maintain those relationships. Priority’s growth will depend on the continued growth of payments with credit, debit and prepaid cards (“Electronic Payments”), particularly Electronic Payments to SMB merchants, and Priority’s ability to increase its market share through successful competitive efforts to gain new merchants and distribution partners.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many financial institutions, subsidiaries of financial institutions or well-established payment-enabled technology providers with which we compete, have substantially greater capital, technological, management and marketing resources than Priority has. These factors may allow Priority’s competitors to offer better pricing terms to merchants and more attractive compensation to distribution partners, which could result in a loss of Priority’s potential or current merchants and distribution partners. Competing with financial institutions is also challenging because, unlike Priority, they often bundle processing services with other banking products and services. This competition may effectively limit the prices Priority can charge its merchants, cause Priority to increase the compensation it pays to its distribution partners and require Priority to control costs aggressively in order to maintain acceptable profit margins. Priority’s current and future competitors may also develop or offer services that have price or other advantages over the services Priority provides.</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Priority is also facing new, well capitalized, competition from emerging technology and non-traditional payment processing companies as well as traditional companies offering alternative electronic payments services and payment enabled software solutions. If these new entrants gain a greater share of total electronic payments transactions, they could impact Priority’s ability to retain and grow its relationships with merchants and distribution partners. Acquirers may be susceptible to the adoption by the broader merchant community of payment enabled software versus terminal based payments.</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To acquire and retain a segment of Priority’s merchants, Priority depends in part on distribution partners that may not serve it exclusively and are subject to attrition.</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Priority relies in significant part on the efforts of independent sales organizations (“ISOs”), independent software vendors (“ISVs”) and referral partners to market its services to merchants seeking to establish a merchant acquiring relationship. These distribution partners seek to introduce Priority, as well as its competitors, to newly established and existing SMB merchants, including retailers, restaurants and other businesses. Generally, its agreements with distribution partners (with the exception of a portion of our integrated technology partners and bank referral partners) are not exclusive, and distribution partners retain the right to refer merchants to other merchant acquirers. Gaining and maintaining loyalty or exclusivity can require financial concessions to maintain current distribution partners and merchants or to attract potential distribution partners and merchants from Priority’s competitors. Priority has been required, and expect to be required in the future, to make concessions when renewing contracts with its distribution partners and such concessions can have a material impact on Priority’s financial condition or operating performance. If these distribution partners switch to another merchant acquirer, cease operations or become insolvent, Priority will no longer receive new merchant referrals from them, and it risks losing existing merchants that were originally enrolled by them. Additionally, Priority’s distribution partners are subject to the requirements imposed by its bank sponsors, which may result in fines to them for non-compliance and may, in some cases, result in these entities ceasing to refer merchants to Priority. Priority cannot accurately predict the level of attrition of its distribution partners or merchants in the future, particularly those merchants it acquired as customers in the portfolio acquisitions it has completed in the past five years, which makes it difficult for it to forecast growth. If Priority is unable to establish relationships with new distribution partners or merchants, or otherwise increase its transaction processing volume in order to counter the effect of this attrition, its revenues will decline.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34" w:name="page35"/>
    <w:bookmarkEnd w:id="34"/>
    <w:p>
      <w:pPr>
        <w:jc w:val="both"/>
        <w:spacing w:after="0" w:line="275" w:lineRule="auto"/>
        <w:rPr>
          <w:sz w:val="20"/>
          <w:szCs w:val="20"/>
          <w:color w:val="auto"/>
        </w:rPr>
      </w:pPr>
      <w:r>
        <w:rPr>
          <w:rFonts w:ascii="Arial" w:cs="Arial" w:eastAsia="Arial" w:hAnsi="Arial"/>
          <w:sz w:val="18"/>
          <w:szCs w:val="18"/>
          <w:b w:val="1"/>
          <w:bCs w:val="1"/>
          <w:i w:val="1"/>
          <w:iCs w:val="1"/>
          <w:color w:val="auto"/>
        </w:rPr>
        <w:t>Unauthorized disclosure of merchant or cardholder data, whether through breach of our computer systems, computer viruses, or otherwise, could expose Priority to liability, protracted and costly litigation and damage its reputation.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Priority is responsible for data security for itself and for third parties with whom it partners, including by contract and under the rules and regulations established by the payment networks, such as Visa, MasterCard, Discover and American Express, as well as debit card networks. These third parties include merchants, Priority’s distribution partners and other third-party service providers and agents. Priority and other third parties collect, process, store and/or transmit sensitive data, such as names, addresses, social security numbers, credit or debit card numbers and expiration dates, driver’s license numbers and bank account numbers. Priority has ultimate liability to the payment networks and its bank sponsors that register it with Visa or MasterCard for its failure or the failure of third parties with whom Priority contracts to protect this data in accordance with payment network requirements. The loss, destruction or unauthorized modification of merchant or cardholder data by Priority or its contracted third parties could result in significant fines, sanctions and proceedings or actions against Priority by the payment networks, governmental bodies, consumers or others.</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Information security risks for Priority and its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Examples of such information security risks are the recent Spectre and Meltdown threats which, rather than acting as viruses, were design flaws in many CPUs that allowed programs to steal data stored in the memory of other running programs and required patch software to correct. The techniques used by these bad actors to obtain unauthorized access, disable or degrade service, sabotage systems or utilize payment systems in an effort to perpetrate financial fraud change frequently and are often difficult to detect. Furthermore, threats may derive from human error, fraud or malice on the part of employees or third parties, or may result from accidental technological failure. For example, certain of Priority’s employees have access to sensitive data that could be used to commit identity theft or fraud. Concerns about security increase when Priority transmits information electronically because such transmissions can be subject to attack, interception or loss. Also, computer viruses can be distributed and spread rapidly over the internet and could infiltrate Priority’s systems or those of its contracted third parties. Denial of service or other attacks could be launched against Priority for a variety of purposes, including interfering with its services or to create a diversion for other malicious activities. These types of actions and attacks and others could disrupt Priority’s delivery of services or make them unavailable. Any such actions or attacks against Priority or its contracted third parties could hurt its reputation, force it to incur significant expenses in remediating the resulting impacts, expose it to uninsured liability, result in the loss of its bank sponsors or its ability to participate in the payment networks, subject it to lawsuits, fines or sanctions, distract its management or increase its costs of doing business. For example, Priority is presently evaluating whether the recent Spectre and Meltdown threats may require it to replace substantial portions of its current technology hardware and infrastructure in order to mitigate the risk associated with those threats. If it is required to replace a substantial portion of our current technology hardware and infrastructure, either as a result of the Spectre and Meltdown threats or similar future threats, it would likely incur substantial capital expenditures, which may materially and adversely affect its free cash flow and results of operations as a result.</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Priority and its contracted third parties could be subject to breaches of security by hackers. Its encryption of data and other protective measures may not prevent unauthorized access to or use of sensitive data. A breach of a system may subject Priority to material losses or liability, including payment network fines, assessments and claims for unauthorized purchases with misappropriated credit, debit or card information, impersonation or other similar fraud claims. A misuse of such data or a cybersecurity breach could harm Priority’s reputation and deter merchants from using electronic payments generally and its services specifically, thus reducing its revenue. In addition, any such misuse or breach could cause Priority to incur costs to correct the breaches or failures, expose it to uninsured liability, increase its risk of regulatory scrutiny, subject it to lawsuits, and result in the imposition of material penalties and fines under state and federal laws or by the payment networks. While Priority maintains insurance coverage that may, subject to policy terms and conditions, cover certain aspects of cyber risks, its insurance coverage may be insufficient to cover all losses. In addition, a significant cybersecurity breach of Priority’s systems or communications could result in payment networks prohibiting it from processing transactions on their networks or the loss of its bank sponsors that facilitate its participation in the payment networks, either of which could materially impede its ability to conduct business.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5" w:name="page36"/>
    <w:bookmarkEnd w:id="35"/>
    <w:p>
      <w:pPr>
        <w:jc w:val="both"/>
        <w:spacing w:after="0" w:line="268" w:lineRule="auto"/>
        <w:rPr>
          <w:sz w:val="20"/>
          <w:szCs w:val="20"/>
          <w:color w:val="auto"/>
        </w:rPr>
      </w:pPr>
      <w:r>
        <w:rPr>
          <w:rFonts w:ascii="Arial" w:cs="Arial" w:eastAsia="Arial" w:hAnsi="Arial"/>
          <w:sz w:val="17"/>
          <w:szCs w:val="17"/>
          <w:color w:val="auto"/>
        </w:rPr>
        <w:t>The confidentiality of the sensitive business information and personal consumer information that resides on Priority’s systems and its associated third parties’ systems is critical to its business. While Priority maintains controls and procedures to protect the sensitive data it collects, it cannot be certain that these measures will be successful or sufficient to counter all current and emerging technology threats that are designed to breach these systems in order to gain access to confidential information. For example, although Priority generally requires that our agreements with distribution partners or its service providers which may have access to merchant or cardholder data include confidentiality obligations that restrict these parties from using or disclosing any merchant or cardholder data except as necessary to perform their services under the applicable agreements, Priority cannot guarantee that these contractual measures will prevent the unauthorized use, modification, destruction or disclosure of data or allow it to seek reimbursement from the contracted party. In addition, many of Priority’s merchants are small and medium businesses that may have limited competency regarding data security and handling requirements and may thus experience data breaches. Any unauthorized use, modification, destruction or disclosure of data could result in protracted and costly litigation, and Priority incurring significant losses.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Priority’s agreements with its bank sponsors and its third-party payment processors (as well as payment network requirements) require Priority to take certain protective measures to ensure the confidentiality of merchant and consumer data. Any failure to adequately comply with these protective measures could result in fees, penalties, litigation or termination of Priority’s bank sponsor agreements.</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Any significant unauthorized disclosure of sensitive data entrusted to Priority would cause significant damage to its reputation and impair its ability to attract new integrated technology and referral partners, and may cause parties with whom Priority already has such agreements to terminate them.</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a result of information security risks, Priority must continuously develop and enhance its controls, processes, and practices designed to protect its computer systems, software, data and networks from attack, damage, or unauthorized access. This continuous development and enhancement will require Priority to expend additional resources, including to investigate and remediate significant information security vulnerabilities detected. Despite its investments in security measures, Priority is unable to assure that any security measures will not be subject to system or human error.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may experience breakdowns in our processing systems that could damage client relations and expose it to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Priority’s core business depends heavily on the reliability of its processing systems. A system outage could have a material adverse effect on its business, financial condition, and results of operations. Not only would Priority suffer damage to its reputation in the event of a system outage, but it may also be liable to third parties. Many of Priority’s contractual agreements with clients require it to pay penalties if its systems do not meet certain operating standards. To successfully operate its business, Priority must be able to protect its processing and other systems from interruption, including from events that may be beyond its control. Events that could cause system interruptions include, but are not limited to, fire, natural disaster, unauthorized entry, power loss, telecommunications failure, computer viruses, terrorist acts, cyber-attacks, and war. Although Priority has taken steps to protect against data loss and system failures, there is still risk that it may lose critical data or experience system failures. To help protect against these events, Priority performs the vast majority of disaster recovery operations itself, but it also utilizes select third parties for certain operations. To the extent Priority outsources its disaster recovery, Priority is at risk of the vendor’s unresponsiveness or other failures in the event of breakdowns in its systems. In addition, Priority’s property and business interruption insurance may not be adequate to compensate it for all losses or failures that may occur.</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Governmental regulations designed to protect or limit access to or use of consumer information could adversely affect Priority’s ability to effectively provide its services to merchants.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Governmental bodies in the United States have adopted, or are considering the adoption of, laws and regulations restricting the use, collection, storage, and transfer of, and requiring safeguarding of, non-public personal information. Priority’s operations are subject to certain provisions of these laws. Relevant federal privacy laws include the Gramm-Leach-Bliley Act of 1999, which applies directly to a broad range of financial institutions and indirectly, or in some instances directly, to companies that provide services to financial institutions. These laws and regulations restrict the collection, processing, storage, use and disclosure of personal information, require notice to individuals of privacy practices and provide individuals with certain rights to prevent the use and disclosure of protected information. These laws also impose requirements for safeguarding and proper destruction of personal information through the issuance of data security standards or guidelines.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Federal Trade Commission’s information safeguarding rules under the Gramm-Leach-Bliley Act require Priority to develop, implement and maintain a written, comprehensive information security program containing safeguards that are appropriate for its size and complexity, the nature and scope of its activities and the sensitivity of any customer information at issue. Priority’s financial institution clients are subject to similar requirements under the guidelines issued by the federal banking regulators. As part of their compliance with these requirements, each of Priority’s financial institution clients is expected to have a program in place for responding to unauthorized access to, or use of, customer information that could result in substantial harm or inconvenience to customers and they are also responsible for Priority’s compliance efforts as a major service provider. In addition, regulators are proposing new laws or regulations which could require Priority to adopt certain cybersecurity and data handling practices. In many jurisdictions consumers must be notified in the event of a data breach, and such notification requirements continue to increase in scope and cost. The changing privacy laws in the United States create new individual privacy rights and impose increased obligations on companies handling personal data.</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6" w:name="page37"/>
    <w:bookmarkEnd w:id="36"/>
    <w:p>
      <w:pPr>
        <w:jc w:val="both"/>
        <w:spacing w:after="0" w:line="310" w:lineRule="auto"/>
        <w:rPr>
          <w:sz w:val="20"/>
          <w:szCs w:val="20"/>
          <w:color w:val="auto"/>
        </w:rPr>
      </w:pPr>
      <w:r>
        <w:rPr>
          <w:rFonts w:ascii="Arial" w:cs="Arial" w:eastAsia="Arial" w:hAnsi="Arial"/>
          <w:sz w:val="16"/>
          <w:szCs w:val="16"/>
          <w:color w:val="auto"/>
        </w:rPr>
        <w:t>In addition, there are state laws restricting the ability to collect and utilize certain types of information such as Social Security and driver’s license numbers. Certain state laws impose similar privacy obligations as well as obligations to provide notification of security breaches of computer databases that contain personal information to affected individuals, state officers and consumer reporting agencies and businesses and governmental agencies that own data.</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providing services to its merchants, Priority is required by regulations and contracts with its merchants and with its financial institution referral partners to provide assurances regarding the confidentiality and security of non-public consumer information. These contracts require periodic audits by independent companies regarding Priority’s compliance with industry standards and also allow for similar audits regarding best practices established by regulatory guidelines. The compliance standards relate to Priority’s infrastructure, components and operational procedures designed to safeguard the confidentiality and security of non-public consumer personal information shared by its merchants with it. Priority’s ability to maintain compliance with these standards and satisfy these audits will affect its ability to attract, grow and maintain business in the future. If Priority fails to comply with the laws and regulations relating to the protection of data privacy, Priority could be exposed to suits for breach of contract or to governmental proceedings. In addition, Priority’s relationships and reputation could be harmed, which could inhibit its ability to retain existing merchants and distribution partners and obtain new merchants and distribution partners.</w:t>
      </w:r>
    </w:p>
    <w:p>
      <w:pPr>
        <w:spacing w:after="0" w:line="19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If more restrictive privacy laws or rules are adopted by authorities in the future, Priority’s compliance costs may increase and its ability to perform due diligence on, and monitor the risk of, its current and potential merchants may decrease, which could create liability for it. Additionally, Priority’s opportunities for growth may be curtailed by its compliance capabilities or reputational harm, and its potential liability for security breaches may increase.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distribution partners and merchants may be reluctant to switch to a new merchant acquirer, which may adversely affect Priority’s growth.</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potential distribution partners and merchants worry about potential disadvantages associated with switching merchant acquirers, such as a loss of accustomed functionality, increased costs and business disruption. For Priority’s distribution partners, switching to it from another merchant acquirer or integrating with it may be perceived by them as a significant undertaking. As a result, many distribution partners and merchants often resist change. There can be no assurance that Priority’s strategies for overcoming potential reluctance to change vendors or initiate a relationship with Priority will be successful, and this resistance may adversely affect its growth and performance results.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Priority relies on third-party vendors to provide products and services, it could be adversely impacted if it fails to fulfill their obligations.</w:t>
      </w:r>
    </w:p>
    <w:p>
      <w:pPr>
        <w:spacing w:after="0" w:line="2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Priority’s business is dependent on third-party vendors to provide it with certain products and services. For example, Priority utilizes First Data and TSYS to provide authorization and settlement services. Priority's current amended and restated processing agreement with First Data was entered into in December 2014 and will remain in effect through December 2019 and automatically renews for successive one year terms thereafter unless either party provides written notice of non-renewal to the other party. Priority's current processing agreement with TSYS was entered into in November 2014 and will remain in effect through December 2019 and automatically renews for successive one year terms thereafter unless either party provides written notice of non-renewal to the other party. In this regard, Priority has provided TSYS with a notice of its intent to terminate the agreement effective as of April 3, 2019, in connection with its intent to negotiate and enter into a new agreement with TSYS. There can be no assurance, however, that Priority will be successful in negotiating or entering into such a subsequent agreement with TSYS, and in the event it is unable to do so, Priority may determine to shift all or a portion of its current TSYS processing work to other providers.</w:t>
      </w:r>
    </w:p>
    <w:p>
      <w:pPr>
        <w:spacing w:after="0" w:line="17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failure of these vendors, such as First Data and TSYS, to perform their obligations in a timely manner could adversely affect Priority’s operations and profitability. In addition, if Priority is unable to renew its existing contracts with its most significant vendors, such as First Data and TSYS, it might not be able to replace the related product or service at the same cost, which would negatively impact its profitability. Specifically, while Priority believes it would be able to locate alternative vendors to provide substantially similar services at comparable rates, or otherwise replicate such services internally, it is not assured that a change will not be disruptive to Priority's business, which could potentially lead to a material adverse impact on its revenue and profitability until resolved.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card association and debit network fees or products could increase costs or otherwise limit Priority’s operations.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From time to time, card associations and debit networks increase the organization and/or processing fees (known as interchange fees) that they charge. It is possible that competitive pressures will result in Priority absorbing a portion of such increases in the future, which would increase its operating costs, reduce its profit margin, and adversely affect its business, operating results, and financial condition. In addition, the various card associations and networks prescribe certain capital requirements. Any increase in the capital level required would further limit Priority’s use of capital for other purposes.</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Priority is subject to extensive government regulation, and any new laws and regulations, industry standards or revisions made to existing laws, regulations or industry standards affecting the electronic payments industry may have an unfavorable impact on its business, financial condition and results of operations.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is subject to numerous regulations that affect electronic payments including, U.S. financial services regulations, consumer protection laws, escheat regulations, and privacy and information security regulations. Regulation and proposed regulation of its industry has increased significantly in recent years. Changes to statutes, regulations or industry standards, including interpretation and implementation of statutes, regulations or standards, could increase its cost of doing business or affect the competitive balance. For example, the Trump Administration has called for changes in existing regulatory requirements, including those applicable to financial services.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7" w:name="page38"/>
    <w:bookmarkEnd w:id="37"/>
    <w:p>
      <w:pPr>
        <w:jc w:val="both"/>
        <w:spacing w:after="0" w:line="258" w:lineRule="auto"/>
        <w:rPr>
          <w:sz w:val="20"/>
          <w:szCs w:val="20"/>
          <w:color w:val="auto"/>
        </w:rPr>
      </w:pPr>
      <w:r>
        <w:rPr>
          <w:rFonts w:ascii="Arial" w:cs="Arial" w:eastAsia="Arial" w:hAnsi="Arial"/>
          <w:sz w:val="18"/>
          <w:szCs w:val="18"/>
          <w:color w:val="auto"/>
        </w:rPr>
        <w:t>Priority cannot predict the impact, if any, of such changes on its business. It is likely that some policies adopted by the new administration will benefit Priority, while others will negatively affect it. Until Priority knows what changes are adopted, it will not know whether in total it benefits from, or is negatively affected by, the changes. Failure to comply with regulations may have an adverse effect on Priority’s business, including the limitation, suspension or termination of services provided to, or by, third parties, and the imposition of penalties or fines.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Interchange fees, which are typically paid by the payment processor to the issuer in connection with electronic payments, are subject to increasingly intense legal, regulatory, and legislative scrutiny. In particular, the Dodd-Frank Wall Street Reform and Consumer Protection Act (the “Dodd-Frank Act”), significantly changed the United States financial regulatory system, including by regulating and limiting debit card fees charged by certain issuers, allowing merchants to set minimum dollar amounts for the acceptance of credit cards and allowing merchants to offer discounts or other incentives for different payment methods.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Rules implementing the Dodd-Frank Act also contain certain prohibitions on payment network exclusivity and merchant routing restrictions. These restrictions could limit the number of debit transactions, and prices charged per transaction, which would negatively affect Priority’s business. The Dodd-Frank Act also created the Consumer Financial Protection Bureau (the “CFPB”), which has assumed responsibility for most federal consumer protection laws, and the Financial Stability Oversight Council, which has the authority to determine whether any non-bank financial company, which may include Priority within the definitional scope, should be supervised by the Board of Governors of the Federal Reserve System (the “Federal Reserve”), because it is systemically important to the United States financial system. Any such designation would result in increased regulatory burdens on Priority’s business, which increases its risk profile and may have an adverse impact on its business, financial condition and results of operations.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Priority and many of our merchants are subject to Section 5 of the Federal Trade Commission Act prohibiting unfair or deceptive acts or practices. That statement and other laws, rules and or regulations, including the Telemarketing Sales Act, may directly impact the activities of certain of Priority’s merchants and, in some cases, may subject Priority, as the merchant’s electronic processor or provider of certain services, to investigations, fees, fines and disgorgement of funds if it were deemed to have improperly aided and abetted or otherwise provided the means and instrumentalities to facilitate the illegal or improper activities of the merchant through its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Priority is processing payments or providing services for a merchant that may be in violation of laws, rules and regulations, it may be subject to enforcement actions and as a result may incur losses and liabilities that may impact its business.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Priority’s business may also be subject to the Fair Credit Reporting Act (the “FCRA”), which regulates the use and reporting of consumer credit information and also imposes disclosure requirements on entities that take adverse action based on information obtained from credit reporting agencies. Priority could be liable if its practices under the FCRA are not in compliance with the FCRA or regulations under it.</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Separately, the Housing Assistance Tax Act of 2008 included an amendment to the Internal Revenue Code of 1986, as amended (the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Reportable transactions are also subject to backup withholding requirements. Priority could be liable for penalties if its information returns does not comply with these regulations.</w:t>
      </w:r>
    </w:p>
    <w:p>
      <w:pPr>
        <w:spacing w:after="0" w:line="15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These and other laws and regulations, even if not directed at Priority, may require it to make significant efforts to change its products and services and may require that it incurs additional compliance costs and changes how it prices its services to merchants. Implementing new compliance efforts may be difficult because of the complexity of new regulatory requirements, and may cause Priority to devote significant resources to ensure compliance. Furthermore, regulatory actions may cause changes in business practices by Priority and other industry participants which could affect how Priority markets, prices and distributes its products and services, which could limit its ability to grow, reduce its revenues, or increase its costs. In addition, even an inadvertent failure to comply with laws and regulations, as well as rapidly evolving social expectations of corporate fairness, could damage Priority’s business or its reputation.</w:t>
      </w:r>
    </w:p>
    <w:p>
      <w:pPr>
        <w:spacing w:after="0" w:line="162"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b w:val="1"/>
          <w:bCs w:val="1"/>
          <w:i w:val="1"/>
          <w:iCs w:val="1"/>
          <w:color w:val="auto"/>
        </w:rPr>
        <w:t>Failure to comply with the rules established by payment networks or standards established by third-party processors could result in those networks or processors imposing fines or the networks suspending or terminating Priority’s registrations through its bank sponsors.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provide our merchant acquiring services, Priority is registered through its bank sponsors with the Visa and MasterCard networks as service providers for member institutions. More than $32 billion of Priority’s processing volume in the fiscal year ended December 31, 2017 was attributable to transactions processed on the Visa and MasterCard networks. As such, Priority and its merchants are subject to payment network rules. The payment networks routinely update and modify requirements applicable to merchant acquirers including rules regulating data integrity, third-party relationships (such as those with respect to bank sponsors), merchant chargeback standards and Payment Card Industry and Data Security Standards (the “PCI DSS”). Standards governing Priority’s third-party processing agreements may also impose requirements with respect to compliance with PCI DSS.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 w:name="page39"/>
    <w:bookmarkEnd w:id="38"/>
    <w:p>
      <w:pPr>
        <w:jc w:val="both"/>
        <w:spacing w:after="0" w:line="258" w:lineRule="auto"/>
        <w:rPr>
          <w:sz w:val="20"/>
          <w:szCs w:val="20"/>
          <w:color w:val="auto"/>
        </w:rPr>
      </w:pPr>
      <w:r>
        <w:rPr>
          <w:rFonts w:ascii="Arial" w:cs="Arial" w:eastAsia="Arial" w:hAnsi="Arial"/>
          <w:sz w:val="18"/>
          <w:szCs w:val="18"/>
          <w:color w:val="auto"/>
        </w:rPr>
        <w:t>If Priority does not comply with the payment network requirements or standards governing its third-party processing agreements, its transaction processing capabilities could be delayed or otherwise disrupted, and recurring non-compliance could result in the payment networks or third-party processors seeking to fine it, the payment networks suspending or terminating Priority’s registrations which allow it to process transactions on their networks, which would make it impossible for Priority to conduct its business on its current scale.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card association has sent Priority an inquiry regarding a subset of merchants representing approximately 2% of 2017 processing volume for potential noncompliance with card association rules. The card association identified at least one merchant as having engaged in deceptive practices with consumers and being noncompliant with their card association requirements, which resulted in excessive chargebacks. See the discussion below on chargeback risks in the section entitled “Risk Factors—Fraud by merchants or others could cause us to incur losses.” The card association has also found evidence that certain merchants have engaged in activities that violated certain card association rules, including entering transactions that did not represent bona fide business between the merchant of record and the cardholder, and processing sales for the same cardholder under different merchant accounts over time. The card association also raised concern about data security failures by merchants or merchant non-compliance with PCI DSS and about a customer relationship vendor that some of its merchants use.</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result of these and other findings, Priority took certain corrective actions, after reviewing these merchant accounts for violations of card association rules and our terms of service, including opening duplicate or multiple accounts to avoid compliance with our chargeback limitations. For additional information on types of merchant fraud, see “Risk Factors—Fraud by merchants or others could cause us to incur losses.” The corrective actions increase the costs of Priority’s compliance program which were passed along to resellers representing these merchants. As a result of some of these discrete corrective actions as well as standard risk assessment conducted through Priority’s risk management systems, it has terminated certain merchant accounts. Priority continues to evaluate additional existing and new merchant accounts for similar activity, and the number and type of merchants it will onboard in the future could potentially be affected. In addition, if Priority is in the future forced to close a material number of its merchant accounts as a result of separate inquiries from card associations of its own internal risk assessment process, such closures could have a material adverse effect on its business, financial condition, and results of operations. Priority has not been fined by the credit card association, however, had Priority not resolved the issues presented in such notices, Priority may be required to pay a fine. If in the future Priority is unable to recover fines from or pass-through costs to its merchants and/or resellers, or recover losses under insurance policies, Priority would experience a financial loss, and any such loss could be significant.</w:t>
      </w:r>
    </w:p>
    <w:p>
      <w:pPr>
        <w:spacing w:after="0" w:line="16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Under certain circumstances specified in the payment network rules or our third-party processing agreements, Priority may be required to submit to periodic audits, self-assessments or other assessments of our compliance with the PCI DSS. Such activities may reveal that we have failed to comply with the PCI DSS. In addition, even if Priority complies with the PCI DSS, there is no assurance that Priority will be protected from a security breach. The termination of our registration with the payment networks, or any changes in payment network or issuer rules that limit its ability to provide merchant acquiring services, could have an adverse effect on its payment processing volumes, revenues and operating costs. If an audit or self-assessment under PCI DSS identifies any deficiencies that Priority needs to remediate, the remediation efforts may distract its management team and be expensive and time consuming.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payment network rules or standards could adversely affect Priority’s business, financial condition and results of operations.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Payment network rules are established and changed from time to time by each payment network as they may determine in their sole discretion and with or without advance notice to their participants. The timelines imposed by the payment networks for expected compliance with new rules have historically been, and may continue to be, highly compressed, requiring Priority to quickly implement changes to its systems which increases the risk of non-compliance with new standards. In addition, the payment networks could make changes to interchange or other elements of the pricing structure of the merchant acquiring industry that would have a negative impact on Priority’s results of operations.</w:t>
      </w:r>
    </w:p>
    <w:p>
      <w:pPr>
        <w:spacing w:after="0" w:line="191"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b w:val="1"/>
          <w:bCs w:val="1"/>
          <w:i w:val="1"/>
          <w:iCs w:val="1"/>
          <w:color w:val="auto"/>
        </w:rPr>
        <w:t>There may be a decline in the use of electronic payments as a payment mechanism for consumers or adverse developments with respect to the electronic payments industry in general which could adversely affect Priority’s business, financial condition and operating results.</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Maintaining or increasing Priority’s profitability is dependent on consumers and businesses continuing to use credit, debit and prepaid cards at the same or greater rate than previously. If consumers do not continue to use these cards for their transactions or if there is a change in the mix of payments between cash and electronic payments which is adverse to Priority, its business could decline and we could incur material losses. Regulatory changes may also result in merchants seeking to charge customers additional fees for use of electronic payments. Additionally, in recent years, increased incidents of security breaches have caused some consumers to lose confidence in the ability of retailers to protect their information.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 w:name="page40"/>
    <w:bookmarkEnd w:id="39"/>
    <w:p>
      <w:pPr>
        <w:jc w:val="both"/>
        <w:spacing w:after="0" w:line="262" w:lineRule="auto"/>
        <w:rPr>
          <w:sz w:val="20"/>
          <w:szCs w:val="20"/>
          <w:color w:val="auto"/>
        </w:rPr>
      </w:pPr>
      <w:r>
        <w:rPr>
          <w:rFonts w:ascii="Arial" w:cs="Arial" w:eastAsia="Arial" w:hAnsi="Arial"/>
          <w:sz w:val="18"/>
          <w:szCs w:val="18"/>
          <w:b w:val="1"/>
          <w:bCs w:val="1"/>
          <w:i w:val="1"/>
          <w:iCs w:val="1"/>
          <w:color w:val="auto"/>
        </w:rPr>
        <w:t>In order to remain competitive and to continue to increase our revenues and earnings, Priority must continually update its products and services, a process which could result in increased costs and the loss of revenues, earnings, merchants and distribution partners if the new products and services do not perform as intended or are not accepted in the marketplace.</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electronic payments industry in which Priority competes is subject to rapid technological changes and is characterized by new technology, product and service introductions, evolving industry standards, changing merchant needs and the entrance of non-traditional competitors. Priority is subject to the risk that its existing products and services become obsolete, and that it is unable to develop new products and services in response to industry demands. Priority’s future success will depend in part on its ability to develop or adapt to technological changes and the evolving needs of its resellers, merchants and the industry at large. Priority is continually involved in many business and technology projects, such as CPX, MX Connect and MX Merchant. MX Connect and MX Merchant provide resellers and merchant clients, a flexible and customizable set of business applications that help better manage critical business work functions and revenue performance using core payment processing as its leverage point. Additionally, CPX provides Accounts Payable (“AP”) automation solutions that offers enterprise clients a bridge for buyer to supplier payments. These may require investment in products or services that may not directly generate revenue. These projects carry the risks associated with any development effort, including difficulty in determining market demand and timing for delivery of new products and services, cost overruns, delays in delivery and performance problems. In addition, new products and offerings may not perform as intended or generate the business or revenue growth expected. Defects in Priority’s software and errors or delays in its processing of electronic transactions could result in additional development costs, diversion of technical and other resources from its other development efforts, loss of credibility with current or potential distribution partners and merchants, harm to its reputation, fines imposed by card networks, or exposure to liability claims. Any delay in the delivery of new products or services or the failure to differentiate Priority’s products and services could render them less desirable, or possibly even obsolete, to its merchants. Additionally, the market for alternative payment processing products and services is evolving, and it may develop too rapidly or not rapidly enough for Priority to recover the costs it has incurred in developing new products and services.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Priority may not be able to continue to expand its share of the existing electronic payments industry or expand into new markets, which would inhibit its ability to grow and increase its profitability.</w:t>
      </w:r>
    </w:p>
    <w:p>
      <w:pPr>
        <w:spacing w:after="0" w:line="171"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Priority’s future growth and profitability depend, in part, upon its continued expansion within the markets in which it currently operates, the emergence of other markets for electronic payments and its ability to penetrate these markets and its current distribution partners’ merchant base. Future growth and profitability of Priority’s business may depend upon its ability to penetrate new industries and markets for electronic payments.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Priority’s ability to expand into new industries and markets also depends upon its ability to adapt its existing technology or to develop new technologies to meet the particular needs of each new industry or market. Priority may not have adequate financial or technological resources to develop effective and secure services or distribution channels that will satisfy the demands of these new industries or markets. Penetrating these new industries or markets may also prove to be more challenging or costly or take longer than Priority may anticipate. If Priority fails to expand into new and existing electronic payments industries and markets, it may not be able to continue to grow our revenues and earnings.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Priority’s acquisitions subject it to a variety of risks that could harm its business.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 reviews and completes selective acquisition opportunities as part of its growth strategy. There can be no assurances that Priority will be able to complete suitable acquisitions for a variety of reasons, including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potential acquisition will subject Priority to a variety of other risks:</w:t>
      </w:r>
    </w:p>
    <w:p>
      <w:pPr>
        <w:spacing w:after="0" w:line="185" w:lineRule="exact"/>
        <w:rPr>
          <w:sz w:val="20"/>
          <w:szCs w:val="20"/>
          <w:color w:val="auto"/>
        </w:rPr>
      </w:pPr>
    </w:p>
    <w:p>
      <w:pPr>
        <w:ind w:left="660" w:hanging="330"/>
        <w:spacing w:after="0" w:line="306"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Priority may need to allocate substantial operational, financial and management resources in integrating new businesses, technologies and products, and management may encounter difficulties in integrating the operations, personnel or systems of the acquired businesses;</w:t>
      </w:r>
    </w:p>
    <w:p>
      <w:pPr>
        <w:spacing w:after="0" w:line="146" w:lineRule="exact"/>
        <w:rPr>
          <w:rFonts w:ascii="Arial" w:cs="Arial" w:eastAsia="Arial" w:hAnsi="Arial"/>
          <w:sz w:val="17"/>
          <w:szCs w:val="17"/>
          <w:color w:val="auto"/>
        </w:rPr>
      </w:pPr>
    </w:p>
    <w:p>
      <w:pPr>
        <w:ind w:left="660" w:hanging="330"/>
        <w:spacing w:after="0" w:line="275"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acquisitions may have a material adverse effect on Priority’s business relationships with existing or future merchants or distribution partners, in particular, to the extent it consummates acquisitions that increase its sales and distribution capabilities;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Priority may assume substantial actual or contingent liabilities, known and unknown;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0" w:name="page41"/>
    <w:bookmarkEnd w:id="40"/>
    <w:p>
      <w:pPr>
        <w:ind w:left="660" w:hanging="330"/>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acquisitions may not meet Priority’s expectations of future financial performance;</w:t>
      </w:r>
    </w:p>
    <w:p>
      <w:pPr>
        <w:spacing w:after="0" w:line="223" w:lineRule="exact"/>
        <w:rPr>
          <w:rFonts w:ascii="Arial" w:cs="Arial" w:eastAsia="Arial" w:hAnsi="Arial"/>
          <w:sz w:val="18"/>
          <w:szCs w:val="18"/>
          <w:color w:val="auto"/>
        </w:rPr>
      </w:pPr>
    </w:p>
    <w:p>
      <w:pPr>
        <w:ind w:left="660" w:right="20" w:hanging="330"/>
        <w:spacing w:after="0" w:line="306"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counter-parties to the acquisition transactions may fail to perform their obligations under the applicable acquisition related documents, and/or negligently or intentionally commit misrepresentations as to the condition of the acquired business, asset, or go-forward enterprise;</w:t>
      </w:r>
    </w:p>
    <w:p>
      <w:pPr>
        <w:spacing w:after="0" w:line="146" w:lineRule="exact"/>
        <w:rPr>
          <w:rFonts w:ascii="Arial" w:cs="Arial" w:eastAsia="Arial" w:hAnsi="Arial"/>
          <w:sz w:val="17"/>
          <w:szCs w:val="17"/>
          <w:color w:val="auto"/>
        </w:rPr>
      </w:pPr>
    </w:p>
    <w:p>
      <w:pPr>
        <w:ind w:left="660" w:hanging="330"/>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Priority may experience delays or reductions in realizing expected synergies or benefits;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Priority may incur substantial unanticipated costs or encounter other problems associated with acquired businesses or devote time and capital investigating a potential acquisition and not complete the transaction;</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Priority may be unable to achieve its intended objectives for the transaction;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Priority may not be able to retain the key personnel, customers and suppliers of the acquired business.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Priority may be unable to maintain uniform standards, controls, procedures and policies as it attempts to integrate the acquired businesses, and this may lead to operational inefficiencies. These factors related to Priority’s acquisition strategy, among others, could have a material adverse effect on its business, financial condition and results of operations.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Potential changes in the competitive landscape, including disintermediation from other participants in the payments value chain, could harm Priority’s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Priority expects that the competitive landscape will continue to change, including the following developments:</w:t>
      </w:r>
    </w:p>
    <w:p>
      <w:pPr>
        <w:spacing w:after="0" w:line="223" w:lineRule="exact"/>
        <w:rPr>
          <w:sz w:val="20"/>
          <w:szCs w:val="20"/>
          <w:color w:val="auto"/>
        </w:rPr>
      </w:pPr>
    </w:p>
    <w:p>
      <w:pPr>
        <w:ind w:left="660" w:hanging="330"/>
        <w:spacing w:after="0" w:line="340"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Rapid and significant changes in technology may result in technology-led marketing that is focused on business solutions rather than pricing, new and innovative payment methods and programs that could place Priority at a competitive disadvantage and reduce the use of our services;</w:t>
      </w:r>
    </w:p>
    <w:p>
      <w:pPr>
        <w:spacing w:after="0" w:line="123" w:lineRule="exact"/>
        <w:rPr>
          <w:rFonts w:ascii="Arial" w:cs="Arial" w:eastAsia="Arial" w:hAnsi="Arial"/>
          <w:sz w:val="16"/>
          <w:szCs w:val="16"/>
          <w:color w:val="auto"/>
        </w:rPr>
      </w:pPr>
    </w:p>
    <w:p>
      <w:pPr>
        <w:ind w:left="660" w:right="20" w:hanging="330"/>
        <w:spacing w:after="0" w:line="275"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Competitors, distribution partners, and other industry participants may develop products that compete with or replace Priority’s value-added products and services;</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Participants in the financial services, payments and technology industries may merge, create joint ventures or form other business combinations that may strengthen their existing business services or create new payment services that compete with Priority; and</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New services and technologies that Priority develops may be impacted by industry-wide solutions and standards related to migration to EMV chip technology, tokenization or other security-related technologies.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Failure to compete effectively against any of these competitive threats could have a material adverse effect on Priority’s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may not be able to successfully manage its intellectual property and may be subject to infringement claims.</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Priority relies on a combination of contractual rights and copyright, trademark, patent and trade secret laws to establish and protect its proprietary technology. Third parties may challenge, circumvent, infringe or misappropriate Priority’s intellectual property, or such intellectual property may not be sufficient to permit it to take advantage of current market trends or otherwise to provide competitive advantages, which could result in costly redesign efforts, discontinuance of service offerings or other competitive harm. Others, including Priority’s competitors, may independently develop similar technology, duplicate Priority’s services or design around its intellectual property and, in such cases, Priority could not assert its intellectual property rights against such parties. Further, Priority’s contractual arrangements may not effectively prevent disclosure of its confidential information or provide an adequate remedy in the event of unauthorized disclosure of its confidential information. Priority may have to litigate to enforce or determine the scope and enforceability of our intellectual property rights and know-how, which is expensive, could cause a diversion of resources and may not prove successful. Also, because of the rapid pace of technological change in Priority’s industry, aspects of its business and its services rely on technologies developed or licensed by third parties, and Priority may not be able to obtain or continue to obtain licenses and technologies from these third parties on reasonable terms or at all. The loss of intellectual property protection or the inability to license or otherwise use third-party intellectual property could harm Priority’s business and ability to compete.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both"/>
        <w:spacing w:after="0" w:line="267" w:lineRule="auto"/>
        <w:rPr>
          <w:sz w:val="20"/>
          <w:szCs w:val="20"/>
          <w:color w:val="auto"/>
        </w:rPr>
      </w:pPr>
      <w:r>
        <w:rPr>
          <w:rFonts w:ascii="Arial" w:cs="Arial" w:eastAsia="Arial" w:hAnsi="Arial"/>
          <w:sz w:val="17"/>
          <w:szCs w:val="17"/>
          <w:color w:val="auto"/>
        </w:rPr>
        <w:t>Priority may also be subject to costly litigation if its services and technology are alleged to infringe upon or otherwise violate a third-party’s proprietary rights. Third parties may have, or may eventually be issued, patents that could be infringed by Priority’s products, services or technology. Any of these third parties could make a claim of infringement against Priority with respect to its products, services or technology. Priority may also be subject to claims by third parties for patent, copyright or trademark infringement, breach of license or violation of other third-party intellectual property rights. Any claim from third parties may result in a limitation on Priority’s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Priority’s. Even if Priority believes that intellectual property related claims are without merit, defending against such claims is time consuming and expensive and could result in the diversion of the time and attention of Priority’s management and employees. Claims of intellectual property infringement or violation also might require Priority to redesign affected products or services, enter into costly settlement or license agreements, pay costly damage awards, or face a temporary or permanent injunction prohibiting Priority from marketing or selling certain of its products or services. Even if Priority has an agreement for indemnification against such costs, the indemnifying party, if any in such circumstances, may be unable to uphold its contractual obligations. If Priority cannot or does not license the infringed technology on reasonable terms or substitute similar technology from another source, Priority’s revenue and earnings could be adversely impacted.</w:t>
      </w:r>
    </w:p>
    <w:p>
      <w:pPr>
        <w:spacing w:after="0" w:line="18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Priority is subject to economic and political risk, the business cycles of its merchants and distribution partners and the overall level of consumer and commercial spending, which could negatively impact its business, financial condition and results of operations.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electronic payments industry depends heavily on the overall level of consumer, commercial and government spending. Priority is exposed to general economic conditions that affect consumer confidence, consumer spending, consumer discretionary income and changes in consumer purchasing habits. A sustained deterioration in general economic conditions or increases in interest rates could adversely affect Priority’s financial performance by reducing the number or aggregate dollar volume of transactions made using electronic payments. If Priority’s merchants make fewer sales of their products and services using electronic payments, or consumers spend less money through electronic payments, Priority will have fewer transactions to process at lower dollar amounts, resulting in lower revenue. In addition, a weakening in the economy could force merchants to close at higher than historical rates, resulting in exposure to potential losses and a decline in the number of transactions that Priority processes. Priority also has material fixed and semi-fixed costs, including rent, debt service, contractual minimums and salaries, which could limit its ability to quickly adjust costs and respond to changes in its business and the economy.</w:t>
      </w:r>
    </w:p>
    <w:p>
      <w:pPr>
        <w:spacing w:after="0" w:line="19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Global economic, political and market conditions affecting the U.S. markets may adversely affect Priority’s business, results of operations and financial condition, including our revenue growth and profitability.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worldwide financial market situation, as well as various social and political tensions in the United States and around the world, may contribute to increased market volatility, may have long-term effects on the United States and may cause economic uncertainties or deterioration in the United States. The U.S. markets experienced extreme volatility and disruption during the economic downturn that began in mid-2007, and the U.S. economy was in a recession for several consecutive calendar quarters during the same period. In addition, the fiscal and monetary policies of foreign nations, such as Russia and China, may have a severe impact on U.S. financial markets.</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of the 2016 U.S. election, the Republican Party currently controls both the executive and legislative branches of government, which increases the likelihood that legislation may be adopted that could significantly affect the regulation of U.S. financial markets. Areas subject to potential change, amendment or repeal include the Dodd-Frank Act and the authority of the Federal Reserve and the Financial Stability Oversight Council. The United States may also potentially withdraw from or renegotiate various trade agreements and take other actions that would change current trade policies of the United States. Priority cannot predict which, if any, of these actions will be taken or, if taken, their effect on the financial stability of the United States. Such actions could have a significant adverse effect on Priority’s business, financial condition and results of operations, particularly in view of the regulatory oversight Priority presently faces. Priority cannot predict the effects of these or similar events in the future on the U.S. economy in general, or specifically on its business model or growth strategy, which typically involves the use of debt financing. To the extent a downturn in the U.S. economy impacts Priority’s merchant accounts, regulatory changes increase the burden it faces in operating its business, or disruptions in the credit markets prevent Priority from using debt to finance future acquisitions, Priority’s financial condition and results of operations may be materially and adversely impacted.</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 substantial portion of all of Priority’s merchants are small- and medium-sized businesses, which may increase the impact of economic fluctuations and merchant attrition on it.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Priority markets and sells its solutions primarily to SMB merchants. SMB merchants are typically more susceptible to the adverse effects of economic fluctuations than larger businesses. Priority experiences attrition in merchants and merchant charge volume in the ordinary course of business resulting from several factors, including business closures, transfers of merchants’ accounts to its competitors and account closures that it initiates due to heightened credit risks relating to, or contract breaches by, a merchant. Adverse changes in the economic environment or business failures of our SMB merchants may have a greater impact on Priority than on its competitors who do not focus on SMB merchants to the extent that Priority does. Priority cannot accurately predict the level of SMB merchant attrition in the future. If Priority is unable to establish accounts with new merchants or otherwise increase its payment processing volume in order to counter the effect of this attrition, its revenues will decline.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 w:name="page43"/>
    <w:bookmarkEnd w:id="42"/>
    <w:p>
      <w:pPr>
        <w:jc w:val="both"/>
        <w:spacing w:after="0" w:line="275" w:lineRule="auto"/>
        <w:rPr>
          <w:sz w:val="20"/>
          <w:szCs w:val="20"/>
          <w:color w:val="auto"/>
        </w:rPr>
      </w:pPr>
      <w:r>
        <w:rPr>
          <w:rFonts w:ascii="Arial" w:cs="Arial" w:eastAsia="Arial" w:hAnsi="Arial"/>
          <w:sz w:val="18"/>
          <w:szCs w:val="18"/>
          <w:b w:val="1"/>
          <w:bCs w:val="1"/>
          <w:i w:val="1"/>
          <w:iCs w:val="1"/>
          <w:color w:val="auto"/>
        </w:rPr>
        <w:t>Priority’s systems and its third-party providers’ systems may fail due to factors beyond its control, which could interrupt its service, resulting in its inability to process, cause it to lose business, increase its costs and expose us to liability.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depend on the efficient and uninterrupted operation of numerous systems, including Priority’s computer network systems, software, data centers and telecommunication networks, as well as the systems and services of its bank sponsors, the payment networks, third-party providers of processing services and other third parties. Priority’s systems and operations or those of its third-party providers, such as its provider of dial-up authorization services, or the payment networks themselves, could be exposed to damage or interruption from, among other things, fire, natural disaster, power loss, telecommunications failure, unauthorized entry, computer viruses, denial-of-service attacks, acts of terrorism, human error or sabotage, financial insolvency and similar events. Priority’s property and business interruption insurance may not be adequate to compensate it for all losses or failures that may occur. At present, Priority’s critical operational systems, such as its payment gateway, are fully redundant, while certain of its less critical systems are not. Therefore, certain aspects of Priority’s operations may be subject to interruption. Also, while Priority has disaster recovery policies and arrangements in place, they have not been tested under actual disasters or similar events.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Defects in Priority’s systems or those of third parties, errors or delays in the processing of payment transactions, telecommunications failures or other difficulties could result in failure to process transactions, additional operating and development costs, diversion of technical and other resources, loss of revenue, merchants and distribution partners, loss of merchant and cardholder data, harm to Priority’s business or reputation, exposure to fraud losses or other liabilities and fines and other sanctions imposed by payment networks.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Priority relies on other service and technology providers. If they fail or discontinue providing their services or technology generally or to Priority specifically, its ability to provide services to merchants may be interrupted, and, as a result, its business, financial condition and results of operations could be adversely impacted.</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Priority relies on third parties to provide or supplement bankcard processing services and for infrastructure hosting services. Priority also relies on third parties for specific software and hardware used in providing our products and services. The termination by Priority’s service or technology providers of their arrangements with it or their failure to perform their services efficiently and effectively may adversely affect Priority’s relationships with its merchants and, if Priority cannot find alternate providers quickly, may cause those merchants to terminate their relationship with it.</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Priority also relies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Priority’s products and services could result in delays in introducing new products or services, or delays in resolving any issues with existing products or services for which third-party providers provide ongoing support.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by merchants or others could cause Priority to incur losses.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Priority faces potential liability for fraudulent electronic payment transactions initiated by merchants or others. Merchant fraud occurs when a merchant opens a fraudulent merchant account and conducts fraudulent transactions or when a merchant, rather than a customer (though sometimes working together with a customer engaged in fraudulent activities), knowingly uses a stolen or counterfeit card or card number to record a false sales transaction, or intentionally fails to deliver the merchandise or services sold in an otherwise valid transaction. Any time a merchant is unable to fund a chargeback, Priority has a number of contractual arrangements and other means of recourse to mitigate those risks. Nonetheless, there still is loss exposure in the event a merchant is unable to fund a chargeback. Additionally, merchant fraud occurs when employees of merchants change the merchant demand deposit accounts to their personal bank account numbers, so that payments are improperly credited to the employee’s personal account. Priority has established systems and procedures to detect and reduce the impact of merchant fraud, but it cannot be sure that these measures are or will be effective. Failure to effectively manage risk and prevent fraud could increase Priority’s chargeback or other liability.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Priority also has potential liability for losses caused by fraudulent card-based payment transactions. Card fraud occurs when a merchant’s customer uses a stolen card (or a stolen card number in a card-not-present transaction) to purchase merchandise or services. In a card-present transaction, where a merchant has an EMV, or “chip reader”, compliant machine, if the merchant swipes the card and receives authorization for the transaction from the issuer, the issuer remains liable for any loss. In a card-not-present transaction, or where a merchant lacks an EMV-capable machine even if the merchant receives authorization for the transaction, the merchant is liable for any loss arising from the transaction. Many of the merchants that Priority serves transact a substantial percentage of their sales in card-not-present transactions over the internet or in response to telephone or mail orders, which makes these merchants more vulnerable to fraud than merchants whose transactions are conducted largely in card-present transactions.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Priority incurs liability when its merchants refuse or cannot reimburse it for chargebacks resolved in favor of their customers.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Priority has potential liability for chargebacks associated with the transactions it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Priority or its bank sponsors are unable to collect the chargeback from the merchant’s account or reserve account (if applicable), or if the merchant refuses or is financially unable (due to bankruptcy or other reasons) to reimburse the merchant’s bank for the chargeback, Priority may bear the loss for the amount of the refund paid to the cardholder. Any increase in chargebacks not paid by Priority’s merchants could increase its costs and decrease its revenues. Priority has policies to manage merchant-related credit risk and often mitigate such risk by requiring collateral and monitoring transaction activity. Notwithstanding Priority’s programs and policies for managing credit risk, it is possible that a default on such obligations by one or more of Priority’s merchants could have a material adverse effect on its business.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Priority relies on bank sponsors, which have substantial discretion with respect to certain elements of its business practices, in order to process electronic payment transactions. If these sponsorships are terminated and Priority is not able to secure new bank sponsors, Priority will not be able to conduct its business.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Priority is not a bank, it is not eligible for membership in the Visa, MasterCard and other payment networks. These networks’ operating regulations require Priority to be sponsored by a member bank in order to process Electronic Payment transactions. Priority is currently registered with Visa and MasterCard through Citizens Bank, Wells Fargo and Synovus Bank. Priority is also subject to network operating rules promulgated by the National Automated Clearing House Association relating to payment transactions processed by it using the Automated Clearing House Network. For ACH payments, Priority’s ACH network (ACH.com) is sponsored by Atlantic Capital Bank, BB&amp;T Bank and MB Financial Bank. From time to time, Priority may enter into other sponsorship relationships as well.</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Priority’s bank sponsors may terminate their agreements with us if we materially breach the agreements and do not cure the breach within an established cure period, if our membership with Visa and/or MasterCard terminates, if we enter bankruptcy or file for bankruptcy, or if applicable laws or regulations, including Visa and/or MasterCard regulations, change to prevent either the applicable bank or Priority from performing services under the agreement. If these sponsorships are terminated and Priority is unable to secure a replacement bank sponsor within the applicable wind down period, Priority will not be able to process electronic payment transactions.</w:t>
      </w:r>
    </w:p>
    <w:p>
      <w:pPr>
        <w:spacing w:after="0" w:line="19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Furthermore, Priority’s agreements with its bank sponsors provide the bank sponsors with substantial discretion in approving certain elements of its business practices, including its solicitation, application and underwriting procedures for merchants. Priority cannot guarantee that its bank sponsors’ actions under these agreements will not be detrimental to it, nor can Priority provide assurance that any of its bank sponsors will not terminate their sponsorship of Priority in the future. Priority’s bank sponsors have broad discretion to impose new business or operational requirements on Priority, which may materially adversely affect its business. If Priority’s sponsorship agreements are terminated and Priority is unable to secure another bank sponsor, Priority will not be able to offer Visa or MasterCard transactions or settle transactions which would likely cause Priority to terminate its operations.</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Priority’s bank sponsors also provide or supplement authorization, funding and settlement services in connection with its bankcard processing services. If Priority’s sponsorships agreements are terminated and it is unable to secure another bank sponsor, Priority will not be able to process Visa and MasterCard transactions which would have a material adverse effect on its business, financial condition and results of operations.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December 2016, the Office of the Comptroller of the Currency (the “OCC”) has been considering whether to issue a special purpose national bank charter for financial technology companies (“FinTech Charter”). OCC Comptroller Otting has recently suggested that the OCC could publish its position on the proposed charter by July 2018. In the event the OCC begins issuing FinTech Charters, Priority cannot predict which, if any, of its current or future competitors would take advantage of the charter, but such a development could increase the competitive risks discussed above, create new competitive risks such as Priority’s nonbank competitors being able to more easily access the payment networks without the requirement of a bank sponsor, which could provide them with a competitive advantage.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spacing w:after="0" w:line="275" w:lineRule="auto"/>
        <w:rPr>
          <w:sz w:val="20"/>
          <w:szCs w:val="20"/>
          <w:color w:val="auto"/>
        </w:rPr>
      </w:pPr>
      <w:r>
        <w:rPr>
          <w:rFonts w:ascii="Arial" w:cs="Arial" w:eastAsia="Arial" w:hAnsi="Arial"/>
          <w:sz w:val="18"/>
          <w:szCs w:val="18"/>
          <w:b w:val="1"/>
          <w:bCs w:val="1"/>
          <w:i w:val="1"/>
          <w:iCs w:val="1"/>
          <w:color w:val="auto"/>
        </w:rPr>
        <w:t>Priority’s risk management policies and procedures may not be fully effective in mitigating its risk exposure in all market environments or against all types of risks.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Priority operates in a rapidly changing industry. Accordingly, its risk management policies and procedures may not be fully effective to identify, monitor, manage and remediate its risks. Some of its risk evaluation methods depend upon information provided by others and public information regarding markets, merchants or other matters that are otherwise inaccessible by Priority. In some cases, that information may not be accurate, complete or up-to-date. Additionally, Priority’s risk detection system is subject to a high degree of “false positive” risks being detected, which makes it difficult for Priority to identify real risks in a timely manner. If Priority’s policies and procedures are not fully effective or Priority is not always successful in capturing all risks to which it is or may be exposed, it may suffer harm to its reputation or be subject to litigation or regulatory actions that materially increase its costs and subject it to reputational damage that could limit its ability to grow and cause it to lose existing merchant clients.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could have a material adverse effect on Priority’s business, financial condition or results of operations.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ordinary course of business, Priority may become involved in various litigation matters, including but not limited to commercial disputes and employee claims, and from time to time may be involved in governmental or regulatory investigations or similar matters arising out of Priority’s current or future business. Any claims asserted against Priority, regardless of merit or eventual outcome, could harm its reputation and have an adverse impact on its relationship with its merchants, distribution partners and other third parties and could lead to additional related claims. Certain claims may seek injunctive relief, which could disrupt the ordinary conduct of Priority’s business and operations or increase its cost of doing business. Priority’s insurance or indemnities may not cover all claims that may be asserted against Priority, and any claims asserted against it, regardless of merit or eventual outcome, may harm its reputation and cause it to expend resources in its defense. Furthermore, there is no guarantee that Priority will be successful in defending itself in future litigation. Should the ultimate judgments or settlements in any pending litigation or future litigation or investigation significantly exceed Priority’s insurance coverage, they could have a material adverse effect on its business, financial condition and results of operations.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Priority’s Executive Chairman, Thomas Priore, is presently subject to an SEC civil order pertaining to his prior involvement with a registered investment adviser, which could heighten the regulatory scrutiny of the combined company, and also raise concerns among prospective investors subsequent to completion of the Business Combination.</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June 21, 2010, the SEC filed a civil lawsuit against ICP Asset Management ("ICP") and Thomas Priore in his role as majority owner, President and Chief Investment Officer of ICP’s registered investment advisor. The SEC principally alleged that portfolio rebalancing trades executed by ICP at the height of the credit crisis, in connection with its management of the assets of four collateralized debt obligation vehicles (the Triaxx “CDOs"), violated certain fiduciary duties and obligations under the CDOs' trust indentures. The SEC contended that certain trades executed by ICP at purchase prices between the CDO trusts, should have been executed at then prevailing market prices and on an arms' length basis, and, by failing to do so, ICP caused the CDOs to overpay for securities in violation of its fiduciary duty. The SEC further alleged that the nature of certain trades were mischaracterized to investors and executed without requisite approvals from the CDOs' trustee. On August 14, 2012 Mr. Priore and ICP agreed to a civil settlement with regulators without admitting or denying the allegations, consenting to the entry of a civil order by the SEC. On March 11, 2015 the administrative settlement was entered pertaining to the SEC Order that barred Mr. Priore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Priority, or his service as Executive Chairman of the combined company subsequent to the Business Combination. Nevertheless, it could serve to heighten the regulatory scrutiny faced by the combined company or investor sentiment pertaining to the Business Combination. During such time that the SEC bar remains in effect, the combined company will be required to monitor if any future offerings of its stock might be considered an offering of “penny stock” which would be prohibited under the bar. In addition, while the SEC bar remains in effect, Mr. Priore is prohibited from owning a controlling equity stake in or operating a securities broker dealer, investment adviser, municipal securities dealer or transfer agent. The SEC bar does not, however, impact Priority's current business, or any of its contemplated operations subsequent to completion of the Business Combination.</w:t>
      </w:r>
    </w:p>
    <w:p>
      <w:pPr>
        <w:spacing w:after="0" w:line="38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The loss of, for example, key personnel or of Priority’s ability to attract, recruit, retain and develop qualified employees could adversely affect its business, financial condition and results of operations.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Priority’s success depends upon the continued services of its senior management and other key personnel who have substantial experience in the electronic payments industry and the markets in which Priority offers its services. In addition, Priority’s success depends in large part upon the reputation within the industry of its senior managers who have developed relationships with its distribution partners, payment networks and other payment processing and service providers. Further, in order for Priority to continue to successfully compete and grow, it must attract, recruit, develop and retain personnel who will provide Priority with expertise across the entire spectrum of its intellectual capital needs. Priority’s success is also dependent on the skill and experience of its sales force, which Priority must continuously work to maintain. While Priority has many key personnel who have substantial experience with its operations, Priority must also develop its personnel to provide succession plans capable of maintaining the continuity of its operations. The market for qualified personnel is competitive, and Priority may not succeed in recruiting additional personnel or may fail to effectively replace current personnel who depart with qualified or effective successors.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 w:name="page46"/>
    <w:bookmarkEnd w:id="45"/>
    <w:p>
      <w:pPr>
        <w:jc w:val="both"/>
        <w:spacing w:after="0" w:line="252" w:lineRule="auto"/>
        <w:rPr>
          <w:sz w:val="20"/>
          <w:szCs w:val="20"/>
          <w:color w:val="auto"/>
        </w:rPr>
      </w:pPr>
      <w:r>
        <w:rPr>
          <w:rFonts w:ascii="Arial" w:cs="Arial" w:eastAsia="Arial" w:hAnsi="Arial"/>
          <w:sz w:val="18"/>
          <w:szCs w:val="18"/>
          <w:color w:val="auto"/>
        </w:rPr>
        <w:t>In addition, Priority relies heavily on several senior key directors and executive officers, including its Executive Chairman, Thomas Priore, and its Chief Executive Officer, John Priore, each of whom helped found Priority. Priority’s future success will continue to depend on the diligence, skill, network of business contacts and continued service of Thomas Priore and John Priore, together with members of our senior management team. Priority cannot assure you that unforeseen business, medical, personal or other circumstances would not lead any such individual to terminate his relationship with Priority. The loss of Thomas Priore or John Priore, or any of the members of our senior management team, could have a material adverse effect on Priority’s ability to achieve its growth strategy as well as on its future financial condition and results of operations. Failure to retain or attract key personnel could impede Priority’s ability to grow and could result in its inability to operate its business profitably. In addition, contractual obligations related to confidentiality, assignment of intellectual property rights, and non-solicitation may be ineffective or unenforceable and departing employees may share Priority’s proprietary information with competitors in ways that could adversely impact Priority or seek to solicit its distribution partners or merchants or recruit its key personnel to competing businesses.</w:t>
      </w:r>
    </w:p>
    <w:p>
      <w:pPr>
        <w:spacing w:after="0" w:line="19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Priority’s business and operations could be negatively affected if it becomes subject to any securities litigation or shareholder activism, which could cause it to incur significant expense, hinder execution of business and growth strategy and impact its stock price.</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Once Priority becomes publicly listed, volatility in its stock price or other reasons may in the future cause it to become the target of securities litigation or shareholder activism. Securities litigation and shareholder activism, including potential proxy contests, could result in substantial costs and divert Priority’s management’s and board of directors’ attention and resources from its business. Additionally, such securities litigation and shareholder activism could give rise to perceived uncertainties as to Priority’s future, adversely affect its relationships with service providers and make it more difficult to attract and retain qualified personnel. Also, Priority may be required to incur significant legal fees and other expenses related to any securities litigation and activist shareholder matters. Further, Priority’s stock price could be subject to significant fluctuation or otherwise be adversely affected by the events, risks and uncertainties of any securities litigation and shareholder activism.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could adversely affect Priority’s results of operations and cash flows from operations.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Priority’s operations are subject to tax by federal, state, local, and international taxing jurisdictions. Changes in tax laws in Priority’s significant tax jurisdictions could materially increase the amount of taxes it owes, thereby negatively impacting its results of operations as well as its cash flows from operations. For example, restrictions on the deductibility of interest expense in a U.S. jurisdiction without a corresponding reduction in statutory tax rates could negatively impact Priority’s effective tax rate, financial position, results of operations, and cash flows in the period that such a change occurs and future periods.</w:t>
      </w:r>
    </w:p>
    <w:p>
      <w:pPr>
        <w:spacing w:after="0" w:line="18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Risk Relating to Indebtedness of the Combined Company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will face risks related to its substantial indebtedness.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connection with the Business Combination, all of Priority’s existing indebtedness will be assumed by the combined company. As of March 31, 2018, Priority had $351.1 million of indebtedness. Long-term debt increased by $68.0 million as of March 31, 2018, from $283.1 million as of December 31, 2017. The increased debt was attributable to a debt upsizing in January 2018. In addition, Priority has $25 million of availability under its revolving credit facility, which was undrawn and fully available as of March 31, 2018. Priority’s total interest expense was $23.8 million, $4.1 million and $3.5 million in 2017, 2016 and 2015, respectively. In the future, we may elect to use additional forms of indebtedness, including publicly or privately offered notes, which may further increase our levels of indebtedness. See </w:t>
      </w:r>
      <w:r>
        <w:rPr>
          <w:rFonts w:ascii="Arial" w:cs="Arial" w:eastAsia="Arial" w:hAnsi="Arial"/>
          <w:sz w:val="17"/>
          <w:szCs w:val="17"/>
          <w:i w:val="1"/>
          <w:iCs w:val="1"/>
          <w:color w:val="auto"/>
        </w:rPr>
        <w:t>“</w:t>
      </w:r>
      <w:r>
        <w:rPr>
          <w:rFonts w:ascii="Arial" w:cs="Arial" w:eastAsia="Arial" w:hAnsi="Arial"/>
          <w:sz w:val="17"/>
          <w:szCs w:val="17"/>
          <w:color w:val="auto"/>
        </w:rPr>
        <w:t>Management’s Discussion and Analysis of Financial Condition and Results of Operations of Priority — Liquidity and Capital Resources</w:t>
      </w:r>
      <w:r>
        <w:rPr>
          <w:rFonts w:ascii="Arial" w:cs="Arial" w:eastAsia="Arial" w:hAnsi="Arial"/>
          <w:sz w:val="17"/>
          <w:szCs w:val="17"/>
          <w:i w:val="1"/>
          <w:iCs w:val="1"/>
          <w:color w:val="auto"/>
        </w:rPr>
        <w:t>”</w:t>
      </w:r>
      <w:r>
        <w:rPr>
          <w:rFonts w:ascii="Arial" w:cs="Arial" w:eastAsia="Arial" w:hAnsi="Arial"/>
          <w:sz w:val="17"/>
          <w:szCs w:val="17"/>
          <w:color w:val="auto"/>
        </w:rPr>
        <w:t xml:space="preserve"> for a description of Priority’s existing credit facilities.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combined company’s current and future levels of indebtedness could have important consequences to the combined company, including, but not limited to:</w:t>
      </w:r>
    </w:p>
    <w:p>
      <w:pPr>
        <w:spacing w:after="0" w:line="171" w:lineRule="exact"/>
        <w:rPr>
          <w:sz w:val="20"/>
          <w:szCs w:val="20"/>
          <w:color w:val="auto"/>
        </w:rPr>
      </w:pPr>
    </w:p>
    <w:p>
      <w:pPr>
        <w:ind w:left="660" w:hanging="330"/>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increasing the combined company’s vulnerability to, and reducing its flexibility to respond to, general adverse economic and industry conditions;</w:t>
      </w:r>
    </w:p>
    <w:p>
      <w:pPr>
        <w:spacing w:after="0" w:line="246" w:lineRule="exact"/>
        <w:rPr>
          <w:rFonts w:ascii="Arial" w:cs="Arial" w:eastAsia="Arial" w:hAnsi="Arial"/>
          <w:sz w:val="16"/>
          <w:szCs w:val="16"/>
          <w:color w:val="auto"/>
        </w:rPr>
      </w:pPr>
    </w:p>
    <w:p>
      <w:pPr>
        <w:jc w:val="both"/>
        <w:ind w:left="660" w:hanging="330"/>
        <w:spacing w:after="0" w:line="262"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the combined company’s cash flow from operations to the payment of principal of, and interest on, its indebtedness, thereby reducing the availability of such cash flow to fund working capital, capital expenditures, acquisitions, joint ventures or other general corporate purposes;</w:t>
      </w:r>
    </w:p>
    <w:p>
      <w:pPr>
        <w:spacing w:after="0" w:line="182" w:lineRule="exact"/>
        <w:rPr>
          <w:rFonts w:ascii="Arial" w:cs="Arial" w:eastAsia="Arial" w:hAnsi="Arial"/>
          <w:sz w:val="18"/>
          <w:szCs w:val="18"/>
          <w:color w:val="auto"/>
        </w:rPr>
      </w:pPr>
    </w:p>
    <w:p>
      <w:pPr>
        <w:ind w:left="660" w:hanging="330"/>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limiting the combined company’s flexibility in planning for, or reacting to, changes in its business and the competitive environment;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limiting the combined company’s ability to borrow additional funds and increasing the cost of any such borrowing.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6" w:name="page47"/>
    <w:bookmarkEnd w:id="46"/>
    <w:p>
      <w:pPr>
        <w:jc w:val="both"/>
        <w:spacing w:after="0" w:line="274" w:lineRule="auto"/>
        <w:rPr>
          <w:sz w:val="20"/>
          <w:szCs w:val="20"/>
          <w:color w:val="auto"/>
        </w:rPr>
      </w:pPr>
      <w:r>
        <w:rPr>
          <w:rFonts w:ascii="Arial" w:cs="Arial" w:eastAsia="Arial" w:hAnsi="Arial"/>
          <w:sz w:val="17"/>
          <w:szCs w:val="17"/>
          <w:color w:val="auto"/>
        </w:rPr>
        <w:t>Substantially all of our indebtedness is floating rate debt. As a result, an increase in interest rates generally, such as those we have recently experienced, would adversely affect the combined company’s profitability. We may enter into pay-fixed interest rate swaps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 and, following the Business Combination, the combined company will be able to incur substantial additional indebtedness in the future. Although the agreements governing Priority’s existing indebtedness contain restrictions on the incurrence of additional indebtedness, these restrictions are subject to several significant qualifications and exceptions and, under certain circumstances, the amount of indebtedness that could be incurred in compliance with these restrictions could be substantial.</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Upon the occurrence of an event of default under the credit agreements relating to Priority’s credit facilities or any future debt instruments we may issue, the lenders thereunder could elect to accelerate payments due and terminate all commitments to extend further credit. Consequently, we may not have sufficient assets to repay amounts then outstanding under any such indebtedness.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Priority’s existing credit facilities, upon the occurrence of an event of default, the lenders will be able to elect to declare all amounts outstanding under such credit facilities to be immediately due and payable and terminate all commitments to lend additional funds. Among other reasons, an event of default could be declared by the lenders in the event we fail to pay when due the interest, principal of or premium on any loan, we fail to comply with certain financial and operational covenants or any negative covenant, or event of default with respect to certain other credit facilities or debt instruments we may issue in the future.</w:t>
      </w:r>
    </w:p>
    <w:p>
      <w:pPr>
        <w:spacing w:after="0" w:line="19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Any future credit facilities or debt instruments we may issue will likely contain similar, or potentially more expansive, events of default as compared to those set forth in the terms of Priority’s existing credit facilities, including those breach or defaults with respect to any of our other outstanding debt instruments. Priority’s existing credit facilities are secured by a pledge of substantially all of its assets and any indebtedness we incur in the future may also be secured.</w:t>
      </w:r>
    </w:p>
    <w:p>
      <w:pPr>
        <w:spacing w:after="0" w:line="14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The credit agreements governing Priority’s existing credit facilities and any other debt instruments we may issue in the future will contain restrictive covenants that may impair our ability to conduct business.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credit agreements governing Priority’s existing credit facilities contain operating covenants and financial covenants that may limit management’s discretion with respect to certain business matters after completion of the Business Combination. In addition, any debt instruments we may issue in the future will likely contain similar operating and financial covenants restricting the combined company’s business. Among other things, these covenants will restrict our ability to:</w:t>
      </w:r>
    </w:p>
    <w:p>
      <w:pPr>
        <w:spacing w:after="0" w:line="185" w:lineRule="exact"/>
        <w:rPr>
          <w:sz w:val="20"/>
          <w:szCs w:val="20"/>
          <w:color w:val="auto"/>
        </w:rPr>
      </w:pPr>
    </w:p>
    <w:p>
      <w:pPr>
        <w:ind w:left="660" w:hanging="330"/>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pay dividends, or redeem or purchase equity interests;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make acquisitions or other investments;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addition, we will be required to comply with certain restrictions on the ratio of our indebtedness to our Earnout Adjusted EBITDA (as defined in the credit agreements governing Priority’s existing credit facilities). As a result of these covenants and restrictions, we will be limited in our ability to pay dividends or buy back stock and how we conduct our business, and we may be unable to raise additional debt or other financings to compete effectively or to take advantage of new business opportunities. The terms of any future indebtedness we may incur could also include even more restrictive covenants. Failure to comply with such restrictive covenants may lead to default and acceleration and may impair our ability to conduct business. We may not be able to maintain compliance with these covenants in the future and, if we fail to do so, that we will be able to obtain waivers from the lenders and/or amend the covenants, which may result in foreclosure on our assets and our common stock becoming worthless. See </w:t>
      </w:r>
      <w:r>
        <w:rPr>
          <w:rFonts w:ascii="Arial" w:cs="Arial" w:eastAsia="Arial" w:hAnsi="Arial"/>
          <w:sz w:val="16"/>
          <w:szCs w:val="16"/>
          <w:i w:val="1"/>
          <w:iCs w:val="1"/>
          <w:color w:val="auto"/>
        </w:rPr>
        <w:t>“</w:t>
      </w:r>
      <w:r>
        <w:rPr>
          <w:rFonts w:ascii="Arial" w:cs="Arial" w:eastAsia="Arial" w:hAnsi="Arial"/>
          <w:sz w:val="16"/>
          <w:szCs w:val="16"/>
          <w:color w:val="auto"/>
        </w:rPr>
        <w:t>Management’s Discussion and Analysis of Financial Condition and Results of Operations of Priority — Liquidity and Capital Resources</w:t>
      </w:r>
      <w:r>
        <w:rPr>
          <w:rFonts w:ascii="Arial" w:cs="Arial" w:eastAsia="Arial" w:hAnsi="Arial"/>
          <w:sz w:val="16"/>
          <w:szCs w:val="16"/>
          <w:i w:val="1"/>
          <w:iCs w:val="1"/>
          <w:color w:val="auto"/>
        </w:rPr>
        <w:t>”</w:t>
      </w:r>
      <w:r>
        <w:rPr>
          <w:rFonts w:ascii="Arial" w:cs="Arial" w:eastAsia="Arial" w:hAnsi="Arial"/>
          <w:sz w:val="16"/>
          <w:szCs w:val="16"/>
          <w:color w:val="auto"/>
        </w:rPr>
        <w:t xml:space="preserve"> for a description of Priority’s existing credit facilities.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Risk Factors Relating to M I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 I Acquisitions will be forced to liquidate the trust account if it cannot consummate a business combination by [__________], 2018, absent the approval</w:t>
      </w:r>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of M I Acquisitions’ stockholders for a further extension. In the event of a liquidation, M I Acquisitions’ stockholders will receive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per share and the M I Acquisitions’ warrants will expire worthless.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previously extended the time to complete an initial business combination to June 19, 2018 by depositing a total of $398,259 into our trust account. On June 15, 2018, M I Acquisitions further extended the time to complete a business combination to [________], 2018, pursuant to a vote of its stockholders. No</w:t>
      </w:r>
    </w:p>
    <w:p>
      <w:pPr>
        <w:spacing w:after="0"/>
        <w:rPr>
          <w:sz w:val="20"/>
          <w:szCs w:val="20"/>
          <w:color w:val="auto"/>
        </w:rPr>
      </w:pPr>
      <w:r>
        <w:rPr>
          <w:rFonts w:ascii="Arial" w:cs="Arial" w:eastAsia="Arial" w:hAnsi="Arial"/>
          <w:sz w:val="16"/>
          <w:szCs w:val="16"/>
          <w:color w:val="auto"/>
        </w:rPr>
        <w:t>additional consideration was paid for the extension of such deadline to [________], 2018. If M I Acquisitions is unable to complete a business combination by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[_________], 2018 and is forced to liquidate, the per-share liquidation distribution will be $[●]. Furthermore, there will be no distribution with respect to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warrants, which will expire worthless as a result of M I Acquisitions’ failure to complete a business combination.</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third parties bring claims against M I Acquisitions, the proceeds held in trust could be reduced and the per-share liquidation price received by M I Acquisitions’ stockholders may be less than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 I Acquisitions’ placing of funds in trust may not protect those funds from third-party claims against M I Acquisitions. Although M I Acquisitions has received from many of the vendors, service providers (other than its independent accountants) and prospective target businesses with which it does business executed agreements waiving any right, title, interest or claim of any kind in or to any monies held in the trust account for the benefit of M I Acquisitions’ Public Stockholders, they may still seek recourse against the trust account. Additionally, a court may not uphold the validity of such agreements. Accordingly, the proceeds held in trust could be subject to claims which could take priority over those of M I Acquisitions’ Public Stockholders. If M I Acquisitions liquidates the trust account before the completion of a business combination and distributes the proceeds held therein to its Public Stockholders, its insiders have contractually agreed that they will be liable to ensure that the proceeds in the trust account are not reduced by the claims of target businesses or claims of vendors or other entities that are owed money by us for services rendered or contracted for or products sold to us, but only if such a vendor or prospective target business does not execute such a waiver. However, M I Acquisitions cannot assure you that they will be able to meet such obligation. Therefore, the per-share distribution from the trust account for our stockholders may be less than $[●] due to such claims.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Additionally, if M I Acquisitions is forced to file a bankruptcy case or an involuntary bankruptcy case is filed against it which is not dismissed, the proceeds held in the trust account could be subject to applicable bankruptcy law, and may be included in M I Acquisitions’ bankruptcy estate and subject to the claims of third parties with priority over the claims of its stockholders. To the extent any bankruptcy claims deplete the trust account, M I Acquisitions may not be able to return $[●] to our Public Stockholders.</w:t>
      </w:r>
    </w:p>
    <w:p>
      <w:pPr>
        <w:spacing w:after="0" w:line="185" w:lineRule="exact"/>
        <w:rPr>
          <w:sz w:val="20"/>
          <w:szCs w:val="20"/>
          <w:color w:val="auto"/>
        </w:rPr>
      </w:pPr>
    </w:p>
    <w:p>
      <w:pPr>
        <w:jc w:val="both"/>
        <w:spacing w:after="0" w:line="340" w:lineRule="auto"/>
        <w:rPr>
          <w:sz w:val="20"/>
          <w:szCs w:val="20"/>
          <w:color w:val="auto"/>
        </w:rPr>
      </w:pPr>
      <w:r>
        <w:rPr>
          <w:rFonts w:ascii="Arial" w:cs="Arial" w:eastAsia="Arial" w:hAnsi="Arial"/>
          <w:sz w:val="16"/>
          <w:szCs w:val="16"/>
          <w:b w:val="1"/>
          <w:bCs w:val="1"/>
          <w:i w:val="1"/>
          <w:iCs w:val="1"/>
          <w:color w:val="auto"/>
        </w:rPr>
        <w:t>Any distributions received by M I Acquisitions stockholders could be viewed as an unlawful payment if it was proved that immediately following the date on which the distribution was made, M I Acquisitions was unable to pay its debts as they fell due in the ordinary course of business.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Our Current Certificate of Incorporation provides that M I Acquisitions will continue in existence only until [_____________], 2018. We previously extended</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time to complete an initial business combination to June 19, 2018 by depositing a total of $398,259 into our trust account. On June 15, 2018, M I Acquisitions further extended the time to complete a business combination to [________], 2018, pursuant to a vote of its stockholders. No additional</w:t>
      </w:r>
    </w:p>
    <w:p>
      <w:pPr>
        <w:spacing w:after="0"/>
        <w:rPr>
          <w:sz w:val="20"/>
          <w:szCs w:val="20"/>
          <w:color w:val="auto"/>
        </w:rPr>
      </w:pPr>
      <w:r>
        <w:rPr>
          <w:rFonts w:ascii="Arial" w:cs="Arial" w:eastAsia="Arial" w:hAnsi="Arial"/>
          <w:sz w:val="18"/>
          <w:szCs w:val="18"/>
          <w:color w:val="auto"/>
        </w:rPr>
        <w:t>consideration was paid for the extension of such deadline to [________], 2018.</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M I Acquisitions is unable to consummate a transaction within the required time periods, upon notice from M I Acquisitions, the trustee of the trust account will distribute the amount in its trust account to its Public Stockholders. Concurrently, M I Acquisitions shall pay, or reserve for payment, from funds not held in trust, its liabilities and obligations, although M I Acquisitions cannot assure you that there will be sufficient funds for such purpose. If there are insufficient funds held outside the trust account for such purpose, M I Acquisitions’ insiders have contractually agreed that, if it liquidates prior to the consummation of a business combination, they will be liable to ensure that the proceeds in the trust account are not reduced by the claims of Target businesses or claims of vendors or other entities that are owed money by M I Acquisitions for services rendered or contracted for or products sold to it, but only if such a vendor or prospective target business does not execute such a waiver.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8" w:name="page49"/>
    <w:bookmarkEnd w:id="48"/>
    <w:p>
      <w:pPr>
        <w:jc w:val="both"/>
        <w:spacing w:after="0" w:line="268" w:lineRule="auto"/>
        <w:rPr>
          <w:sz w:val="20"/>
          <w:szCs w:val="20"/>
          <w:color w:val="auto"/>
        </w:rPr>
      </w:pPr>
      <w:r>
        <w:rPr>
          <w:rFonts w:ascii="Arial" w:cs="Arial" w:eastAsia="Arial" w:hAnsi="Arial"/>
          <w:sz w:val="17"/>
          <w:szCs w:val="17"/>
          <w:color w:val="auto"/>
        </w:rPr>
        <w:t>Thereafter, M I Acquisitions’ sole business purpose will be to dissolve through the voluntary liquidation procedure under the DGCL. In such a situation under the DGCL, a liquidator would be appointed and would give at least 21 days’ notice to creditors of his intention to make a distribution by notifying known creditors (if any) and by placing a public advertisement, although in practice this notice requirement need not necessarily delay the distribution of assets as the liquidator may be satisfied that no creditors would be adversely affected as a consequence of a distribution before this time period has expired. As soon as the affairs of M I Acquisitions are fully wound-up, the liquidator must lay his final report and accounts before a final general meeting which must be called by a public notice at least one month before it takes place. After the final meeting, the liquidator must make a return to the Registrar confirming the date on which the meeting was held and three months after the date of such filing the company is dissolved. It is M I Acquisitions’ intention to liquidate the trust account to its Public Stockholders as soon as reasonably possible and M I Acquisitions’ insiders have agreed to take any such action necessary to liquidate the trust account and to dissolve the company as soon as reasonably practicable if M I Acquisitions does not complete a business combination within the required time period. Pursuant to our Current Certificate of Incorporation, failure to consummate a business combination by [__________], 2018, will trigger an automatic winding up of M I Acquisitions.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M I Acquisitions is forced to enter into an insolvent liquidation, any distributions received by M I Acquisitions stockholders could be viewed as an unlawful payment if it was proved that immediately following the date on which the distribution was made, M I Acquisitions was unable to pay its debts as they fall due in the ordinary course of business. As a result, a liquidator could seek to recover all amounts received by M I Acquisitions’ stockholders. Furthermore, M I Acquisitions’ board may be viewed as having breached their fiduciary duties to its creditors and/or may have acted in bad faith, and thereby exposing itself and M I Acquisitions to claims of damages, by paying Public Stockholders from the trust account prior to addressing the claims of creditors. M I Acquisitions cannot assure you that claims will not be brought against it for these reasons.</w:t>
      </w:r>
    </w:p>
    <w:p>
      <w:pPr>
        <w:spacing w:after="0" w:line="17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If M I Acquisitions’ due diligence investigation of Priority was inadequate, then stockholders of M I Acquisitions following the Business Combination could lose some or all of their investment.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 though M I Acquisitions conducted a due diligence investigation of Priority, it cannot be sure that this diligence uncovered all material issues that may be present inside Priority or its business, or that it would be possible to uncover all material issues through a customary amount of due diligence, or that factors outside of Priority and its business and outside of its control will not later arise.</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All of M I Acquisitions’ officers and directors own M I Acquisitions common stock and M I Acquisitions units which will not participate in liquidation distributions and, therefore, they may have a conflict of interest in determining whether the business combination is appropriate.</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of M I Acquisitions’ officers and directors own an aggregate of 1,748,634 shares of M I Acquisitions common stock, but have agreed to sell 453,210 shares of common stock, 421,107 shares of units, and forfeit 174,863 founder’s shares, after which point such individuals will own an aggregate of 1,295,424 shares of M I Acquisitions common stock. Furthermore, M I Acquisitions’ offers and directors have waived their right to redeem these shares, or to receive distributions with respect to these shares upon the liquidation of the trust account if M I Acquisitions is unable to consummate a business combination. Accordingly, the M I Acquisitions common stock, as well as the M I Acquisitions units purchased by our officers or directors, will be worthless if M I Acquisitions does not consummate a business combination. Based on a market price of $[●] per M I Acquisitions share of common stock and $[●] per right on the Record Date, the value of these shares and units was approximately $[●] million. The M I Acquisitions common stock acquired prior to the IPO, as well as the M I Acquisitions units will be worthless if M I Acquisitions does not consummate a business combination. Consequently, our directors’ and officers’ discretion in identifying and selecting Priority as a suitable target business may result in a conflict of interest when determining whether the terms, conditions and timing of the Business Combination are appropriate and in M I Acquisitions’ stockholders’ best interest.</w:t>
      </w:r>
    </w:p>
    <w:p>
      <w:pPr>
        <w:spacing w:after="0" w:line="166" w:lineRule="exact"/>
        <w:rPr>
          <w:sz w:val="20"/>
          <w:szCs w:val="20"/>
          <w:color w:val="auto"/>
        </w:rPr>
      </w:pPr>
    </w:p>
    <w:p>
      <w:pPr>
        <w:jc w:val="both"/>
        <w:spacing w:after="0" w:line="340" w:lineRule="auto"/>
        <w:rPr>
          <w:sz w:val="20"/>
          <w:szCs w:val="20"/>
          <w:color w:val="auto"/>
        </w:rPr>
      </w:pPr>
      <w:r>
        <w:rPr>
          <w:rFonts w:ascii="Arial" w:cs="Arial" w:eastAsia="Arial" w:hAnsi="Arial"/>
          <w:sz w:val="16"/>
          <w:szCs w:val="16"/>
          <w:b w:val="1"/>
          <w:bCs w:val="1"/>
          <w:i w:val="1"/>
          <w:iCs w:val="1"/>
          <w:color w:val="auto"/>
        </w:rPr>
        <w:t>M I Acquisitions’ stockholders, together with any affiliates of theirs or any other person with whom they are acting in concert or as a “group” with, are restricted from seeking redemption rights with respect to more than 20% of the shares of M I Acquisitions common stock sold in the IPO.</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 I Acquisitions is offering each of its Public Stockholders (but not its Initial Stockholders) the right to have his, her, or its common stock redeemed for cash. Notwithstanding the foregoing, a public stockholder of M I Acquisitions, together with any affiliate of his or any other person with whom he is acting in concert or as a “group” will be restricted from seeking redemption rights with respect to more than 20% of the M I Acquisitions common stock sold in the IPO. Accordingly, if you beneficially own more than 20% of the M I Acquisitions common stock sold in the IPO and the Business Combination is approved, you will not be able to seek redemption rights with respect to the full amount of your M I Acquisitions common stock and may be forced to hold such additional shares of M I Acquisitions common stock or sell them in the open market. M I Acquisitions cannot assure you that the value of such additional shares of M I Acquisitions common stock will appreciate over time following the Business Combination or that the market price of M I Acquisitions’ common stock will exceed the redemption price.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both"/>
        <w:spacing w:after="0" w:line="262" w:lineRule="auto"/>
        <w:rPr>
          <w:sz w:val="20"/>
          <w:szCs w:val="20"/>
          <w:color w:val="auto"/>
        </w:rPr>
      </w:pPr>
      <w:r>
        <w:rPr>
          <w:rFonts w:ascii="Arial" w:cs="Arial" w:eastAsia="Arial" w:hAnsi="Arial"/>
          <w:sz w:val="18"/>
          <w:szCs w:val="18"/>
          <w:b w:val="1"/>
          <w:bCs w:val="1"/>
          <w:i w:val="1"/>
          <w:iCs w:val="1"/>
          <w:color w:val="auto"/>
        </w:rPr>
        <w:t>M I Acquisitions is requiring stockholders who wish to redeem their common stock in connection with a proposed business combination to comply with specific requirements for redemption that may make it more difficult for them to exercise their redemption rights prior to the deadline for exercising their rights.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 I Acquisitions is requiring stockholders who wish to redeem their common stock to (x) in the case of certificated shares, tender their certificates to our transfer agent or (y) in the case of shares held in book-entry form, deliver their shares to the transfer agent electronically using the Depository Trust Company’s, or DTC, DWAC (Deposit/Withdrawal At Custodian) System, in each case by the business day immediately preceding the consummation of the proposed Business Combination. In order to obtain a physical certificate, a stockholder’s broker and/or clearing broker, DTC and M I Acquisitions’ transfer agent will need to act to facilitate this request. It is M I Acquisitions’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we cannot assure you of this fact. Accordingly, if it takes longer than M I Acquisitions anticipates for stockholders to deliver their common stock, stockholders who wish to redeem may be unable to meet the deadline for exercising their redemption rights and thus may be unable to redeem their common stock.</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 I Acquisitions will require its stockholders who wish to tender their common stock for redemption in connection with the Business Combination to comply with specific requirements for redemption described above, such redeeming stockholders may be unable to sell their securities when they wish to in the event that the Business Combination is not consummated.</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M I Acquisitions requires Public Stockholders who wish to redeem their common stock in connection with the proposed Business Combination to comply with specific requirements for redemption as described above and the Business Combination is not consummated, M I Acquisitions will promptly return such certificates to its Public Stockholders. Accordingly, investors who attempted to redeem their common stock in such a circumstance will be unable to sell their securities after the failed acquisition until M I Acquisitions has returned their securities to them. The market price for M I Acquisitions’ common stock may decline during this time and you may not be able to sell your securities when you wish to, even while other stockholders that did not seek redemption may be able to sell their securities.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M I Acquisitions’ Initial Stockholders, including its officers and directors, control a substantial interest in M I Acquisitions and thus may influence certain actions requiring a stockholder vote.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 I Acquisitions’ Initial Stockholders, including all of its officers and directors, collectively own approximately 25% of its issued and outstanding common stock, but have agreed to sell 453,210 shares of common stock, 421,107 shares of units, and forfeit 174,863 founder’s shares, after which point such individuals will own approximately 8% of M I Acquisitions issued and outstanding common stock. However, if a significant number of stockholders vote, or indicate an intention to vote, against the Business Combination, M I Acquisitions’ officers, directors, Initial Stockholders or their affiliates could make such purchases in the open market or in private transactions in order to influence the vote. M I Acquisitions’ Initial Stockholders have agreed to vote any shares they own in favor of the Business Combination.</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M I Acquisitions’ security holders exercise their registration rights with respect to their securities, it may have an adverse effect on the market price of M I Acquisitions’ securities.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 I Acquisitions’ Initial Stockholders are entitled to make a demand that it register the resale of their initial shares at any time commencing three months prior to the date on which their shares may be released from escrow. Additionally, the purchasers of M I Acquisitions units sold in an offering that was consummated simultaneously with the IPO or the M I Acquisitions unit offering, are entitled to demand that M I Acquisitions register the resale of their units and underlying common stock at any time after M I Acquisitions consummates a business combination. If such persons exercise their registration rights with respect to all of their securities, then there will be an additional 2,169,741 shares of M I Acquisitions common stock eligible for trading in the public market. The presence of these additional shares of common stock trading in the public market may have an adverse effect on the market price of M I Acquisitions’ securities.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M I Acquisitions will not obtain an opinion from an unaffiliated third-party as to the fairness of the Business Combination to its stockholders.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is not required to obtain an opinion from an unaffiliated third-party that the price it is paying is fair to its Public Stockholders from a financial point of view. M I Acquisitions’ Public Stockholders, therefore, must rely solely on the judgment of the board of directors. However, the members of M I Acquisitions’ management team and board of directors are not experts in conducting valuation analysis and, therefore, it is possible that they have inaccurately determined Priority’s value.</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M I Acquisitions’ management and directors have interests in and arising from the Business Combination that are different from, or in addition to, your interests as a stockholder, which could result in a real or perceived conflict of interest. Therefore, in the absence of a fairness opinion, no independent third party has conducted an analysis of the value of Priority.</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financial or industry analysts, the market price of M I Acquisitions’ securities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M I Acquisitions’ securities may decline as a result of the Business Combination if:</w:t>
      </w:r>
    </w:p>
    <w:p>
      <w:pPr>
        <w:spacing w:after="0" w:line="223" w:lineRule="exact"/>
        <w:rPr>
          <w:sz w:val="20"/>
          <w:szCs w:val="20"/>
          <w:color w:val="auto"/>
        </w:rPr>
      </w:pPr>
    </w:p>
    <w:p>
      <w:pPr>
        <w:ind w:left="660" w:hanging="330"/>
        <w:spacing w:after="0" w:line="275"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 I Acquisitions does not achieve the perceived benefits of the acquisition as rapidly as, or to the extent anticipated by, financial or industry analysts; or</w:t>
      </w:r>
    </w:p>
    <w:p>
      <w:pPr>
        <w:spacing w:after="0" w:line="170" w:lineRule="exact"/>
        <w:rPr>
          <w:rFonts w:ascii="Arial" w:cs="Arial" w:eastAsia="Arial" w:hAnsi="Arial"/>
          <w:sz w:val="18"/>
          <w:szCs w:val="18"/>
          <w:color w:val="auto"/>
        </w:rPr>
      </w:pPr>
    </w:p>
    <w:p>
      <w:pPr>
        <w:ind w:right="840" w:firstLine="330"/>
        <w:spacing w:after="0" w:line="498" w:lineRule="auto"/>
        <w:tabs>
          <w:tab w:leader="none" w:pos="64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effect of the Business Combination on the financial statements is not consistent with the expectations of financial or industry analysts. Accordingly, investors may experience a loss as a result of decreasing stock prices.</w:t>
      </w:r>
    </w:p>
    <w:p>
      <w:pPr>
        <w:spacing w:after="0" w:line="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M I Acquisitions’ directors and officers may have certain conflicts in determining to recommend the acquisition of Priority, since certain of their interests, and certain interests of their affiliates and associates, are different from, or in addition to, your interests as a stockholder.</w:t>
      </w:r>
    </w:p>
    <w:p>
      <w:pPr>
        <w:spacing w:after="0" w:line="14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M I Acquisitions’ management and directors have interests in and arising from the Business Combination that are different from, or in addition to, your interests as a stockholder, which could result in a real or perceived conflict of interest. These interests include the fact that certain of the M I Acquisitions common stock owned by M I Acquisitions’ management and directors, or their affiliates and associates, would become worthless if the Business Combination Proposal and related proposals are not approved and M I Acquisitions otherwise fails to consummate a business combination prior to its liquidation 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I Acquisitions will incur significant transaction costs in connection with transactions contemplated by the Purchase Agreement.</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M I Acquisitions will incur significant transaction costs in connection with the Business Combination. If the Business Combination is not consummated, M I Acquisitions may not have sufficient funds to seek an alternative business combination and may be forced to liquidate and dissolve.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Relating to the Business Combination and the Ownership of Our Common stock</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 I Acquisitions and Priority have incurred and expect to incur significant costs associated with the Business Combination. Upon the completion of the Business Combination, the incurrence of these costs will reduce the amount of cash available to be used for other corporate purposes by the combined company when the Business Combination is completed.</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 I Acquisitions and Priority expect to incur significant costs associated with the Business Combination. Upon the completion of the Business Combination, M I Acquisitions expects to incur approximately $12.3 million in fees and expenses. These expenses will reduce the amount of cash available to be used for other corporate purposes by the combined company when the Business Combination is completed.</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In the event that a significant number of shares of M I Acquisitions common stock are redeemed, its stock may become less liquid following the Business Combination.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 significant number of shares of M I Acquisitions common stock are redeemed, M I Acquisitions may be left with a significantly smaller number of stockholders. As a result, trading in the shares of the post-transaction entity following the Business Combination may be limited and your ability to sell your shares in the market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Business Combination, the price of our securities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our general business condition and the release of our financial reports.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spacing w:after="0" w:line="275" w:lineRule="auto"/>
        <w:rPr>
          <w:sz w:val="20"/>
          <w:szCs w:val="20"/>
          <w:color w:val="auto"/>
        </w:rPr>
      </w:pPr>
      <w:r>
        <w:rPr>
          <w:rFonts w:ascii="Arial" w:cs="Arial" w:eastAsia="Arial" w:hAnsi="Arial"/>
          <w:sz w:val="18"/>
          <w:szCs w:val="18"/>
          <w:b w:val="1"/>
          <w:bCs w:val="1"/>
          <w:i w:val="1"/>
          <w:iCs w:val="1"/>
          <w:color w:val="auto"/>
        </w:rPr>
        <w:t>M I Acquisitions may waive one or more of the conditions to the Business Combination without resoliciting stockholder approval for the Business Combination.</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 I Acquisitions may agree to waive, in whole or in part, some of the conditions to its obligations to complete the Business Combination, to the extent permitted by applicable laws. The board of directors of M I Acquisitions will evaluate the materiality of any waiver to determine whether amendment of this proxy statement and re-solicitation of proxies is warranted. In some instances, if the board of directors of M I Acquisitions determines that a waiver is not sufficiently material to warrant re-solicitation of stockholders, M I Acquisitions has the discretion to complete the Business Combination without seeking further stockholder approval. For example, it is a condition to M I Acquisitions’ obligations to close the Business Combination that there be no restraining order, injunction or other order restricting Priority’s conduct of its business, however, if the board of directors of M I Acquisitions determines that any such order or injunction is not material to the business of Priority, then the board may elect to waive that condition and close the Business Combination.</w:t>
      </w:r>
    </w:p>
    <w:p>
      <w:pPr>
        <w:spacing w:after="0" w:line="16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There will be a substantial number of shares of M I Acquisitions’ common stock available for sale in the future that may adversely affect the market price of M I Acquisitions common stock.</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may be a large number of shares of common stock sold in the market following the completion of the Business Combination or shortly thereafter. Assuming there are no adjustments to the consideration payable to Sellers at the closing of the Business Combination, we will have approximately 66,747,225 shares of common stock outstanding after the Business Combination. The 5,310,109 shares (assuming no redemptions) held by the Company’s public stockholders will continue to be freely tradeable.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held by our Initial Stockholders and the shares that will be issued to the Sellers in the Business Combination will be subject to certain restrictions on resale. However, we have granted our Initial Stockholders and Sellers rights under registration rights agreements that will require us to register the shares of common stock and warrants held by such persons. See “Special Meeting of M I Acquisitions Stockholders — M I Acquisitions Initial Stockholders” and “The Purchase Agreement — Registration Rights Agreement.” The availability of such a significant number of securities for trading in the public market may have an adverse effect on the market price of M I Acquisitions’ shares.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M I Acquisitions’ stockholders ownership interests will be diluted as a consequence of the issuance of common stock as consideration in the Business Combination.</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After the Business Combination, assuming no redemptions of common stock for cash, M I Acquisitions’ current Public Stockholders will own approximately 8% of the combined company, M I Acquisitions’ current directors, officers and affiliates will own approximately 1% of the combined company, and the Sellers will own approximately 91% of the combined company. These ownership percentages take into account both the vested Founder Shares and Unvested Founder Shares and assume that no shares of common stock are elected to be redeemed by the Company’s Public Stockholders, 59,863,345 shares of common stock are issued to the Sellers at Closing, and M I Acquisitions does not issue any additional common stock between the date of the Purchase Agreement and the Closing Date. The above-stated ownership percentages with respect to the combined company do not take into account (a) warrants that will remain outstanding immediately following the Business Combination or (b) the issuance of any shares under the 2018 Equity Incentive Plan, a copy of which is attached to this proxy statement as Annex G. If the actual facts are different from these assumptions (which they are likely to be), the ownership percentage retained by M I Acquisitions’ Public Stockholders in the combined company will be different from the above-stated ownership percentage. Please see the section entitled “Unaudited Pro Forma Condensed Combined Financial Information” for further information. To the extent that any shares of common stock are issued pursuant to the earn-out contemplated by the Purchase Agreement, upon exercise of the public warrants or the private warrants or under the 2018 Equity Incentive Plan, current stockholders may experience substantial additional dilution. Such dilution could, among other things, limit the ability of our current stockholders to influence management of the combined company.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stock price may change significantly following the Business Combination, and you may not be able to resell shares of our common stock at or above the price you paid or at all, and you could lose all or part of your investment as a result.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trading price of our common stock is likely to be volatile. The stock market recently has experienced volatility. This volatility often has been unrelated or disproportionate to the operating performance of particular companies. You may not be able to resell your shares at or above the initial price you paid due to a number of factors such as those listed in “—Risks Related to Priority’s Business” and the following:</w:t>
      </w:r>
    </w:p>
    <w:p>
      <w:pPr>
        <w:spacing w:after="0" w:line="182" w:lineRule="exact"/>
        <w:rPr>
          <w:sz w:val="20"/>
          <w:szCs w:val="20"/>
          <w:color w:val="auto"/>
        </w:rPr>
      </w:pPr>
    </w:p>
    <w:p>
      <w:pPr>
        <w:ind w:left="5640" w:right="4460" w:hanging="5310"/>
        <w:spacing w:after="0" w:line="774" w:lineRule="auto"/>
        <w:tabs>
          <w:tab w:leader="none" w:pos="6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7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2" w:name="page53"/>
    <w:bookmarkEnd w:id="52"/>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declines in the market prices of stocks generally;</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acquisitions, joint marketing relationships, joint ventures, other strategic relationships, or capital commitments;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markets;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investor perceptions or the investment opportunity associated with our common stock relative to other investment alternatives;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Securities and Exchange Commission (the “SEC”);</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announcements relating to litigation;</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occurrences of extreme or inclement weather;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natural disasters, war, acts of terrorism, or responses to these events.</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71"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2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both"/>
        <w:spacing w:after="0" w:line="27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downgrades our stock or our industry, or the stock of any of our competitors, or publish inaccurate or unfavorable research about our business, the price of our stock could decline. If one or more of these analysts ceases coverage of the combined company or fails to publish reports on us regularly, we could lose visibility in the market, which in turn could cause our stock price or trading volume to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Certain provisions of our Proposed Amended and Restated Certificate of Incorporation and our Proposed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223" w:lineRule="exact"/>
        <w:rPr>
          <w:sz w:val="20"/>
          <w:szCs w:val="20"/>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3" w:lineRule="exact"/>
        <w:rPr>
          <w:rFonts w:ascii="Arial" w:cs="Arial" w:eastAsia="Arial" w:hAnsi="Arial"/>
          <w:sz w:val="18"/>
          <w:szCs w:val="18"/>
          <w:color w:val="auto"/>
        </w:rPr>
      </w:pPr>
    </w:p>
    <w:p>
      <w:pPr>
        <w:ind w:left="660" w:hanging="330"/>
        <w:spacing w:after="0" w:line="306"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removal of directors only for cause and only upon the affirmative vote of holders of at least 66 2⁄3% of the shares of common stock entitled to vote generally in the election of directors if the Priority Holders hold less than 40% of our outstanding shares of common stock; and</w:t>
      </w:r>
    </w:p>
    <w:p>
      <w:pPr>
        <w:spacing w:after="0" w:line="146" w:lineRule="exact"/>
        <w:rPr>
          <w:rFonts w:ascii="Arial" w:cs="Arial" w:eastAsia="Arial" w:hAnsi="Arial"/>
          <w:sz w:val="17"/>
          <w:szCs w:val="17"/>
          <w:color w:val="auto"/>
        </w:rPr>
      </w:pPr>
    </w:p>
    <w:p>
      <w:pPr>
        <w:ind w:left="660" w:right="20" w:hanging="330"/>
        <w:spacing w:after="0" w:line="275"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 2⁄3% of the shares of common stock entitled to vote generally in the election of directors if the Priority Holders hold less than 40% of our outstanding shares of common stock.</w:t>
      </w:r>
    </w:p>
    <w:p>
      <w:pPr>
        <w:spacing w:after="0" w:line="171"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provisions requiring 66 2⁄3% approval if the Priority Holders hold less than 40% of our outstanding shares of common stock will give the Priority Holders significant influence over the vote on these items even after the Priority Holders own less than a majority of our outstanding shares of common stock.</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these anti-takeover provisions could make it more difficult for a third-party to acquire us, even if the third-party’s offer may be considered beneficial by many of our stockholders. As a result, our stockholders may be limited in their ability to obtain a premium for their shares. For further information, please see “Description of M I Acquisitions’ Securities,” “Proposal No. 2 – The Authorized Share Increase Proposal,” “Proposal No. 3 – The Board Declassification Proposal,” “Proposal No. 5 – The Voting Threshold Proposal,” “Proposal No. 5 – The Section 203 Proposal” and “Proposal No. 6 – The Additional Amendments Proposal.”</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Our Proposed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stockholders.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Proposed Amended and Restated Certificate of Incorporation will provide that, subject to limited exceptions, the Court of Chancery of the State of Delaware will be the sole and exclusive forum for any (i) derivative action or proceeding brought on behalf of our Company, (ii) action asserting a claim of breach of a fiduciary duty owed by any director, officer or stockholder of our Company to the Company or the Company’s stockholders, (iii) action asserting a claim against the Company or any director, officer or stockholder of the Company arising pursuant to any provision of the DGCL or our Proposed Amended and Restated Certificate of Incorporation or our Proposed Amended and Restated Bylaws, or (iv) action asserting a claim against the Company or any director, officer or stockholder of the Company governed by the internal affairs doctrine. Any person or entity purchasing or otherwise acquiring any interest in shares of our capital stock shall be deemed to have notice of and to have consented to the provisions of our Proposed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Proposed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believe that our stockholders will benefit from having any such disputes litigated in the Court of Chancery of the State of Delaware. Although some plaintiffs might prefer to litigate matters in a forum outside of Delaware because another court may be more convenient or because they believe another court would be more favorable to their claims, we believe that the benefits to the Company and its stockholders outweigh these concerns. Delaware offers a system of specialized courts to deal with corporate law questions, with streamlined procedures and processes which help provide relatively quick decisions. These courts have developed considerable expertise in dealing with corporate law issues, as well as a substantial and influential body of case law construing Delaware’s corporate law and long-standing precedent regarding corporate governance. In addition, the adoption of this provision would reduce the risk that the Company could be involved in duplicative litigation in more than one forum, as well as the risk that the outcome of cases in multiple forums could be inconsistent, even though each forum purports to follow Delaware law. The enforceability of similar exclusive jurisdiction provisions in other companies’ certificates of incorporation has been challenged in legal proceedings, and it is possible that, in connection with any action, a court could find the exclusive jurisdiction provision contained in our amended and restated certificate of incorporation to be inapplicable or unenforceable in such action. However, given the decisions of the Court of Chancery of the State of Delaware in 2013 upholding similar provisions in </w:t>
      </w:r>
      <w:r>
        <w:rPr>
          <w:rFonts w:ascii="Arial" w:cs="Arial" w:eastAsia="Arial" w:hAnsi="Arial"/>
          <w:sz w:val="17"/>
          <w:szCs w:val="17"/>
          <w:i w:val="1"/>
          <w:iCs w:val="1"/>
          <w:color w:val="auto"/>
        </w:rPr>
        <w:t>Boilermakers Local 154 Retirement Fund v. Chevron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Corp., et al. </w:t>
      </w:r>
      <w:r>
        <w:rPr>
          <w:rFonts w:ascii="Arial" w:cs="Arial" w:eastAsia="Arial" w:hAnsi="Arial"/>
          <w:sz w:val="17"/>
          <w:szCs w:val="17"/>
          <w:color w:val="auto"/>
        </w:rPr>
        <w:t>and</w:t>
      </w:r>
      <w:r>
        <w:rPr>
          <w:rFonts w:ascii="Arial" w:cs="Arial" w:eastAsia="Arial" w:hAnsi="Arial"/>
          <w:sz w:val="17"/>
          <w:szCs w:val="17"/>
          <w:i w:val="1"/>
          <w:iCs w:val="1"/>
          <w:color w:val="auto"/>
        </w:rPr>
        <w:t xml:space="preserve"> IClub Investment Partnership v. FedEx Corp., et al.</w:t>
      </w:r>
      <w:r>
        <w:rPr>
          <w:rFonts w:ascii="Arial" w:cs="Arial" w:eastAsia="Arial" w:hAnsi="Arial"/>
          <w:sz w:val="17"/>
          <w:szCs w:val="17"/>
          <w:color w:val="auto"/>
        </w:rPr>
        <w:t>, we believe that the Court of Chancery of the State of Delaware would find our exclusive</w:t>
      </w:r>
      <w:r>
        <w:rPr>
          <w:rFonts w:ascii="Arial" w:cs="Arial" w:eastAsia="Arial" w:hAnsi="Arial"/>
          <w:sz w:val="17"/>
          <w:szCs w:val="17"/>
          <w:i w:val="1"/>
          <w:iCs w:val="1"/>
          <w:color w:val="auto"/>
        </w:rPr>
        <w:t xml:space="preserve"> </w:t>
      </w:r>
      <w:r>
        <w:rPr>
          <w:rFonts w:ascii="Arial" w:cs="Arial" w:eastAsia="Arial" w:hAnsi="Arial"/>
          <w:sz w:val="17"/>
          <w:szCs w:val="17"/>
          <w:color w:val="auto"/>
        </w:rPr>
        <w:t>forum provisions to be enforceable as well.</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06"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Affiliates of the Sellers will control us after completion of the Business Combination, and their interests may conflict with ours or yours in the future.</w:t>
      </w:r>
    </w:p>
    <w:p>
      <w:pPr>
        <w:spacing w:after="0" w:line="2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Immediately following the Business Combination, the Sellers will beneficially own approximately 91% of our common stock as a combined company. As a result, the Sellers and its controlling equityholder, Thomas Priore, will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Proposed Amended and Restated Certificate of Incorporation and our Proposed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Proposed Amended and Restated Certificate of Incorporation will provide that none of the Priority Holders, any of their respective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the Priority Holders, including Thomas Priore, and their respective affiliates collectively own at least 50% of all outstanding shares of our stock entitled to vote generally in the election of directors, they will be able to appoint individuals to our board of directors under a stockholders agreement which we expect to adopt in connection with this Business Combination. In addition, given his level of control over the Sellers, Thomas Priore will be able to determine the outcome of all matters requiring stockholder approval and will be able to cause or prevent a change of control of the combined company or a change in the composition of our board of directors and could preclude any unsolicited acquisition of the combined company. The concentration of ownership could deprive you of an opportunity to receive a premium for your shares of common stock as part of a sale of the combined company and ultimately might affect the market price of our common stock.</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will be a “controlled company” within the meaning of the rules of The NASDAQ Stock Market and, as a result, expect to qualify for, and intend to rely on, exemptions from certain corporate governance requirements. You will not have the same protections as those afforded to stockholders of companies that are subject to such governance requirements.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After completion of the Business Combination, Thomas Priore will continue to control a majority of the voting power of our outstanding common stock. As a result, we will be a “controlled company” within the meaning of the corporate governance standards of The NASDAQ Stock Market. Under these rules, a company of which more than 50% of the voting power is held by an individual, group or another company is a “controlled company” and may elect not to comply with certain corporate governance requirements, including:</w:t>
      </w:r>
    </w:p>
    <w:p>
      <w:pPr>
        <w:spacing w:after="0" w:line="185" w:lineRule="exact"/>
        <w:rPr>
          <w:sz w:val="20"/>
          <w:szCs w:val="20"/>
          <w:color w:val="auto"/>
        </w:rPr>
      </w:pPr>
    </w:p>
    <w:p>
      <w:pPr>
        <w:ind w:left="660" w:hanging="330"/>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requirement that we have a Nominating/Corporate Governance Committee that is composed entirely of independent directors with a written charter addressing the Committee’s purpose and responsibilities; and</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Following the Business Combination, we intend to utilize these exemptions. As a result, we will not have a majority of independent directors and our Compensation Committee and Nominating/Corporate Governance Committee will not consist entirely of independent directors. Accordingly, you will not have the same protections afforded to stockholders of companies that are subject to all of the corporate governance requirements of The NASDAQ Stock Market.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5" w:name="page56"/>
    <w:bookmarkEnd w:id="55"/>
    <w:p>
      <w:pPr>
        <w:jc w:val="both"/>
        <w:spacing w:after="0" w:line="275" w:lineRule="auto"/>
        <w:rPr>
          <w:sz w:val="20"/>
          <w:szCs w:val="20"/>
          <w:color w:val="auto"/>
        </w:rPr>
      </w:pPr>
      <w:r>
        <w:rPr>
          <w:rFonts w:ascii="Arial" w:cs="Arial" w:eastAsia="Arial" w:hAnsi="Arial"/>
          <w:sz w:val="18"/>
          <w:szCs w:val="18"/>
          <w:b w:val="1"/>
          <w:bCs w:val="1"/>
          <w:i w:val="1"/>
          <w:iCs w:val="1"/>
          <w:color w:val="auto"/>
        </w:rPr>
        <w:t>The combined company is an “emerging growth company” and the reduced disclosure requirements applicable to emerging growth companies may make its securities less attractive to investors.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combined company is an “emerging growth company,” as defined in the JOBS Act. It may remain an “emerging growth company” until the fiscal year ended December 31, 2021. However, if its non-convertible debt issued within a three-year period or revenues exceeds $1.07 billion, or the market value of its common stock that are held by non-affiliates exceeds $700 million on the last day of the second fiscal quarter of any given fiscal year, the combined company would cease to be an emerging growth company as of the following fiscal year. As an emerging growth company, the combined company is not required to comply with the auditor attestation requirements of section 404 of the Sarbanes-Oxley Act, has reduced disclosure obligations regarding executive compensation in its periodic reports and proxy statements, and is exempt from the requirements of holding a nonbinding advisory vote on executive compensation and stockholder approval of any golden parachute payments not previously approved. Additionally, as an emerging growth company, the combined company has elected to delay the adoption of new or revised accounting standards that have different effective dates for public and private companies until those standards apply to private companies. As such, the combined company’s financial statements may not be comparable to companies that comply with public company effective dates. 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have been identified in Priority’s internal control over financial reporting.</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Priority is currently a private company and is not subject to the internal control provisions of the Sarbanes-Oxley Act. As such, Priority has limited accounting personnel and other resources with which to address its internal controls and procedures consistent with PCAOB standards.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Priority has identified material weaknesses in internal controls over its financial reporting that remain unremediated. 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material weaknesses identified were (1) lack of sufficient resources with appropriate depth and experience to interpret complex accounting guidance and prepare financial statements and related disclosures in accordance with US GAAP and (2) deficiencies in certain aspects of the financial statement close process and specifically lacks processes and procedures to ensure critical evaluation and review of various account reconciliations, analyses and journal entries.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is not and was not required to perform an evaluation of internal control over financial reporting as of December 31, 2017 and 2016 in accordance with the provisions of the Sarbanes-Oxley Act. Had such an evaluation been performed, additional control deficiencies may have been identified by Priority management, and those control deficiencies could have also represented one or more material weaknesses.</w:t>
      </w:r>
    </w:p>
    <w:p>
      <w:pPr>
        <w:jc w:val="both"/>
        <w:ind w:right="20"/>
        <w:spacing w:after="0" w:line="258" w:lineRule="auto"/>
        <w:rPr>
          <w:sz w:val="20"/>
          <w:szCs w:val="20"/>
          <w:color w:val="auto"/>
        </w:rPr>
      </w:pPr>
      <w:r>
        <w:rPr>
          <w:rFonts w:ascii="Arial" w:cs="Arial" w:eastAsia="Arial" w:hAnsi="Arial"/>
          <w:sz w:val="18"/>
          <w:szCs w:val="18"/>
          <w:color w:val="auto"/>
        </w:rPr>
        <w:t>Priority has taken steps to enhance its internal control environment and plans to take additional steps to remediate the material weaknesses. Although Priority plans to complete this remediation process as quickly as possible, we cannot at this time estimate how long it will take.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proxy statement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proxy statement include, but are not limited to, statements regarding our disclosure concerning Priority’s operations, cash flows, financial position and dividend policy, statements regarding our initial business combination, including the anticipated initial enterprise value and post-closing equity value of the combined company, the benefits of the Business Combination,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Purchase Agreement. Furthermore, statements regarding our management’s expectations, hopes, beliefs, intentions or strategies regarding the future are forward-looking statements. In addition, any statements that refer to projections, forecasts or other characterizations of future events or circumstances, including any underlying assumptions, are forward-looking statements.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Forward-looking statements appear in a number of places in this proxy statement, including, without limitation, in the sections entitled “Dividend Policy,” “Management’s Discussion and Analysis of Financial Conditions and Results of Operations of Priority” and “Priority’s Business.” 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w:t>
      </w:r>
    </w:p>
    <w:p>
      <w:pPr>
        <w:spacing w:after="0" w:line="191" w:lineRule="exact"/>
        <w:rPr>
          <w:sz w:val="20"/>
          <w:szCs w:val="20"/>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timing to complete the Business Combination;</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the Business Combination;</w:t>
      </w:r>
    </w:p>
    <w:p>
      <w:pPr>
        <w:spacing w:after="0" w:line="223" w:lineRule="exact"/>
        <w:rPr>
          <w:rFonts w:ascii="Arial" w:cs="Arial" w:eastAsia="Arial" w:hAnsi="Arial"/>
          <w:sz w:val="18"/>
          <w:szCs w:val="18"/>
          <w:color w:val="auto"/>
        </w:rPr>
      </w:pPr>
    </w:p>
    <w:p>
      <w:pPr>
        <w:ind w:left="660" w:right="20" w:hanging="330"/>
        <w:spacing w:after="0" w:line="275"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stock performance and Priority’s continued access to the public markets to raise capital in the future;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future payments of dividends and the availability of cash for payment of dividends;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combined company’s financial condition and liquidity, including its ability to obtain additional financing in the future to fund capital expenditures, acquisitions and other general corporate activities;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ability of the combined company to affect future acquisitions and to meet target returns;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possibility that Priority may be adversely affected by other general, macro-economic, business and/or other competitive factors;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 factors discussed in “Risk Factors”.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forward-looking statements speak only as of the date of this proxy statement. We undertake no obligation to publicly revise any forward-looking statement to reflect circumstances or events after the date of this proxy statement or to reflect the occurrence of unanticipated events.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SPECIAL MEETING OF M I ACQUISITIONS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furnishing this proxy statement to the M I Acquisitions stockholders as part of the solicitation of proxies by our board of directors for use at the special meeting of M I Acquisitions stockholders to be held on [ ● ], 2018, and at any adjournment or postponement thereof. This proxy statement is first being furnished to our stockholders on or about [ ● ], 2018 in connection with the vote on the Business Combination Proposal, the Authorized Share Increase Proposal, the Board Declassification Proposal, Voting Threshold Proposal, the Section 203 Proposal, the Additional Amendments Proposal, the 2018 Equity Incentive Plan Proposal, the Earnout Incentive Plan Proposal, the Nasdaq Proposal and the Adjournment Proposal. This document provides you with the information you need to know to be able to vote or instruct your vote to be cast at the special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special meeting of stockholders will be held on [●], 2018 at [●] a.m., at [●], or such other date, time and place to which such meeting may be adjourned or postponed.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Meeting of M I Acquisitions Stockholders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 the special meeting of stockholders, we are asking holders of M I Acquisitions common stock to approve the following proposals:</w:t>
      </w:r>
    </w:p>
    <w:p>
      <w:pPr>
        <w:spacing w:after="0" w:line="223" w:lineRule="exact"/>
        <w:rPr>
          <w:sz w:val="20"/>
          <w:szCs w:val="20"/>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Business Combination Proposal</w:t>
      </w:r>
      <w:r>
        <w:rPr>
          <w:rFonts w:ascii="Arial" w:cs="Arial" w:eastAsia="Arial" w:hAnsi="Arial"/>
          <w:sz w:val="18"/>
          <w:szCs w:val="18"/>
          <w:color w:val="auto"/>
        </w:rPr>
        <w:t>—to approve the Business Combination.</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Authorized Share Increase Proposal</w:t>
      </w:r>
      <w:r>
        <w:rPr>
          <w:rFonts w:ascii="Arial" w:cs="Arial" w:eastAsia="Arial" w:hAnsi="Arial"/>
          <w:sz w:val="18"/>
          <w:szCs w:val="18"/>
          <w:color w:val="auto"/>
        </w:rPr>
        <w:t>—to approve the amendment of the Current Certificate of Incorporation to increase the number of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and preferred stock.</w:t>
      </w:r>
    </w:p>
    <w:p>
      <w:pPr>
        <w:spacing w:after="0" w:line="170" w:lineRule="exact"/>
        <w:rPr>
          <w:rFonts w:ascii="Arial" w:cs="Arial" w:eastAsia="Arial" w:hAnsi="Arial"/>
          <w:sz w:val="18"/>
          <w:szCs w:val="18"/>
          <w:color w:val="auto"/>
        </w:rPr>
      </w:pPr>
    </w:p>
    <w:p>
      <w:pPr>
        <w:ind w:left="660" w:right="20" w:hanging="330"/>
        <w:spacing w:after="0" w:line="27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Board Declassification Proposal</w:t>
      </w:r>
      <w:r>
        <w:rPr>
          <w:rFonts w:ascii="Arial" w:cs="Arial" w:eastAsia="Arial" w:hAnsi="Arial"/>
          <w:sz w:val="18"/>
          <w:szCs w:val="18"/>
          <w:color w:val="auto"/>
        </w:rPr>
        <w:t>—to approve the amendment of the Current Certificate of Incorporation to provide for declassification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into one class.</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Voting Threshold Proposal</w:t>
      </w:r>
      <w:r>
        <w:rPr>
          <w:rFonts w:ascii="Arial" w:cs="Arial" w:eastAsia="Arial" w:hAnsi="Arial"/>
          <w:sz w:val="18"/>
          <w:szCs w:val="18"/>
          <w:color w:val="auto"/>
        </w:rPr>
        <w:t>—to approve the amendment of the Current Certificate of Incorporation to change the stockholder vote required to approve</w:t>
      </w:r>
      <w:r>
        <w:rPr>
          <w:rFonts w:ascii="Arial" w:cs="Arial" w:eastAsia="Arial" w:hAnsi="Arial"/>
          <w:sz w:val="18"/>
          <w:szCs w:val="18"/>
          <w:i w:val="1"/>
          <w:iCs w:val="1"/>
          <w:color w:val="auto"/>
        </w:rPr>
        <w:t xml:space="preserve"> </w:t>
      </w:r>
      <w:r>
        <w:rPr>
          <w:rFonts w:ascii="Arial" w:cs="Arial" w:eastAsia="Arial" w:hAnsi="Arial"/>
          <w:sz w:val="18"/>
          <w:szCs w:val="18"/>
          <w:color w:val="auto"/>
        </w:rPr>
        <w:t>a further amendment thereof.</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Section 203 Proposal</w:t>
      </w:r>
      <w:r>
        <w:rPr>
          <w:rFonts w:ascii="Arial" w:cs="Arial" w:eastAsia="Arial" w:hAnsi="Arial"/>
          <w:sz w:val="18"/>
          <w:szCs w:val="18"/>
          <w:color w:val="auto"/>
        </w:rPr>
        <w:t>—to approve the amendment of the Current Certificate of Incorporation to elect not to be governed by Section 203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DGCL.</w:t>
      </w:r>
    </w:p>
    <w:p>
      <w:pPr>
        <w:spacing w:after="0" w:line="170" w:lineRule="exact"/>
        <w:rPr>
          <w:rFonts w:ascii="Arial" w:cs="Arial" w:eastAsia="Arial" w:hAnsi="Arial"/>
          <w:sz w:val="18"/>
          <w:szCs w:val="18"/>
          <w:color w:val="auto"/>
        </w:rPr>
      </w:pPr>
    </w:p>
    <w:p>
      <w:pPr>
        <w:jc w:val="both"/>
        <w:ind w:left="660" w:hanging="330"/>
        <w:spacing w:after="0" w:line="340"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Additional Amendments Proposal</w:t>
      </w:r>
      <w:r>
        <w:rPr>
          <w:rFonts w:ascii="Arial" w:cs="Arial" w:eastAsia="Arial" w:hAnsi="Arial"/>
          <w:sz w:val="16"/>
          <w:szCs w:val="16"/>
          <w:color w:val="auto"/>
        </w:rPr>
        <w:t>—to approve the amendment to the Current Certificate of Incorporation to change M I Acquisitions’ name from “M</w:t>
      </w:r>
      <w:r>
        <w:rPr>
          <w:rFonts w:ascii="Arial" w:cs="Arial" w:eastAsia="Arial" w:hAnsi="Arial"/>
          <w:sz w:val="16"/>
          <w:szCs w:val="16"/>
          <w:i w:val="1"/>
          <w:iCs w:val="1"/>
          <w:color w:val="auto"/>
        </w:rPr>
        <w:t xml:space="preserve"> </w:t>
      </w:r>
      <w:r>
        <w:rPr>
          <w:rFonts w:ascii="Arial" w:cs="Arial" w:eastAsia="Arial" w:hAnsi="Arial"/>
          <w:sz w:val="16"/>
          <w:szCs w:val="16"/>
          <w:color w:val="auto"/>
        </w:rPr>
        <w:t>I Acquisitions, Inc.” to “Priority Technology Holdings, Inc.”, and make certain further revisions thereto in connection with the Business Combination.</w:t>
      </w:r>
    </w:p>
    <w:p>
      <w:pPr>
        <w:spacing w:after="0" w:line="123" w:lineRule="exact"/>
        <w:rPr>
          <w:rFonts w:ascii="Arial" w:cs="Arial" w:eastAsia="Arial" w:hAnsi="Arial"/>
          <w:sz w:val="16"/>
          <w:szCs w:val="16"/>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2018 Equity Incentive Plan Proposal</w:t>
      </w:r>
      <w:r>
        <w:rPr>
          <w:rFonts w:ascii="Arial" w:cs="Arial" w:eastAsia="Arial" w:hAnsi="Arial"/>
          <w:sz w:val="18"/>
          <w:szCs w:val="18"/>
          <w:color w:val="auto"/>
        </w:rPr>
        <w:t>—to approve the 2018 Equity Incentive Plan, including the authorization of the initial share reserve.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Earnout Incentive Plan Proposal</w:t>
      </w:r>
      <w:r>
        <w:rPr>
          <w:rFonts w:ascii="Arial" w:cs="Arial" w:eastAsia="Arial" w:hAnsi="Arial"/>
          <w:sz w:val="18"/>
          <w:szCs w:val="18"/>
          <w:color w:val="auto"/>
        </w:rPr>
        <w:t>—to approve the Priority Technology Holdings, Inc. Earnout Incentive Plan.</w:t>
      </w:r>
    </w:p>
    <w:p>
      <w:pPr>
        <w:spacing w:after="0" w:line="223" w:lineRule="exact"/>
        <w:rPr>
          <w:rFonts w:ascii="Arial" w:cs="Arial" w:eastAsia="Arial" w:hAnsi="Arial"/>
          <w:sz w:val="18"/>
          <w:szCs w:val="18"/>
          <w:color w:val="auto"/>
        </w:rPr>
      </w:pPr>
    </w:p>
    <w:p>
      <w:pPr>
        <w:ind w:left="660" w:right="20" w:hanging="330"/>
        <w:spacing w:after="0" w:line="27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Nasdaq Proposal</w:t>
      </w:r>
      <w:r>
        <w:rPr>
          <w:rFonts w:ascii="Arial" w:cs="Arial" w:eastAsia="Arial" w:hAnsi="Arial"/>
          <w:sz w:val="18"/>
          <w:szCs w:val="18"/>
          <w:color w:val="auto"/>
        </w:rPr>
        <w:t>—to approve the issuance of more than 20% of the issued and outstanding shares of common stock of M I Acquisitions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the Purchase Agreement, as required by Nasdaq Listing Rules 5635(a) and (d).</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Adjournment Proposal</w:t>
      </w:r>
      <w:r>
        <w:rPr>
          <w:rFonts w:ascii="Arial" w:cs="Arial" w:eastAsia="Arial" w:hAnsi="Arial"/>
          <w:sz w:val="18"/>
          <w:szCs w:val="18"/>
          <w:color w:val="auto"/>
        </w:rPr>
        <w:t>—to approve the adjournment of the special meeting in the event M I Acquisitions does not receive the requisite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vote to approve the Business Combination.</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If any of the proposals other than the 2018 Equity Incentive Plan Proposal and the Adjournment Proposal are not approved, the Business Combination will not be consummated and M I Acquisitions will liquidate and dissolve.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3" w:lineRule="exact"/>
        <w:rPr>
          <w:sz w:val="20"/>
          <w:szCs w:val="20"/>
          <w:color w:val="auto"/>
        </w:rPr>
      </w:pPr>
    </w:p>
    <w:p>
      <w:pPr>
        <w:ind w:left="660" w:hanging="330"/>
        <w:spacing w:after="0" w:line="275"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has determined that each of the Business Combination Proposal and the other proposals is fair to, and in the best interests of, M I Acquisitions and its stockholders;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 w:name="page59"/>
    <w:bookmarkEnd w:id="58"/>
    <w:p>
      <w:pPr>
        <w:ind w:left="660" w:hanging="330"/>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has approved the Business Combination Proposal and the other proposals; and</w:t>
      </w:r>
    </w:p>
    <w:p>
      <w:pPr>
        <w:spacing w:after="0" w:line="223" w:lineRule="exact"/>
        <w:rPr>
          <w:rFonts w:ascii="Arial" w:cs="Arial" w:eastAsia="Arial" w:hAnsi="Arial"/>
          <w:sz w:val="18"/>
          <w:szCs w:val="18"/>
          <w:color w:val="auto"/>
        </w:rPr>
      </w:pPr>
    </w:p>
    <w:p>
      <w:pPr>
        <w:jc w:val="both"/>
        <w:ind w:left="660" w:hanging="330"/>
        <w:spacing w:after="0" w:line="285"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recommends that M I Acquisitions’ stockholders vote “FOR” each of the Business Combination Proposal, the Authorized Share Increase Proposal, the Board Declassification Proposal, Voting Threshold Proposal, the Section 2-3 Proposal, the Additional Amendments Proposal, the 2018 Equity Incentive Plan Proposal, the Earnout Incentive Plan Proposal, the Nasdaq Proposal and the Adjournment Proposal.</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 I Acquisitions’ board of directors have interests that may be different from or in addition to your interests as a stockholder. See the section entitled “The Business Combination Proposal — Interests of Certain Persons in the Business Combination”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Who is Entitled to Vote</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fixed the close of business on [●], 2018 as the “record date” for determining those M I Acquisitions stockholders entitled to notice of and to vote at the special meeting, which we refer to as the “Record Date”. As of the close of business on the Record Date, there were 7,058,743 shares of M I Acquisitions common stock outstanding and entitled to vote. Each holder of M I Acquisitions common stock is entitled to one vote per share on each of the Business Combination Proposal, the Authorized Share Increase Proposal, the Board Declassification Proposal, Voting Threshold Proposal, the Section 2-3 Proposal, the Additional Amendments Proposal, the 2018 Equity Incentive Plan Proposal, the Earnout Incentive Plan Proposal, the Nasdaq Proposal and the Adjournment Proposal.</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Record Date, M I Acquisitions’ Initial Stockholders, either directly or beneficially, owned and were entitled to vote [●] shares of common stock, or approximately 25% of M I Acquisitions’ outstanding common stock. With respect to the Business Combination, M I Acquisitions’ Initial Stockholders have agreed to vote their respective M I Acquisitions common stock acquired by them in favor of the Business Combination Proposal, the Earnout Incentive Plan Proposal and the Amendments Proposals. They have indicated that they intend to vote their shares, as applicable, “FOR” each of the other proposals although there is no agreement in place with respect to these proposals.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Stockholder Proposals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 Quorum of M I Acquisitions stockholders is necessary to hold a valid meeting. A Quorum will be present at the special meeting of M I Acquisitions stockholders if a majority of the M I Acquisitions common stock issued and outstanding and entitled to vote at the special meeting is represented in person or by proxy. Abstentions present in person and by proxy will count as present for the purposes of establishing a Quorum but broker non-votes will not.</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Approval of the Business Combination Proposal, the 2018 Equity Incentive Plan Proposal, the Earnout Incentive Plan Proposal, the Nasdaq Proposal and the Adjournment Proposal will require the affirmative vote of the holders of a majority of the issued and outstanding shares of common stock of M I Acquisitions present and entitled to vote at the special meeting; provided, however, that if more than 3,382,031 of the shares of common stock purchased in the IPO demand redemption of their shares of common stock, then the Business Combination will not be completed. Approval of the Authorized Share Increase Proposal, the Board Declassification Proposal, the Voting Threshold Proposal, the Section 203 Proposal and the Additional Amendments Proposal will require the approval of a majority of the issued and outstanding shares of common stock of M I Acquisitions. Attending the special meeting either in person or by proxy and abstaining from voting will have the same effect as voting against all the proposals and, assuming a Quorum is present, broker non-votes will have no effect on the Business Combination Proposal, the 2018 Equity Incentive Plan Proposal, the Earnout Incentive Plan Proposal, the Nasdaq Proposal and the Adjournment Proposal, but will be the same as a vote against the Authorized Share Increase Proposal, the Board Declassification Proposal, the Voting Threshold Proposal, the Section 203 Proposal and the Additional Amendments Proposal.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share of M I Acquisitions common stock that you own in your name entitles you to one vote for each proposal on which such shares are entitled to vote at the special meeting. Your proxy card shows the number of shares of our common stock that you own.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are two ways to ensure that your shares of M I Acquisitions common stock, as applicable, are voted at the special meeting:</w:t>
      </w:r>
    </w:p>
    <w:p>
      <w:pPr>
        <w:spacing w:after="0" w:line="223" w:lineRule="exact"/>
        <w:rPr>
          <w:sz w:val="20"/>
          <w:szCs w:val="20"/>
          <w:color w:val="auto"/>
        </w:rPr>
      </w:pPr>
    </w:p>
    <w:p>
      <w:pPr>
        <w:jc w:val="both"/>
        <w:ind w:left="660" w:hanging="330"/>
        <w:spacing w:after="0" w:line="29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You can cause your shares to be voted by signing and returning the enclosed proxy card. If you submit your proxy card, your “proxy,” whose name is listed on the proxy card, will vote your shares as you instruct on the proxy card. If you sign and return the proxy card but do not give instructions on how to vote your shares, your shares will be voted, as recommended by our board, “FOR” the adoption of the Business Combination Proposal, the Authorized Share Increase Proposal, the Board Declassification Proposal, Voting Threshold Proposal, the Section 2-3 Proposal, the Additional Amendments Proposal, the 2018 Equity Incentive Plan Proposal, the Earnout Incentive Plan Proposal, the Nasdaq Proposal and the Adjournment Proposal. Votes received after a matter has been voted upon at either of the special meetings will not be counted.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both"/>
        <w:ind w:left="660" w:hanging="330"/>
        <w:spacing w:after="0" w:line="262"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You can attend the special meeting and vote in person. We will give you a ballot when you arrive. However, if your shares are held in the name of your broker, bank or another nominee, you must get a proxy from the broker, bank or other nominee. That is the only way we can be sure that the broker, bank or nominee has not already voted your shares.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RETURN YOUR PROXY CARD WITHOUT AN INDICATION OF HOW YOU WISH TO VOTE, YOUR SHARES WILL BE VOTED IN FAVOR OF THE BUSINESS COMBINATION PROPOSAL (AS WELL AS THE OTHER PROPOSALS). IN ORDER TO REDEEM YOUR SHARES, YOU MUST CONTINUE TO HOLD YOUR SHARES THROUGH THE CLOSING DATE OF THE BUSINESS COMBINATION AND TENDER YOUR PHYSICAL STOCK CERTIFICATE TO OUR STOCK TRANSFER AGENT AT LEAST ONE BUSINESS DAY PRIOR TO THE CONSUMMATION OF THE BUSINESS COMBINATION. IF THE BUSINESS COMBINATION IS NOT COMPLETED, THEN THESE SHARES WILL NOT BE REDEEMED FOR CASH. IF YOU HOLD THE SHARES IN STREET NAME, YOU WILL NEED TO ELECTRONICALLY TRANSFER YOUR SHARES TO THE DTC ACCOUNT OF AMERICAN STOCK TRANSFER &amp; TRUST COMPANY, LLC, OUR TRANSFER AGENT, AT LEAST ONE BUSINESS DAY PRIOR TO THE CONSUMMATION OF THE BUSINESS COMBINATION.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If you give a proxy, you may revoke it at any time before it is exercised by doing any one of the following:</w:t>
      </w:r>
    </w:p>
    <w:p>
      <w:pPr>
        <w:spacing w:after="0" w:line="223" w:lineRule="exact"/>
        <w:rPr>
          <w:sz w:val="20"/>
          <w:szCs w:val="20"/>
          <w:color w:val="auto"/>
        </w:rPr>
      </w:pPr>
    </w:p>
    <w:p>
      <w:pPr>
        <w:ind w:left="660" w:hanging="330"/>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you are a record holder, you may notify our corporate secretary in writing before the special meeting that you have revoked your proxy; or</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you may attend the special meeting, revoke your proxy, and vote in person, as indicated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you have any questions about how to vote or direct a vote in respect of your shares of our common stock, you may call Morrow Sodali LLC, our proxy solicitor, at (800) 662-5200, or M I Acquisitions at (347) 491-4240.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Presence of Independent Registered Public Accounting Firm at the Special Meeting</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Representatives of our independent registered public accounting firm, Marcum LLP, have been invited to the special meeting of the stockholders. If they attend, the representatives will have the opportunity to make a statement if they so desire and they are expected to be available to respond to appropriate questions.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Additional Matters May Be Presented at the Special Meeting</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special meeting has been called only to consider the approval of the proposals described herein. Under our Current Certificate of Incorporation, other than procedural matters incident to the conduct of the special meeting, no other matters may be considered at the special meeting if they are not included in the notice of the special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Pursuant to our Current Certificate of Incorporation, a holder of M I Acquisitions common stock may demand that M I Acquisitions redeem such common stock for cash. Demand may be made by:</w:t>
      </w:r>
    </w:p>
    <w:p>
      <w:pPr>
        <w:spacing w:after="0" w:line="171" w:lineRule="exact"/>
        <w:rPr>
          <w:sz w:val="20"/>
          <w:szCs w:val="20"/>
          <w:color w:val="auto"/>
        </w:rPr>
      </w:pPr>
    </w:p>
    <w:p>
      <w:pPr>
        <w:ind w:left="660" w:hanging="330"/>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Voting for or against the business combination and electing redemption by checking the appropriate box on the proxy card; and</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Tendering the shares of M I Acquisitions common stock for which you are electing redemption by the business day prior to the consummation of the Business Combination by either:</w:t>
      </w:r>
    </w:p>
    <w:p>
      <w:pPr>
        <w:spacing w:after="0" w:line="170" w:lineRule="exact"/>
        <w:rPr>
          <w:rFonts w:ascii="Arial" w:cs="Arial" w:eastAsia="Arial" w:hAnsi="Arial"/>
          <w:sz w:val="18"/>
          <w:szCs w:val="18"/>
          <w:color w:val="auto"/>
        </w:rPr>
      </w:pPr>
    </w:p>
    <w:p>
      <w:pPr>
        <w:ind w:left="980" w:hanging="327"/>
        <w:spacing w:after="0"/>
        <w:tabs>
          <w:tab w:leader="none" w:pos="9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Delivering certificates representing the shares of M I Acquisitions’ common stock to M I Acquisitions’ transfer agent, or</w:t>
      </w:r>
    </w:p>
    <w:p>
      <w:pPr>
        <w:spacing w:after="0" w:line="223" w:lineRule="exact"/>
        <w:rPr>
          <w:rFonts w:ascii="Arial" w:cs="Arial" w:eastAsia="Arial" w:hAnsi="Arial"/>
          <w:sz w:val="18"/>
          <w:szCs w:val="18"/>
          <w:color w:val="auto"/>
        </w:rPr>
      </w:pPr>
    </w:p>
    <w:p>
      <w:pPr>
        <w:ind w:left="980" w:hanging="327"/>
        <w:spacing w:after="0"/>
        <w:tabs>
          <w:tab w:leader="none" w:pos="9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Delivering the shares of M I Acquisitions common stock electronically through the DWAC system; and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0" w:name="page61"/>
    <w:bookmarkEnd w:id="60"/>
    <w:p>
      <w:pPr>
        <w:ind w:left="980" w:right="20" w:hanging="327"/>
        <w:spacing w:after="0" w:line="275"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 selling or otherwise transferring the shares of M I Acquisitions common stock until the Closing (tendering your common stock for redemption is not considered selling or transferring your shares).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 I Acquisitions stockholders will be entitled to redeem their M I Acquisitions common stock for a full pro rata share of the trust account (currently anticipated to be no less than approximately $[●] per share), net of taxes payable.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tendering your shares for redemption, you must elect either to physically tender your share certificates to M I Acquisitions’ transfer agent or deliver your shares to the transfer agent electronically using The Depository Trust Company’s DWAC (Deposit/Withdrawal At Custodian) System, in each case, by the business day prior to the consummation of the Business Combination.</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Through the DWAC system, this electronic delivery process can be accomplished by contacting your broker and requesting delivery of your shares through the DWAC system. Delivering shares physically may take significantly longer. In order to obtain a physical stock certificate, a stockholder’s broker and/or clearing broker, DTC, and M I Acquisitions’ transfer agent will need to act together to facilitate this request. There is a nominal cost associated with the above-referenced tendering process and the act of certificating the shares or delivering them through the DWAC system. The transfer agent will typically charge the tendering broker $45 and the broker would determine whether or not to pass this cost on to the redeeming holder. It is M I Acquisitions’ understanding that stockholders should generally allot at least two weeks to obtain physical certificates from the transfer agent. M I Acquisitions does not have any control over this process or over the brokers or DTC, and it may take longer than two weeks to obtain a physical stock certificate. Stockholders who request physical stock certificates and wish to redeem may be unable to meet the deadline for tendering their common stock before exercising their redemption rights and thus will be unable to redeem their common stock.</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that a stockholder tenders its common stock and decides prior to the consummation of the Business Combination that it does not want to redeem its common stock, the stockholder may withdraw the tender. In the event that a stockholder tenders common stock and the business combination is not completed, these common stock will not be redeemed for cash and the physical certificates representing these common stock will be returned to the stockholder promptly following the determination that the Business Combination will not be consummated. M I Acquisitions anticipates that a stockholder who tenders common stock for redemption in connection with the vote to approve the Business Combination would receive payment of the redemption price for such common stock soon after the completion of the Business Combination.</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If properly demanded by M I Acquisitions’ Public Stockholders, M I Acquisitions will redeem each share into a pro rata portion of the funds available in the trust account, calculated as of two business days prior to the anticipated consummation of the Business Combination. As of the record date, this would amount to approximately $[●] per share. If you exercise your redemption rights, you will be exchanging your M I Acquisitions common stock for cash and will no longer own the common stock. If M I Acquisitions is unable to complete the Business Combination by [_________], 2018, it will liquidate and dissolve and Public Stockholders would be entitled to receive approximately $[●] per share upon such liquidation.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Purchase Agreement, the Business Combination is conditioned upon, among other things, there being a minimum of $20 million of cash in our trust account after giving effect to the redemption of M I Acquisitions common stock that holders of M I Acquisitions common stock validly elected to redeem in connection with the Business Combination. Therefore, unless these conditions are waived by M I Acquisitions and Priority, the Purchase Agreement could terminate and the proposed Business Combination may not be consummated.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Rights Upon Consummation of the Business Combination</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Current Certificate of Incorporation provide that no M I Acquisitions public stockholder, together with any affiliate of his or any other person with whom he is acting in concert or as a “group” (as defined in Section 13(d)(3) of the Exchange Act) is permitted from seeking redemption rights, without M I Acquisitions’ prior written consent, with respect to 20% or more of the common stock sold in the IPO. By limiting a stockholder’s ability to redeem no more than 20% of the common stock sold in the IPO, M I Acquisitions believes it has limited the ability of a small group of stockholders to block a transaction which is favored by our other Public Stockholders. However, this limitation also makes it easier for M I Acquisitions to complete a business combination which is opposed by a significant number of Public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Common stock Share Certificates in connection with Redemption Rights</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 I Acquisitions is requiring the M I Acquisitions Public Stockholders seeking to exercise their redemption rights, whether they are record holders or hold their shares in “street name,” to either tender their certificates to M I Acquisitions’ transfer agent, or to deliver their shares to the transfer agent electronically using Depository Trust Company’s DWAC (Deposit/Withdrawal At Custodian) System, at the holder’s option prior to the business day immediately preceding the consummation of the proposed Business Combination. There is a nominal cost associated with the above-referenced tendering process and the act of certificating the shares or delivering them through the DWAC System. The transfer agent will typically charge the tendering broker $45.00 and it would be up to the broker whether to pass this cost on to the redeeming holder. However, this fee would be incurred regardless of whether M I Acquisitions requires holders seeking to exercise redemption rights to tender their common stock. The need to deliver common stock is a requirement of exercising redemption rights regardless of the timing of when such delivery must be effectuated.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1" w:name="page62"/>
    <w:bookmarkEnd w:id="61"/>
    <w:p>
      <w:pPr>
        <w:jc w:val="both"/>
        <w:spacing w:after="0" w:line="258" w:lineRule="auto"/>
        <w:rPr>
          <w:sz w:val="20"/>
          <w:szCs w:val="20"/>
          <w:color w:val="auto"/>
        </w:rPr>
      </w:pPr>
      <w:r>
        <w:rPr>
          <w:rFonts w:ascii="Arial" w:cs="Arial" w:eastAsia="Arial" w:hAnsi="Arial"/>
          <w:sz w:val="18"/>
          <w:szCs w:val="18"/>
          <w:color w:val="auto"/>
        </w:rPr>
        <w:t>Any request for redemption, once made, may be withdrawn at any time up to the business day immediately preceding the consummation of the proposed Business Combination. Furthermore, if a stockholder delivered his certificate for redemption and subsequently decided prior to the date immediately preceding the consummation of the proposed Business Combination not to elect redemption, he may simply request that the transfer agent return the certificate (physically or electronically).</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redemption payment will only be made in the event that the proposed Business Combination is consummated. If the proposed Business Combination is not completed for any reason, then Public Stockholders who exercised their redemption rights would not be entitled to receive the redemption payment. In such case, M I Acquisitions will promptly return the share certificates to the public stockholder.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Appraisal rights are not available to holders of M I Acquisitions common stock in connection with the Business Combination.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and Proxy Solicitation Costs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soliciting proxies on behalf of our board of directors. This solicitation is being made by mail but also may be made by telephone or in person. M I Acquisitions and its directors, officers and employees may also solicit proxies in person, by telephone or by other electronic means. Any solicitation made and information provided in such a solicitation will be consistent with the written proxy statement and proxy card. Morrow Sodali LLC, a proxy solicitation firm that M I Acquisitions has engaged to assist it in soliciting proxies, will be paid its customary fee of approximately $15,000 and reimbursement of out-of-pocket expenses.</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M I Acquisitions will ask banks, brokers and other institutions, nominees and fiduciaries to forward its proxy materials to their principals and to obtain their authority to execute proxies and voting instructions. M I Acquisitions will reimburse them for their reasonable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If you send in your completed proxy card, you may still vote your shares in person if you revoke your proxy before it is exercised at the special meeting.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Initial Stockholders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$8,600, or approximately $0.02 per share, to M SPAC Holdings I LLC and M SPAC Holdings II LLC, each of which is controlled by Joshua Sason.</w:t>
      </w:r>
    </w:p>
    <w:p>
      <w:pPr>
        <w:spacing w:after="0" w:line="18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SPAC LLC, M SPAC Holdings I LLC and M SPAC Holdings II LLC, entities controlled by Joshua Sason, our Chief Executive Officer, purchased, pursuant to written purchase agreements with us, 402,500 private units for a purchase price of $10.00 per private unit, generating total proceeds of $4,025,000. These purchases took place on a private placement basis simultaneously with the consummation of the IPO. Simultaneously with the purchase of units resulting from the exercise of the over-allotment option by the underwriters, M SPAC LLC, M SPAC Holdings I LLC and M SPAC Holdings II LLC purchased an additional 18,607 private units at a price of $10.00 per unit.</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a registration rights agreement between us and our Initial Stockholders, our Initial Stockholders are entitled to certain registration rights with respect to the M I Acquisitions units held by them, as well as the underlying securities. The holders of these securities are entitled to make up to two demands that M I Acquisitions register such securities. The holders of the initial shares can elect to exercise these registration rights at any time commencing three months prior to the date on which these common stock are to be released from escrow. In addition, the holders have certain “piggy-back” registration rights with respect to registration statements filed subsequent to the consummation of a business combination. M I Acquisitions will bear the expenses incurred in connection with the filing of any such registration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PROPOSAL NO. 1 – THE BUSINESS COMBINATION PROPOSAL</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discussion in this proxy statement of the Business Combination and the principal terms of the Purchase Agreement is subject to, and is qualified in its entirety by reference to, the Purchase Agreement. The full text of the Purchase Agreement is attached hereto as Annex A, which is incorporated by reference 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Business Combination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with Priority; Business Combination Consideration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Upon the closing of the transactions contemplated by the Purchase Agreement, M I Acquisitions will acquire 100% of the issued and outstanding equity securities of Priority, which will result in Priority becoming a wholly-owned subsidiary of M I Acquisitions.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In addition, any cash that Priority spends to acquire any technology assets, up to $5.0 million, to purchase securities from the M I’s founders pursuant to the Founders Share Agreement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Sellers).</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Sellers, or at their election, to members of Priority’s management or other service providers post-business combination pursuant to the Priority Technology Holdings, Inc. Earnout Incentive Plan —4.9 million shares for the first earn-out and 4.9 million shares for the second earn-out.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After the Business Combination, assuming no redemptions of common stock for cash, M I Acquisitions’ current Public Stockholders will own approximately 8% of the combined company, M I Acquisitions’ current directors, officers and affiliates will own approximately 1% of the combined company, and the Sellers will own approximately 91% of the combined company. Assuming redemption by holders of 63.7% of 5.3 million shares of M I Acquisitions common stock, M I Acquisitions’ Public Stockholders will own approximately 3% of the combined company, M I Acquisitions’ current directors, officers and affiliates will own approximately 1% of the combined company, and the Sellers will own approximately 96% of the combined company.</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any of the proposals are not approved, the Business Combination will not be consummated and M I Acquisitions will liquidate and dissolve. Assuming all of such proposals are approved, the M I Acquisitions and Priority expect to close the Business Combination on [●], 2018.</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Inc. is a special purpose acquisition company formed on April 23, 2015 in Delaware for the purpose of entering into a merger, share exchange, asset acquisition, stock purchase, recapitalization or other similar business combination with one or more target businesses. M I Acquisitions intended to focus on acquiring a company or companies operating in the technology, media and telecommunications industries, but was not limited to a particular industry or geographic region.</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 I Acquisitions completed its IPO on September 19, 2016 of 5,000,000 units, with each unit consisting of one share of common stock, par value $0.001 per share, and one warrant, which entitles the holder thereof to purchase one share of common stock. Simultaneously with the consummation of the IPO, we consummated the private placement of 402,500 private units at a price of $10.00 per unit, generating total proceeds of $4,025,000. The private units were purchased by M SPAC LLC, M SPAC Holdings I LLC and M SPAC Holdings II LLC, entities controlled by Joshua Sason, our Chief Executive Officer. M I Acquisitions received gross proceeds of approximately $54,025,000 from the IPO and private placement.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After deducting the underwriting discounts and commissions and the offering expenses, the total net proceeds to us from the IPO (including the over-allotment option units) and private placements on September 19, 2016 and October 14, 2016 were $[·], of which $54,694,127 was deposited into a trust account, and the remaining proceeds became available to be used to provide for business, legal and accounting due diligence on prospective business combinations and continuing general and administrative expenses. Through the Record Date, we have used approximately $[·] of the net proceeds that were not deposited into the trust account to pay general and administrative expenses. The net proceeds deposited into the trust account remain on deposit in the trust account earning interest. As of the Record Date, there was $[·] held in the trust account (including $[·] of accrued interest).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M I Acquisitions’ Amended and Restated Certificate of Incorporation, the amounts held in the trust account may only be used by M I Acquisitions upon the consummation of a business combination, except that there can be released to M I Acquisitions, from time to time, any interest earned on the funds in the trust account that it may need to pay its tax obligations. The remaining interest earned on the funds in the trust account will not be released until the earlier of the completion of a business combination and M I Acquisitions’ liquidation. M I Acquisitions executed a definitive agreement on February 26, 2018 and it must liquidate unless a business combination is consummated by [_________], 2018. As of the Record Date, approximately $[●] was held in deposit in M I Acquisitions’ trust account.</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Promptly after M I Acquisitions’ IPO, the officers and directors of M I Acquisitions commenced the process of locating potential targets. M I Acquisitions management and board established a list of criteria for screening potential targets, including, but not limited to:</w:t>
      </w:r>
    </w:p>
    <w:p>
      <w:pPr>
        <w:spacing w:after="0" w:line="171" w:lineRule="exact"/>
        <w:rPr>
          <w:sz w:val="20"/>
          <w:szCs w:val="20"/>
          <w:color w:val="auto"/>
        </w:rPr>
      </w:pPr>
    </w:p>
    <w:p>
      <w:pPr>
        <w:ind w:left="660" w:hanging="330"/>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Intelligible business model with public market comparables;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Proprietary and/or value-added products/services with sustainable competitive advantage;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Active in a positively-viewed industry that may be fragmented with high barriers to entry;</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Strong and experienced management team supported by a motivated controlling counterparty seeking to take advantage of improved liquidity and access to public markets;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Meaningful business size of at least $100.0 million in enterprise value with established and predictable history of revenue and profitability.</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Promptly after the IPO, the M I Acquisitions officers and directors began to engage in targeted outreach to gain awareness of the vehicle and its ideal target company candidate. This outreach consisted primarily of reaching out to investment banks, financial advisory firms, merchant banks, deal finders, venture capital funds, private equity firms, industry-specific experts, and other target company service providers including active law firms, accounting firms and consulting firms.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4" w:name="page65"/>
    <w:bookmarkEnd w:id="64"/>
    <w:p>
      <w:pPr>
        <w:jc w:val="both"/>
        <w:spacing w:after="0" w:line="258" w:lineRule="auto"/>
        <w:rPr>
          <w:sz w:val="20"/>
          <w:szCs w:val="20"/>
          <w:color w:val="auto"/>
        </w:rPr>
      </w:pPr>
      <w:r>
        <w:rPr>
          <w:rFonts w:ascii="Arial" w:cs="Arial" w:eastAsia="Arial" w:hAnsi="Arial"/>
          <w:sz w:val="18"/>
          <w:szCs w:val="18"/>
          <w:color w:val="auto"/>
        </w:rPr>
        <w:t>Immediately following the M I Acquisitions IPO, M I Acquisitions management focused its search on companies in the general technology, media and telecommunications industry. Over the course of M I Acquisitions’ search for target companies, M I Acquisitions management evaluated in excess of 150 target companies. M I Acquisitions entered into advanced discussions with the following three targets in different industries, but did not proceed with these targets for a variety of reasons:</w:t>
      </w:r>
    </w:p>
    <w:p>
      <w:pPr>
        <w:spacing w:after="0" w:line="185" w:lineRule="exact"/>
        <w:rPr>
          <w:sz w:val="20"/>
          <w:szCs w:val="20"/>
          <w:color w:val="auto"/>
        </w:rPr>
      </w:pPr>
    </w:p>
    <w:p>
      <w:pPr>
        <w:ind w:left="660" w:right="20" w:hanging="330"/>
        <w:spacing w:after="0" w:line="275"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restaurant franchising business that M I Acquisitions did not believe would be able to gain the necessary capital markets and investor interest to support a transaction</w:t>
      </w:r>
    </w:p>
    <w:p>
      <w:pPr>
        <w:spacing w:after="0" w:line="170" w:lineRule="exact"/>
        <w:rPr>
          <w:rFonts w:ascii="Arial" w:cs="Arial" w:eastAsia="Arial" w:hAnsi="Arial"/>
          <w:sz w:val="18"/>
          <w:szCs w:val="18"/>
          <w:color w:val="auto"/>
        </w:rPr>
      </w:pPr>
    </w:p>
    <w:p>
      <w:pPr>
        <w:ind w:left="660" w:right="20" w:hanging="330"/>
        <w:spacing w:after="0" w:line="275"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international messaging marketing company that underwent a change of strategic vision from its sole shareholder during transaction negotiations and eventually elected not to proceed with a transaction with M I Acquisitions</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international travel technology company that was not willing or able to take on the responsibilities and risks associated with being a publicly-traded company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M I Acquisitions’ search of target companies, management was introduced to Zachary Fisher, a Managing Director at Cowen &amp; Company, LLC, regarding an opportunity that M I Acquisitions did not eventually pursue. During the course of M I Acquisitions’ evaluation of the opportunity, M I Acquisitions management met with Mr. Fisher several times, during which Mr. Fisher developed an understanding of M I Acquisitions’ investment thesis for and its ideal target candidate. On numerous occasions thereafter, Mr. Fisher reached out to M I Acquisitions management with potential target companies for M I Acquisitions.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July 6, 2017, Mr. Fisher asked if the M I Acquisitions management would be interested in meeting with an unnamed company in the payments industry. A meeting was then set for July 13, 2017.</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July 13, 2017, Marc Manuel and Andrew Reggev went to Cowen’s office in New York City to meet with that company (Priority) and representatives from Cowen and Joshua Sason joined by conference call. They met with Priority’s Executive Chairman, Thomas Priore, Mr. Fisher and other representatives of Cowen. During the meeting, Thomas Priore provided an overview of the business, competitive advantages, recent developments within the Company and its capital structure, as well as future business initiatives, which included acquisitions, and potentially going public.</w:t>
      </w:r>
    </w:p>
    <w:p>
      <w:pPr>
        <w:spacing w:after="0" w:line="17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Subsequent to the meeting, M I Acquisitions management began market research of the industry, public market competitors, and any precedent transactions. Of particular interest to M I Acquisitions management was the recent FinTech Acquisition Corp. / CardConnect Corp. business combination and eventual sale of CardConnect Corp. to First Data Corporation, which was announced on May 29, 2017. Furthermore, with CardConnect no longer publicly listed, the acquisition of CardConnect by First Data left a void in the small- and mid-cap payments sector for the investment community.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On July 26, 2017, Priority executed a mutual non-disclosure agreement with M I Acquisitions.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3, 2017, M I Acquisitions management held a conference call with Thomas Priore and Cowen to discuss the history of M I Acquisitions, developments in the SPAC market and Priority’s present business activity. Subsequent to the call Mr. Reggev sent a financial model to Cowen outlining M I Acquisitions capital ownership. Cowen held additional conversations with Priority over the following weeks discussing the application of a SPAC with Priority. Between August 3, 2017 and October 18, 2017 M I Acquisitions held additional internal meetings and discussions and engaged Chardan Capital Markets on July 14, 2017 to assist in providing advice on Priority, industry analysis and the transaction structure. After these meetings and discussions, M I Acquisitions management agreed internally to proceed with negotiations with Priority.</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On October 20, 2017, M I Acquisitions, Priority, and Cowen met at Cowen’s office in Midtown, New York City to give a business update and to discuss timeline around a transaction given that M I Acquisitions had a deadline to complete a business combination of March 2018 (without any extensions).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December 7, 2017 M I Acquisitions gave notice to Priority that the board of directors had mandated that M I Acquisitions reach an agreement with Priority in the immediate future. Subsequently, on December 22, 2017 Cowen provided M I Acquisitions with an initial term sheet. Between December 22, 2017 and January 2, 2018, the parties negotiated the terms of the transaction and, on January 2, 2018, Cowen provided the final term sheet, which substantively reflected the high level business understanding of a potential Business Combination.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general terms understood in principal, on January 3, 2018, M I Acquisitions management held a board meeting and introduced the opportunity to the M I Acquisitions board of directors by providing a walk-through of the business, transaction elements, and the pros and cons of the transaction. Joshua Sason provided an overview of Priority and the transaction highlights as well as management’s rationale for the proposed business combination. M I Acquisitions management then introduced the pros and cons of the transaction and explained the reasons that the transaction was beneficial to M I Acquisitions stockholders. The board subsequently requested a call with Cowen to provide a more in-depth overview of the industry, insight on this specific company and transaction, and the capital markets mechanics of the transaction.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both"/>
        <w:spacing w:after="0" w:line="255" w:lineRule="auto"/>
        <w:rPr>
          <w:sz w:val="20"/>
          <w:szCs w:val="20"/>
          <w:color w:val="auto"/>
        </w:rPr>
      </w:pPr>
      <w:r>
        <w:rPr>
          <w:rFonts w:ascii="Arial" w:cs="Arial" w:eastAsia="Arial" w:hAnsi="Arial"/>
          <w:sz w:val="18"/>
          <w:szCs w:val="18"/>
          <w:color w:val="auto"/>
        </w:rPr>
        <w:t>On January 4, 2018, M I Acquisitions, Loeb &amp; Loeb (acting as M I Acquisitions’ legal representative), Priority, Cowen and Schulte Roth &amp; Zabel LLP (“Schulte”) (acting as Priority’s legal representative) held a call to introduce the parties and discuss (i) the potential terms of a transaction, (ii) M I Acquisitions timeline constraints for the transaction, (iii) the timeline and process to reach a definitive documentation, and (iv) due diligence. In advance of the call, M I Acquisitions provided Cowen with an indicative timeline for the transaction, as well as their comprehensive due diligence request list, which was then circulated to the remainder of the participants on the call.</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8, 2018, Loeb &amp; Loeb provided M I Acquisitions with an initial draft of the transaction documents and outlined major business and legal issues within the documents that still needed to be finalized. After several internal rounds of comments and edits to the documents, Loeb &amp; Loeb provided an initial draft of the merger agreement to Schulte and Cowen on January 10, 2018. Over the ensuing four weeks, M I Acquisitions’ and Priority’s legal counsels exchanged drafts of the agreements to address a variety of critical open business, structural and legal issues including (i) minimum cash requirement for a transaction, (ii) reps and warranties of the buyer and sellers, (iii) treatment of the extension obligations, (iv) conditions to closing, and (v) finalizing of the disclosure schedules for each party among other items.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11, 2018, M I Acquisitions management began formal due diligence review of Priority receiving access to the Priority data room based upon the due diligence request list that M I Acquisitions had provided to Cowen.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18, 2018, M I Acquisitions management held a meeting with Giovanni Caruso of Loeb &amp; Loeb at Loeb’s offices to go over the due diligence process, and to discuss outstanding business and legal issues. Following this meeting and through the date the agreement was signed, M I Acquisitions management and Loeb &amp; Loeb collectively worked to complete their respective due diligence of the material provided.</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January 30, 2018 Mr. Sason visited the Priority headquarters in Alpharetta, GA. During his visit, Mr. Sason sat in on presentations from various divisions of the business to gain more in-depth knowledge of the day-to-day operations. Mr. Sason then conducted several interviews with Priority’s management team to provide further insights on M I Acquisitions’ operations, its vision and the general industry dynamics. Mr. Sason concluded the site visit with a one-on-one meeting with Thomas Priore to discuss remaining business issues in the transaction that still required resolution. Following the conclusion of his trip, Mr. Sason provided a debrief to the rest of M I Acquisitions management and reiterated his support for the transaction.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2018, M I Acquisitions held a meeting of the board of directors via conference call. Participants were each of the board of directors, as well as Matthew Kearney, as advisor to the board of directors, and Russell Rieger, and Andrew Reggev, who had been assisting M I Acquisitions management with the transaction. Each participant was provided with a current copy of the draft transaction documents prior to joining the call. During the call, management provided further updates on the transaction, a briefing of Mr. Sason’s visit to Priority’s headquarters, a discussion of the risks of the transaction and a Q&amp;A session on Priority.</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Between January 31, 2018 and February 9, 2018, M I Acquisitions management and Priority management negotiated remaining open items contained in the legal agreements.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February 9, 2018, M I Acquisitions management provided notice to its board of directors to request formal approval to finalize a transaction with Priority. The information provided to the Board was supplemented with an outline of all recent changes to the transaction terms and legal documents since the prior versions circulated to the board. After the board was provided with time to review the updated agreements and preliminary presentation about Priority, the transaction was unanimously approved by the board of directors, subject to final negotiation and modifications.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Between February 9, 2018 and February 26, 2018, the parties finalized the transaction documents, exchanged turns on each party’s disclosure schedules and finalized outstanding due diligence issues.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26, 2018, after all business terms and legal documentation was agreed upon, the parties signed the transaction documents. Prior to the market opening on February 27, 2018, M I Acquisitions issued a press release and filed a Current Report on Form 8-K announcing the execution of the transaction documents and providing an investor deck on the transaction and Priority’s business. Subsequently, on March 2, 2018, M I Acquisitions filed a Current Report on Form 8-K disclosing the material terms of the agreement and the transaction documents.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On March 26, 2018, the parties entered into an Amended and Restated Contribution Agreement. The revisions:</w:t>
      </w:r>
    </w:p>
    <w:p>
      <w:pPr>
        <w:spacing w:after="0" w:line="223" w:lineRule="exact"/>
        <w:rPr>
          <w:sz w:val="20"/>
          <w:szCs w:val="20"/>
          <w:color w:val="auto"/>
        </w:rPr>
      </w:pPr>
    </w:p>
    <w:p>
      <w:pPr>
        <w:ind w:left="660" w:hanging="330"/>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changed Priority’s enterprise value to $947,835,000;</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6" w:name="page67"/>
    <w:bookmarkEnd w:id="66"/>
    <w:p>
      <w:pPr>
        <w:ind w:left="660" w:hanging="330"/>
        <w:spacing w:after="0"/>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amended the language relating to the inclusion of acquisitions between signing and closing in the calculation of Priority’s enterprise value; and</w:t>
      </w:r>
    </w:p>
    <w:p>
      <w:pPr>
        <w:spacing w:after="0" w:line="234" w:lineRule="exact"/>
        <w:rPr>
          <w:rFonts w:ascii="Arial" w:cs="Arial" w:eastAsia="Arial" w:hAnsi="Arial"/>
          <w:sz w:val="17"/>
          <w:szCs w:val="17"/>
          <w:color w:val="auto"/>
        </w:rPr>
      </w:pPr>
    </w:p>
    <w:p>
      <w:pPr>
        <w:jc w:val="both"/>
        <w:ind w:left="660" w:hanging="330"/>
        <w:spacing w:after="0" w:line="262"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amended the definition of net assumed debt to include the cost of acquisition of technology assets, up to $5,000,000, the amount paid by Priority to purchase securities from the Founders pursuant to the Founders Share Agreement and any amounts paid by Priority to extend the time we have to complete a business combination in the calculation of net debt as cash and cash equivalents.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On April 17, 2018, the parties entered into a Second Amended and Restated Contribution Agreement. The revisions:</w:t>
      </w:r>
    </w:p>
    <w:p>
      <w:pPr>
        <w:spacing w:after="0" w:line="223" w:lineRule="exact"/>
        <w:rPr>
          <w:sz w:val="20"/>
          <w:szCs w:val="20"/>
          <w:color w:val="auto"/>
        </w:rPr>
      </w:pPr>
    </w:p>
    <w:p>
      <w:pPr>
        <w:jc w:val="both"/>
        <w:ind w:left="660" w:right="120" w:hanging="330"/>
        <w:spacing w:after="0" w:line="285"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clarified the calculation of Priority's enterprise value should also take into account any acquisitions for which Priority has contracted to acquire prior to closing of the Business Combination so long as the only factor preventing closing of those acquisitions is that the cash and/or other consideration has not yet been paid and those acquisitions are completed within 30 days of the closing of the Business Combination; and</w:t>
      </w:r>
    </w:p>
    <w:p>
      <w:pPr>
        <w:spacing w:after="0" w:line="163" w:lineRule="exact"/>
        <w:rPr>
          <w:rFonts w:ascii="Arial" w:cs="Arial" w:eastAsia="Arial" w:hAnsi="Arial"/>
          <w:sz w:val="17"/>
          <w:szCs w:val="17"/>
          <w:color w:val="auto"/>
        </w:rPr>
      </w:pPr>
    </w:p>
    <w:p>
      <w:pPr>
        <w:ind w:left="660" w:hanging="330"/>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clarified the treatment of the GS Warrant as it relates to the payment of the Merger Consideration.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Reasons for the Approval of the Business Combination</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of directors held several meetings to discuss, among other things, a potential business combination with Priority. On February 9, 2018, the board of directors unanimously approved the Contribution Agreement, Purchase Agreement, and Letter Agreement and the transactions contemplated thereby, determined that the Business Combination is in the best interests of M I Acquisitions stockholders, directed that the Agreements be submitted to M I Acquisitions’ stockholders for approval and adoption, and recommended that M I Acquisitions’ stockholders approve and adopt the agreements and transactions contemplated thereby. Prior to reaching the decision to approve the agreements and the transaction, our board of directors consulted with our legal and financial advisors, as well as other third-party resources.</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order to become more familiar with the industry Priority operates in, our board of directors and management team reviewed various industry-specific research published by third-parties and also analyzed data and material from Priority, including but not limited to, Priority’s existing business model, historic and projected financial statements, valuation analysis, material agreements and other due diligence material. Our management team also coordinated legal due diligence with assistance from Loeb &amp; Loeb and conducted several interviews with Priority’s management and held in-depth conference calls with third-party industry and financial experts including, but not limited to, Chardan Capital Markets.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M I Acquisitions’ IPO in September of 2016, our management team and board of directors have been conducting a search for potential business combination partners. M I Acquisitions’ management and board of directors considered a wide variety of factors in connection with its evaluation of the Business Combination but did not find it to be practical to quantify or assign weights to the specific factors in reaching its final decision. In considering the Business Combination with Priority, our management team and board of directors determined that Priority met, in some fashion, all of the criteria for our target company screening:</w:t>
      </w:r>
    </w:p>
    <w:p>
      <w:pPr>
        <w:spacing w:after="0" w:line="191" w:lineRule="exact"/>
        <w:rPr>
          <w:sz w:val="20"/>
          <w:szCs w:val="20"/>
          <w:color w:val="auto"/>
        </w:rPr>
      </w:pPr>
    </w:p>
    <w:p>
      <w:pPr>
        <w:ind w:left="660" w:hanging="330"/>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Intelligible business model with public market comparables</w:t>
      </w:r>
    </w:p>
    <w:p>
      <w:pPr>
        <w:spacing w:after="0" w:line="223" w:lineRule="exact"/>
        <w:rPr>
          <w:rFonts w:ascii="Arial" w:cs="Arial" w:eastAsia="Arial" w:hAnsi="Arial"/>
          <w:sz w:val="18"/>
          <w:szCs w:val="18"/>
          <w:color w:val="auto"/>
        </w:rPr>
      </w:pPr>
    </w:p>
    <w:p>
      <w:pPr>
        <w:jc w:val="both"/>
        <w:ind w:left="660"/>
        <w:spacing w:after="0" w:line="269" w:lineRule="auto"/>
        <w:rPr>
          <w:rFonts w:ascii="Arial" w:cs="Arial" w:eastAsia="Arial" w:hAnsi="Arial"/>
          <w:sz w:val="18"/>
          <w:szCs w:val="18"/>
          <w:color w:val="auto"/>
        </w:rPr>
      </w:pPr>
      <w:r>
        <w:rPr>
          <w:rFonts w:ascii="Arial" w:cs="Arial" w:eastAsia="Arial" w:hAnsi="Arial"/>
          <w:sz w:val="17"/>
          <w:szCs w:val="17"/>
          <w:color w:val="auto"/>
        </w:rPr>
        <w:t>Priority is a leading provider of merchant acquiring and commercial payment solutions with proprietary technology and infrastructure, ranking as the 6th largest non-bank acquirer as per “The Nilson Report”. Because several of Priority’s peers such as Global Payments Inc. (NYSE: GPN) and Worldpay Inc. (NYSE: WP) have strong public markets followings and support from investors and investment banks, we believe that Priority’s business model will be easily understood by the investment community. Additionally, in 2016, FinTech Acquisition Corp., a $100.0 million special purpose acquisition corporation, completed its acquisition of CardConnect Corp., which was subsequently sold to First Data Corporation at a price per share of $15.00 per share. We believe that this set a strong precedent in the marketplace for electronic payments companies merging with special purpose acquisition companies and will provide further support from the investment community. Furthermore, as further described later in this section, the board believes that the transaction represents an attractive investment opportunity due to the Priority’s post-Business Combination valuation discount to similar publicly-listed comparable companies.</w:t>
      </w:r>
    </w:p>
    <w:p>
      <w:pPr>
        <w:spacing w:after="0" w:line="179" w:lineRule="exact"/>
        <w:rPr>
          <w:rFonts w:ascii="Arial" w:cs="Arial" w:eastAsia="Arial" w:hAnsi="Arial"/>
          <w:sz w:val="18"/>
          <w:szCs w:val="18"/>
          <w:color w:val="auto"/>
        </w:rPr>
      </w:pPr>
    </w:p>
    <w:p>
      <w:pPr>
        <w:ind w:left="660" w:hanging="330"/>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Proprietary and/or value-added products/services with sustainable competitive advantage</w:t>
      </w:r>
    </w:p>
    <w:p>
      <w:pPr>
        <w:spacing w:after="0" w:line="223" w:lineRule="exact"/>
        <w:rPr>
          <w:rFonts w:ascii="Arial" w:cs="Arial" w:eastAsia="Arial" w:hAnsi="Arial"/>
          <w:sz w:val="18"/>
          <w:szCs w:val="18"/>
          <w:color w:val="auto"/>
        </w:rPr>
      </w:pPr>
    </w:p>
    <w:p>
      <w:pPr>
        <w:jc w:val="both"/>
        <w:ind w:left="660"/>
        <w:spacing w:after="0" w:line="288" w:lineRule="auto"/>
        <w:rPr>
          <w:rFonts w:ascii="Arial" w:cs="Arial" w:eastAsia="Arial" w:hAnsi="Arial"/>
          <w:sz w:val="18"/>
          <w:szCs w:val="18"/>
          <w:color w:val="auto"/>
        </w:rPr>
      </w:pPr>
      <w:r>
        <w:rPr>
          <w:rFonts w:ascii="Arial" w:cs="Arial" w:eastAsia="Arial" w:hAnsi="Arial"/>
          <w:sz w:val="16"/>
          <w:szCs w:val="16"/>
          <w:color w:val="auto"/>
        </w:rPr>
        <w:t>Priority’s solutions are delivered through its internally developed enterprise suites, which include: MX Connect, MX Merchant and CPX. MX Connect provides Priority’s consumer payments reselling partners with automated tools that support low friction merchant on-boarding, underwriting and risk management, client service, and commission processing through a single mobile-enabled, web-based interface. The result is a smooth merchant activation onto Priority’s flagship consumer payments offering, MX Merchant, which provides core processing and business solutions to SMB clients, including a flexible and customizable set of business applications that help better manage critical business functions and revenue performance. CPX, like the MX Product line, provides a complete solution suite designed to monetize all types of B2B payments by maximizing automation for buyers and suppliers. Using these value-added product suites and a customer-focused approach, Priority strives to maintain low attrition rates in comparison to competitors. Priority’s attrition is approximately 12%. According to Adil Consulting, competing acquirers in the SMB segment have attrition rates that average 23%. We believe this provides Priority with a sustainable competitive advantage to its peers.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7" w:name="page68"/>
    <w:bookmarkEnd w:id="67"/>
    <w:p>
      <w:pPr>
        <w:ind w:left="660" w:hanging="330"/>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Active in a positively-viewed industry that may be fragmented with high barriers to entry</w:t>
      </w:r>
    </w:p>
    <w:p>
      <w:pPr>
        <w:spacing w:after="0" w:line="223" w:lineRule="exact"/>
        <w:rPr>
          <w:rFonts w:ascii="Arial" w:cs="Arial" w:eastAsia="Arial" w:hAnsi="Arial"/>
          <w:sz w:val="18"/>
          <w:szCs w:val="18"/>
          <w:color w:val="auto"/>
        </w:rPr>
      </w:pPr>
    </w:p>
    <w:p>
      <w:pPr>
        <w:jc w:val="both"/>
        <w:ind w:left="660"/>
        <w:spacing w:after="0" w:line="289" w:lineRule="auto"/>
        <w:rPr>
          <w:rFonts w:ascii="Arial" w:cs="Arial" w:eastAsia="Arial" w:hAnsi="Arial"/>
          <w:sz w:val="18"/>
          <w:szCs w:val="18"/>
          <w:color w:val="auto"/>
        </w:rPr>
      </w:pPr>
      <w:r>
        <w:rPr>
          <w:rFonts w:ascii="Arial" w:cs="Arial" w:eastAsia="Arial" w:hAnsi="Arial"/>
          <w:sz w:val="16"/>
          <w:szCs w:val="16"/>
          <w:color w:val="auto"/>
        </w:rPr>
        <w:t>According to The Nilson Report, the electronic consumer payment volume in the United States is projected to increase from $7.5 trillion in 2016 to $10.0 trillion by 2021, representing a 5.9% compound annual growth rate. According to The Nilson Report, purchase volume on credit, debit and prepaid cards in the United States was approximately $6.2 trillion in 2016 and is estimated to reach nearly $8.5 trillion by 2021, a CAGR of 6.6%. Priority believes that the larger B2B market is somewhat less penetrated with card and other electronic payments and is poised for continued growth in the future. This long-term trend towards electronic payments and the growth of SMBs provide strong opportunity for Priority to continue to grow through both organic business development and acquisition of select, market participants. Furthermore, the electronic consumer payment industry requires participants to maintain and continuously improve internal technology and infrastructure, keeping barriers to entry relatively high. Therefore, we believe that Priority has positioned itself well to protect against market competition and from losing customers to new companies in the industry.</w:t>
      </w:r>
    </w:p>
    <w:p>
      <w:pPr>
        <w:spacing w:after="0" w:line="16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Strong and experienced management team supported by a motivated controlling counterparty seeking to take advantage of improved liquidity and access to public markets</w:t>
      </w:r>
    </w:p>
    <w:p>
      <w:pPr>
        <w:spacing w:after="0" w:line="170"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Priority’s leadership team has extensive expertise in the industry with over 150 years of combined financial technology, payment processing, or other corporate functional expertise. John Priore, Priority’s Chief Executive Officer, has over 26 years of experience including serving as an Executive Vice President of Financial Systems at Ingenico and a Divisional Vice President at First Data Corporation. Bruce Mattox, Priority’s Chief Financial Officer, has over 31 years of experience and is a former Vice President and Divisional Controller at Wachovia Bank of Georgia and is a former Controller and Director at First Data Merchant Services. We expect that all key Priority executives will continue with the combined company following the business combination. Thomas Priore, Priority’s Executive Chairman and its majority owner, has over 25 years of experience in corporate and financial management and over 17 years of experience building companies from start-ups to institutional caliber enterprises. In addition, the Priority equityholders will all receive equity consideration in the transaction. We believe that management and the existing Priority equityholders have aligned their future business strategy to include the benefits of continued access to public markets to support their ongoing development of the business.</w:t>
      </w:r>
    </w:p>
    <w:p>
      <w:pPr>
        <w:spacing w:after="0" w:line="192" w:lineRule="exact"/>
        <w:rPr>
          <w:rFonts w:ascii="Arial" w:cs="Arial" w:eastAsia="Arial" w:hAnsi="Arial"/>
          <w:sz w:val="18"/>
          <w:szCs w:val="18"/>
          <w:color w:val="auto"/>
        </w:rPr>
      </w:pPr>
    </w:p>
    <w:p>
      <w:pPr>
        <w:ind w:left="660" w:hanging="330"/>
        <w:spacing w:after="0"/>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Meaningful business size of at least ~$100.00 million in enterprise value with established and predictable history of revenue and profitability</w:t>
      </w:r>
    </w:p>
    <w:p>
      <w:pPr>
        <w:spacing w:after="0" w:line="234" w:lineRule="exact"/>
        <w:rPr>
          <w:rFonts w:ascii="Arial" w:cs="Arial" w:eastAsia="Arial" w:hAnsi="Arial"/>
          <w:sz w:val="17"/>
          <w:szCs w:val="17"/>
          <w:color w:val="auto"/>
        </w:rPr>
      </w:pPr>
    </w:p>
    <w:p>
      <w:pPr>
        <w:jc w:val="both"/>
        <w:ind w:left="660"/>
        <w:spacing w:after="0" w:line="292" w:lineRule="auto"/>
        <w:rPr>
          <w:rFonts w:ascii="Arial" w:cs="Arial" w:eastAsia="Arial" w:hAnsi="Arial"/>
          <w:sz w:val="17"/>
          <w:szCs w:val="17"/>
          <w:color w:val="auto"/>
        </w:rPr>
      </w:pPr>
      <w:r>
        <w:rPr>
          <w:rFonts w:ascii="Arial" w:cs="Arial" w:eastAsia="Arial" w:hAnsi="Arial"/>
          <w:sz w:val="16"/>
          <w:szCs w:val="16"/>
          <w:color w:val="auto"/>
        </w:rPr>
        <w:t>Following closing of the Business Combination, the expected pro forma enterprise value of the company will be approximately $1,003 million, which creates a company well above M I Acquisitions management’s targeted enterprise value minimum threshold of $100.0 million. Furthermore, since 2015, Priority has had consistent and growing annual revenue and Earnout Adjusted EBITDA. Annual revenue and annual Earnout Adjusted EBITDA have both increased for every fiscal year since 2015 and based upon current projections, is expected to continue to increase through 2019, with a 12% net revenue CAGR and a 19% Earnout Adjusted EBITDA CAGR over such period. We believe that Priority’s historic financial performance and projected future financial performance illustrate the strength of Priority as a partner for M I Acquisitions.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several M I Acquisitions meetings of our executive team and in on-going consultation with the board of directors, a substantial amount of time was spent evaluating and reviewing the transaction consideration of $947.8 million to acquire 100% of the equity of Priority that had been negotiated by the management team with Priority equityholders. It was determined in consultation with our board and advisors that the best methodology for evaluating the consideration being paid to Priority would be to use the market comparable method, specifically looking at historical or projected EV/ Adjusted EBITDA multiples (enterprise value to Adjusted EBITDA) of what we viewed as similar publicly listed merchant acquirers or processors in comparison to Priority’s pro forma multiples pre-transaction. It was determined in January 2018, that similar public companies traded at approximately 14.7x Projected 2018 EV/Adjusted EBITDA multiple, representing a strong premium to the consideration being paid in the Priority transaction of 11.8x Priority's 2018 Projected EV/Earnout Adjusted EBITDA. Our executive team and the board consulted with Chardan Capital Markets about the consideration being paid to acquire Priority and about the strength of the company on an EV/Earnout Adjusted EBITDA valuation basis and Earnout Adjusted EBITDA growth basis in comparison to its peers on an EV/ Adjusted EBITDA valuation basis and Adjusted EBITDA growth basis, respectively. Priority projects a 38% Adjusted EBITDA growth rate for 2017 to 2018, in comparison to public company comparables who reflect a 13.0% Adjusted EBITDA growth rate over the same period.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both"/>
        <w:spacing w:after="0" w:line="271" w:lineRule="auto"/>
        <w:rPr>
          <w:sz w:val="20"/>
          <w:szCs w:val="20"/>
          <w:color w:val="auto"/>
        </w:rPr>
      </w:pPr>
      <w:r>
        <w:rPr>
          <w:rFonts w:ascii="Arial" w:cs="Arial" w:eastAsia="Arial" w:hAnsi="Arial"/>
          <w:sz w:val="17"/>
          <w:szCs w:val="17"/>
          <w:color w:val="auto"/>
        </w:rPr>
        <w:t>Priority’s Earnout Adjusted EBITDA outlook excludes the impact of certain income and expense items that management believes are not part of underlying operations and also gives effect to certain adjustments related to acquired merchant portfolios and residual streams and other acquisitions. Priority’s management cannot estimate on a forward-looking basis the impact of certain of the excluded items on its reported net income, particularly the impact of interest expense, which could vary based on fluctuations in market interest rates or if Priority elects to change its capital structure in the future by repaying a portion of its debt or incurring additional debt. As a result, Priority does not provide a reconciliation to the closest corresponding GAAP financial measure for its Earnout Adjusted EBITDA outlook. Furthermore, Priority’s projected revenue and Earnout Adjusted EBITDA are forward-looking statements, which are subject to risks as described under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Considerations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of directors unanimously concluded that the Purchase Agreement with Priority is in the best interests of the M I Acquisitions stockholders. The board of directors did not obtain a fairness opinion on which to base its assessment. Because of the financial skills and background of its members, the board of directors believes it was qualified to perform the valuation analysis discussed in this section.</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board of directors focused its analysis on whether the Business Combination is likely to generate a return for its stockholders that is greater than if the trust were to be liquidated.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After careful consideration, the board of directors determined that the Business Combination with Priority is in the best interests of M I Acquisitions and its stockholders. On the basis of the foregoing, the board of directors has approved and declared advisable the Business Combination with Priority and recommends that you vote or give instructions to vote “FOR” each of the Business Combination Proposal and the other proposals.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When you consider the recommendation of the board of directors in favor of adoption of the Business Combination Proposal and other proposals, you should keep in mind that the directors and officers of M I Acquisitions have interests in the Business Combination that are different from, or in addition to, your interests as a stockholder, including:</w:t>
      </w:r>
    </w:p>
    <w:p>
      <w:pPr>
        <w:spacing w:after="0" w:line="182" w:lineRule="exact"/>
        <w:rPr>
          <w:sz w:val="20"/>
          <w:szCs w:val="20"/>
          <w:color w:val="auto"/>
        </w:rPr>
      </w:pPr>
    </w:p>
    <w:p>
      <w:pPr>
        <w:jc w:val="both"/>
        <w:ind w:left="660" w:hanging="330"/>
        <w:spacing w:after="0" w:line="255"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absence of stockholder approval for a further extension, if the proposed Business Combination is not completed by [●], 2018, M I Acquisitions will be forced to liquidate. In such event, the 1,327,527 shares of M I Acquisitions common stock held by M I Acquisitions officers, directors and affiliates, which were acquired prior to the IPO for an aggregate purchase price of $25,000, will be worthless, as will the 421,107 private units that were acquired simultaneously in connection with the IPO for an aggregate purchase price of $4,211,070. Each of M I Acquisitions’ officers and directors has a pecuniary interest in, as specified in the following table:</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in which such person has</w:t>
            </w:r>
          </w:p>
        </w:tc>
        <w:tc>
          <w:tcPr>
            <w:tcW w:w="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7"/>
              </w:rPr>
              <w:t>Units in which such person has a</w:t>
            </w:r>
          </w:p>
        </w:tc>
      </w:tr>
      <w:tr>
        <w:trPr>
          <w:trHeight w:val="233"/>
        </w:trPr>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 pecuniary interest</w:t>
            </w:r>
          </w:p>
        </w:tc>
        <w:tc>
          <w:tcPr>
            <w:tcW w:w="8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pecuniary interest</w:t>
            </w:r>
          </w:p>
        </w:tc>
      </w:tr>
      <w:tr>
        <w:trPr>
          <w:trHeight w:val="194"/>
        </w:trPr>
        <w:tc>
          <w:tcPr>
            <w:tcW w:w="1640" w:type="dxa"/>
            <w:vAlign w:val="bottom"/>
          </w:tcPr>
          <w:p>
            <w:pPr>
              <w:spacing w:after="0" w:line="195" w:lineRule="exact"/>
              <w:rPr>
                <w:sz w:val="20"/>
                <w:szCs w:val="20"/>
                <w:color w:val="auto"/>
              </w:rPr>
            </w:pPr>
            <w:r>
              <w:rPr>
                <w:rFonts w:ascii="Arial" w:cs="Arial" w:eastAsia="Arial" w:hAnsi="Arial"/>
                <w:sz w:val="18"/>
                <w:szCs w:val="18"/>
                <w:color w:val="auto"/>
              </w:rPr>
              <w:t>Joshua Sason</w:t>
            </w:r>
          </w:p>
        </w:tc>
        <w:tc>
          <w:tcPr>
            <w:tcW w:w="100" w:type="dxa"/>
            <w:vAlign w:val="bottom"/>
          </w:tcPr>
          <w:p>
            <w:pPr>
              <w:spacing w:after="0"/>
              <w:rPr>
                <w:sz w:val="16"/>
                <w:szCs w:val="16"/>
                <w:color w:val="auto"/>
              </w:rPr>
            </w:pPr>
          </w:p>
        </w:tc>
        <w:tc>
          <w:tcPr>
            <w:tcW w:w="3760" w:type="dxa"/>
            <w:vAlign w:val="bottom"/>
          </w:tcPr>
          <w:p>
            <w:pPr>
              <w:jc w:val="center"/>
              <w:spacing w:after="0" w:line="195" w:lineRule="exact"/>
              <w:rPr>
                <w:sz w:val="20"/>
                <w:szCs w:val="20"/>
                <w:color w:val="auto"/>
              </w:rPr>
            </w:pPr>
            <w:r>
              <w:rPr>
                <w:rFonts w:ascii="Arial" w:cs="Arial" w:eastAsia="Arial" w:hAnsi="Arial"/>
                <w:sz w:val="18"/>
                <w:szCs w:val="18"/>
                <w:color w:val="auto"/>
                <w:w w:val="89"/>
              </w:rPr>
              <w:t>787,909</w:t>
            </w:r>
          </w:p>
        </w:tc>
        <w:tc>
          <w:tcPr>
            <w:tcW w:w="80" w:type="dxa"/>
            <w:vAlign w:val="bottom"/>
          </w:tcPr>
          <w:p>
            <w:pPr>
              <w:spacing w:after="0"/>
              <w:rPr>
                <w:sz w:val="16"/>
                <w:szCs w:val="16"/>
                <w:color w:val="auto"/>
              </w:rPr>
            </w:pPr>
          </w:p>
        </w:tc>
        <w:tc>
          <w:tcPr>
            <w:tcW w:w="3540" w:type="dxa"/>
            <w:vAlign w:val="bottom"/>
          </w:tcPr>
          <w:p>
            <w:pPr>
              <w:jc w:val="center"/>
              <w:spacing w:after="0" w:line="195" w:lineRule="exact"/>
              <w:rPr>
                <w:sz w:val="20"/>
                <w:szCs w:val="20"/>
                <w:color w:val="auto"/>
              </w:rPr>
            </w:pPr>
            <w:r>
              <w:rPr>
                <w:rFonts w:ascii="Arial" w:cs="Arial" w:eastAsia="Arial" w:hAnsi="Arial"/>
                <w:sz w:val="18"/>
                <w:szCs w:val="18"/>
                <w:color w:val="auto"/>
                <w:w w:val="89"/>
              </w:rPr>
              <w:t>254,149</w:t>
            </w:r>
          </w:p>
        </w:tc>
      </w:tr>
      <w:tr>
        <w:trPr>
          <w:trHeight w:val="215"/>
        </w:trPr>
        <w:tc>
          <w:tcPr>
            <w:tcW w:w="1640" w:type="dxa"/>
            <w:vAlign w:val="bottom"/>
          </w:tcPr>
          <w:p>
            <w:pPr>
              <w:spacing w:after="0"/>
              <w:rPr>
                <w:sz w:val="20"/>
                <w:szCs w:val="20"/>
                <w:color w:val="auto"/>
              </w:rPr>
            </w:pPr>
            <w:r>
              <w:rPr>
                <w:rFonts w:ascii="Arial" w:cs="Arial" w:eastAsia="Arial" w:hAnsi="Arial"/>
                <w:sz w:val="18"/>
                <w:szCs w:val="18"/>
                <w:color w:val="auto"/>
              </w:rPr>
              <w:t>Marc Manuel</w:t>
            </w: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89"/>
              </w:rPr>
              <w:t>114,143</w:t>
            </w: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90"/>
              </w:rPr>
              <w:t>34,306</w:t>
            </w:r>
          </w:p>
        </w:tc>
      </w:tr>
      <w:tr>
        <w:trPr>
          <w:trHeight w:val="215"/>
        </w:trPr>
        <w:tc>
          <w:tcPr>
            <w:tcW w:w="1640" w:type="dxa"/>
            <w:vAlign w:val="bottom"/>
          </w:tcPr>
          <w:p>
            <w:pPr>
              <w:spacing w:after="0"/>
              <w:rPr>
                <w:sz w:val="20"/>
                <w:szCs w:val="20"/>
                <w:color w:val="auto"/>
              </w:rPr>
            </w:pPr>
            <w:r>
              <w:rPr>
                <w:rFonts w:ascii="Arial" w:cs="Arial" w:eastAsia="Arial" w:hAnsi="Arial"/>
                <w:sz w:val="18"/>
                <w:szCs w:val="18"/>
                <w:color w:val="auto"/>
              </w:rPr>
              <w:t>Russell Rieger</w:t>
            </w: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90"/>
              </w:rPr>
              <w:t>34,257</w:t>
            </w: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90"/>
              </w:rPr>
              <w:t>10,296</w:t>
            </w:r>
          </w:p>
        </w:tc>
      </w:tr>
      <w:tr>
        <w:trPr>
          <w:trHeight w:val="215"/>
        </w:trPr>
        <w:tc>
          <w:tcPr>
            <w:tcW w:w="1640" w:type="dxa"/>
            <w:vAlign w:val="bottom"/>
          </w:tcPr>
          <w:p>
            <w:pPr>
              <w:spacing w:after="0"/>
              <w:rPr>
                <w:sz w:val="20"/>
                <w:szCs w:val="20"/>
                <w:color w:val="auto"/>
              </w:rPr>
            </w:pPr>
            <w:r>
              <w:rPr>
                <w:rFonts w:ascii="Arial" w:cs="Arial" w:eastAsia="Arial" w:hAnsi="Arial"/>
                <w:sz w:val="18"/>
                <w:szCs w:val="18"/>
                <w:color w:val="auto"/>
              </w:rPr>
              <w:t>Donald S. Ienner</w:t>
            </w: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90"/>
              </w:rPr>
              <w:t>47,287</w:t>
            </w: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90"/>
              </w:rPr>
              <w:t>15,000</w:t>
            </w:r>
          </w:p>
        </w:tc>
      </w:tr>
      <w:tr>
        <w:trPr>
          <w:trHeight w:val="215"/>
        </w:trPr>
        <w:tc>
          <w:tcPr>
            <w:tcW w:w="1640" w:type="dxa"/>
            <w:vAlign w:val="bottom"/>
          </w:tcPr>
          <w:p>
            <w:pPr>
              <w:spacing w:after="0"/>
              <w:rPr>
                <w:sz w:val="20"/>
                <w:szCs w:val="20"/>
                <w:color w:val="auto"/>
              </w:rPr>
            </w:pPr>
            <w:r>
              <w:rPr>
                <w:rFonts w:ascii="Arial" w:cs="Arial" w:eastAsia="Arial" w:hAnsi="Arial"/>
                <w:sz w:val="18"/>
                <w:szCs w:val="18"/>
                <w:color w:val="auto"/>
              </w:rPr>
              <w:t>David Schulhof</w:t>
            </w: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90"/>
              </w:rPr>
              <w:t>23,644</w:t>
            </w: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88"/>
              </w:rPr>
              <w:t>7,500</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w w:val="90"/>
              </w:rPr>
              <w:t>Samuel S. Holdsworth</w:t>
            </w: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90"/>
              </w:rPr>
              <w:t>47,287</w:t>
            </w: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90"/>
              </w:rPr>
              <w:t>15,000</w:t>
            </w:r>
          </w:p>
        </w:tc>
      </w:tr>
    </w:tbl>
    <w:p>
      <w:pPr>
        <w:spacing w:after="0" w:line="201" w:lineRule="exact"/>
        <w:rPr>
          <w:sz w:val="20"/>
          <w:szCs w:val="20"/>
          <w:color w:val="auto"/>
        </w:rPr>
      </w:pPr>
    </w:p>
    <w:p>
      <w:pPr>
        <w:ind w:left="660" w:right="20"/>
        <w:spacing w:after="0" w:line="275" w:lineRule="auto"/>
        <w:rPr>
          <w:sz w:val="20"/>
          <w:szCs w:val="20"/>
          <w:color w:val="auto"/>
        </w:rPr>
      </w:pPr>
      <w:r>
        <w:rPr>
          <w:rFonts w:ascii="Arial" w:cs="Arial" w:eastAsia="Arial" w:hAnsi="Arial"/>
          <w:sz w:val="18"/>
          <w:szCs w:val="18"/>
          <w:color w:val="auto"/>
        </w:rPr>
        <w:t>Such shares of common stock and units had an aggregate market value of approximately $[ ● ] based on the closing price of M I Acquisitions’ common stock of $[●] and M I Acquisitions’ warrants $[●], on the Nasdaq Capital Market as of the Record Date;</w:t>
      </w:r>
    </w:p>
    <w:p>
      <w:pPr>
        <w:spacing w:after="0" w:line="171" w:lineRule="exact"/>
        <w:rPr>
          <w:sz w:val="20"/>
          <w:szCs w:val="20"/>
          <w:color w:val="auto"/>
        </w:rPr>
      </w:pPr>
    </w:p>
    <w:p>
      <w:pPr>
        <w:jc w:val="both"/>
        <w:ind w:left="660" w:hanging="330"/>
        <w:spacing w:after="0" w:line="262"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Unless M I Acquisitions consummates the Business Combination, its officers, directors and Initial Stockholders will not receive reimbursement for any out-of-pocket expenses incurred by them. As of the Record Date, 2018, M I Acquisitions’ officers, directors and Initial Stockholders were entitled to approximately $960.00 in reimbursable expenses, which consist of the following:</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33"/>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 paid</w:t>
            </w:r>
          </w:p>
        </w:tc>
        <w:tc>
          <w:tcPr>
            <w:tcW w:w="280" w:type="dxa"/>
            <w:vAlign w:val="bottom"/>
          </w:tcPr>
          <w:p>
            <w:pPr>
              <w:spacing w:after="0"/>
              <w:rPr>
                <w:sz w:val="20"/>
                <w:szCs w:val="20"/>
                <w:color w:val="auto"/>
              </w:rPr>
            </w:pPr>
          </w:p>
        </w:tc>
        <w:tc>
          <w:tcPr>
            <w:tcW w:w="328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By whom paid</w:t>
            </w:r>
          </w:p>
        </w:tc>
        <w:tc>
          <w:tcPr>
            <w:tcW w:w="260" w:type="dxa"/>
            <w:vAlign w:val="bottom"/>
          </w:tcPr>
          <w:p>
            <w:pPr>
              <w:spacing w:after="0"/>
              <w:rPr>
                <w:sz w:val="20"/>
                <w:szCs w:val="20"/>
                <w:color w:val="auto"/>
              </w:rPr>
            </w:pPr>
          </w:p>
        </w:tc>
        <w:tc>
          <w:tcPr>
            <w:tcW w:w="18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r>
      <w:tr>
        <w:trPr>
          <w:trHeight w:val="223"/>
        </w:trPr>
        <w:tc>
          <w:tcPr>
            <w:tcW w:w="3480" w:type="dxa"/>
            <w:vAlign w:val="bottom"/>
          </w:tcPr>
          <w:p>
            <w:pPr>
              <w:ind w:left="40"/>
              <w:spacing w:after="0"/>
              <w:rPr>
                <w:sz w:val="20"/>
                <w:szCs w:val="20"/>
                <w:color w:val="auto"/>
              </w:rPr>
            </w:pPr>
            <w:r>
              <w:rPr>
                <w:rFonts w:ascii="Arial" w:cs="Arial" w:eastAsia="Arial" w:hAnsi="Arial"/>
                <w:sz w:val="18"/>
                <w:szCs w:val="18"/>
                <w:color w:val="auto"/>
              </w:rPr>
              <w:t>DTC Fees</w:t>
            </w:r>
          </w:p>
        </w:tc>
        <w:tc>
          <w:tcPr>
            <w:tcW w:w="2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Magna Management, LLC</w:t>
            </w:r>
          </w:p>
        </w:tc>
        <w:tc>
          <w:tcPr>
            <w:tcW w:w="260" w:type="dxa"/>
            <w:vAlign w:val="bottom"/>
          </w:tcPr>
          <w:p>
            <w:pPr>
              <w:spacing w:after="0"/>
              <w:rPr>
                <w:sz w:val="19"/>
                <w:szCs w:val="19"/>
                <w:color w:val="auto"/>
              </w:rPr>
            </w:pPr>
          </w:p>
        </w:tc>
        <w:tc>
          <w:tcPr>
            <w:tcW w:w="1820" w:type="dxa"/>
            <w:vAlign w:val="bottom"/>
          </w:tcPr>
          <w:p>
            <w:pPr>
              <w:jc w:val="right"/>
              <w:ind w:right="1150"/>
              <w:spacing w:after="0"/>
              <w:rPr>
                <w:sz w:val="20"/>
                <w:szCs w:val="20"/>
                <w:color w:val="auto"/>
              </w:rPr>
            </w:pPr>
            <w:r>
              <w:rPr>
                <w:rFonts w:ascii="Arial" w:cs="Arial" w:eastAsia="Arial" w:hAnsi="Arial"/>
                <w:sz w:val="18"/>
                <w:szCs w:val="18"/>
                <w:color w:val="auto"/>
                <w:w w:val="86"/>
              </w:rPr>
              <w:t>$960.00</w:t>
            </w:r>
          </w:p>
        </w:tc>
      </w:tr>
    </w:tbl>
    <w:p>
      <w:pPr>
        <w:spacing w:after="0" w:line="200" w:lineRule="exact"/>
        <w:rPr>
          <w:sz w:val="20"/>
          <w:szCs w:val="20"/>
          <w:color w:val="auto"/>
        </w:rPr>
      </w:pPr>
    </w:p>
    <w:p>
      <w:pPr>
        <w:spacing w:after="0" w:line="20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As a result, the financial interest of M I Acquisitions’ officers, directors and Initial Stockholders or their affiliates could influence its officers’ and directors’ motivation in selecting Priority as a target and therefore there may be a conflict of interest when it determined that the Business Combination is in the stockholders’ best interest;</w:t>
      </w:r>
    </w:p>
    <w:p>
      <w:pPr>
        <w:spacing w:after="0" w:line="182" w:lineRule="exact"/>
        <w:rPr>
          <w:sz w:val="20"/>
          <w:szCs w:val="20"/>
          <w:color w:val="auto"/>
        </w:rPr>
      </w:pPr>
    </w:p>
    <w:p>
      <w:pPr>
        <w:jc w:val="both"/>
        <w:ind w:left="660" w:hanging="330"/>
        <w:spacing w:after="0" w:line="278" w:lineRule="auto"/>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If M I Acquisitions liquidates prior to the consummation of a business combination, our insiders have contractually agreed that they will be personally liable to ensure that the proceeds in the trust account are not reduced by the claims of target business or claims of vendors or other entities that are owed money by us for services rendered or contracted for or products sold to us. Therefore, our directors and officers have a financial interest in consummating the Business Combination, thereby resulting in a conflict of interest;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154" w:gutter="0" w:footer="0" w:header="0"/>
        </w:sectPr>
      </w:pPr>
    </w:p>
    <w:bookmarkStart w:id="69" w:name="page70"/>
    <w:bookmarkEnd w:id="69"/>
    <w:p>
      <w:pPr>
        <w:jc w:val="both"/>
        <w:ind w:left="660" w:hanging="330"/>
        <w:spacing w:after="0" w:line="262"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addition, the exercise of M I Acquisitions’ directors’ and officers’ discretion in agreeing to changes or waivers in the terms of the Business Combination may result in a conflict of interest when determining whether such changes or waivers are appropriate and in the best interests of M I Acquisitions’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discussion is a summary of certain U.S. federal income tax considerations for holders of our common stock that elect to have their common stock redeemed for cash. This summary is based upon the Code, the regulations promulgated thereunder by the U.S. Treasury Department, current administrative interpretations and practices of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 This summary does not discuss all aspects of U.S. federal income taxation that may be important to particular investors in light of their individual circumstances, such as investors subject to special tax rules (e.g., financial institutions, insurance companies, mutual funds, pension plans, S corporations, broker-dealers, traders in securities that elect mark-to-market treatment, regulated investment companies, real estate investment trusts, trusts and estates, partnerships and their partners, tax-exempt organizations (including private foundations), investors that hold our common stock as part of a “straddle,” “hedge,” “conversion,” “synthetic security,” “constructive ownership transaction,” “constructive sale,” or other integrated transaction for U.S. federal income tax purposes, investors subject to the alternative minimum tax provisions of the Code, U.S. Holders (as defined below) that have a functional currency other than the U.S. dollar, expatriates or former long-term residents of the United States, investors that actually or constructively own 5 percent or more of our common stock, and Non-U.S. Holders (as defined below), all of whom may be subject to tax rules that differ materially from those summarized below. In addition, this summary addresses only the federal income tax laws of the United States and does not discuss any state, local, or non-United States tax considerations, any non-income tax (such as gift or estate tax) considerations, alternative minimum tax or the Medicare tax on net investment income. In addition, this summary is limited to investors that hold our Common Stock as “capital assets” (generally, property held for investment) under the Code.</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common stock, the tax treatment of a partner in such partnership will generally depend upon the status of the partner, the activities of the partnership and certain determinations made at the partner level. If you are a partner of a partnership holding our common stock, you are urged to consult your tax advisor regarding the tax consequences of a redemption.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WE URGE HOLDERS OF OUR COMMON STOCK CONTEMPLATING EXERCISE OF THEIR REDEMPTION RIGHTS TO CONSULT THEIR OWN TAX ADVISORS CONCERNING THE U.S. FEDERAL, STATE, LOCAL AND FOREIGN INCOME AND OTHER TAX CONSEQUENCES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Income Tax Considerations to U.S. Holders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section is addressed to U.S. Holders of our common stock that elect to have their common stock redeemed for cash. For purposes of this discussion, a “U.S. Holder” is a beneficial owner of our common stock who or that is:</w:t>
      </w:r>
    </w:p>
    <w:p>
      <w:pPr>
        <w:spacing w:after="0" w:line="171" w:lineRule="exact"/>
        <w:rPr>
          <w:sz w:val="20"/>
          <w:szCs w:val="20"/>
          <w:color w:val="auto"/>
        </w:rPr>
      </w:pPr>
    </w:p>
    <w:p>
      <w:pPr>
        <w:ind w:left="660" w:hanging="330"/>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(or treated 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3"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Common Stock</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the event that a U.S. Holder’s common stock is redeemed,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treated as held by the U.S. Holder (including any stock constructively owned by the U.S. Holder as a result of owning warrants) relative to all of our shares both before and after the redemption. The redemption generally will be treated as a sale of the common stock (rather than as a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0" w:name="page71"/>
    <w:bookmarkEnd w:id="70"/>
    <w:p>
      <w:pPr>
        <w:jc w:val="both"/>
        <w:spacing w:after="0" w:line="267"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U.S. Holder immediately following the redemption must, among other requirements, be less than 80%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stock. The redemption will not be essentially equivalent to a dividend if a U.S. Holder’s conversion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If none of the foregoing tests are satisfied, then the redemption will be treated as a distribution and the tax effects will be as described below under “U.S. Federal Income Tax Considerations to U.S. Holders—Taxation of Distributions.” U.S. Holders of our common stock considering exercising their redemption rights should consult their own tax advisors as to whether the redemption will be treated as a sale or as a distribution under the Code.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Common Stock</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the redemption qualifies as a sale of common stock, a U.S. Holder must treat any gain or loss recognized upon a sale, taxable exchange or other taxable disposition of our common stock as capital gain or loss. Any such capital gain or loss will be long-term capital gain or loss if the U.S. Holder’s holding period for the common stock so disposed of exceeds one year. Generally, a U.S. Holder will recognize gain or loss in an amount equal to the difference between</w:t>
      </w:r>
    </w:p>
    <w:p>
      <w:pPr>
        <w:spacing w:after="0" w:line="2" w:lineRule="exact"/>
        <w:rPr>
          <w:sz w:val="20"/>
          <w:szCs w:val="20"/>
          <w:color w:val="auto"/>
        </w:rPr>
      </w:pPr>
    </w:p>
    <w:p>
      <w:pPr>
        <w:jc w:val="both"/>
        <w:ind w:firstLine="8"/>
        <w:spacing w:after="0" w:line="252" w:lineRule="auto"/>
        <w:tabs>
          <w:tab w:leader="none" w:pos="21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sum of cash and the fair market value of any property received in such disposition and (ii) the U.S. Holder’s adjusted tax basis in its Common Stock so disposed of. A U.S. Holder’s adjusted tax basis in its Common Stock generally will equal the U.S. Holder’s acquisition cost less any prior distributions treated as a return of capital. Long-term capital gain realized by a non-corporate U.S. Holder generally will be taxable at a reduced rate. The deduction of capital losses is subject to limitations.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redemption does not qualify as a sale of Common Stock, the U.S. Holder will be treated as receiving a distribution. In general, any distributions to U.S. Holders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Federal Income Tax Considerations to U.S. Holders—Gain or Loss on Sale, Taxable Exchange or Other Taxable Disposition of Common Stock.”</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and provided certain holding period requirements are met, dividends we pay to a non-corporate U.S. Holder may constitute “qualified dividends” that will be taxable at a reduced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Income Tax Considerations to Non-U.S. Holders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This section is addressed to Non-U.S. Holders of our common stock that elect to have their common stock redeemed pursuant to the redemption. For purposes of this discussion, a “Non U.S.-Holder” is a beneficial owner of our common stock (other than a partnership or other pass-through entity for U.S. federal income tax purposes) that is not a U.S. Holder. The characterization for U.S. federal income tax purposes of the redemption generally will correspond to the U.S. federal income tax characterization of the redemption as described under “U.S. Federal Income Tax Considerations to U.S. Holders.”</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Non-U.S. Holders of our common stock considering exercising their redemption rights should consult their own tax advisors as to whether the redemption will be treated as a sale or as a distribution under the Code.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Gain on Sale, Taxable Exchange or Other Taxable Disposition of Common Stock</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If the redemption qualifies as a sale of common stock, a Non-U.S. Holder generally will not be subject to U.S. federal income or withholding tax in respect of gain recognized on a sale of its common stock, unless:</w:t>
      </w:r>
    </w:p>
    <w:p>
      <w:pPr>
        <w:spacing w:after="0" w:line="171" w:lineRule="exact"/>
        <w:rPr>
          <w:sz w:val="20"/>
          <w:szCs w:val="20"/>
          <w:color w:val="auto"/>
        </w:rPr>
      </w:pPr>
    </w:p>
    <w:p>
      <w:pPr>
        <w:jc w:val="both"/>
        <w:ind w:left="660" w:right="140" w:hanging="330"/>
        <w:spacing w:after="0" w:line="278"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U.S. permanent establishment or fixed base maintained by the Non-U.S. Holder), in which case the Non-U.S. Holder will generally be subject to the same treatment as a U.S. Holder with respect to the redemption, and a corporate Non-U.S. Holder may be subject to the branch profits tax at a 30% rate (or lower rate as may be specified by an applicable income tax treaty);</w:t>
      </w:r>
    </w:p>
    <w:p>
      <w:pPr>
        <w:spacing w:after="0" w:line="169" w:lineRule="exact"/>
        <w:rPr>
          <w:rFonts w:ascii="Arial" w:cs="Arial" w:eastAsia="Arial" w:hAnsi="Arial"/>
          <w:sz w:val="17"/>
          <w:szCs w:val="17"/>
          <w:color w:val="auto"/>
        </w:rPr>
      </w:pPr>
    </w:p>
    <w:p>
      <w:pPr>
        <w:jc w:val="both"/>
        <w:ind w:left="660" w:hanging="330"/>
        <w:spacing w:after="0" w:line="262"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from U.S. sources for the year; or</w:t>
      </w:r>
    </w:p>
    <w:p>
      <w:pPr>
        <w:spacing w:after="0" w:line="182" w:lineRule="exact"/>
        <w:rPr>
          <w:rFonts w:ascii="Arial" w:cs="Arial" w:eastAsia="Arial" w:hAnsi="Arial"/>
          <w:sz w:val="18"/>
          <w:szCs w:val="18"/>
          <w:color w:val="auto"/>
        </w:rPr>
      </w:pPr>
    </w:p>
    <w:p>
      <w:pPr>
        <w:jc w:val="both"/>
        <w:ind w:left="660" w:hanging="330"/>
        <w:spacing w:after="0" w:line="255"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redemption does not qualify as a sale of common stock, the Non-U.S. Holder will be treated as receiving a distribution. In general, any distributions we make to a Non-U.S. Holder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“U.S. Federal Income Tax Considerations to Non-U.S. Holders—Gain on Sale, Taxable Exchange or Other Taxable Disposition of Common Stock.” If it cannot be determined at the time a distribution is made whether or not such distribution will be in excess of current and accumulated earnings and profits, the distribution will be subject to withholding at the same 30% rate discussed in the last paragraph unless a Non-U.S. Holder is eligible for a reduced rate of withholding tax under an applicable income tax treaty and provides proper certification of its eligibility for such reduced rate (usually on an IRS Form W-8BEN or W-8BEN-E). Because we generally cannot determine at the time we make a distribution whether or not the distribution will exceed our current and accumulated earnings and profits, we normally will withhold tax on the entire amount of any distribution at the 30% rate (subject to reduction by an applicable income tax treaty). However, some or all of any amounts thus withheld may be refundable to the Non-U.S. Holder by the IRS if it is subsequently determined that such distribution was, in fact, in excess of our current and accumulated earnings and profits.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Dividends we pay to a Non-U.S. Holder that are effectively connected with such Non-U.S. Holder’s conduct of a trade or business within the United States generally will not be subject to U.S. withholding tax, provided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Information returns will be filed with the IRS in connection with payments resulting from a redemption of our common stock. U.S. Holders will have to provide their taxpayer identification number and comply with certain certification requirements to avoid backup withholding. A Non-U.S. holder may have to comply with certification procedures to establish that it is not a U.S. person in order to avoid information reporting and backup withholding requirements. The amount of any backup withholding from a payment to a U.S. Holder or Non-U.S. holder will be allowed as a credit against such holder’s U.S. federal income tax liability and may entitle such holder to a refund, provided that the required information is timely furnished to the IRS.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FATCA</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30% withholding tax applies with respect to certain payments on our common stock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The withholding tax may apply to payments made to Non-U.S. Holders pursuant to the redemption if the redemption does not qualify as a sale of common stock described above. Under certain circumstances, a Non-U.S. Holder might be eligible for refunds or credits of such taxes. An intergovernmental agreement between the United States and an applicable foreign country may modify these requirements. Non-U.S. Holders are encouraged to consult their tax advisors regarding the possible implications of such withholding tax.</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THE PURCHASE AGREEMENT</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is a summary of the material provisions of the Purchase Agreement. This summary is qualified in its entirety by reference to the Purchase Agreement, which is attached as Annex A to this proxy statement. You are encouraged to read the Purchase Agreement in its entirety for a more complete description of the terms and conditions of the transactions contemplated by the Purchase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with Priority; Acquisition Consideration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Upon the closing of the transactions contemplated by the Purchase Agreement, M I Acquisitions will acquire 100% of the issued and outstanding equity securities of Priority, which will result in Priority becoming a wholly-owned subsidiary of M I Acquisitions.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In addition, any cash that Priority spends to acquire any technology assets, up to $5.0 million, to purchase securities from the M I’s founders pursuant to the Founders Share Agreement described below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Sellers).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 additional 9.8 million shares of M I Acquisitions common stock may be issued as earn-out consideration to the Sellers, or at their election, to members of Priority’s management or other service providers post-business combination pursuant to the Earnout Incentive Plan—4.9 million shares for the first earn-out and 4.9 million shares for the second earn-out.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Purchase Agreement, Priority makes certain representations and warranties (with certain exceptions set forth in the disclosure schedule to the Purchase Agreement) relating to, among other things: (a) proper corporate organization of Priority and its subsidiaries and similar corporate matters; (b) authorization, execution, delivery and enforceability of the Purchase Agreement and other transaction documents; (c) absence of conflicts; (d) capital structure; (e) affiliate transactions; (f) financial statements; (g) no undisclosed liabilities; (h) absence of certain changes or events; (i) real property, (j) proceedings and orders; (k) title to assets and properties; (l) material contracts; (m) insurance; (n) licenses and permits; (o) compliance with laws, including those relating to foreign corrupt practices and money laundering; (p) intellectual property; (q) employment and labor matters; (r) taxes and audits; (s) environmental matters; (t) merchant, ISO and sales agent relationships; (u) brokers and finders; and (v) other customary representations and warranties.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Purchase Agreement, M I makes certain representations and warranties relating to, among other things: (a) proper corporate organization and similar corporate matters; (b) authorization, execution, delivery and enforceability of the Purchase Agreement and other transaction documents; (c) brokers and finders; (d) capital structure; (e) validity of share issuance; (f) minimum trust fund amount; (g) Nasdaq listing; (h) SEC filing requirements and compliance;</w:t>
      </w:r>
    </w:p>
    <w:p>
      <w:pPr>
        <w:spacing w:after="0" w:line="2" w:lineRule="exact"/>
        <w:rPr>
          <w:sz w:val="20"/>
          <w:szCs w:val="20"/>
          <w:color w:val="auto"/>
        </w:rPr>
      </w:pPr>
    </w:p>
    <w:p>
      <w:pPr>
        <w:ind w:left="5640" w:right="2280" w:hanging="5632"/>
        <w:spacing w:after="0" w:line="757" w:lineRule="auto"/>
        <w:tabs>
          <w:tab w:leader="none" w:pos="23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proceedings and orders; (j) taxes and audits; (k) affiliate transactions; (l) material contracts; and (m) conduct of the business.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7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Conduct Prior to Closing; Covenants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Both M I Acquisitions and Priority have agreed to operate their respective businesses in the ordinary course prior to the closing of the Business Combination (with certain exceptions) and not to take specified actions without the prior written consent of the other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Purchase Agreement also contains certain customary covenants, including covenants relating to:</w:t>
      </w:r>
    </w:p>
    <w:p>
      <w:pPr>
        <w:spacing w:after="0" w:line="223" w:lineRule="exact"/>
        <w:rPr>
          <w:sz w:val="20"/>
          <w:szCs w:val="20"/>
          <w:color w:val="auto"/>
        </w:rPr>
      </w:pPr>
    </w:p>
    <w:p>
      <w:pPr>
        <w:ind w:left="660" w:hanging="330"/>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party providing the other with access to its books and records;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Neither party entering into any discussions with any third party relating to any business combination;</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 I Acquisitions maintaining the listing of its common stock on Nasdaq;</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Mailing of this proxy statement and notice and holding of the stockholders meeting;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Priority being required to deliver the financial statements required by M I Acquisitions in order to make applicable filings with the SEC.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Conditions</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obligations of both parties to consummate the transactions contemplated by the Purchase Agreement is conditioned on, among other things, (a) the absence of any order, stay, judgment or decree by any government agency; (b) holders of a majority of the outstanding shares of common stock approving the Business Combination in accordance with M I Acquisition’s Amended and Restated Certificate of Incorporation and Delaware law; (c) there being no less than $20 million remaining in the trust account immediately after the closing of the Business Combination, after taking into account all redemptions; and (d) all redemptions from the trust account being consummated in accordance with the Purchase Agreement and M I Acquisitions’ organizational documents.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Priority’s Conditions to Closing</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obligations of Priority to consummate the transactions contemplated by the Purchase Agreement, in addition to the conditions described above, are conditioned upon each of the following (none of which have been satisfied as of the date hereof), among other things:</w:t>
      </w:r>
    </w:p>
    <w:p>
      <w:pPr>
        <w:spacing w:after="0" w:line="171" w:lineRule="exact"/>
        <w:rPr>
          <w:sz w:val="20"/>
          <w:szCs w:val="20"/>
          <w:color w:val="auto"/>
        </w:rPr>
      </w:pPr>
    </w:p>
    <w:p>
      <w:pPr>
        <w:ind w:left="660" w:hanging="330"/>
        <w:spacing w:after="0" w:line="275"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 I Acquisitions complying with all of its obligations required to be performed pursuant to the covenants in the Purchase Agreement, including with respect to the issuance to Goldman Sachs of a warrant (as described below);</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representations and warranties of M I Acquisitions being true on and as of the Closing Date;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 I Acquisitions’ common stock remaining listed for trading on Nasdaq.</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I Acquisitions’ Conditions to Closing</w:t>
      </w:r>
    </w:p>
    <w:p>
      <w:pPr>
        <w:spacing w:after="0" w:line="223"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The obligations of M I Acquisitions to consummate the transactions contemplated by the Purchase Agreement, in addition to the conditions described above in the first paragraph of this section, are conditioned upon each of the following (none of which have been satisfied as of the date hereof), among other things:</w:t>
      </w:r>
    </w:p>
    <w:p>
      <w:pPr>
        <w:spacing w:after="0" w:line="124" w:lineRule="exact"/>
        <w:rPr>
          <w:sz w:val="20"/>
          <w:szCs w:val="20"/>
          <w:color w:val="auto"/>
        </w:rPr>
      </w:pPr>
    </w:p>
    <w:p>
      <w:pPr>
        <w:ind w:left="660" w:hanging="330"/>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Priority complying with all of its obligations required to be performed pursuant to the covenants in the Purchase Agreement;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representations and warranties of Priority being true on and as of the Closing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Purchase Agreement may be terminated and/or abandoned at any time prior to the Closing by:</w:t>
      </w:r>
    </w:p>
    <w:p>
      <w:pPr>
        <w:spacing w:after="0" w:line="223" w:lineRule="exact"/>
        <w:rPr>
          <w:sz w:val="20"/>
          <w:szCs w:val="20"/>
          <w:color w:val="auto"/>
        </w:rPr>
      </w:pPr>
    </w:p>
    <w:p>
      <w:pPr>
        <w:ind w:left="660" w:hanging="330"/>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mutual written agreement of the Sellers and M I Acquisitions;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5" w:name="page76"/>
    <w:bookmarkEnd w:id="75"/>
    <w:p>
      <w:pPr>
        <w:jc w:val="both"/>
        <w:ind w:left="660" w:hanging="330"/>
        <w:spacing w:after="0" w:line="262"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 I Acquisitions, if the closing has not occurred on or prior to [_________], 2018 (or an applicable later date if an extension is obtained pursuant to the terms of the Purchase Agreement), provided that M I Acquisitions is not in material breach of any of its obligations under the Purchase Agreement;</w:t>
      </w:r>
    </w:p>
    <w:p>
      <w:pPr>
        <w:spacing w:after="0" w:line="182" w:lineRule="exact"/>
        <w:rPr>
          <w:rFonts w:ascii="Arial" w:cs="Arial" w:eastAsia="Arial" w:hAnsi="Arial"/>
          <w:sz w:val="18"/>
          <w:szCs w:val="18"/>
          <w:color w:val="auto"/>
        </w:rPr>
      </w:pPr>
    </w:p>
    <w:p>
      <w:pPr>
        <w:ind w:left="660" w:hanging="330"/>
        <w:spacing w:after="0" w:line="340" w:lineRule="auto"/>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Sellers, if the closing has not occurred on or prior to [_________], 2018 (or an applicable later date if an extension is obtained pursuant to the terms of the Purchase Agreement), provided that the Sellers are not in material breach of any of their obligations under the Purchase Agreement;</w:t>
      </w:r>
    </w:p>
    <w:p>
      <w:pPr>
        <w:spacing w:after="0" w:line="123" w:lineRule="exact"/>
        <w:rPr>
          <w:rFonts w:ascii="Arial" w:cs="Arial" w:eastAsia="Arial" w:hAnsi="Arial"/>
          <w:sz w:val="16"/>
          <w:szCs w:val="16"/>
          <w:color w:val="auto"/>
        </w:rPr>
      </w:pPr>
    </w:p>
    <w:p>
      <w:pPr>
        <w:jc w:val="both"/>
        <w:ind w:left="660" w:hanging="330"/>
        <w:spacing w:after="0" w:line="258"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 I Acquisitions, if any Seller has breached any representation, warranty, covenant or agreement contained in the Purchase Agreement and the effect of such breach would be to cause the conditions to M I Acquisitions’ obligation to consummate the closing not to be capable of being satisfied, provided that such breach has not been cured within thirty days following receipt by any such Seller of written notice of such breach or alleged breach from M I Acquisitions;</w:t>
      </w:r>
    </w:p>
    <w:p>
      <w:pPr>
        <w:spacing w:after="0" w:line="185"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Sellers, if M I Acquisitions has breached any representation, warranty, covenant or agreement contained in the Purchase Agreement and the effect of such breach would be to cause the conditions to the Sellers’ obligation to consummate the closing not to be capable of being satisfied, provided that such breach has not been cured within thirty days following receipt by M I Acquisitions of written notice of such breach or alleged breach from the Sellers;</w:t>
      </w:r>
    </w:p>
    <w:p>
      <w:pPr>
        <w:spacing w:after="0" w:line="185" w:lineRule="exact"/>
        <w:rPr>
          <w:rFonts w:ascii="Arial" w:cs="Arial" w:eastAsia="Arial" w:hAnsi="Arial"/>
          <w:sz w:val="18"/>
          <w:szCs w:val="18"/>
          <w:color w:val="auto"/>
        </w:rPr>
      </w:pPr>
    </w:p>
    <w:p>
      <w:pPr>
        <w:ind w:left="660" w:hanging="330"/>
        <w:spacing w:after="0"/>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either party if any governmental authority restrains, enjoins, or otherwise prohibits the transactions contemplated by the Purchase Agreement; or</w:t>
      </w:r>
    </w:p>
    <w:p>
      <w:pPr>
        <w:spacing w:after="0" w:line="246" w:lineRule="exact"/>
        <w:rPr>
          <w:rFonts w:ascii="Arial" w:cs="Arial" w:eastAsia="Arial" w:hAnsi="Arial"/>
          <w:sz w:val="16"/>
          <w:szCs w:val="16"/>
          <w:color w:val="auto"/>
        </w:rPr>
      </w:pPr>
    </w:p>
    <w:p>
      <w:pPr>
        <w:ind w:left="660" w:right="20" w:hanging="330"/>
        <w:spacing w:after="0" w:line="340" w:lineRule="auto"/>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Sellers, if (i) the requisite M I Acquisitions stockholder approval is not obtained or (ii) the redemptions from the trust account result in less than $20 million remaining in the trust account immediately after the closing of the Business Combination, after taking into account all redemptions.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Termination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event of termination and abandonment by either M I Acquisitions or Priority, all further obligations of the parties shall terminate, except for the following: (i) the covenant pertaining to both parties regarding to press releases or public announcements; (ii) the mutual confidentiality obligations of the parties; and (iii) the obligations of the parties under Article VIII (Miscellaneous) of the Purchase Agreement such as governing law, jurisdiction and waiver of jury trial.</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foregoing summary of the Purchase Agreement does not purport to be complete and is qualified in its entirety by reference to the actual agreement, which is filed as Annex A hereto.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Extension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Purchase Agreement provides that M I Acquisitions is responsible for depositing $132,753 into the trust account in the event the closing of the business combination has not taken place on or before the date that is the 18-month anniversary of the IPO, and that Priority is responsible for depositing $132,753 into the trust account (up to 2 times) in the event the closing of the Business Combination has not taken place on or before the date that is the 19-month or 20-month anniversary of the IPO.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Warrant</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Purchase Agreement provides that if the currently outstanding warrant issued by Priority to Goldman Sachs &amp; Co. LLC ("Goldman Sachs") remains outstanding immediately prior to the closing of the Business Combination, the warrant will be canceled and M I Acquisition will issue a warrant to Goldman Sachs (in replacement of the existing warrant) exercisable for a number of shares of M I Acquisitions’ common stock that Goldman Sachs would be entitled to receive at the closing of the Business Combination if it had exercised the existing warrant immediately prior to closing. The existing warrant entitles Goldman Sachs to receive Class A Units of Priority equal to 2.2% of the total Class A Units issued and outstanding at the time of exercise. If the existing warrant has been exercised or is no longer outstanding immediately prior to the closing of the Business Combination; then no replacement warrant shall be issued.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Founders Share Agreement</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Concurrently with the Purchase Agreement, the founding stockholders of M I Acquisitions (the “Founders”) and Priority entered into a purchase agreement (the “Founders Share Agreement”), a copy of which is attached hereto as Annex B, pursuant to which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Letter Agreement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Founders and Thomas Priore, entered into a letter agreement (the “Letter Agreement”) pursuant to which the Founders granted Thomas Priore</w:t>
      </w:r>
    </w:p>
    <w:p>
      <w:pPr>
        <w:spacing w:after="0" w:line="46" w:lineRule="exact"/>
        <w:rPr>
          <w:sz w:val="20"/>
          <w:szCs w:val="20"/>
          <w:color w:val="auto"/>
        </w:rPr>
      </w:pPr>
    </w:p>
    <w:p>
      <w:pPr>
        <w:jc w:val="both"/>
        <w:ind w:firstLine="8"/>
        <w:spacing w:after="0" w:line="254" w:lineRule="auto"/>
        <w:tabs>
          <w:tab w:leader="none" w:pos="21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right to purchase at any time all or some of the Founders’ remaining shares of common stock of M I Acquisitions at the prevailing market price subject to certain conditions including a floor of $10.30 per share and (ii) a right of first refusal on any proposed transfer of the shares by the Founders. A copy of the Letter Agreement is attached hereto as Annex 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Business Combination, M I Acquisitions and the Priority stockholders will enter into a Registration Rights Agreement to provide for the registration of the common stock being issued to the Priority stockholders in connection with the Business Combination. The Priority stockholders will be entitled to “piggy-back” registration rights with respect to registration statements filed following the consummation of the Business Combination, as well as certain demand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Approval of the Business Combination Proposal requires the affirmative vote of the holders of a majority of the shares of M I Acquisitions common stock represented in person or by proxy at the special meeting of M I Acquisitions stockholders and entitled to vote thereon. Adoption of the Business Combination Proposal is conditioned upon the adoption of the Authorized Share Increase Proposal and the Equity Incentive Plan Proposal.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ind w:left="260" w:right="560"/>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BUSINESS COMBINATION PROPOSAL.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PROPOSAL NO. 2 – THE AUTHORIZED SHARE INCREASE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order to effectuate the transactions contemplated by the Purchase Agreement, M I Acquisitions must increase its number of authorized shares from 30,000,000 shares of common stock. The board of directors has requested that M I Acquisitions’ stockholders authorize the issuance of up to 1,000,000,000 shares of common stock and up to 100,000,000 shares of preferred stock. If this proposal is not approved, the transaction with Priority will not be able to be consummated because M I Acquisitions will not have sufficient authorized shares to issue to the Sellers in consideration of the Business Combination.</w:t>
      </w:r>
    </w:p>
    <w:p>
      <w:pPr>
        <w:spacing w:after="0" w:line="15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M I Acquisitions will need approximately [●] authorized shares of common stock to pay the initial consideration to the Sellers at the closing of the Business Combination. By authorizing up to 1,000,000,000 shares, the combined company will have flexibility to execute its business plan by having an adequate number of authorized but unissued shares of common stock available to facilitate potential equity financings, acquisitions, business combinations, stock dividends, stock options, stock splits, recapitalizations and other general corporate purposes, without the expense or delay attendant in seeking stockholder approval at a special or annual meeting at a time when such shares would be needed (except as may be required by law or by any stock exchange on which our securities may then be listed). The additional shares may also be needed for any earn-out consideration payable pursuant to the Purchase Agreement.</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summary is qualified by reference to the complete text of the proposed amendment, which is included in our proposed second amended and restated certificate of incorporation of M I Acquisitions, a copy of which is attached to this proxy statement/prospectus as Annex E, which will become the combined company’s certificate of incorporation upon the approval of the Amendments Proposals, assuming the consummation of the Business Combination (the “Proposed Amended and Restated Certificate of Incorporation”). All stockholders are encouraged to read the Proposed Amended and Restated Certificate of Incorporation in its entirety for a more complete description of its terms.</w:t>
      </w:r>
    </w:p>
    <w:p>
      <w:pPr>
        <w:spacing w:after="0" w:line="18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the Authorized Stock Proposal</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following table sets forth a summary of the change proposed to be made between our Current Certificate of Incorporation and the Proposed Amended and Restated Certificate of Incorporation if the Authorized Stock Proposal is approved. This summary is qualified by reference to the complete text of the Proposed Amended and Restated Certificate of Incorporation, a copy of which is attached to this proxy statement as Annex C. All stockholders are encouraged to read the Proposed Amended and Restated Certificate of Incorporation in its entirety for a more complete description of its terms.</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340" w:type="dxa"/>
            <w:vAlign w:val="bottom"/>
            <w:tcBorders>
              <w:top w:val="single" w:sz="8" w:color="auto"/>
              <w:left w:val="single" w:sz="8" w:color="auto"/>
            </w:tcBorders>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350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88"/>
              </w:rPr>
              <w:t>Proposed Amended and Restated Certificate</w:t>
            </w:r>
          </w:p>
        </w:tc>
      </w:tr>
      <w:tr>
        <w:trPr>
          <w:trHeight w:val="234"/>
        </w:trPr>
        <w:tc>
          <w:tcPr>
            <w:tcW w:w="2340" w:type="dxa"/>
            <w:vAlign w:val="bottom"/>
            <w:tcBorders>
              <w:left w:val="single" w:sz="8" w:color="auto"/>
            </w:tcBorders>
          </w:tcPr>
          <w:p>
            <w:pPr>
              <w:spacing w:after="0"/>
              <w:rPr>
                <w:sz w:val="20"/>
                <w:szCs w:val="20"/>
                <w:color w:val="auto"/>
              </w:rPr>
            </w:pPr>
          </w:p>
        </w:tc>
        <w:tc>
          <w:tcPr>
            <w:tcW w:w="5580" w:type="dxa"/>
            <w:vAlign w:val="bottom"/>
          </w:tcPr>
          <w:p>
            <w:pPr>
              <w:ind w:left="400"/>
              <w:spacing w:after="0"/>
              <w:rPr>
                <w:sz w:val="20"/>
                <w:szCs w:val="20"/>
                <w:color w:val="auto"/>
              </w:rPr>
            </w:pPr>
            <w:r>
              <w:rPr>
                <w:rFonts w:ascii="Arial" w:cs="Arial" w:eastAsia="Arial" w:hAnsi="Arial"/>
                <w:sz w:val="18"/>
                <w:szCs w:val="18"/>
                <w:b w:val="1"/>
                <w:bCs w:val="1"/>
                <w:color w:val="auto"/>
              </w:rPr>
              <w:t>Current Certificate of Incorporation</w:t>
            </w: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of Incorporation</w:t>
            </w: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r>
      <w:tr>
        <w:trPr>
          <w:trHeight w:val="416"/>
        </w:trPr>
        <w:tc>
          <w:tcPr>
            <w:tcW w:w="23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Article V vs. Article IV.A</w:t>
            </w:r>
          </w:p>
        </w:tc>
        <w:tc>
          <w:tcPr>
            <w:tcW w:w="5580" w:type="dxa"/>
            <w:vAlign w:val="bottom"/>
          </w:tcPr>
          <w:p>
            <w:pPr>
              <w:ind w:left="400"/>
              <w:spacing w:after="0"/>
              <w:rPr>
                <w:sz w:val="20"/>
                <w:szCs w:val="20"/>
                <w:color w:val="auto"/>
              </w:rPr>
            </w:pPr>
            <w:r>
              <w:rPr>
                <w:rFonts w:ascii="Arial" w:cs="Arial" w:eastAsia="Arial" w:hAnsi="Arial"/>
                <w:sz w:val="18"/>
                <w:szCs w:val="18"/>
                <w:i w:val="1"/>
                <w:iCs w:val="1"/>
                <w:color w:val="auto"/>
                <w:w w:val="98"/>
              </w:rPr>
              <w:t>Article V</w:t>
            </w:r>
            <w:r>
              <w:rPr>
                <w:rFonts w:ascii="Arial" w:cs="Arial" w:eastAsia="Arial" w:hAnsi="Arial"/>
                <w:sz w:val="18"/>
                <w:szCs w:val="18"/>
                <w:color w:val="auto"/>
                <w:w w:val="98"/>
              </w:rPr>
              <w:t>. The total number of shares of all classes of capital stock</w:t>
            </w:r>
          </w:p>
        </w:tc>
        <w:tc>
          <w:tcPr>
            <w:tcW w:w="35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i w:val="1"/>
                <w:iCs w:val="1"/>
                <w:color w:val="auto"/>
                <w:w w:val="94"/>
              </w:rPr>
              <w:t xml:space="preserve">Article IV.A. </w:t>
            </w:r>
            <w:r>
              <w:rPr>
                <w:rFonts w:ascii="Arial" w:cs="Arial" w:eastAsia="Arial" w:hAnsi="Arial"/>
                <w:sz w:val="18"/>
                <w:szCs w:val="18"/>
                <w:color w:val="auto"/>
                <w:w w:val="94"/>
              </w:rPr>
              <w:t>The total number of shares of all</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w w:val="95"/>
              </w:rPr>
              <w:t>which the Corporation shall have authority to issue is 31,000,000, of</w:t>
            </w:r>
          </w:p>
        </w:tc>
        <w:tc>
          <w:tcPr>
            <w:tcW w:w="35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6"/>
              </w:rPr>
              <w:t>classes of stock which the Corporation shall</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w w:val="98"/>
              </w:rPr>
              <w:t>which 30,000,000 shares shall be Common Stock of the par value</w:t>
            </w:r>
          </w:p>
        </w:tc>
        <w:tc>
          <w:tcPr>
            <w:tcW w:w="640" w:type="dxa"/>
            <w:vAlign w:val="bottom"/>
          </w:tcPr>
          <w:p>
            <w:pPr>
              <w:ind w:left="80"/>
              <w:spacing w:after="0"/>
              <w:rPr>
                <w:sz w:val="20"/>
                <w:szCs w:val="20"/>
                <w:color w:val="auto"/>
              </w:rPr>
            </w:pPr>
            <w:r>
              <w:rPr>
                <w:rFonts w:ascii="Arial" w:cs="Arial" w:eastAsia="Arial" w:hAnsi="Arial"/>
                <w:sz w:val="18"/>
                <w:szCs w:val="18"/>
                <w:color w:val="auto"/>
              </w:rPr>
              <w:t>have</w:t>
            </w:r>
          </w:p>
        </w:tc>
        <w:tc>
          <w:tcPr>
            <w:tcW w:w="1060" w:type="dxa"/>
            <w:vAlign w:val="bottom"/>
          </w:tcPr>
          <w:p>
            <w:pPr>
              <w:ind w:left="220"/>
              <w:spacing w:after="0"/>
              <w:rPr>
                <w:sz w:val="20"/>
                <w:szCs w:val="20"/>
                <w:color w:val="auto"/>
              </w:rPr>
            </w:pPr>
            <w:r>
              <w:rPr>
                <w:rFonts w:ascii="Arial" w:cs="Arial" w:eastAsia="Arial" w:hAnsi="Arial"/>
                <w:sz w:val="18"/>
                <w:szCs w:val="18"/>
                <w:color w:val="auto"/>
              </w:rPr>
              <w:t>authority</w:t>
            </w:r>
          </w:p>
        </w:tc>
        <w:tc>
          <w:tcPr>
            <w:tcW w:w="820" w:type="dxa"/>
            <w:vAlign w:val="bottom"/>
          </w:tcPr>
          <w:p>
            <w:pPr>
              <w:ind w:left="260"/>
              <w:spacing w:after="0"/>
              <w:rPr>
                <w:sz w:val="20"/>
                <w:szCs w:val="20"/>
                <w:color w:val="auto"/>
              </w:rPr>
            </w:pPr>
            <w:r>
              <w:rPr>
                <w:rFonts w:ascii="Arial" w:cs="Arial" w:eastAsia="Arial" w:hAnsi="Arial"/>
                <w:sz w:val="18"/>
                <w:szCs w:val="18"/>
                <w:color w:val="auto"/>
              </w:rPr>
              <w:t>to</w:t>
            </w:r>
          </w:p>
        </w:tc>
        <w:tc>
          <w:tcPr>
            <w:tcW w:w="600" w:type="dxa"/>
            <w:vAlign w:val="bottom"/>
          </w:tcPr>
          <w:p>
            <w:pPr>
              <w:ind w:left="40"/>
              <w:spacing w:after="0"/>
              <w:rPr>
                <w:sz w:val="20"/>
                <w:szCs w:val="20"/>
                <w:color w:val="auto"/>
              </w:rPr>
            </w:pPr>
            <w:r>
              <w:rPr>
                <w:rFonts w:ascii="Arial" w:cs="Arial" w:eastAsia="Arial" w:hAnsi="Arial"/>
                <w:sz w:val="18"/>
                <w:szCs w:val="18"/>
                <w:color w:val="auto"/>
              </w:rPr>
              <w:t>issue</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is</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w w:val="98"/>
              </w:rPr>
              <w:t>$.001 per share (“Common Stock”) and 1,000,000 shares shall be</w:t>
            </w: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1,100,000,000),</w:t>
            </w: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consisting</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of</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w w:val="92"/>
              </w:rPr>
              <w:t>preferred stock of the par value of $.001 per share (“Preferred Stock”).</w:t>
            </w:r>
          </w:p>
        </w:tc>
        <w:tc>
          <w:tcPr>
            <w:tcW w:w="35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2"/>
              </w:rPr>
              <w:t>1,000,000,000) shares of Common Stock, par</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spacing w:after="0"/>
              <w:rPr>
                <w:sz w:val="18"/>
                <w:szCs w:val="18"/>
                <w:color w:val="auto"/>
              </w:rPr>
            </w:pPr>
          </w:p>
        </w:tc>
        <w:tc>
          <w:tcPr>
            <w:tcW w:w="35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value  one  cent  ($0.001)  per  share  (the</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spacing w:after="0"/>
              <w:rPr>
                <w:sz w:val="18"/>
                <w:szCs w:val="18"/>
                <w:color w:val="auto"/>
              </w:rPr>
            </w:pPr>
          </w:p>
        </w:tc>
        <w:tc>
          <w:tcPr>
            <w:tcW w:w="35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1"/>
              </w:rPr>
              <w:t>“Common Stock”), and (ii) 100,000,000 shares</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spacing w:after="0"/>
              <w:rPr>
                <w:sz w:val="18"/>
                <w:szCs w:val="18"/>
                <w:color w:val="auto"/>
              </w:rPr>
            </w:pPr>
          </w:p>
        </w:tc>
        <w:tc>
          <w:tcPr>
            <w:tcW w:w="35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1"/>
              </w:rPr>
              <w:t>of preferred stock, par value one cent ($0.001)</w:t>
            </w:r>
          </w:p>
        </w:tc>
      </w:tr>
      <w:tr>
        <w:trPr>
          <w:trHeight w:val="229"/>
        </w:trPr>
        <w:tc>
          <w:tcPr>
            <w:tcW w:w="2340" w:type="dxa"/>
            <w:vAlign w:val="bottom"/>
            <w:tcBorders>
              <w:left w:val="single" w:sz="8" w:color="auto"/>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1"/>
              </w:rPr>
              <w:t>per share (the “Preferred Stock”).</w:t>
            </w: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stockholder approval is not obtained for this Authorized Share Increase Proposal, we will not complete the Business Combination because stockholder approval of this Authorized Share Increase Proposal is a condition to completion of the Business Combination and because we do not currently have a sufficient number of authorized shares to consummate the Business Combination.</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do not have any arrangements, commitments or understandings to issue any shares of our capital stock except in connection with the Business Combination, the 2018 Equity Incentive Plan and our currently outstanding warrants.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While it may be deemed to have potential anti-takeover effects, this proposal to increase our authorized common stock and preferred stock is not prompted by any specific effort or takeover threat currently perceived by management.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Authorized Share Increase Proposal. Broker non-votes, abstentions or the failure to vote on this Authorized Share Increase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Authorized Share Increase Proposal.</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This Authorized Share Increase Proposal is conditioned upon the approval and completion of the Business Combination Proposal. If the Business Combination Proposal is not approved, this Authorized Share Increase Proposal will have no effect even if approved by our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AUTHORIZED SHARE INCREASE PROPOSAL.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9" w:name="page80"/>
    <w:bookmarkEnd w:id="7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 THE BOARD DECLASSIFICATION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Assuming that the Business Combination is approved, our stockholders are also being asked to approve the declassification of the board of directors. Our Current Certificate of Incorporation provides that our board of directors is divided into three classes with only one class of directors being elected in each year and each class (except for those directors appointed prior to our first annual meeting of stockholders) serving a three-year term.</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Upon consummation of the Business Combination, our board of directors will have seven members. We expect that these seven members will be: Thomas Priore, John Priore, Marc Manuel, William Gahan, Matthew Kearney, [ ● ] and [ ● ]. See the section entitled “Directors, Executive Officers, Executive Compensation and Corporate Governance – Directors and Executive Officers after the Business Combination” for additional information.</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asking our stockholders to approve amendments to Article VI of our Current Certificate of Incorporation, as provided in Annex E to this proxy statement/prospectus, to declassify our board of directors so that following the Business Combination there will be one class of directors without staggered terms of office, and to make certain related changes. If this proposal is approved by our stockholders, our Current Certificate of Incorporation will be amended to provide that from and after the date of the Proposed Amended and Restated Certificate of Incorporation our board of directors shall consist of one class of directors only, whose term shall continue to the first annual meeting of stockholders following the date of the Proposed Amended and Restated Certificate of Incorporation, and, thereafter, all directors shall be elected annually and shall be elected for one year terms expiring at the next annual meeting of our stockholders.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this Board Declassification Proposal</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following table sets forth a summary of the change proposed to be made between our Current Certificate of Incorporation and the Proposed Amended and Restated Certificate of Incorporation, if this Board Declassification Proposal is approved. This summary is qualified by reference to the complete text of the Proposed Amended and Restated Certificate of Incorporation, a copy of which is attached to this proxy statement as Annex E. All stockholders are encouraged to read the Proposed Amended and Restated Certificate of Incorporation in its entirety for a more complete description of its terms.</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220" w:type="dxa"/>
            <w:vAlign w:val="bottom"/>
            <w:tcBorders>
              <w:top w:val="single" w:sz="8" w:color="auto"/>
              <w:left w:val="single" w:sz="8" w:color="auto"/>
            </w:tcBorders>
          </w:tcPr>
          <w:p>
            <w:pPr>
              <w:spacing w:after="0"/>
              <w:rPr>
                <w:sz w:val="18"/>
                <w:szCs w:val="18"/>
                <w:color w:val="auto"/>
              </w:rPr>
            </w:pPr>
          </w:p>
        </w:tc>
        <w:tc>
          <w:tcPr>
            <w:tcW w:w="5040" w:type="dxa"/>
            <w:vAlign w:val="bottom"/>
            <w:tcBorders>
              <w:top w:val="single" w:sz="8" w:color="auto"/>
            </w:tcBorders>
          </w:tcPr>
          <w:p>
            <w:pPr>
              <w:ind w:left="700"/>
              <w:spacing w:after="0"/>
              <w:rPr>
                <w:sz w:val="20"/>
                <w:szCs w:val="20"/>
                <w:color w:val="auto"/>
              </w:rPr>
            </w:pPr>
            <w:r>
              <w:rPr>
                <w:rFonts w:ascii="Arial" w:cs="Arial" w:eastAsia="Arial" w:hAnsi="Arial"/>
                <w:sz w:val="18"/>
                <w:szCs w:val="18"/>
                <w:b w:val="1"/>
                <w:bCs w:val="1"/>
                <w:color w:val="auto"/>
              </w:rPr>
              <w:t>Current Certificate of</w:t>
            </w:r>
          </w:p>
        </w:tc>
        <w:tc>
          <w:tcPr>
            <w:tcW w:w="4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Proposed Amended and Restated</w:t>
            </w:r>
          </w:p>
        </w:tc>
      </w:tr>
      <w:tr>
        <w:trPr>
          <w:trHeight w:val="234"/>
        </w:trPr>
        <w:tc>
          <w:tcPr>
            <w:tcW w:w="2220" w:type="dxa"/>
            <w:vAlign w:val="bottom"/>
            <w:tcBorders>
              <w:left w:val="single" w:sz="8" w:color="auto"/>
            </w:tcBorders>
          </w:tcPr>
          <w:p>
            <w:pPr>
              <w:spacing w:after="0"/>
              <w:rPr>
                <w:sz w:val="20"/>
                <w:szCs w:val="20"/>
                <w:color w:val="auto"/>
              </w:rPr>
            </w:pPr>
          </w:p>
        </w:tc>
        <w:tc>
          <w:tcPr>
            <w:tcW w:w="5040" w:type="dxa"/>
            <w:vAlign w:val="bottom"/>
          </w:tcPr>
          <w:p>
            <w:pPr>
              <w:ind w:left="700"/>
              <w:spacing w:after="0"/>
              <w:rPr>
                <w:sz w:val="20"/>
                <w:szCs w:val="20"/>
                <w:color w:val="auto"/>
              </w:rPr>
            </w:pPr>
            <w:r>
              <w:rPr>
                <w:rFonts w:ascii="Arial" w:cs="Arial" w:eastAsia="Arial" w:hAnsi="Arial"/>
                <w:sz w:val="18"/>
                <w:szCs w:val="18"/>
                <w:b w:val="1"/>
                <w:bCs w:val="1"/>
                <w:color w:val="auto"/>
              </w:rPr>
              <w:t>Incorporation</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Certificate of Incorporation</w:t>
            </w:r>
          </w:p>
        </w:tc>
      </w:tr>
      <w:tr>
        <w:trPr>
          <w:trHeight w:val="412"/>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Article VI.H vs.</w:t>
            </w:r>
          </w:p>
        </w:tc>
        <w:tc>
          <w:tcPr>
            <w:tcW w:w="5040" w:type="dxa"/>
            <w:vAlign w:val="bottom"/>
          </w:tcPr>
          <w:p>
            <w:pPr>
              <w:ind w:left="700"/>
              <w:spacing w:after="0"/>
              <w:rPr>
                <w:sz w:val="20"/>
                <w:szCs w:val="20"/>
                <w:color w:val="auto"/>
              </w:rPr>
            </w:pPr>
            <w:r>
              <w:rPr>
                <w:rFonts w:ascii="Arial" w:cs="Arial" w:eastAsia="Arial" w:hAnsi="Arial"/>
                <w:sz w:val="18"/>
                <w:szCs w:val="18"/>
                <w:i w:val="1"/>
                <w:iCs w:val="1"/>
                <w:color w:val="auto"/>
                <w:w w:val="97"/>
              </w:rPr>
              <w:t xml:space="preserve">Article VI.H. </w:t>
            </w:r>
            <w:r>
              <w:rPr>
                <w:rFonts w:ascii="Arial" w:cs="Arial" w:eastAsia="Arial" w:hAnsi="Arial"/>
                <w:sz w:val="18"/>
                <w:szCs w:val="18"/>
                <w:color w:val="auto"/>
                <w:w w:val="97"/>
              </w:rPr>
              <w:t>The Board of Directors shall be divided into</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7"/>
              </w:rPr>
              <w:t xml:space="preserve">Article V.B. </w:t>
            </w:r>
            <w:r>
              <w:rPr>
                <w:rFonts w:ascii="Arial" w:cs="Arial" w:eastAsia="Arial" w:hAnsi="Arial"/>
                <w:sz w:val="18"/>
                <w:szCs w:val="18"/>
                <w:color w:val="auto"/>
                <w:w w:val="97"/>
              </w:rPr>
              <w:t>Except as otherwise provided for or fixed</w:t>
            </w:r>
          </w:p>
        </w:tc>
      </w:tr>
      <w:tr>
        <w:trPr>
          <w:trHeight w:val="219"/>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Article V.B and V.C</w:t>
            </w: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three classes: First Class, Second Class and Third Class.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pursuant to the provisions of Article IV (including any</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The number of directors in each class shall be as nearly</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certificate of designation with respect to any series of</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equal as possible. At the first election of directors by the</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Preferred Stock) and this Article VI relating to the rights</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incorporator, the incorporator shall elect a Third Class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of the holders of any series of Preferred Stock to elect</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director for a term expiring at the Corporation’s third</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additional directors, the total number of directors shall</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Annual Meeting of Stockholders. The Third Class director</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be  determined  from  time  to  time  exclusively  by</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2"/>
              </w:rPr>
              <w:t>shall then appoint additional First Class, Second Class and</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resolution adopted by the Board of Directors. At the first</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Third Class directors, as necessary. The directors in First</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election of directors by the incorporator, the incorporator</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1"/>
              </w:rPr>
              <w:t>Class shall be elected for a term expiring at the first Annual</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shall  elect  a  director  for  a  term  expiring  at  the</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8"/>
              </w:rPr>
              <w:t>Meeting of Stockholders, the directors in Second Class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Corporation’s first annual meeting of stockholders. Such</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6"/>
              </w:rPr>
              <w:t>shall be elected for a term expiring at the second Annual</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director  shall  then  appoint  additional  directors,  as</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6"/>
              </w:rPr>
              <w:t>Meeting of Stockholders and the directors in Third Class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necessary.  The  directors  (other  than  those  directors</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shall be elected for a term expiring at the third Annual</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elected by the holders of any series of Preferred Stock,</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5"/>
              </w:rPr>
              <w:t>Meeting of Stockholders. Commencing at the first Annual</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voting separately as a series or together with one or more</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Meeting of Stockholders, and at each annual meeting</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7"/>
              </w:rPr>
              <w:t>other such series, as the case may be) shall be elected for</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3"/>
              </w:rPr>
              <w:t>thereafter,  directors  elected  to  succeed  those  directors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a one (1) year term and shall hold office until the next</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whose terms expire shall be elected for a term of office to</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annual meeting of stockholders and until their successors</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expire  at  the  third  succeeding  annual  meeting  of</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shall be elected and shall qualify, subject, however to</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6"/>
              </w:rPr>
              <w:t>stockholders after their election. Except as the GCL may</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prior death, resignation, retirement, disqualification or</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3"/>
              </w:rPr>
              <w:t>otherwise require, in the interim between annual meetings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removal  from  office.  At  each  succeeding  annual</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of stockholders or special meetings of stockholders called</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meeting, successors to the directors whose term expires</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for the election of directors and/or the removal of one or</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at that annual meeting shall be elected for a term</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more directors and the filling of any vacancy in that</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expiring  at  the  succeeding  annual  meeting  of</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2"/>
              </w:rPr>
              <w:t>connection, newly created directorships and any vacancies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stockholders and until their successors shall be elected</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in the Board of Directors, including unfilled vacancies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and  shall  qualify,  subject,  however  to  prior  death,</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5"/>
              </w:rPr>
              <w:t>resulting from the removal of directors for cause, may be</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resignation, retirement, disqualification or removal from</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filled by the vote of a majority of the remaining directors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office.</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then in office, although less than a Quorum (as defined in</w:t>
            </w:r>
          </w:p>
        </w:tc>
        <w:tc>
          <w:tcPr>
            <w:tcW w:w="4160" w:type="dxa"/>
            <w:vAlign w:val="bottom"/>
            <w:tcBorders>
              <w:right w:val="single" w:sz="8" w:color="auto"/>
            </w:tcBorders>
          </w:tcPr>
          <w:p>
            <w:pPr>
              <w:spacing w:after="0"/>
              <w:rPr>
                <w:sz w:val="18"/>
                <w:szCs w:val="18"/>
                <w:color w:val="auto"/>
              </w:rPr>
            </w:pP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the  Corporation’s  Bylaws),  or  by  the  sole  remaining</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Article V.C. </w:t>
            </w:r>
            <w:r>
              <w:rPr>
                <w:rFonts w:ascii="Arial" w:cs="Arial" w:eastAsia="Arial" w:hAnsi="Arial"/>
                <w:sz w:val="18"/>
                <w:szCs w:val="18"/>
                <w:color w:val="auto"/>
              </w:rPr>
              <w:t>Vacancies on the Board of Directors by</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director. All directors shall hold office until the expiration</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reason   of   death,   resignation,   retirement,   dis-</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2"/>
              </w:rPr>
              <w:t>of their respective terms of office and until their successors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qualification, removal from office, or otherwise, and</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9"/>
              </w:rPr>
              <w:t>shall have been elected and qualified or until his or her</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newly created directorships resulting from any increase</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earlier resignation, removal or death. A director elected to</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 the authorized number of directors, shall be filled</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fill a vacancy resulting from the death, resignation or</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solely by a majority of the directors then in office,</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6"/>
              </w:rPr>
              <w:t>removal of a director shall serve for the remainder of the</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although less than a Quorum, or by a sole remaining</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full  term  of  the  director  whose  death,  resignation  or</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director, and shall not be filled by the stockholders. Any</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5"/>
              </w:rPr>
              <w:t>removal shall have created such vacancy and until his or</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 elected to fill a vacancy or newly created</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her successor shall have been elected and qualified.</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directorship  shall  hold  office  until  the  next  annual</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meeting of stockholders and until his or her successor</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shall be elected and qualified, or until his or her earlier</w:t>
            </w:r>
          </w:p>
        </w:tc>
      </w:tr>
      <w:tr>
        <w:trPr>
          <w:trHeight w:val="230"/>
        </w:trPr>
        <w:tc>
          <w:tcPr>
            <w:tcW w:w="2220" w:type="dxa"/>
            <w:vAlign w:val="bottom"/>
            <w:tcBorders>
              <w:left w:val="single" w:sz="8" w:color="auto"/>
            </w:tcBorders>
          </w:tcPr>
          <w:p>
            <w:pPr>
              <w:spacing w:after="0"/>
              <w:rPr>
                <w:sz w:val="19"/>
                <w:szCs w:val="19"/>
                <w:color w:val="auto"/>
              </w:rPr>
            </w:pPr>
          </w:p>
        </w:tc>
        <w:tc>
          <w:tcPr>
            <w:tcW w:w="5040" w:type="dxa"/>
            <w:vAlign w:val="bottom"/>
          </w:tcPr>
          <w:p>
            <w:pPr>
              <w:spacing w:after="0"/>
              <w:rPr>
                <w:sz w:val="19"/>
                <w:szCs w:val="19"/>
                <w:color w:val="auto"/>
              </w:rPr>
            </w:pP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death,  resignation,  retirement,  disqualification  or</w:t>
            </w:r>
          </w:p>
        </w:tc>
      </w:tr>
      <w:tr>
        <w:trPr>
          <w:trHeight w:val="66"/>
        </w:trPr>
        <w:tc>
          <w:tcPr>
            <w:tcW w:w="2220" w:type="dxa"/>
            <w:vAlign w:val="bottom"/>
            <w:tcBorders>
              <w:left w:val="single" w:sz="8" w:color="auto"/>
            </w:tcBorders>
          </w:tcPr>
          <w:p>
            <w:pPr>
              <w:spacing w:after="0"/>
              <w:rPr>
                <w:sz w:val="5"/>
                <w:szCs w:val="5"/>
                <w:color w:val="auto"/>
              </w:rPr>
            </w:pPr>
          </w:p>
        </w:tc>
        <w:tc>
          <w:tcPr>
            <w:tcW w:w="5040" w:type="dxa"/>
            <w:vAlign w:val="bottom"/>
          </w:tcPr>
          <w:p>
            <w:pPr>
              <w:spacing w:after="0"/>
              <w:rPr>
                <w:sz w:val="5"/>
                <w:szCs w:val="5"/>
                <w:color w:val="auto"/>
              </w:rPr>
            </w:pPr>
          </w:p>
        </w:tc>
        <w:tc>
          <w:tcPr>
            <w:tcW w:w="4160" w:type="dxa"/>
            <w:vAlign w:val="bottom"/>
            <w:tcBorders>
              <w:right w:val="single" w:sz="8" w:color="auto"/>
            </w:tcBorders>
          </w:tcPr>
          <w:p>
            <w:pPr>
              <w:spacing w:after="0"/>
              <w:rPr>
                <w:sz w:val="5"/>
                <w:szCs w:val="5"/>
                <w:color w:val="auto"/>
              </w:rPr>
            </w:pPr>
          </w:p>
        </w:tc>
      </w:tr>
    </w:tbl>
    <w:p>
      <w:pPr>
        <w:sectPr>
          <w:pgSz w:w="11900" w:h="16900" w:orient="portrait"/>
          <w:cols w:equalWidth="0" w:num="1">
            <w:col w:w="11420"/>
          </w:cols>
          <w:pgMar w:left="240" w:top="901" w:right="239" w:bottom="0" w:gutter="0" w:footer="0" w:header="0"/>
        </w:sectPr>
      </w:pPr>
    </w:p>
    <w:bookmarkStart w:id="80" w:name="page81"/>
    <w:bookmarkEnd w:id="80"/>
    <w:p>
      <w:pPr>
        <w:ind w:left="6100"/>
        <w:spacing w:after="0"/>
        <w:rPr>
          <w:sz w:val="20"/>
          <w:szCs w:val="20"/>
          <w:color w:val="auto"/>
        </w:rPr>
      </w:pPr>
      <w:r>
        <w:rPr>
          <w:rFonts w:ascii="Arial" w:cs="Arial" w:eastAsia="Arial" w:hAnsi="Arial"/>
          <w:sz w:val="17"/>
          <w:szCs w:val="17"/>
          <w:color w:val="auto"/>
        </w:rPr>
        <w:t>removal from office. In no case shall a decrease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-114300</wp:posOffset>
            </wp:positionV>
            <wp:extent cx="7247255" cy="418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7255" cy="418465"/>
                    </a:xfrm>
                    <a:prstGeom prst="rect">
                      <a:avLst/>
                    </a:prstGeom>
                    <a:noFill/>
                  </pic:spPr>
                </pic:pic>
              </a:graphicData>
            </a:graphic>
          </wp:anchor>
        </w:drawing>
      </w:r>
    </w:p>
    <w:p>
      <w:pPr>
        <w:spacing w:after="0" w:line="14"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number of authorized directors remove or shorten the</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term of any incumbent director.</w:t>
      </w:r>
    </w:p>
    <w:p>
      <w:pPr>
        <w:spacing w:after="0" w:line="200" w:lineRule="exact"/>
        <w:rPr>
          <w:sz w:val="20"/>
          <w:szCs w:val="20"/>
          <w:color w:val="auto"/>
        </w:rPr>
      </w:pPr>
    </w:p>
    <w:p>
      <w:pPr>
        <w:spacing w:after="0" w:line="23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Reasons for this Amendment</w:t>
      </w:r>
    </w:p>
    <w:p>
      <w:pPr>
        <w:spacing w:after="0" w:line="227"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In determining whether to submit to our stockholders this Board Declassification Proposal, our board of directors considered arguments in favor of and against continuation of a classified board structure and determined that declassification of the board would be in the best interests of us and our stockholders.</w:t>
      </w:r>
    </w:p>
    <w:p>
      <w:pPr>
        <w:spacing w:after="0" w:line="1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Specifically, our board of directors recognized that corporate governance standards have continued to evolve, resulting in a majority of Fortune 500 companies having implemented annual director elections. Furthermore, a classified structure may appear to reduce director accountability to stockholders, since such structure does not enable stockholders to express a view on each director’s performance by means of an annual vote. Our board of directors also recognized that many institutional investors and commentators now believe that the election of directors is the primary means for stockholders to influence corporate governance policies and to hold the board and management accountable for implementing those policies.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our board of directors believes that declassifying the board of directors is in the best interests of us and our stockholders, the board is aware that there may be disadvantages to a declassified board structure. For example, a classified board structure may provide increased board continuity and stability and encourages directors to focus on the long term productivity of a company. Additionally, classified boards may provide additional protections against unwanted, and potentially unfair and abusive, takeover attempts and proxy contests, as they make it more difficult for a substantial stockholder to gain control of a board of directors without the cooperation or approval of incumbent directors.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After considering the foregoing, our board believes that the amendments declassify the board under this proposal are in the best interests of us and our stockholders.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2" w:name="page83"/>
    <w:bookmarkEnd w:id="82"/>
    <w:p>
      <w:pPr>
        <w:jc w:val="both"/>
        <w:spacing w:after="0" w:line="262" w:lineRule="auto"/>
        <w:rPr>
          <w:sz w:val="20"/>
          <w:szCs w:val="20"/>
          <w:color w:val="auto"/>
        </w:rPr>
      </w:pPr>
      <w:r>
        <w:rPr>
          <w:rFonts w:ascii="Arial" w:cs="Arial" w:eastAsia="Arial" w:hAnsi="Arial"/>
          <w:sz w:val="18"/>
          <w:szCs w:val="18"/>
          <w:color w:val="auto"/>
        </w:rPr>
        <w:t>If this Board Declassification Proposal is approved, the proposed changed in our certificate of incorporation referenced above would become effective upon the filing of the Proposed Amended and Restated Certificate of Incorporation the Secretary of State of the State of Delaware, which we would file on the day of the Closing.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Board Declassification Proposal. Broker non-votes, abstentions or the failure to vote on this Board Declassification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Board Declassification Proposal.</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This Board Declassification Proposal is conditioned upon the approval and completion of the Business Combination Proposal. If the Business Combination Proposal is not approved, this Board Declassification Proposal will have no effect even if approved by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ind w:left="4300" w:right="460" w:hanging="3394"/>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BOARD DECLASSIFICATION PROPOSAL.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PROPOSAL NO. 4 - THE VOTING THRESHOLD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Assuming the Business Combination Proposal is approved, our stockholders are also being asked to approve additional amendments to our Current Certificate of Incorporation, which are in the judgment of our Board, necessary to adequately address the needs of the post-combination company.</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additional amendments would require that at any time when the Sellers or their affiliates (collectively, the “Priority Holders”) beneficially own, in the aggregate, less than 40% in voting power of the stock of the corporation entitled to vote generally in the election of directors, in addition to any vote required by applicable law, the following provisions in the Proposed Amended and Restated Certificate of Incorporation would be able to be amended, altered, repealed or rescinded, in whole or in part, or any provision inconsistent therewith or herewith may be adopted, only by the affirmative vote of the holders of at least 66 2/3% in voting power of all the then-outstanding shares of stock of the company entitled to vote thereon, voting together as a single class: Articles V, VI, VII, VIII, IX, XI and XII. Furthermore, as per the proposed amendments to the Current Certificate of Incorporation, at any time when the Priority Holders beneficially own, in the aggregate, less than 40% in voting power of the stock of the company entitled to vote generally in the election of directors, in addition to any vote of the holders of any class or series of capital stock of the company required herein (including any certificate of designation relating to any series of Preferred Stock), the Bylaws or applicable law, the affirmative vote of the holders of at least 66 2/3% in voting power of all the then-outstanding shares of stock of the company entitled to vote thereon, voting together as a single class, shall be required in order for the stockholders of the company to alter, amend, repeal or rescind, in whole or in part, any provision of the Bylaws or to adopt any provision inconsistent therewith. This will give the Priority Holders significant influence over the approval of any amendments even after the Priority Holders own less than a majority of our outstanding shares of common stock.</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the additional amendments provide that the company reserves the right to repeal, alter amend, or rescind any provision contained in the Proposed Amended and Restated Certificate of Incorporation, in the manner now or hereafter prescribed by statute, and all rights conferred on stockholders herein are granted subject to this reservation.</w:t>
      </w:r>
    </w:p>
    <w:p>
      <w:pPr>
        <w:spacing w:after="0" w:line="178"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this Voting Threshold Proposal</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following table sets forth a summary of the changes proposed to be made between our Current Certificate of Incorporation and the Proposed Amended and Restated Certificate of Incorporation, if this Voting Threshold Proposal is approved. This summary is qualified by reference to the complete text of the Proposed Amended and Restated Certificate of Incorporation, a copy of which is attached to this proxy statement as Annex E. All stockholders are encouraged to read the Proposed Amended and Restated Certificate of Incorporation in its entirety for a more complete description of its terms.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4" w:name="page85"/>
    <w:bookmarkEnd w:id="84"/>
    <w:p>
      <w:pPr>
        <w:ind w:left="6960"/>
        <w:spacing w:after="0"/>
        <w:tabs>
          <w:tab w:leader="none" w:pos="7860" w:val="left"/>
          <w:tab w:leader="none" w:pos="8800" w:val="left"/>
          <w:tab w:leader="none" w:pos="9300" w:val="left"/>
          <w:tab w:leader="none" w:pos="10180" w:val="left"/>
          <w:tab w:leader="none" w:pos="11200" w:val="left"/>
        </w:tabs>
        <w:rPr>
          <w:sz w:val="20"/>
          <w:szCs w:val="20"/>
          <w:color w:val="auto"/>
        </w:rPr>
      </w:pPr>
      <w:r>
        <w:rPr>
          <w:rFonts w:ascii="Arial" w:cs="Arial" w:eastAsia="Arial" w:hAnsi="Arial"/>
          <w:sz w:val="18"/>
          <w:szCs w:val="18"/>
          <w:b w:val="1"/>
          <w:bCs w:val="1"/>
          <w:color w:val="auto"/>
        </w:rPr>
        <w:t>Proposed</w:t>
        <w:tab/>
        <w:t>Amended</w:t>
        <w:tab/>
        <w:t>and</w:t>
        <w:tab/>
        <w:t>Restated</w:t>
        <w:tab/>
        <w:t>Certificate</w:t>
      </w:r>
      <w:r>
        <w:rPr>
          <w:sz w:val="20"/>
          <w:szCs w:val="20"/>
          <w:color w:val="auto"/>
        </w:rPr>
        <w:tab/>
      </w:r>
      <w:r>
        <w:rPr>
          <w:rFonts w:ascii="Arial" w:cs="Arial" w:eastAsia="Arial" w:hAnsi="Arial"/>
          <w:sz w:val="16"/>
          <w:szCs w:val="16"/>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47255" cy="8484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7255" cy="8484870"/>
                    </a:xfrm>
                    <a:prstGeom prst="rect">
                      <a:avLst/>
                    </a:prstGeom>
                    <a:noFill/>
                  </pic:spPr>
                </pic:pic>
              </a:graphicData>
            </a:graphic>
          </wp:anchor>
        </w:drawing>
      </w:r>
    </w:p>
    <w:p>
      <w:pPr>
        <w:spacing w:after="0" w:line="7" w:lineRule="exact"/>
        <w:rPr>
          <w:sz w:val="20"/>
          <w:szCs w:val="20"/>
          <w:color w:val="auto"/>
        </w:rPr>
      </w:pPr>
    </w:p>
    <w:p>
      <w:pPr>
        <w:ind w:left="2740"/>
        <w:spacing w:after="0"/>
        <w:tabs>
          <w:tab w:leader="none" w:pos="6940" w:val="left"/>
        </w:tabs>
        <w:rPr>
          <w:sz w:val="20"/>
          <w:szCs w:val="20"/>
          <w:color w:val="auto"/>
        </w:rPr>
      </w:pPr>
      <w:r>
        <w:rPr>
          <w:rFonts w:ascii="Arial" w:cs="Arial" w:eastAsia="Arial" w:hAnsi="Arial"/>
          <w:sz w:val="18"/>
          <w:szCs w:val="18"/>
          <w:b w:val="1"/>
          <w:bCs w:val="1"/>
          <w:color w:val="auto"/>
        </w:rPr>
        <w:t>Current Certificate of Incorporation</w:t>
      </w:r>
      <w:r>
        <w:rPr>
          <w:sz w:val="20"/>
          <w:szCs w:val="20"/>
          <w:color w:val="auto"/>
        </w:rPr>
        <w:tab/>
      </w:r>
      <w:r>
        <w:rPr>
          <w:rFonts w:ascii="Arial" w:cs="Arial" w:eastAsia="Arial" w:hAnsi="Arial"/>
          <w:sz w:val="16"/>
          <w:szCs w:val="16"/>
          <w:b w:val="1"/>
          <w:bCs w:val="1"/>
          <w:color w:val="auto"/>
        </w:rPr>
        <w:t>Incorporation</w:t>
      </w:r>
    </w:p>
    <w:p>
      <w:pPr>
        <w:sectPr>
          <w:pgSz w:w="11900" w:h="16838" w:orient="portrait"/>
          <w:cols w:equalWidth="0" w:num="1">
            <w:col w:w="11380"/>
          </w:cols>
          <w:pgMar w:left="260" w:top="914" w:right="259" w:bottom="1440" w:gutter="0" w:footer="0" w:header="0"/>
        </w:sectPr>
      </w:pP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Article VII.B. vs. Article V and Article X</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3780"/>
        <w:spacing w:after="0" w:line="257" w:lineRule="auto"/>
        <w:rPr>
          <w:sz w:val="20"/>
          <w:szCs w:val="20"/>
          <w:color w:val="auto"/>
        </w:rPr>
      </w:pPr>
      <w:r>
        <w:rPr>
          <w:rFonts w:ascii="Arial" w:cs="Arial" w:eastAsia="Arial" w:hAnsi="Arial"/>
          <w:sz w:val="18"/>
          <w:szCs w:val="18"/>
          <w:i w:val="1"/>
          <w:iCs w:val="1"/>
          <w:color w:val="auto"/>
        </w:rPr>
        <w:t xml:space="preserve">Article VII.B. </w:t>
      </w:r>
      <w:r>
        <w:rPr>
          <w:rFonts w:ascii="Arial" w:cs="Arial" w:eastAsia="Arial" w:hAnsi="Arial"/>
          <w:sz w:val="18"/>
          <w:szCs w:val="18"/>
          <w:color w:val="auto"/>
        </w:rPr>
        <w:t>The Board of Directors shall have the</w:t>
      </w:r>
      <w:r>
        <w:rPr>
          <w:rFonts w:ascii="Arial" w:cs="Arial" w:eastAsia="Arial" w:hAnsi="Arial"/>
          <w:sz w:val="18"/>
          <w:szCs w:val="18"/>
          <w:i w:val="1"/>
          <w:iCs w:val="1"/>
          <w:color w:val="auto"/>
        </w:rPr>
        <w:t xml:space="preserve"> Article V </w:t>
      </w:r>
      <w:r>
        <w:rPr>
          <w:rFonts w:ascii="Arial" w:cs="Arial" w:eastAsia="Arial" w:hAnsi="Arial"/>
          <w:sz w:val="18"/>
          <w:szCs w:val="18"/>
          <w:color w:val="auto"/>
        </w:rPr>
        <w:t>power, without the assent or vote of the stockholders, to</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make, alter, amend, change, add to or repeal the by-laws A. Notwithstanding anything contained in this Certificate of of the Corporation as provided in the by-laws of the Incorporation to the contrary, at any time when Priority</w:t>
      </w:r>
    </w:p>
    <w:p>
      <w:pPr>
        <w:jc w:val="both"/>
        <w:ind w:left="4220" w:hanging="4219"/>
        <w:spacing w:after="0" w:line="265" w:lineRule="auto"/>
        <w:tabs>
          <w:tab w:leader="none" w:pos="4200" w:val="left"/>
        </w:tabs>
        <w:rPr>
          <w:sz w:val="20"/>
          <w:szCs w:val="20"/>
          <w:color w:val="auto"/>
        </w:rPr>
      </w:pPr>
      <w:r>
        <w:rPr>
          <w:rFonts w:ascii="Arial" w:cs="Arial" w:eastAsia="Arial" w:hAnsi="Arial"/>
          <w:sz w:val="17"/>
          <w:szCs w:val="17"/>
          <w:color w:val="auto"/>
        </w:rPr>
        <w:t>Corporation.</w:t>
      </w:r>
      <w:r>
        <w:rPr>
          <w:sz w:val="20"/>
          <w:szCs w:val="20"/>
          <w:color w:val="auto"/>
        </w:rPr>
        <w:tab/>
      </w:r>
      <w:r>
        <w:rPr>
          <w:rFonts w:ascii="Arial" w:cs="Arial" w:eastAsia="Arial" w:hAnsi="Arial"/>
          <w:sz w:val="17"/>
          <w:szCs w:val="17"/>
          <w:color w:val="auto"/>
        </w:rPr>
        <w:t>Investment Holdings, LLC and Priority Incentive Holdings, LLC or their Affiliates (collectively, the “Priority Holders”) beneficially own, in the aggregate, less than 40% in voting power of the stock of the Corporation entitled to vote generally in the election of directors,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in voting power of all the then-outstanding shares of stock of the Corporation entitled to vote thereon, voting together as a single class: this Article V, Article VI, Article VII, Article VIII, Article IX, Article XI and Article XII. For the purposes of this Certificate of Incorporation, beneficial ownership of shares shall be determined in accordance with Rule 13d-3 promulgated under the Securities Exchange Act of 1934, as amended (the “Exchange Act”).</w:t>
      </w:r>
    </w:p>
    <w:p>
      <w:pPr>
        <w:spacing w:after="0" w:line="187" w:lineRule="exact"/>
        <w:rPr>
          <w:sz w:val="20"/>
          <w:szCs w:val="20"/>
          <w:color w:val="auto"/>
        </w:rPr>
      </w:pPr>
    </w:p>
    <w:p>
      <w:pPr>
        <w:jc w:val="both"/>
        <w:ind w:left="4220"/>
        <w:spacing w:after="0" w:line="283" w:lineRule="auto"/>
        <w:rPr>
          <w:sz w:val="20"/>
          <w:szCs w:val="20"/>
          <w:color w:val="auto"/>
        </w:rPr>
      </w:pPr>
      <w:r>
        <w:rPr>
          <w:rFonts w:ascii="Arial" w:cs="Arial" w:eastAsia="Arial" w:hAnsi="Arial"/>
          <w:sz w:val="16"/>
          <w:szCs w:val="16"/>
          <w:color w:val="auto"/>
        </w:rPr>
        <w:t>B. The Board of Directors is expressly authorized to make, repeal, alter, amend and rescind, in whole or in part, the bylaws of the Corporation (as in effect from time to time, the “Bylaws”) without the assent or vote of the stockholders in any manner not inconsistent with the laws of the State of Delaware or this Certificate of Incorporation. Notwithstanding anything to the contrary contained in this Certificate of Incorporation or any provision of law which might otherwise permit a lesser vote of the stockholders, at any time when the Priority Holders beneficially own,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 at least 66 2/3%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389" w:lineRule="exact"/>
        <w:rPr>
          <w:sz w:val="20"/>
          <w:szCs w:val="20"/>
          <w:color w:val="auto"/>
        </w:rPr>
      </w:pPr>
    </w:p>
    <w:p>
      <w:pPr>
        <w:jc w:val="both"/>
        <w:ind w:left="4220"/>
        <w:spacing w:after="0" w:line="300" w:lineRule="auto"/>
        <w:rPr>
          <w:sz w:val="20"/>
          <w:szCs w:val="20"/>
          <w:color w:val="auto"/>
        </w:rPr>
      </w:pPr>
      <w:r>
        <w:rPr>
          <w:rFonts w:ascii="Arial" w:cs="Arial" w:eastAsia="Arial" w:hAnsi="Arial"/>
          <w:sz w:val="16"/>
          <w:szCs w:val="16"/>
          <w:color w:val="auto"/>
        </w:rPr>
        <w:t>C. For purposes of this Certificate of Incorporation, “Affiliate” means a person that directly, or indirectly through one or more intermediaries, controls or is controlled by or is under common control with another person.</w:t>
      </w:r>
    </w:p>
    <w:p>
      <w:pPr>
        <w:spacing w:after="0" w:line="155" w:lineRule="exact"/>
        <w:rPr>
          <w:sz w:val="20"/>
          <w:szCs w:val="20"/>
          <w:color w:val="auto"/>
        </w:rPr>
      </w:pPr>
    </w:p>
    <w:p>
      <w:pPr>
        <w:sectPr>
          <w:pgSz w:w="11900" w:h="16838" w:orient="portrait"/>
          <w:cols w:equalWidth="0" w:num="2">
            <w:col w:w="2620" w:space="120"/>
            <w:col w:w="8640"/>
          </w:cols>
          <w:pgMar w:left="260" w:top="914" w:right="259" w:bottom="1440" w:gutter="0" w:footer="0" w:header="0"/>
          <w:type w:val="continuous"/>
        </w:sectPr>
      </w:pPr>
    </w:p>
    <w:p>
      <w:pPr>
        <w:ind w:left="6960"/>
        <w:spacing w:after="0"/>
        <w:rPr>
          <w:sz w:val="20"/>
          <w:szCs w:val="20"/>
          <w:color w:val="auto"/>
        </w:rPr>
      </w:pPr>
      <w:r>
        <w:rPr>
          <w:rFonts w:ascii="Arial" w:cs="Arial" w:eastAsia="Arial" w:hAnsi="Arial"/>
          <w:sz w:val="18"/>
          <w:szCs w:val="18"/>
          <w:i w:val="1"/>
          <w:iCs w:val="1"/>
          <w:color w:val="auto"/>
        </w:rPr>
        <w:t>Article X</w:t>
      </w:r>
    </w:p>
    <w:p>
      <w:pPr>
        <w:spacing w:after="0" w:line="223"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The Corporation reserves the right to repeal, alter amend, or</w:t>
      </w:r>
    </w:p>
    <w:p>
      <w:pPr>
        <w:spacing w:after="0" w:line="46" w:lineRule="exact"/>
        <w:rPr>
          <w:sz w:val="20"/>
          <w:szCs w:val="20"/>
          <w:color w:val="auto"/>
        </w:rPr>
      </w:pPr>
    </w:p>
    <w:p>
      <w:pPr>
        <w:ind w:left="6960"/>
        <w:spacing w:after="0"/>
        <w:rPr>
          <w:sz w:val="20"/>
          <w:szCs w:val="20"/>
          <w:color w:val="auto"/>
        </w:rPr>
      </w:pPr>
      <w:r>
        <w:rPr>
          <w:rFonts w:ascii="Arial" w:cs="Arial" w:eastAsia="Arial" w:hAnsi="Arial"/>
          <w:sz w:val="17"/>
          <w:szCs w:val="17"/>
          <w:color w:val="auto"/>
        </w:rPr>
        <w:t>rescind  any  provision  contained  in  this  Certificate  of</w:t>
      </w:r>
    </w:p>
    <w:p>
      <w:pPr>
        <w:spacing w:after="0" w:line="20"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Incorporation, in the manner now or hereafter prescribed by</w:t>
      </w:r>
    </w:p>
    <w:p>
      <w:pPr>
        <w:spacing w:after="0" w:line="31" w:lineRule="exact"/>
        <w:rPr>
          <w:sz w:val="20"/>
          <w:szCs w:val="20"/>
          <w:color w:val="auto"/>
        </w:rPr>
      </w:pPr>
    </w:p>
    <w:p>
      <w:pPr>
        <w:ind w:left="6960"/>
        <w:spacing w:after="0"/>
        <w:rPr>
          <w:sz w:val="20"/>
          <w:szCs w:val="20"/>
          <w:color w:val="auto"/>
        </w:rPr>
      </w:pPr>
      <w:r>
        <w:rPr>
          <w:rFonts w:ascii="Arial" w:cs="Arial" w:eastAsia="Arial" w:hAnsi="Arial"/>
          <w:sz w:val="17"/>
          <w:szCs w:val="17"/>
          <w:color w:val="auto"/>
        </w:rPr>
        <w:t>statute, and all rights conferred on stockholders herein are</w:t>
      </w:r>
    </w:p>
    <w:p>
      <w:pPr>
        <w:spacing w:after="0" w:line="2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granted subject to this reservation.</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247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60" w:top="914" w:right="25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Reasons for the Amendments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amendments relating to the proposed changes in the voting thresholds set forth in this Voting Threshold Proposal are intended to protect key provisions of the Proposed Amended and Restated Certificate of Incorporation from arbitrary amendment and to prevent, under certain circumstances, a simple majority of stockholders from taking actions that may be harmful to other stockholders or making changes to provisions that are intended to protect all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Voting Threshold Proposal. Broker non-votes, abstentions or the failure to vote on this Voting Threshold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Voting Threshold Proposal.</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This Voting Threshold Proposal is conditioned upon the approval and completion of the Business Combination Proposal. If the Business Combination Proposal is not approved, this Voting Threshold Proposal will have no effect even if approved by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STOCKHOLDERS VOTE “FOR” THE VOTING THRESHOLD PROPOSAL.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PROPOSAL NO. 5 - THE SECTION 203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Assuming the Business Combination Proposal is approved, our stockholders are also being asked to approve an additional amendment to our Current Certificate of Incorporation, which, in the judgment of our Board of Directors, is necessary to adequately address the needs of the combined company.</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additional amendment would cause the combined company not to be governed by Section 203 of the DGCL but, instead, include a provision in our Proposed Certificate of Incorporation that is substantially similar to Section 203 of the DGCL, but that excludes the Sellers and each of their respective successors, affiliates and transferees from the definition of “interested stockholder,” and to make certain related changes.</w:t>
      </w:r>
    </w:p>
    <w:p>
      <w:pPr>
        <w:spacing w:after="0" w:line="16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this Section 203 Proposal</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following table sets forth a summary of the change proposed to be made between our Current Certificate of Incorporation and the Proposed Amended and Restated Certificate of Incorporation, if this Section 203 Proposal is approved. This summary is qualified by reference to the complete text of the Proposed Amended and Restated Certificate of Incorporation, a copy of which is attached to this proxy statement as Annex E. All stockholders are encouraged to read the Proposed Amended and Restated Certificate of Incorporation in its entirety for a more complete description of its terms.</w:t>
      </w:r>
    </w:p>
    <w:p>
      <w:pPr>
        <w:spacing w:after="0" w:line="165" w:lineRule="exact"/>
        <w:rPr>
          <w:sz w:val="20"/>
          <w:szCs w:val="20"/>
          <w:color w:val="auto"/>
        </w:rPr>
      </w:pPr>
    </w:p>
    <w:p>
      <w:pPr>
        <w:ind w:left="2440"/>
        <w:spacing w:after="0"/>
        <w:tabs>
          <w:tab w:leader="none" w:pos="6180" w:val="left"/>
        </w:tabs>
        <w:rPr>
          <w:sz w:val="20"/>
          <w:szCs w:val="20"/>
          <w:color w:val="auto"/>
        </w:rPr>
      </w:pPr>
      <w:r>
        <w:rPr>
          <w:rFonts w:ascii="Arial" w:cs="Arial" w:eastAsia="Arial" w:hAnsi="Arial"/>
          <w:sz w:val="18"/>
          <w:szCs w:val="18"/>
          <w:b w:val="1"/>
          <w:bCs w:val="1"/>
          <w:color w:val="auto"/>
        </w:rPr>
        <w:t>Current Certificate of Incorporation</w:t>
      </w:r>
      <w:r>
        <w:rPr>
          <w:sz w:val="20"/>
          <w:szCs w:val="20"/>
          <w:color w:val="auto"/>
        </w:rPr>
        <w:tab/>
      </w:r>
      <w:r>
        <w:rPr>
          <w:rFonts w:ascii="Arial" w:cs="Arial" w:eastAsia="Arial" w:hAnsi="Arial"/>
          <w:sz w:val="16"/>
          <w:szCs w:val="16"/>
          <w:b w:val="1"/>
          <w:bCs w:val="1"/>
          <w:color w:val="auto"/>
        </w:rPr>
        <w:t>Proposed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7255" cy="3670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7255" cy="36703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p>
      <w:pPr>
        <w:spacing w:after="0" w:line="223" w:lineRule="exact"/>
        <w:rPr>
          <w:sz w:val="20"/>
          <w:szCs w:val="20"/>
          <w:color w:val="auto"/>
        </w:rPr>
      </w:pPr>
    </w:p>
    <w:p>
      <w:pPr>
        <w:ind w:left="20"/>
        <w:spacing w:after="0"/>
        <w:tabs>
          <w:tab w:leader="none" w:pos="2060" w:val="left"/>
        </w:tabs>
        <w:rPr>
          <w:sz w:val="20"/>
          <w:szCs w:val="20"/>
          <w:color w:val="auto"/>
        </w:rPr>
      </w:pPr>
      <w:r>
        <w:rPr>
          <w:rFonts w:ascii="Arial" w:cs="Arial" w:eastAsia="Arial" w:hAnsi="Arial"/>
          <w:sz w:val="18"/>
          <w:szCs w:val="18"/>
          <w:b w:val="1"/>
          <w:bCs w:val="1"/>
          <w:color w:val="auto"/>
        </w:rPr>
        <w:t>Article XI</w:t>
      </w:r>
      <w:r>
        <w:rPr>
          <w:sz w:val="20"/>
          <w:szCs w:val="20"/>
          <w:color w:val="auto"/>
        </w:rPr>
        <w:tab/>
      </w:r>
      <w:r>
        <w:rPr>
          <w:rFonts w:ascii="Arial" w:cs="Arial" w:eastAsia="Arial" w:hAnsi="Arial"/>
          <w:sz w:val="17"/>
          <w:szCs w:val="17"/>
          <w:color w:val="auto"/>
        </w:rPr>
        <w:t>There is no applicable language in the Current</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Certificate of Incorporation.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XI</w:t>
      </w:r>
    </w:p>
    <w:p>
      <w:pPr>
        <w:spacing w:after="0" w:line="16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 The Corporation hereby expressly elects not to be governed by Section 203 of the DGCL.</w:t>
      </w:r>
    </w:p>
    <w:p>
      <w:pPr>
        <w:spacing w:after="0" w:line="17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91" w:lineRule="exact"/>
        <w:rPr>
          <w:sz w:val="20"/>
          <w:szCs w:val="20"/>
          <w:color w:val="auto"/>
        </w:rPr>
      </w:pPr>
    </w:p>
    <w:p>
      <w:pPr>
        <w:jc w:val="both"/>
        <w:ind w:right="20" w:firstLine="5"/>
        <w:spacing w:after="0" w:line="262" w:lineRule="auto"/>
        <w:tabs>
          <w:tab w:leader="none" w:pos="21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182" w:lineRule="exact"/>
        <w:rPr>
          <w:rFonts w:ascii="Arial" w:cs="Arial" w:eastAsia="Arial" w:hAnsi="Arial"/>
          <w:sz w:val="18"/>
          <w:szCs w:val="18"/>
          <w:color w:val="auto"/>
        </w:rPr>
      </w:pPr>
    </w:p>
    <w:p>
      <w:pPr>
        <w:jc w:val="both"/>
        <w:ind w:right="20" w:firstLine="5"/>
        <w:spacing w:after="0" w:line="288" w:lineRule="auto"/>
        <w:tabs>
          <w:tab w:leader="none" w:pos="20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0" w:lineRule="exact"/>
        <w:rPr>
          <w:sz w:val="20"/>
          <w:szCs w:val="20"/>
          <w:color w:val="auto"/>
        </w:rPr>
      </w:pPr>
    </w:p>
    <w:p>
      <w:pPr>
        <w:sectPr>
          <w:pgSz w:w="11900" w:h="16838" w:orient="portrait"/>
          <w:cols w:equalWidth="0" w:num="2">
            <w:col w:w="5600" w:space="180"/>
            <w:col w:w="5640"/>
          </w:cols>
          <w:pgMar w:left="240" w:top="901" w:right="239" w:bottom="1440" w:gutter="0" w:footer="0" w:header="0"/>
          <w:type w:val="continuous"/>
        </w:sectPr>
      </w:pP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7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bookmarkStart w:id="87" w:name="page88"/>
    <w:bookmarkEnd w:id="87"/>
    <w:p>
      <w:pPr>
        <w:jc w:val="both"/>
        <w:ind w:left="4580" w:firstLine="5"/>
        <w:spacing w:after="0" w:line="255" w:lineRule="auto"/>
        <w:tabs>
          <w:tab w:leader="none" w:pos="4765"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584200</wp:posOffset>
            </wp:positionV>
            <wp:extent cx="7247255" cy="8450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7255" cy="8450580"/>
                    </a:xfrm>
                    <a:prstGeom prst="rect">
                      <a:avLst/>
                    </a:prstGeom>
                    <a:noFill/>
                  </pic:spPr>
                </pic:pic>
              </a:graphicData>
            </a:graphic>
          </wp:anchor>
        </w:drawing>
        <w:t>at or subsequent to such time, the business combination is approved by the Board of Directors and authorized at an annual or special meeting of stockholders, and not by written consent, by the affirmative vote of at least 66 2/3% of the outstanding voting stock of the Corporation which is not owned by the interested stockholder.</w:t>
      </w:r>
    </w:p>
    <w:p>
      <w:pPr>
        <w:spacing w:after="0" w:line="19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 For purposes of this Article XI, references to:</w:t>
      </w:r>
    </w:p>
    <w:p>
      <w:pPr>
        <w:spacing w:after="0" w:line="223" w:lineRule="exact"/>
        <w:rPr>
          <w:sz w:val="20"/>
          <w:szCs w:val="20"/>
          <w:color w:val="auto"/>
        </w:rPr>
      </w:pPr>
    </w:p>
    <w:p>
      <w:pPr>
        <w:jc w:val="both"/>
        <w:ind w:left="4580" w:firstLine="5"/>
        <w:spacing w:after="0" w:line="262" w:lineRule="auto"/>
        <w:tabs>
          <w:tab w:leader="none" w:pos="477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another person.</w:t>
      </w:r>
    </w:p>
    <w:p>
      <w:pPr>
        <w:spacing w:after="0" w:line="182" w:lineRule="exact"/>
        <w:rPr>
          <w:rFonts w:ascii="Arial" w:cs="Arial" w:eastAsia="Arial" w:hAnsi="Arial"/>
          <w:sz w:val="18"/>
          <w:szCs w:val="18"/>
          <w:color w:val="auto"/>
        </w:rPr>
      </w:pPr>
    </w:p>
    <w:p>
      <w:pPr>
        <w:ind w:left="4780" w:hanging="195"/>
        <w:spacing w:after="0"/>
        <w:tabs>
          <w:tab w:leader="none" w:pos="47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“associate,” when used to indicate a relationship with any person, means:</w:t>
      </w:r>
    </w:p>
    <w:p>
      <w:pPr>
        <w:spacing w:after="0" w:line="45" w:lineRule="exact"/>
        <w:rPr>
          <w:rFonts w:ascii="Arial" w:cs="Arial" w:eastAsia="Arial" w:hAnsi="Arial"/>
          <w:sz w:val="16"/>
          <w:szCs w:val="16"/>
          <w:color w:val="auto"/>
        </w:rPr>
      </w:pPr>
    </w:p>
    <w:p>
      <w:pPr>
        <w:jc w:val="both"/>
        <w:ind w:left="4580"/>
        <w:spacing w:after="0" w:line="268" w:lineRule="auto"/>
        <w:rPr>
          <w:rFonts w:ascii="Arial" w:cs="Arial" w:eastAsia="Arial" w:hAnsi="Arial"/>
          <w:sz w:val="16"/>
          <w:szCs w:val="16"/>
          <w:color w:val="auto"/>
        </w:rPr>
      </w:pPr>
      <w:r>
        <w:rPr>
          <w:rFonts w:ascii="Arial" w:cs="Arial" w:eastAsia="Arial" w:hAnsi="Arial"/>
          <w:sz w:val="17"/>
          <w:szCs w:val="17"/>
          <w:color w:val="auto"/>
        </w:rPr>
        <w:t>(i)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78" w:lineRule="exact"/>
        <w:rPr>
          <w:rFonts w:ascii="Arial" w:cs="Arial" w:eastAsia="Arial" w:hAnsi="Arial"/>
          <w:sz w:val="16"/>
          <w:szCs w:val="16"/>
          <w:color w:val="auto"/>
        </w:rPr>
      </w:pPr>
    </w:p>
    <w:p>
      <w:pPr>
        <w:ind w:left="4580" w:firstLine="5"/>
        <w:spacing w:after="0" w:line="275" w:lineRule="auto"/>
        <w:tabs>
          <w:tab w:leader="none" w:pos="475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“business combination,” when used in reference to the Corporation and any interested stockholder of the Corporation, means:</w:t>
      </w:r>
    </w:p>
    <w:p>
      <w:pPr>
        <w:spacing w:after="0" w:line="171" w:lineRule="exact"/>
        <w:rPr>
          <w:sz w:val="20"/>
          <w:szCs w:val="20"/>
          <w:color w:val="auto"/>
        </w:rPr>
      </w:pPr>
    </w:p>
    <w:p>
      <w:pPr>
        <w:jc w:val="both"/>
        <w:ind w:left="4580" w:firstLine="5"/>
        <w:spacing w:after="0" w:line="284" w:lineRule="auto"/>
        <w:tabs>
          <w:tab w:leader="none" w:pos="481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w:t>
      </w:r>
    </w:p>
    <w:p>
      <w:pPr>
        <w:spacing w:after="0" w:line="1" w:lineRule="exact"/>
        <w:rPr>
          <w:rFonts w:ascii="Arial" w:cs="Arial" w:eastAsia="Arial" w:hAnsi="Arial"/>
          <w:sz w:val="16"/>
          <w:szCs w:val="16"/>
          <w:color w:val="auto"/>
        </w:rPr>
      </w:pPr>
    </w:p>
    <w:p>
      <w:pPr>
        <w:ind w:left="4580"/>
        <w:spacing w:after="0"/>
        <w:rPr>
          <w:rFonts w:ascii="Arial" w:cs="Arial" w:eastAsia="Arial" w:hAnsi="Arial"/>
          <w:sz w:val="16"/>
          <w:szCs w:val="16"/>
          <w:color w:val="auto"/>
        </w:rPr>
      </w:pPr>
      <w:r>
        <w:rPr>
          <w:rFonts w:ascii="Arial" w:cs="Arial" w:eastAsia="Arial" w:hAnsi="Arial"/>
          <w:sz w:val="18"/>
          <w:szCs w:val="18"/>
          <w:color w:val="auto"/>
        </w:rPr>
        <w:t>(B) of this Article XI is not applicable to the surviving entity;</w:t>
      </w:r>
    </w:p>
    <w:p>
      <w:pPr>
        <w:spacing w:after="0" w:line="208" w:lineRule="exact"/>
        <w:rPr>
          <w:rFonts w:ascii="Arial" w:cs="Arial" w:eastAsia="Arial" w:hAnsi="Arial"/>
          <w:sz w:val="16"/>
          <w:szCs w:val="16"/>
          <w:color w:val="auto"/>
        </w:rPr>
      </w:pPr>
    </w:p>
    <w:p>
      <w:pPr>
        <w:jc w:val="both"/>
        <w:ind w:left="4580" w:firstLine="5"/>
        <w:spacing w:after="0" w:line="269" w:lineRule="auto"/>
        <w:tabs>
          <w:tab w:leader="none" w:pos="485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79" w:lineRule="exact"/>
        <w:rPr>
          <w:rFonts w:ascii="Arial" w:cs="Arial" w:eastAsia="Arial" w:hAnsi="Arial"/>
          <w:sz w:val="17"/>
          <w:szCs w:val="17"/>
          <w:color w:val="auto"/>
        </w:rPr>
      </w:pPr>
    </w:p>
    <w:p>
      <w:pPr>
        <w:jc w:val="both"/>
        <w:ind w:left="4580" w:firstLine="5"/>
        <w:spacing w:after="0" w:line="283" w:lineRule="auto"/>
        <w:tabs>
          <w:tab w:leader="none" w:pos="497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00"/>
          </w:cols>
          <w:pgMar w:left="1440" w:top="1080" w:right="259" w:bottom="1440" w:gutter="0" w:footer="0" w:header="0"/>
        </w:sectPr>
      </w:pPr>
    </w:p>
    <w:bookmarkStart w:id="88" w:name="page89"/>
    <w:bookmarkEnd w:id="88"/>
    <w:p>
      <w:pPr>
        <w:jc w:val="both"/>
        <w:ind w:left="4580" w:firstLine="5"/>
        <w:spacing w:after="0" w:line="289" w:lineRule="auto"/>
        <w:tabs>
          <w:tab w:leader="none" w:pos="4942"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584200</wp:posOffset>
            </wp:positionV>
            <wp:extent cx="7247255" cy="9952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7255" cy="9952990"/>
                    </a:xfrm>
                    <a:prstGeom prst="rect">
                      <a:avLst/>
                    </a:prstGeom>
                    <a:noFill/>
                  </pic:spPr>
                </pic:pic>
              </a:graphicData>
            </a:graphic>
          </wp:anchor>
        </w:drawing>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63" w:lineRule="exact"/>
        <w:rPr>
          <w:rFonts w:ascii="Arial" w:cs="Arial" w:eastAsia="Arial" w:hAnsi="Arial"/>
          <w:sz w:val="16"/>
          <w:szCs w:val="16"/>
          <w:color w:val="auto"/>
        </w:rPr>
      </w:pPr>
    </w:p>
    <w:p>
      <w:pPr>
        <w:jc w:val="both"/>
        <w:ind w:left="4580" w:firstLine="5"/>
        <w:spacing w:after="0" w:line="295" w:lineRule="auto"/>
        <w:tabs>
          <w:tab w:leader="none" w:pos="489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160" w:lineRule="exact"/>
        <w:rPr>
          <w:sz w:val="20"/>
          <w:szCs w:val="20"/>
          <w:color w:val="auto"/>
        </w:rPr>
      </w:pPr>
    </w:p>
    <w:p>
      <w:pPr>
        <w:jc w:val="both"/>
        <w:ind w:left="4580" w:firstLine="5"/>
        <w:spacing w:after="0" w:line="267" w:lineRule="auto"/>
        <w:tabs>
          <w:tab w:leader="none" w:pos="478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184" w:lineRule="exact"/>
        <w:rPr>
          <w:rFonts w:ascii="Arial" w:cs="Arial" w:eastAsia="Arial" w:hAnsi="Arial"/>
          <w:sz w:val="17"/>
          <w:szCs w:val="17"/>
          <w:color w:val="auto"/>
        </w:rPr>
      </w:pPr>
    </w:p>
    <w:p>
      <w:pPr>
        <w:jc w:val="both"/>
        <w:ind w:left="4580" w:firstLine="5"/>
        <w:spacing w:after="0" w:line="254" w:lineRule="auto"/>
        <w:tabs>
          <w:tab w:leader="none" w:pos="477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“Priority Holder Direct Transferee” means any person that acquires (other than in a registered public offering) directly from the Priority Holders or any of their successors or any “group,” or any member of any such group, of which such persons are a party under Rule 13d-5 of the Exchange Act beneficial ownership of 15% or more of the then outstanding voting stock of the Corporation.</w:t>
      </w:r>
    </w:p>
    <w:p>
      <w:pPr>
        <w:spacing w:after="0" w:line="191" w:lineRule="exact"/>
        <w:rPr>
          <w:rFonts w:ascii="Arial" w:cs="Arial" w:eastAsia="Arial" w:hAnsi="Arial"/>
          <w:sz w:val="18"/>
          <w:szCs w:val="18"/>
          <w:color w:val="auto"/>
        </w:rPr>
      </w:pPr>
    </w:p>
    <w:p>
      <w:pPr>
        <w:jc w:val="both"/>
        <w:ind w:left="4580" w:firstLine="5"/>
        <w:spacing w:after="0" w:line="255" w:lineRule="auto"/>
        <w:tabs>
          <w:tab w:leader="none" w:pos="476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“Priority Holder Indirect Transferee” means any person that acquires (other than in a registered public offering) directly from any Priority Holder Direct Transferee or any other Priority Holder Indirect Transferee beneficial ownership of 15% or more of the then outstanding voting stock of the Corporation.</w:t>
      </w:r>
    </w:p>
    <w:p>
      <w:pPr>
        <w:spacing w:after="0" w:line="190" w:lineRule="exact"/>
        <w:rPr>
          <w:rFonts w:ascii="Arial" w:cs="Arial" w:eastAsia="Arial" w:hAnsi="Arial"/>
          <w:sz w:val="18"/>
          <w:szCs w:val="18"/>
          <w:color w:val="auto"/>
        </w:rPr>
      </w:pPr>
    </w:p>
    <w:p>
      <w:pPr>
        <w:jc w:val="both"/>
        <w:ind w:left="4580" w:firstLine="5"/>
        <w:spacing w:after="0" w:line="283" w:lineRule="auto"/>
        <w:tabs>
          <w:tab w:leader="none" w:pos="477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(a) the Priority Holders, any Priority Holder Transferee, any Priority Holder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provided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387" w:lineRule="exact"/>
        <w:rPr>
          <w:rFonts w:ascii="Arial" w:cs="Arial" w:eastAsia="Arial" w:hAnsi="Arial"/>
          <w:sz w:val="16"/>
          <w:szCs w:val="16"/>
          <w:color w:val="auto"/>
        </w:rPr>
      </w:pPr>
    </w:p>
    <w:p>
      <w:pPr>
        <w:jc w:val="both"/>
        <w:ind w:left="4580" w:firstLine="5"/>
        <w:spacing w:after="0" w:line="262" w:lineRule="auto"/>
        <w:tabs>
          <w:tab w:leader="none" w:pos="47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stock, means a person that individually or with or through any of its Affiliates or associates:</w:t>
      </w:r>
    </w:p>
    <w:p>
      <w:pPr>
        <w:spacing w:after="0" w:line="18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 beneficially owns such stock, directly or indirectly; or</w:t>
      </w:r>
    </w:p>
    <w:p>
      <w:pPr>
        <w:sectPr>
          <w:pgSz w:w="11900" w:h="16838" w:orient="portrait"/>
          <w:cols w:equalWidth="0" w:num="1">
            <w:col w:w="10200"/>
          </w:cols>
          <w:pgMar w:left="1440" w:top="1080" w:right="259" w:bottom="0" w:gutter="0" w:footer="0" w:header="0"/>
        </w:sectPr>
      </w:pPr>
    </w:p>
    <w:bookmarkStart w:id="89" w:name="page90"/>
    <w:bookmarkEnd w:id="89"/>
    <w:p>
      <w:pPr>
        <w:jc w:val="center"/>
        <w:ind w:right="-4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28575</wp:posOffset>
            </wp:positionV>
            <wp:extent cx="7247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555" w:right="1440" w:bottom="1440" w:gutter="0" w:footer="0" w:header="0"/>
        </w:sectPr>
      </w:pPr>
    </w:p>
    <w:bookmarkStart w:id="90" w:name="page91"/>
    <w:bookmarkEnd w:id="90"/>
    <w:p>
      <w:pPr>
        <w:ind w:left="5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584200</wp:posOffset>
            </wp:positionV>
            <wp:extent cx="7247255" cy="3943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7255" cy="3943985"/>
                    </a:xfrm>
                    <a:prstGeom prst="rect">
                      <a:avLst/>
                    </a:prstGeom>
                    <a:noFill/>
                  </pic:spPr>
                </pic:pic>
              </a:graphicData>
            </a:graphic>
          </wp:anchor>
        </w:drawing>
        <w:t>(ii) has (a) the right to acquire such stock (whether such right is exercisable</w:t>
      </w:r>
    </w:p>
    <w:p>
      <w:pPr>
        <w:spacing w:after="0" w:line="46"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immediately or only after the passage of time) pursuant to any agreement,</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arrangement or understanding, or upon the exercise of conversion rights,</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exchange rights, warrants or options, or otherwise; provided, however, that a</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person shall not be deemed the owner of stock tendered pursuant to a tender</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or exchange offer made by such person or any of such person’s Affiliates or</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associates until such tendered stock is accepted for purchase or exchange; or</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(b) the right to vote such stock pursuant to any agreement, arrangement or</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understanding; provided, however, that a person shall not be deemed the</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owner of any stock because of such person’s right to vote such stock if the</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agreement, arrangement or understanding to vote such stock arises solely</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from a revocable proxy or consent given in response to a proxy or consent</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solicitation made to ten (10) or more persons; or</w:t>
      </w:r>
    </w:p>
    <w:p>
      <w:pPr>
        <w:spacing w:after="0" w:line="209"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(iii) has any agreement, arrangement or understanding for the purpose of</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acquiring, holding, voting (except voting pursuant to a revocable proxy or</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consent as described in item (b) of subsection (ii) above), or disposing of such</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stock with any other person that beneficially owns, or whose Affiliates or</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associates beneficially own, directly or indirectly, such stock.</w:t>
      </w:r>
    </w:p>
    <w:p>
      <w:pPr>
        <w:spacing w:after="0" w:line="209"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9. “person” means any individual, corporation, partnership, unincorporated</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association or other entity.</w:t>
      </w:r>
    </w:p>
    <w:p>
      <w:pPr>
        <w:spacing w:after="0" w:line="209"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10. “stock” means, with respect to any corporation, capital stock and, with</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respect to any other entity, any equity interest.</w:t>
      </w:r>
    </w:p>
    <w:p>
      <w:pPr>
        <w:spacing w:after="0" w:line="209"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11. “voting stock” means stock of any class or series entitled to vote generally</w:t>
      </w:r>
    </w:p>
    <w:p>
      <w:pPr>
        <w:spacing w:after="0" w:line="4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in the election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 Relating to the Section 203 Proposal</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amendment relating to the Section 203 Proposal is intended to shield stockholders from the coerciveness of front-end loaded two-tier offers by preventing the offeror from effecting the second step of the offer unless the target’s board of directors approves such transaction.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post-combination company will not be subject to Section 203 of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board of directors has elected to opt out of Section 203, but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third-party from acquiring “creeping control” of the Company without paying a fair premium to all stockholders. Thus, the board of directors has determined that the provisions included in Article XI of the Proposed Amended and Restated Certificate of Incorporation are in the best interests of the combined company.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91" w:name="page92"/>
    <w:bookmarkEnd w:id="91"/>
    <w:p>
      <w:pPr>
        <w:jc w:val="both"/>
        <w:spacing w:after="0" w:line="271" w:lineRule="auto"/>
        <w:rPr>
          <w:sz w:val="20"/>
          <w:szCs w:val="20"/>
          <w:color w:val="auto"/>
        </w:rPr>
      </w:pPr>
      <w:r>
        <w:rPr>
          <w:rFonts w:ascii="Arial" w:cs="Arial" w:eastAsia="Arial" w:hAnsi="Arial"/>
          <w:sz w:val="17"/>
          <w:szCs w:val="17"/>
          <w:color w:val="auto"/>
        </w:rPr>
        <w:t>Our Proposed Amended and Restated Certificate of Incorporation will contain provisions that have the same effect as Section 203, except that they provide that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and/or immediately following the Business Combination these parties will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Section 203 Proposal. Broker non-votes, abstentions or the failure to vote on this Section 203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Section 203 Proposal.</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Section 203 Proposal is conditioned upon the approval and completion of the Business Combination Proposal. If the Business Combination Proposal is not approved, this Section 203 Proposal will have no effect even if approved by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 OUR STOCKHOLDERS VOTE “FOR”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SECTION 203 PROPOSAL.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PROPOSAL NO. 6 - THE ADDITIONAL AMENDMENTS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stockholders are being asked to approve certain additional amendments to our Current Certificate of Incorporation to better reflect our ongoing operations subsequent to completion of the Business Combination, including to:</w:t>
      </w:r>
    </w:p>
    <w:p>
      <w:pPr>
        <w:spacing w:after="0" w:line="171" w:lineRule="exact"/>
        <w:rPr>
          <w:sz w:val="20"/>
          <w:szCs w:val="20"/>
          <w:color w:val="auto"/>
        </w:rPr>
      </w:pPr>
    </w:p>
    <w:p>
      <w:pPr>
        <w:ind w:left="660" w:hanging="330"/>
        <w:spacing w:after="0" w:line="275"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reflect that the Proposed Amended and Restated Certificate of Incorporation of the combined company will be the Second Amended and Restated Certificate of Incorporation;</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change the combined company’s name to “Priority Technology Holdings, Inc.”;</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change the registered office and address of the combined company;</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delete prior provisions relevant to the incorporator;</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amend general terms relating to the combined company’s preferred and common stock;</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remove certain provisions related to our status as a special purpose acquisition company and make certain related changes;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amend general terms relating to the election and removal of directors;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add certain terms with respect to meetings and special meetings;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add certain terms with respect to the appointment of officers of the combined company;</w:t>
      </w:r>
    </w:p>
    <w:p>
      <w:pPr>
        <w:spacing w:after="0" w:line="223" w:lineRule="exact"/>
        <w:rPr>
          <w:rFonts w:ascii="Arial" w:cs="Arial" w:eastAsia="Arial" w:hAnsi="Arial"/>
          <w:sz w:val="18"/>
          <w:szCs w:val="18"/>
          <w:color w:val="auto"/>
        </w:rPr>
      </w:pPr>
    </w:p>
    <w:p>
      <w:pPr>
        <w:ind w:left="660" w:right="20" w:hanging="330"/>
        <w:spacing w:after="0" w:line="306" w:lineRule="auto"/>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amend certain terms with respect to the indemnity and liability of the combined company’s officers and directors, including authorizing the combined company to purchase insurance, as well as to delete certain terms with respect to paying for indemnity and liability in advance;</w:t>
      </w:r>
    </w:p>
    <w:p>
      <w:pPr>
        <w:spacing w:after="0" w:line="146" w:lineRule="exact"/>
        <w:rPr>
          <w:rFonts w:ascii="Arial" w:cs="Arial" w:eastAsia="Arial" w:hAnsi="Arial"/>
          <w:sz w:val="17"/>
          <w:szCs w:val="17"/>
          <w:color w:val="auto"/>
        </w:rPr>
      </w:pPr>
    </w:p>
    <w:p>
      <w:pPr>
        <w:ind w:left="660" w:hanging="330"/>
        <w:spacing w:after="0"/>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add certain terms with respect to certain directors of the combined company pursuing outside business activities and corporate opportunities;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add certain terms with respect to the survival of certain certificate of incorporation provisions if some are held to be invalid;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add certain terms with respect to the certificate of incorporation’s forum selection clause.</w:t>
      </w:r>
    </w:p>
    <w:p>
      <w:pPr>
        <w:spacing w:after="0" w:line="223"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The amended provisions that become effective if the Priority Holders hold less than 40% of our outstanding shares of common stock will allow the Priority Holders to have significant influence over us even after the Priority Holders own less than a majority of our outstanding shares of common stock.</w:t>
      </w:r>
    </w:p>
    <w:p>
      <w:pPr>
        <w:spacing w:after="0" w:line="12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this Additional Amendments Proposal</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table sets forth a summary of the additional material differences between our Current Certificate of Incorporation and the Proposed Amended and Restated Certificate of Incorporation relating to this Additional Amendments Proposal, a copy of which is attached to this proxy statement/prospectus as Annex E. We urge all stockholders to read the Proposed Amended and Restated Certificate of Incorporation in its entirety for a more complete description of its terms.</w:t>
      </w:r>
    </w:p>
    <w:tbl>
      <w:tblPr>
        <w:tblLayout w:type="fixed"/>
        <w:tblInd w:w="10" w:type="dxa"/>
        <w:tblCellMar>
          <w:top w:w="0" w:type="dxa"/>
          <w:left w:w="0" w:type="dxa"/>
          <w:bottom w:w="0" w:type="dxa"/>
          <w:right w:w="0" w:type="dxa"/>
        </w:tblCellMar>
      </w:tblPr>
      <w:tr>
        <w:trPr>
          <w:trHeight w:val="175"/>
        </w:trPr>
        <w:tc>
          <w:tcPr>
            <w:tcW w:w="2640" w:type="dxa"/>
            <w:vAlign w:val="bottom"/>
            <w:tcBorders>
              <w:top w:val="single" w:sz="8" w:color="auto"/>
              <w:left w:val="single" w:sz="8" w:color="auto"/>
            </w:tcBorders>
          </w:tcPr>
          <w:p>
            <w:pPr>
              <w:spacing w:after="0"/>
              <w:rPr>
                <w:sz w:val="15"/>
                <w:szCs w:val="15"/>
                <w:color w:val="auto"/>
              </w:rPr>
            </w:pPr>
          </w:p>
        </w:tc>
        <w:tc>
          <w:tcPr>
            <w:tcW w:w="4740" w:type="dxa"/>
            <w:vAlign w:val="bottom"/>
            <w:tcBorders>
              <w:top w:val="single" w:sz="8" w:color="auto"/>
            </w:tcBorders>
          </w:tcPr>
          <w:p>
            <w:pPr>
              <w:spacing w:after="0"/>
              <w:rPr>
                <w:sz w:val="15"/>
                <w:szCs w:val="15"/>
                <w:color w:val="auto"/>
              </w:rPr>
            </w:pPr>
          </w:p>
        </w:tc>
        <w:tc>
          <w:tcPr>
            <w:tcW w:w="4040" w:type="dxa"/>
            <w:vAlign w:val="bottom"/>
            <w:tcBorders>
              <w:top w:val="single" w:sz="8" w:color="auto"/>
              <w:right w:val="single" w:sz="8" w:color="auto"/>
            </w:tcBorders>
          </w:tcPr>
          <w:p>
            <w:pPr>
              <w:ind w:left="360"/>
              <w:spacing w:after="0" w:line="175" w:lineRule="exact"/>
              <w:rPr>
                <w:sz w:val="20"/>
                <w:szCs w:val="20"/>
                <w:color w:val="auto"/>
              </w:rPr>
            </w:pPr>
            <w:r>
              <w:rPr>
                <w:rFonts w:ascii="Arial" w:cs="Arial" w:eastAsia="Arial" w:hAnsi="Arial"/>
                <w:sz w:val="18"/>
                <w:szCs w:val="18"/>
                <w:b w:val="1"/>
                <w:bCs w:val="1"/>
                <w:color w:val="auto"/>
                <w:w w:val="90"/>
              </w:rPr>
              <w:t>Proposed Amended and Restated Certificate of</w:t>
            </w:r>
          </w:p>
        </w:tc>
        <w:tc>
          <w:tcPr>
            <w:tcW w:w="0" w:type="dxa"/>
            <w:vAlign w:val="bottom"/>
          </w:tcPr>
          <w:p>
            <w:pPr>
              <w:spacing w:after="0"/>
              <w:rPr>
                <w:sz w:val="1"/>
                <w:szCs w:val="1"/>
                <w:color w:val="auto"/>
              </w:rPr>
            </w:pPr>
          </w:p>
        </w:tc>
      </w:tr>
      <w:tr>
        <w:trPr>
          <w:trHeight w:val="219"/>
        </w:trPr>
        <w:tc>
          <w:tcPr>
            <w:tcW w:w="2640" w:type="dxa"/>
            <w:vAlign w:val="bottom"/>
            <w:tcBorders>
              <w:lef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Title of Certificate</w:t>
            </w:r>
          </w:p>
        </w:tc>
        <w:tc>
          <w:tcPr>
            <w:tcW w:w="4740" w:type="dxa"/>
            <w:vAlign w:val="bottom"/>
          </w:tcPr>
          <w:p>
            <w:pPr>
              <w:ind w:left="1300"/>
              <w:spacing w:after="0"/>
              <w:rPr>
                <w:sz w:val="20"/>
                <w:szCs w:val="20"/>
                <w:color w:val="auto"/>
              </w:rPr>
            </w:pPr>
            <w:r>
              <w:rPr>
                <w:rFonts w:ascii="Arial" w:cs="Arial" w:eastAsia="Arial" w:hAnsi="Arial"/>
                <w:sz w:val="18"/>
                <w:szCs w:val="18"/>
                <w:b w:val="1"/>
                <w:bCs w:val="1"/>
                <w:color w:val="auto"/>
              </w:rPr>
              <w:t>Current Certificate of Incorporation</w:t>
            </w:r>
          </w:p>
        </w:tc>
        <w:tc>
          <w:tcPr>
            <w:tcW w:w="404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15"/>
        </w:trPr>
        <w:tc>
          <w:tcPr>
            <w:tcW w:w="2640" w:type="dxa"/>
            <w:vAlign w:val="bottom"/>
            <w:tcBorders>
              <w:left w:val="single" w:sz="8" w:color="auto"/>
            </w:tcBorders>
            <w:vMerge w:val="continue"/>
          </w:tcPr>
          <w:p>
            <w:pPr>
              <w:spacing w:after="0"/>
              <w:rPr>
                <w:sz w:val="18"/>
                <w:szCs w:val="18"/>
                <w:color w:val="auto"/>
              </w:rPr>
            </w:pPr>
          </w:p>
        </w:tc>
        <w:tc>
          <w:tcPr>
            <w:tcW w:w="4740" w:type="dxa"/>
            <w:vAlign w:val="bottom"/>
          </w:tcPr>
          <w:p>
            <w:pPr>
              <w:ind w:left="780"/>
              <w:spacing w:after="0"/>
              <w:rPr>
                <w:sz w:val="20"/>
                <w:szCs w:val="20"/>
                <w:color w:val="auto"/>
              </w:rPr>
            </w:pPr>
            <w:r>
              <w:rPr>
                <w:rFonts w:ascii="Arial" w:cs="Arial" w:eastAsia="Arial" w:hAnsi="Arial"/>
                <w:sz w:val="18"/>
                <w:szCs w:val="18"/>
                <w:color w:val="auto"/>
                <w:w w:val="99"/>
              </w:rPr>
              <w:t>The title was “Amended and Restate Certificate of</w:t>
            </w:r>
          </w:p>
        </w:tc>
        <w:tc>
          <w:tcPr>
            <w:tcW w:w="4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The  title  is  “Second  Amended  and  Restated</w:t>
            </w:r>
          </w:p>
        </w:tc>
        <w:tc>
          <w:tcPr>
            <w:tcW w:w="0" w:type="dxa"/>
            <w:vAlign w:val="bottom"/>
          </w:tcPr>
          <w:p>
            <w:pPr>
              <w:spacing w:after="0"/>
              <w:rPr>
                <w:sz w:val="1"/>
                <w:szCs w:val="1"/>
                <w:color w:val="auto"/>
              </w:rPr>
            </w:pPr>
          </w:p>
        </w:tc>
      </w:tr>
      <w:tr>
        <w:trPr>
          <w:trHeight w:val="215"/>
        </w:trPr>
        <w:tc>
          <w:tcPr>
            <w:tcW w:w="2640" w:type="dxa"/>
            <w:vAlign w:val="bottom"/>
            <w:tcBorders>
              <w:left w:val="single" w:sz="8" w:color="auto"/>
            </w:tcBorders>
          </w:tcPr>
          <w:p>
            <w:pPr>
              <w:spacing w:after="0"/>
              <w:rPr>
                <w:sz w:val="18"/>
                <w:szCs w:val="18"/>
                <w:color w:val="auto"/>
              </w:rPr>
            </w:pPr>
          </w:p>
        </w:tc>
        <w:tc>
          <w:tcPr>
            <w:tcW w:w="4740" w:type="dxa"/>
            <w:vAlign w:val="bottom"/>
          </w:tcPr>
          <w:p>
            <w:pPr>
              <w:ind w:left="780"/>
              <w:spacing w:after="0"/>
              <w:rPr>
                <w:sz w:val="20"/>
                <w:szCs w:val="20"/>
                <w:color w:val="auto"/>
              </w:rPr>
            </w:pPr>
            <w:r>
              <w:rPr>
                <w:rFonts w:ascii="Arial" w:cs="Arial" w:eastAsia="Arial" w:hAnsi="Arial"/>
                <w:sz w:val="18"/>
                <w:szCs w:val="18"/>
                <w:color w:val="auto"/>
              </w:rPr>
              <w:t>Incorporation of M I Acquisitions, Inc.”</w:t>
            </w:r>
          </w:p>
        </w:tc>
        <w:tc>
          <w:tcPr>
            <w:tcW w:w="4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Certificate of Incorporation of Priority Technology</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tcBorders>
          </w:tcPr>
          <w:p>
            <w:pPr>
              <w:spacing w:after="0"/>
              <w:rPr>
                <w:sz w:val="19"/>
                <w:szCs w:val="19"/>
                <w:color w:val="auto"/>
              </w:rPr>
            </w:pPr>
          </w:p>
        </w:tc>
        <w:tc>
          <w:tcPr>
            <w:tcW w:w="4740" w:type="dxa"/>
            <w:vAlign w:val="bottom"/>
          </w:tcPr>
          <w:p>
            <w:pPr>
              <w:spacing w:after="0"/>
              <w:rPr>
                <w:sz w:val="19"/>
                <w:szCs w:val="19"/>
                <w:color w:val="auto"/>
              </w:rPr>
            </w:pPr>
          </w:p>
        </w:tc>
        <w:tc>
          <w:tcPr>
            <w:tcW w:w="4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Holdings, Inc.”</w:t>
            </w:r>
          </w:p>
        </w:tc>
        <w:tc>
          <w:tcPr>
            <w:tcW w:w="0" w:type="dxa"/>
            <w:vAlign w:val="bottom"/>
          </w:tcPr>
          <w:p>
            <w:pPr>
              <w:spacing w:after="0"/>
              <w:rPr>
                <w:sz w:val="1"/>
                <w:szCs w:val="1"/>
                <w:color w:val="auto"/>
              </w:rPr>
            </w:pPr>
          </w:p>
        </w:tc>
      </w:tr>
      <w:tr>
        <w:trPr>
          <w:trHeight w:val="430"/>
        </w:trPr>
        <w:tc>
          <w:tcPr>
            <w:tcW w:w="26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Name of Corporation</w:t>
            </w:r>
          </w:p>
        </w:tc>
        <w:tc>
          <w:tcPr>
            <w:tcW w:w="4740" w:type="dxa"/>
            <w:vAlign w:val="bottom"/>
          </w:tcPr>
          <w:p>
            <w:pPr>
              <w:ind w:left="780"/>
              <w:spacing w:after="0"/>
              <w:rPr>
                <w:sz w:val="20"/>
                <w:szCs w:val="20"/>
                <w:color w:val="auto"/>
              </w:rPr>
            </w:pPr>
            <w:r>
              <w:rPr>
                <w:rFonts w:ascii="Arial" w:cs="Arial" w:eastAsia="Arial" w:hAnsi="Arial"/>
                <w:sz w:val="18"/>
                <w:szCs w:val="18"/>
                <w:color w:val="auto"/>
              </w:rPr>
              <w:t>Our name is “M I Acquisitions, Inc.”</w:t>
            </w:r>
          </w:p>
        </w:tc>
        <w:tc>
          <w:tcPr>
            <w:tcW w:w="4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Our name is “Priority Technology Holdings, Inc.”</w:t>
            </w:r>
          </w:p>
        </w:tc>
        <w:tc>
          <w:tcPr>
            <w:tcW w:w="0" w:type="dxa"/>
            <w:vAlign w:val="bottom"/>
          </w:tcPr>
          <w:p>
            <w:pPr>
              <w:spacing w:after="0"/>
              <w:rPr>
                <w:sz w:val="1"/>
                <w:szCs w:val="1"/>
                <w:color w:val="auto"/>
              </w:rPr>
            </w:pPr>
          </w:p>
        </w:tc>
      </w:tr>
      <w:tr>
        <w:trPr>
          <w:trHeight w:val="215"/>
        </w:trPr>
        <w:tc>
          <w:tcPr>
            <w:tcW w:w="2640" w:type="dxa"/>
            <w:vAlign w:val="bottom"/>
            <w:tcBorders>
              <w:left w:val="single" w:sz="8" w:color="auto"/>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6"/>
        </w:trPr>
        <w:tc>
          <w:tcPr>
            <w:tcW w:w="26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ind w:left="3000"/>
              <w:spacing w:after="0"/>
              <w:rPr>
                <w:sz w:val="20"/>
                <w:szCs w:val="20"/>
                <w:color w:val="auto"/>
              </w:rPr>
            </w:pPr>
            <w:r>
              <w:rPr>
                <w:rFonts w:ascii="Arial" w:cs="Arial" w:eastAsia="Arial" w:hAnsi="Arial"/>
                <w:sz w:val="18"/>
                <w:szCs w:val="18"/>
                <w:color w:val="auto"/>
              </w:rPr>
              <w:t>83</w:t>
            </w: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1" w:right="239" w:bottom="1440" w:gutter="0" w:footer="0" w:header="0"/>
        </w:sectPr>
      </w:pPr>
    </w:p>
    <w:bookmarkStart w:id="93" w:name="page94"/>
    <w:bookmarkEnd w:id="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1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Registered Office and Address</w:t>
            </w:r>
          </w:p>
        </w:tc>
        <w:tc>
          <w:tcPr>
            <w:tcW w:w="424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w w:val="98"/>
              </w:rPr>
              <w:t>The Current Certificate of Incorporation provides as</w:t>
            </w:r>
          </w:p>
        </w:tc>
        <w:tc>
          <w:tcPr>
            <w:tcW w:w="40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tcBorders>
          </w:tcPr>
          <w:p>
            <w:pPr>
              <w:spacing w:after="0"/>
              <w:rPr>
                <w:sz w:val="19"/>
                <w:szCs w:val="19"/>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follows: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Incorporation provides as follows:</w:t>
            </w:r>
          </w:p>
        </w:tc>
        <w:tc>
          <w:tcPr>
            <w:tcW w:w="0" w:type="dxa"/>
            <w:vAlign w:val="bottom"/>
          </w:tcPr>
          <w:p>
            <w:pPr>
              <w:spacing w:after="0"/>
              <w:rPr>
                <w:sz w:val="1"/>
                <w:szCs w:val="1"/>
                <w:color w:val="auto"/>
              </w:rPr>
            </w:pPr>
          </w:p>
        </w:tc>
      </w:tr>
      <w:tr>
        <w:trPr>
          <w:trHeight w:val="416"/>
        </w:trPr>
        <w:tc>
          <w:tcPr>
            <w:tcW w:w="3140" w:type="dxa"/>
            <w:vAlign w:val="bottom"/>
            <w:tcBorders>
              <w:left w:val="single" w:sz="8" w:color="auto"/>
            </w:tcBorders>
          </w:tcPr>
          <w:p>
            <w:pPr>
              <w:spacing w:after="0"/>
              <w:rPr>
                <w:sz w:val="24"/>
                <w:szCs w:val="24"/>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i w:val="1"/>
                <w:iCs w:val="1"/>
                <w:color w:val="auto"/>
                <w:w w:val="94"/>
              </w:rPr>
              <w:t xml:space="preserve">Article II. </w:t>
            </w:r>
            <w:r>
              <w:rPr>
                <w:rFonts w:ascii="Arial" w:cs="Arial" w:eastAsia="Arial" w:hAnsi="Arial"/>
                <w:sz w:val="18"/>
                <w:szCs w:val="18"/>
                <w:color w:val="auto"/>
                <w:w w:val="94"/>
              </w:rPr>
              <w:t>The registered office of the Corporation is to</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6"/>
              </w:rPr>
              <w:t xml:space="preserve">Article II. </w:t>
            </w:r>
            <w:r>
              <w:rPr>
                <w:rFonts w:ascii="Arial" w:cs="Arial" w:eastAsia="Arial" w:hAnsi="Arial"/>
                <w:sz w:val="18"/>
                <w:szCs w:val="18"/>
                <w:color w:val="auto"/>
                <w:w w:val="96"/>
              </w:rPr>
              <w:t>The address of the registered office of the</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be located at 28 Old Rudnick Lane, in the City of</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Corporation in the State of Delaware is 615 South</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4"/>
              </w:rPr>
              <w:t>Dover, in the County of Kent, in the State of Delaware</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DuPont Highway, in the City of Dover, in the County</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1"/>
              </w:rPr>
              <w:t>19901. The name of its registered agent at that address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of Kent, in the State of Delaware 19901. The name of</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is Corp1, Inc.</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its  registered  agent  at  that  address  is  National</w:t>
            </w: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Corporate Research, Ltd.</w:t>
            </w:r>
          </w:p>
        </w:tc>
        <w:tc>
          <w:tcPr>
            <w:tcW w:w="0" w:type="dxa"/>
            <w:vAlign w:val="bottom"/>
          </w:tcPr>
          <w:p>
            <w:pPr>
              <w:spacing w:after="0"/>
              <w:rPr>
                <w:sz w:val="1"/>
                <w:szCs w:val="1"/>
                <w:color w:val="auto"/>
              </w:rPr>
            </w:pPr>
          </w:p>
        </w:tc>
      </w:tr>
      <w:tr>
        <w:trPr>
          <w:trHeight w:val="416"/>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Incorporator Information</w:t>
            </w: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8"/>
              </w:rPr>
              <w:t>The Current Certificate of Incorporation provides as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There  is  no  applicable  language  in  the  Proposed</w:t>
            </w: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tcBorders>
          </w:tcPr>
          <w:p>
            <w:pPr>
              <w:spacing w:after="0"/>
              <w:rPr>
                <w:sz w:val="19"/>
                <w:szCs w:val="19"/>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follows: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Amended and Restated Certificate of Incorporation.</w:t>
            </w:r>
          </w:p>
        </w:tc>
        <w:tc>
          <w:tcPr>
            <w:tcW w:w="0" w:type="dxa"/>
            <w:vAlign w:val="bottom"/>
          </w:tcPr>
          <w:p>
            <w:pPr>
              <w:spacing w:after="0"/>
              <w:rPr>
                <w:sz w:val="1"/>
                <w:szCs w:val="1"/>
                <w:color w:val="auto"/>
              </w:rPr>
            </w:pPr>
          </w:p>
        </w:tc>
      </w:tr>
      <w:tr>
        <w:trPr>
          <w:trHeight w:val="416"/>
        </w:trPr>
        <w:tc>
          <w:tcPr>
            <w:tcW w:w="3140" w:type="dxa"/>
            <w:vAlign w:val="bottom"/>
            <w:tcBorders>
              <w:left w:val="single" w:sz="8" w:color="auto"/>
            </w:tcBorders>
          </w:tcPr>
          <w:p>
            <w:pPr>
              <w:spacing w:after="0"/>
              <w:rPr>
                <w:sz w:val="24"/>
                <w:szCs w:val="24"/>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i w:val="1"/>
                <w:iCs w:val="1"/>
                <w:color w:val="auto"/>
              </w:rPr>
              <w:t>Article IV</w:t>
            </w:r>
            <w:r>
              <w:rPr>
                <w:rFonts w:ascii="Arial" w:cs="Arial" w:eastAsia="Arial" w:hAnsi="Arial"/>
                <w:sz w:val="18"/>
                <w:szCs w:val="18"/>
                <w:color w:val="auto"/>
              </w:rPr>
              <w:t>. The name and mailing address  of  the</w:t>
            </w:r>
          </w:p>
        </w:tc>
        <w:tc>
          <w:tcPr>
            <w:tcW w:w="4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6"/>
              </w:rPr>
              <w:t>incorporator is: Jaszick Maldonado, c/o Loeb &amp; Loeb</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tcBorders>
          </w:tcPr>
          <w:p>
            <w:pPr>
              <w:spacing w:after="0"/>
              <w:rPr>
                <w:sz w:val="19"/>
                <w:szCs w:val="19"/>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LLP, 345 Park Avenue, New York NY 10154.</w:t>
            </w:r>
          </w:p>
        </w:tc>
        <w:tc>
          <w:tcPr>
            <w:tcW w:w="4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General Terms Relating to Preferred</w:t>
            </w: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8"/>
              </w:rPr>
              <w:t>The Current Certificate of Incorporation provides as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34"/>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and Common Stock</w:t>
            </w: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follows: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Incorporation provides as follows:</w:t>
            </w:r>
          </w:p>
        </w:tc>
        <w:tc>
          <w:tcPr>
            <w:tcW w:w="0" w:type="dxa"/>
            <w:vAlign w:val="bottom"/>
          </w:tcPr>
          <w:p>
            <w:pPr>
              <w:spacing w:after="0"/>
              <w:rPr>
                <w:sz w:val="1"/>
                <w:szCs w:val="1"/>
                <w:color w:val="auto"/>
              </w:rPr>
            </w:pPr>
          </w:p>
        </w:tc>
      </w:tr>
      <w:tr>
        <w:trPr>
          <w:trHeight w:val="430"/>
        </w:trPr>
        <w:tc>
          <w:tcPr>
            <w:tcW w:w="3140" w:type="dxa"/>
            <w:vAlign w:val="bottom"/>
            <w:tcBorders>
              <w:left w:val="single" w:sz="8" w:color="auto"/>
            </w:tcBorders>
          </w:tcPr>
          <w:p>
            <w:pPr>
              <w:spacing w:after="0"/>
              <w:rPr>
                <w:sz w:val="24"/>
                <w:szCs w:val="24"/>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i w:val="1"/>
                <w:iCs w:val="1"/>
                <w:color w:val="auto"/>
              </w:rPr>
              <w:t xml:space="preserve">Article </w:t>
            </w:r>
            <w:r>
              <w:rPr>
                <w:rFonts w:ascii="Arial" w:cs="Arial" w:eastAsia="Arial" w:hAnsi="Arial"/>
                <w:sz w:val="18"/>
                <w:szCs w:val="18"/>
                <w:color w:val="auto"/>
              </w:rPr>
              <w:t>V.</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Article IV.</w:t>
            </w:r>
          </w:p>
        </w:tc>
        <w:tc>
          <w:tcPr>
            <w:tcW w:w="0" w:type="dxa"/>
            <w:vAlign w:val="bottom"/>
          </w:tcPr>
          <w:p>
            <w:pPr>
              <w:spacing w:after="0"/>
              <w:rPr>
                <w:sz w:val="1"/>
                <w:szCs w:val="1"/>
                <w:color w:val="auto"/>
              </w:rPr>
            </w:pPr>
          </w:p>
        </w:tc>
      </w:tr>
      <w:tr>
        <w:trPr>
          <w:trHeight w:val="376"/>
        </w:trPr>
        <w:tc>
          <w:tcPr>
            <w:tcW w:w="3140" w:type="dxa"/>
            <w:vAlign w:val="bottom"/>
            <w:tcBorders>
              <w:left w:val="single" w:sz="8" w:color="auto"/>
            </w:tcBorders>
          </w:tcPr>
          <w:p>
            <w:pPr>
              <w:spacing w:after="0"/>
              <w:rPr>
                <w:sz w:val="24"/>
                <w:szCs w:val="24"/>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2"/>
              </w:rPr>
              <w:t>A. Preferred Stock. The Board of Directors is expressly</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  The  Board  of  Directors  is  hereby  expressly</w:t>
            </w:r>
          </w:p>
        </w:tc>
        <w:tc>
          <w:tcPr>
            <w:tcW w:w="0" w:type="dxa"/>
            <w:vAlign w:val="bottom"/>
          </w:tcPr>
          <w:p>
            <w:pPr>
              <w:spacing w:after="0"/>
              <w:rPr>
                <w:sz w:val="1"/>
                <w:szCs w:val="1"/>
                <w:color w:val="auto"/>
              </w:rPr>
            </w:pPr>
          </w:p>
        </w:tc>
      </w:tr>
      <w:tr>
        <w:trPr>
          <w:trHeight w:val="27"/>
        </w:trPr>
        <w:tc>
          <w:tcPr>
            <w:tcW w:w="31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c>
          <w:tcPr>
            <w:tcW w:w="4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1"/>
              </w:rPr>
              <w:t>authorized, by resolution or resolutions, to provide, out</w:t>
            </w:r>
          </w:p>
        </w:tc>
        <w:tc>
          <w:tcPr>
            <w:tcW w:w="0" w:type="dxa"/>
            <w:vAlign w:val="bottom"/>
          </w:tcPr>
          <w:p>
            <w:pPr>
              <w:spacing w:after="0" w:line="20" w:lineRule="exact"/>
              <w:rPr>
                <w:sz w:val="1"/>
                <w:szCs w:val="1"/>
                <w:color w:val="auto"/>
              </w:rPr>
            </w:pPr>
          </w:p>
        </w:tc>
      </w:tr>
      <w:tr>
        <w:trPr>
          <w:trHeight w:val="188"/>
        </w:trPr>
        <w:tc>
          <w:tcPr>
            <w:tcW w:w="3140" w:type="dxa"/>
            <w:vAlign w:val="bottom"/>
            <w:tcBorders>
              <w:left w:val="single" w:sz="8" w:color="auto"/>
            </w:tcBorders>
          </w:tcPr>
          <w:p>
            <w:pPr>
              <w:spacing w:after="0"/>
              <w:rPr>
                <w:sz w:val="16"/>
                <w:szCs w:val="16"/>
                <w:color w:val="auto"/>
              </w:rPr>
            </w:pPr>
          </w:p>
        </w:tc>
        <w:tc>
          <w:tcPr>
            <w:tcW w:w="424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90"/>
              </w:rPr>
              <w:t>granted authority to issue shares of the Preferred Stock,</w:t>
            </w:r>
          </w:p>
        </w:tc>
        <w:tc>
          <w:tcPr>
            <w:tcW w:w="4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6"/>
              </w:rPr>
              <w:t>in one or more series, and to fix for each such series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of the unissued shares of Preferred Stock, for one or</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such  voting  powers,  full  or  limited,  and  such</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more series of Preferred Stock and, with respect to</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7"/>
              </w:rPr>
              <w:t>designations, preferences and relative, participating,</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each such series, to fix, without further stockholder</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3"/>
              </w:rPr>
              <w:t>optional or other special rights and such qualifications,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approval, the designation, powers, preferences and</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3"/>
              </w:rPr>
              <w:t>limitations or restrictions thereof as shall be stated and</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relative, participating, optional or other special rights,</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5"/>
              </w:rPr>
              <w:t>expressed in the resolution or resolutions adopted by</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including  voting  powers  and  rights,  and  the</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6"/>
              </w:rPr>
              <w:t>the Board of Directors providing for the issue of such</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qualifications, limitations or restrictions thereof, of</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1"/>
              </w:rPr>
              <w:t>series (a “Preferred Stock Designation”) and as may be</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each series of Preferred Stock pursuant to Section 151</w:t>
            </w:r>
          </w:p>
        </w:tc>
        <w:tc>
          <w:tcPr>
            <w:tcW w:w="0" w:type="dxa"/>
            <w:vAlign w:val="bottom"/>
          </w:tcPr>
          <w:p>
            <w:pPr>
              <w:spacing w:after="0"/>
              <w:rPr>
                <w:sz w:val="1"/>
                <w:szCs w:val="1"/>
                <w:color w:val="auto"/>
              </w:rPr>
            </w:pPr>
          </w:p>
        </w:tc>
      </w:tr>
      <w:tr>
        <w:trPr>
          <w:trHeight w:val="255"/>
        </w:trPr>
        <w:tc>
          <w:tcPr>
            <w:tcW w:w="3140" w:type="dxa"/>
            <w:vAlign w:val="bottom"/>
            <w:tcBorders>
              <w:left w:val="single" w:sz="8" w:color="auto"/>
            </w:tcBorders>
          </w:tcPr>
          <w:p>
            <w:pPr>
              <w:spacing w:after="0"/>
              <w:rPr>
                <w:sz w:val="22"/>
                <w:szCs w:val="22"/>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permitted by the GCL. The number of authorized</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 the GCL.</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9"/>
              </w:rPr>
              <w:t>shares  of  Preferred  Stock  may  be  increased  or</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2"/>
              </w:rPr>
              <w:t>decreased (but not below the number of shares thereof</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3"/>
              </w:rPr>
              <w:t>then outstanding) by the affirmative vote of the holders</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of a majority of the voting power of all of the then</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outstanding  shares  of  the  capital  stock  of  the</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3"/>
              </w:rPr>
              <w:t>Corporation entitled to vote generally in the election of</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6"/>
              </w:rPr>
              <w:t>directors, voting together as a single class, without a</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4"/>
              </w:rPr>
              <w:t>separate vote of the holders of the Preferred Stock, or</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2"/>
              </w:rPr>
              <w:t>any series thereof, unless a vote of any such holders is</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tcBorders>
              <w:left w:val="single" w:sz="8" w:color="auto"/>
              <w:bottom w:val="single" w:sz="8" w:color="auto"/>
            </w:tcBorders>
          </w:tcPr>
          <w:p>
            <w:pPr>
              <w:spacing w:after="0"/>
              <w:rPr>
                <w:sz w:val="19"/>
                <w:szCs w:val="19"/>
                <w:color w:val="auto"/>
              </w:rPr>
            </w:pPr>
          </w:p>
        </w:tc>
        <w:tc>
          <w:tcPr>
            <w:tcW w:w="4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3"/>
              </w:rPr>
              <w:t>required pursuant to any Preferred Stock Designation.</w:t>
            </w:r>
          </w:p>
        </w:tc>
        <w:tc>
          <w:tcPr>
            <w:tcW w:w="4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39"/>
        </w:trPr>
        <w:tc>
          <w:tcPr>
            <w:tcW w:w="3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84</w:t>
            </w: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1" w:right="239" w:bottom="1440" w:gutter="0" w:footer="0" w:header="0"/>
        </w:sectPr>
      </w:pPr>
    </w:p>
    <w:bookmarkStart w:id="94" w:name="page95"/>
    <w:bookmarkEnd w:id="9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7380" w:type="dxa"/>
            <w:vAlign w:val="bottom"/>
            <w:tcBorders>
              <w:top w:val="single" w:sz="8" w:color="auto"/>
              <w:left w:val="single" w:sz="8" w:color="auto"/>
            </w:tcBorders>
            <w:gridSpan w:val="3"/>
          </w:tcPr>
          <w:p>
            <w:pPr>
              <w:ind w:left="3320"/>
              <w:spacing w:after="0" w:line="189" w:lineRule="exact"/>
              <w:rPr>
                <w:sz w:val="20"/>
                <w:szCs w:val="20"/>
                <w:color w:val="auto"/>
              </w:rPr>
            </w:pPr>
            <w:r>
              <w:rPr>
                <w:rFonts w:ascii="Arial" w:cs="Arial" w:eastAsia="Arial" w:hAnsi="Arial"/>
                <w:sz w:val="18"/>
                <w:szCs w:val="18"/>
                <w:color w:val="auto"/>
                <w:w w:val="98"/>
              </w:rPr>
              <w:t>B. Common Stock. Except as otherwise required by</w:t>
            </w:r>
          </w:p>
        </w:tc>
        <w:tc>
          <w:tcPr>
            <w:tcW w:w="404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4"/>
              </w:rPr>
              <w:t>B. Each holder of record of Common Stock, as such,</w:t>
            </w:r>
          </w:p>
        </w:tc>
        <w:tc>
          <w:tcPr>
            <w:tcW w:w="0" w:type="dxa"/>
            <w:vAlign w:val="bottom"/>
          </w:tcPr>
          <w:p>
            <w:pPr>
              <w:spacing w:after="0"/>
              <w:rPr>
                <w:sz w:val="1"/>
                <w:szCs w:val="1"/>
                <w:color w:val="auto"/>
              </w:rPr>
            </w:pPr>
          </w:p>
        </w:tc>
      </w:tr>
      <w:tr>
        <w:trPr>
          <w:trHeight w:val="20"/>
        </w:trPr>
        <w:tc>
          <w:tcPr>
            <w:tcW w:w="3560" w:type="dxa"/>
            <w:vAlign w:val="bottom"/>
            <w:tcBorders>
              <w:lef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4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380" w:type="dxa"/>
            <w:vAlign w:val="bottom"/>
            <w:tcBorders>
              <w:left w:val="single" w:sz="8" w:color="auto"/>
            </w:tcBorders>
            <w:gridSpan w:val="3"/>
          </w:tcPr>
          <w:p>
            <w:pPr>
              <w:ind w:left="3320"/>
              <w:spacing w:after="0" w:line="182" w:lineRule="exact"/>
              <w:rPr>
                <w:sz w:val="20"/>
                <w:szCs w:val="20"/>
                <w:color w:val="auto"/>
              </w:rPr>
            </w:pPr>
            <w:r>
              <w:rPr>
                <w:rFonts w:ascii="Arial" w:cs="Arial" w:eastAsia="Arial" w:hAnsi="Arial"/>
                <w:sz w:val="18"/>
                <w:szCs w:val="18"/>
                <w:color w:val="auto"/>
                <w:w w:val="98"/>
              </w:rPr>
              <w:t>law or as otherwise provided in any Preferred Stock</w:t>
            </w:r>
          </w:p>
        </w:tc>
        <w:tc>
          <w:tcPr>
            <w:tcW w:w="40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80" w:type="dxa"/>
            <w:vAlign w:val="bottom"/>
            <w:tcBorders>
              <w:left w:val="single" w:sz="8" w:color="auto"/>
            </w:tcBorders>
            <w:gridSpan w:val="3"/>
          </w:tcPr>
          <w:p>
            <w:pPr>
              <w:ind w:left="3320"/>
              <w:spacing w:after="0"/>
              <w:rPr>
                <w:sz w:val="20"/>
                <w:szCs w:val="20"/>
                <w:color w:val="auto"/>
              </w:rPr>
            </w:pPr>
            <w:r>
              <w:rPr>
                <w:rFonts w:ascii="Arial" w:cs="Arial" w:eastAsia="Arial" w:hAnsi="Arial"/>
                <w:sz w:val="18"/>
                <w:szCs w:val="18"/>
                <w:color w:val="auto"/>
                <w:w w:val="97"/>
              </w:rPr>
              <w:t>Designation, the holders of the Common Stock shall</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shall have one vote for each share of Common Stock</w:t>
            </w:r>
          </w:p>
        </w:tc>
        <w:tc>
          <w:tcPr>
            <w:tcW w:w="0" w:type="dxa"/>
            <w:vAlign w:val="bottom"/>
          </w:tcPr>
          <w:p>
            <w:pPr>
              <w:spacing w:after="0"/>
              <w:rPr>
                <w:sz w:val="1"/>
                <w:szCs w:val="1"/>
                <w:color w:val="auto"/>
              </w:rPr>
            </w:pPr>
          </w:p>
        </w:tc>
      </w:tr>
      <w:tr>
        <w:trPr>
          <w:trHeight w:val="215"/>
        </w:trPr>
        <w:tc>
          <w:tcPr>
            <w:tcW w:w="7380" w:type="dxa"/>
            <w:vAlign w:val="bottom"/>
            <w:tcBorders>
              <w:left w:val="single" w:sz="8" w:color="auto"/>
            </w:tcBorders>
            <w:gridSpan w:val="3"/>
          </w:tcPr>
          <w:p>
            <w:pPr>
              <w:ind w:left="3320"/>
              <w:spacing w:after="0"/>
              <w:rPr>
                <w:sz w:val="20"/>
                <w:szCs w:val="20"/>
                <w:color w:val="auto"/>
              </w:rPr>
            </w:pPr>
            <w:r>
              <w:rPr>
                <w:rFonts w:ascii="Arial" w:cs="Arial" w:eastAsia="Arial" w:hAnsi="Arial"/>
                <w:sz w:val="18"/>
                <w:szCs w:val="18"/>
                <w:color w:val="auto"/>
                <w:w w:val="92"/>
              </w:rPr>
              <w:t>exclusively possess all voting power and each share of</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which is outstanding in his, her or its name on the</w:t>
            </w:r>
          </w:p>
        </w:tc>
        <w:tc>
          <w:tcPr>
            <w:tcW w:w="0" w:type="dxa"/>
            <w:vAlign w:val="bottom"/>
          </w:tcPr>
          <w:p>
            <w:pPr>
              <w:spacing w:after="0"/>
              <w:rPr>
                <w:sz w:val="1"/>
                <w:szCs w:val="1"/>
                <w:color w:val="auto"/>
              </w:rPr>
            </w:pPr>
          </w:p>
        </w:tc>
      </w:tr>
      <w:tr>
        <w:trPr>
          <w:trHeight w:val="215"/>
        </w:trPr>
        <w:tc>
          <w:tcPr>
            <w:tcW w:w="7380" w:type="dxa"/>
            <w:vAlign w:val="bottom"/>
            <w:tcBorders>
              <w:left w:val="single" w:sz="8" w:color="auto"/>
            </w:tcBorders>
            <w:gridSpan w:val="3"/>
          </w:tcPr>
          <w:p>
            <w:pPr>
              <w:ind w:left="3320"/>
              <w:spacing w:after="0"/>
              <w:rPr>
                <w:sz w:val="20"/>
                <w:szCs w:val="20"/>
                <w:color w:val="auto"/>
              </w:rPr>
            </w:pPr>
            <w:r>
              <w:rPr>
                <w:rFonts w:ascii="Arial" w:cs="Arial" w:eastAsia="Arial" w:hAnsi="Arial"/>
                <w:sz w:val="18"/>
                <w:szCs w:val="18"/>
                <w:color w:val="auto"/>
              </w:rPr>
              <w:t>Common Stock shall have one vote.</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books of the Corporation on all matters on which</w:t>
            </w:r>
          </w:p>
        </w:tc>
        <w:tc>
          <w:tcPr>
            <w:tcW w:w="0" w:type="dxa"/>
            <w:vAlign w:val="bottom"/>
          </w:tcPr>
          <w:p>
            <w:pPr>
              <w:spacing w:after="0"/>
              <w:rPr>
                <w:sz w:val="1"/>
                <w:szCs w:val="1"/>
                <w:color w:val="auto"/>
              </w:rPr>
            </w:pPr>
          </w:p>
        </w:tc>
      </w:tr>
      <w:tr>
        <w:trPr>
          <w:trHeight w:val="201"/>
        </w:trPr>
        <w:tc>
          <w:tcPr>
            <w:tcW w:w="356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0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4"/>
              </w:rPr>
              <w:t>stockholders are entitled to vote generally. Except as</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otherwise required by law, holders of Common Stock</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shall not be entitled to vote on any amendment to this</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Certificate of Incorporation (including any certificate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of designation relating to any series of Preferred Stock)</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that  relates  solely  to  the  terms  of  one  or  more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outstanding series of Preferred Stock if the holders of</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such affected series are entitled, either separately or</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together with the holders of one or more other such</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series, to vote thereon pursuant to this Certificate of</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Incorporation (including any certificate of designation</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relating to any series of Preferred Stock) or pursuant to</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GCL.</w:t>
            </w:r>
          </w:p>
        </w:tc>
        <w:tc>
          <w:tcPr>
            <w:tcW w:w="0" w:type="dxa"/>
            <w:vAlign w:val="bottom"/>
          </w:tcPr>
          <w:p>
            <w:pPr>
              <w:spacing w:after="0"/>
              <w:rPr>
                <w:sz w:val="1"/>
                <w:szCs w:val="1"/>
                <w:color w:val="auto"/>
              </w:rPr>
            </w:pPr>
          </w:p>
        </w:tc>
      </w:tr>
      <w:tr>
        <w:trPr>
          <w:trHeight w:val="416"/>
        </w:trPr>
        <w:tc>
          <w:tcPr>
            <w:tcW w:w="356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 Except as otherwise required by law, holders of any</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series of Preferred Stock shall be entitled to only such</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voting rights, if any, as shall expressly be granted</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thereto by this Certificate of Incorporation (including</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any certificate of designation relating to such series of</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Preferred Stock).</w:t>
            </w:r>
          </w:p>
        </w:tc>
        <w:tc>
          <w:tcPr>
            <w:tcW w:w="0" w:type="dxa"/>
            <w:vAlign w:val="bottom"/>
          </w:tcPr>
          <w:p>
            <w:pPr>
              <w:spacing w:after="0"/>
              <w:rPr>
                <w:sz w:val="1"/>
                <w:szCs w:val="1"/>
                <w:color w:val="auto"/>
              </w:rPr>
            </w:pPr>
          </w:p>
        </w:tc>
      </w:tr>
      <w:tr>
        <w:trPr>
          <w:trHeight w:val="416"/>
        </w:trPr>
        <w:tc>
          <w:tcPr>
            <w:tcW w:w="356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D. Subject to applicable law and the rights, if any, of</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holders of any outstanding series of Preferred</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Stock  or  any  class  or  series  of  stock  having  a</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preference over or the right to participate with the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Common  Stock  with  respect  to  the  payment  of</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dividends, dividends may be declared and paid ratably</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on  the  Common  Stock  out  of  the  assets  of  the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Corporation  which  are  legally  available  for  this</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purpose at such times and in such amounts as the</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Board of Directors in its discretion shall determine.</w:t>
            </w:r>
          </w:p>
        </w:tc>
        <w:tc>
          <w:tcPr>
            <w:tcW w:w="0" w:type="dxa"/>
            <w:vAlign w:val="bottom"/>
          </w:tcPr>
          <w:p>
            <w:pPr>
              <w:spacing w:after="0"/>
              <w:rPr>
                <w:sz w:val="1"/>
                <w:szCs w:val="1"/>
                <w:color w:val="auto"/>
              </w:rPr>
            </w:pPr>
          </w:p>
        </w:tc>
      </w:tr>
      <w:tr>
        <w:trPr>
          <w:trHeight w:val="416"/>
        </w:trPr>
        <w:tc>
          <w:tcPr>
            <w:tcW w:w="356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E. Upon the dissolution, liquidation or winding up of</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the  Corporation,  after  payment  or  provision  for</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payment  of  the  debts  and  other  liabilities  of  the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Corporation and subject to the rights, if any, of the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holders of any outstanding series of Preferred Stock or</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any class or series of stock having a preference over or</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the right to participate with the Common Stock with</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respect to the distribution of assets of the Corporation</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upon such dissolution, liquidation or winding up of the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Corporation, the holders of Common Stock shall be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entitled  to  receive  the  remaining  assets  of  the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Corporation   available   for   distribution   to   its</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stockholders ratably in proportion to the number of</w:t>
            </w:r>
          </w:p>
        </w:tc>
        <w:tc>
          <w:tcPr>
            <w:tcW w:w="0" w:type="dxa"/>
            <w:vAlign w:val="bottom"/>
          </w:tcPr>
          <w:p>
            <w:pPr>
              <w:spacing w:after="0"/>
              <w:rPr>
                <w:sz w:val="1"/>
                <w:szCs w:val="1"/>
                <w:color w:val="auto"/>
              </w:rPr>
            </w:pPr>
          </w:p>
        </w:tc>
      </w:tr>
      <w:tr>
        <w:trPr>
          <w:trHeight w:val="229"/>
        </w:trPr>
        <w:tc>
          <w:tcPr>
            <w:tcW w:w="3560" w:type="dxa"/>
            <w:vAlign w:val="bottom"/>
            <w:tcBorders>
              <w:left w:val="single" w:sz="8" w:color="auto"/>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40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shares held by them.</w:t>
            </w:r>
          </w:p>
        </w:tc>
        <w:tc>
          <w:tcPr>
            <w:tcW w:w="0" w:type="dxa"/>
            <w:vAlign w:val="bottom"/>
          </w:tcPr>
          <w:p>
            <w:pPr>
              <w:spacing w:after="0"/>
              <w:rPr>
                <w:sz w:val="1"/>
                <w:szCs w:val="1"/>
                <w:color w:val="auto"/>
              </w:rPr>
            </w:pPr>
          </w:p>
        </w:tc>
      </w:tr>
      <w:tr>
        <w:trPr>
          <w:trHeight w:val="639"/>
        </w:trPr>
        <w:tc>
          <w:tcPr>
            <w:tcW w:w="7380" w:type="dxa"/>
            <w:vAlign w:val="bottom"/>
            <w:tcBorders>
              <w:bottom w:val="single" w:sz="8" w:color="auto"/>
            </w:tcBorders>
            <w:gridSpan w:val="3"/>
          </w:tcPr>
          <w:p>
            <w:pPr>
              <w:ind w:left="5640"/>
              <w:spacing w:after="0"/>
              <w:rPr>
                <w:sz w:val="20"/>
                <w:szCs w:val="20"/>
                <w:color w:val="auto"/>
              </w:rPr>
            </w:pPr>
            <w:r>
              <w:rPr>
                <w:rFonts w:ascii="Arial" w:cs="Arial" w:eastAsia="Arial" w:hAnsi="Arial"/>
                <w:sz w:val="18"/>
                <w:szCs w:val="18"/>
                <w:color w:val="auto"/>
              </w:rPr>
              <w:t>85</w:t>
            </w: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9" w:right="2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Provisions Specific to a Special Purpose Acquisition Company</w:t>
      </w:r>
    </w:p>
    <w:p>
      <w:pPr>
        <w:spacing w:after="0" w:line="20" w:lineRule="exact"/>
        <w:rPr>
          <w:sz w:val="20"/>
          <w:szCs w:val="20"/>
          <w:color w:val="auto"/>
        </w:rPr>
      </w:pPr>
      <w:r>
        <w:rPr>
          <w:sz w:val="20"/>
          <w:szCs w:val="20"/>
          <w:color w:val="auto"/>
        </w:rPr>
        <w:br w:type="column"/>
      </w:r>
    </w:p>
    <w:p>
      <w:pPr>
        <w:ind w:left="4200"/>
        <w:spacing w:after="0"/>
        <w:rPr>
          <w:sz w:val="20"/>
          <w:szCs w:val="20"/>
          <w:color w:val="auto"/>
        </w:rPr>
      </w:pPr>
      <w:r>
        <w:rPr>
          <w:rFonts w:ascii="Arial" w:cs="Arial" w:eastAsia="Arial" w:hAnsi="Arial"/>
          <w:sz w:val="16"/>
          <w:szCs w:val="16"/>
          <w:color w:val="auto"/>
        </w:rPr>
        <w:t>F. The number of authorized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-115570</wp:posOffset>
            </wp:positionV>
            <wp:extent cx="7247255" cy="4114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7255" cy="4114165"/>
                    </a:xfrm>
                    <a:prstGeom prst="rect">
                      <a:avLst/>
                    </a:prstGeom>
                    <a:noFill/>
                  </pic:spPr>
                </pic:pic>
              </a:graphicData>
            </a:graphic>
          </wp:anchor>
        </w:drawing>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or Common Stock may be increased or decreased (but</w:t>
      </w:r>
    </w:p>
    <w:p>
      <w:pPr>
        <w:spacing w:after="0" w:line="43" w:lineRule="exact"/>
        <w:rPr>
          <w:sz w:val="20"/>
          <w:szCs w:val="20"/>
          <w:color w:val="auto"/>
        </w:rPr>
      </w:pPr>
    </w:p>
    <w:p>
      <w:pPr>
        <w:ind w:left="4200"/>
        <w:spacing w:after="0"/>
        <w:tabs>
          <w:tab w:leader="none" w:pos="4540" w:val="left"/>
          <w:tab w:leader="none" w:pos="5140" w:val="left"/>
          <w:tab w:leader="none" w:pos="5500" w:val="left"/>
          <w:tab w:leader="none" w:pos="6200" w:val="left"/>
          <w:tab w:leader="none" w:pos="6500" w:val="left"/>
          <w:tab w:leader="none" w:pos="7100" w:val="left"/>
          <w:tab w:leader="none" w:pos="7740" w:val="left"/>
        </w:tabs>
        <w:rPr>
          <w:sz w:val="20"/>
          <w:szCs w:val="20"/>
          <w:color w:val="auto"/>
        </w:rPr>
      </w:pPr>
      <w:r>
        <w:rPr>
          <w:rFonts w:ascii="Arial" w:cs="Arial" w:eastAsia="Arial" w:hAnsi="Arial"/>
          <w:sz w:val="18"/>
          <w:szCs w:val="18"/>
          <w:color w:val="auto"/>
        </w:rPr>
        <w:t>not</w:t>
        <w:tab/>
        <w:t>below</w:t>
        <w:tab/>
        <w:t>the</w:t>
        <w:tab/>
        <w:t>number</w:t>
        <w:tab/>
        <w:t>of</w:t>
        <w:tab/>
        <w:t>shares</w:t>
        <w:tab/>
        <w:t>thereof</w:t>
      </w:r>
      <w:r>
        <w:rPr>
          <w:sz w:val="20"/>
          <w:szCs w:val="20"/>
          <w:color w:val="auto"/>
        </w:rPr>
        <w:tab/>
      </w:r>
      <w:r>
        <w:rPr>
          <w:rFonts w:ascii="Arial" w:cs="Arial" w:eastAsia="Arial" w:hAnsi="Arial"/>
          <w:sz w:val="16"/>
          <w:szCs w:val="16"/>
          <w:color w:val="auto"/>
        </w:rPr>
        <w:t>then</w:t>
      </w:r>
    </w:p>
    <w:p>
      <w:pPr>
        <w:spacing w:after="0" w:line="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outstanding) by the affirmative vote of the holders of</w:t>
      </w:r>
    </w:p>
    <w:p>
      <w:pPr>
        <w:spacing w:after="0" w:line="3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 majority in voting power of the stock of the</w:t>
      </w:r>
    </w:p>
    <w:p>
      <w:pPr>
        <w:spacing w:after="0" w:line="8"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Corporation entitled to vote thereon irrespective of</w:t>
      </w:r>
    </w:p>
    <w:p>
      <w:pPr>
        <w:spacing w:after="0" w:line="2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the provisions of Section 242(b)(2) of the GCL (or</w:t>
      </w:r>
    </w:p>
    <w:p>
      <w:pPr>
        <w:spacing w:after="0" w:line="2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any successor provision thereto), and no vote of the</w:t>
      </w:r>
    </w:p>
    <w:p>
      <w:pPr>
        <w:spacing w:after="0" w:line="3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holders of any of the Common Stock or the Preferred</w:t>
      </w:r>
    </w:p>
    <w:p>
      <w:pPr>
        <w:spacing w:after="0" w:line="3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Stock voting separately as a class shall be required</w:t>
      </w:r>
    </w:p>
    <w:p>
      <w:pPr>
        <w:spacing w:after="0" w:line="2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therefor, unless a vote of any such holder is required</w:t>
      </w:r>
    </w:p>
    <w:p>
      <w:pPr>
        <w:spacing w:after="0" w:line="31" w:lineRule="exact"/>
        <w:rPr>
          <w:sz w:val="20"/>
          <w:szCs w:val="20"/>
          <w:color w:val="auto"/>
        </w:rPr>
      </w:pPr>
    </w:p>
    <w:p>
      <w:pPr>
        <w:ind w:left="4200"/>
        <w:spacing w:after="0"/>
        <w:tabs>
          <w:tab w:leader="none" w:pos="4980" w:val="left"/>
          <w:tab w:leader="none" w:pos="5320" w:val="left"/>
          <w:tab w:leader="none" w:pos="5780" w:val="left"/>
          <w:tab w:leader="none" w:pos="6740" w:val="left"/>
          <w:tab w:leader="none" w:pos="7080" w:val="left"/>
        </w:tabs>
        <w:rPr>
          <w:sz w:val="20"/>
          <w:szCs w:val="20"/>
          <w:color w:val="auto"/>
        </w:rPr>
      </w:pPr>
      <w:r>
        <w:rPr>
          <w:rFonts w:ascii="Arial" w:cs="Arial" w:eastAsia="Arial" w:hAnsi="Arial"/>
          <w:sz w:val="18"/>
          <w:szCs w:val="18"/>
          <w:color w:val="auto"/>
        </w:rPr>
        <w:t>pursuant</w:t>
        <w:tab/>
        <w:t>to</w:t>
        <w:tab/>
        <w:t>this</w:t>
        <w:tab/>
        <w:t>Certificate</w:t>
        <w:tab/>
        <w:t>of</w:t>
      </w:r>
      <w:r>
        <w:rPr>
          <w:sz w:val="20"/>
          <w:szCs w:val="20"/>
          <w:color w:val="auto"/>
        </w:rPr>
        <w:tab/>
      </w:r>
      <w:r>
        <w:rPr>
          <w:rFonts w:ascii="Arial" w:cs="Arial" w:eastAsia="Arial" w:hAnsi="Arial"/>
          <w:sz w:val="16"/>
          <w:szCs w:val="16"/>
          <w:color w:val="auto"/>
        </w:rPr>
        <w:t>Incorporation</w:t>
      </w:r>
    </w:p>
    <w:p>
      <w:pPr>
        <w:spacing w:after="0" w:line="8"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(including any certificate of designation relating to</w:t>
      </w:r>
    </w:p>
    <w:p>
      <w:pPr>
        <w:spacing w:after="0" w:line="2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any series of Preferred Stock).</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Article VI sets forth various provisions related to our The Proposed Amended and Restated Certificate of operations as a special purpose acquisition company Incorporation will not include provisions similar to prior to the consummation of an initial business Article VI of the Current Certificate of Incorporation. combination, including provisions relating to our Trust</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Account and distributions from our Trust Account, A result of this omission is that the duration of the stockholder redemption rights in connection with an corporation under the Proposed Amended and Restated initial business combination, stockholder approval of Certificate of Incorporation is the default of perpetual an initial business combination in certain existence under the DGCL. circumstances, affiliate transactions in connection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 initial business combination and the minimum value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of a target in an initial business combination and 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provision stating that if we do not consummate 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initial business combination within 18 months or the</w:t>
      </w:r>
    </w:p>
    <w:p>
      <w:pPr>
        <w:spacing w:after="0" w:line="8" w:lineRule="exact"/>
        <w:rPr>
          <w:sz w:val="20"/>
          <w:szCs w:val="20"/>
          <w:color w:val="auto"/>
        </w:rPr>
      </w:pPr>
    </w:p>
    <w:p>
      <w:pPr>
        <w:spacing w:after="0"/>
        <w:tabs>
          <w:tab w:leader="none" w:pos="1000" w:val="left"/>
          <w:tab w:leader="none" w:pos="1540" w:val="left"/>
          <w:tab w:leader="none" w:pos="1900" w:val="left"/>
          <w:tab w:leader="none" w:pos="2320" w:val="left"/>
          <w:tab w:leader="none" w:pos="2860" w:val="left"/>
          <w:tab w:leader="none" w:pos="3180" w:val="left"/>
        </w:tabs>
        <w:rPr>
          <w:sz w:val="20"/>
          <w:szCs w:val="20"/>
          <w:color w:val="auto"/>
        </w:rPr>
      </w:pPr>
      <w:r>
        <w:rPr>
          <w:rFonts w:ascii="Arial" w:cs="Arial" w:eastAsia="Arial" w:hAnsi="Arial"/>
          <w:sz w:val="18"/>
          <w:szCs w:val="18"/>
          <w:color w:val="auto"/>
        </w:rPr>
        <w:t>Termination</w:t>
        <w:tab/>
        <w:t>Date,</w:t>
        <w:tab/>
        <w:t>we</w:t>
        <w:tab/>
        <w:t>will</w:t>
        <w:tab/>
        <w:t>cease</w:t>
        <w:tab/>
        <w:t>all</w:t>
      </w:r>
      <w:r>
        <w:rPr>
          <w:sz w:val="20"/>
          <w:szCs w:val="20"/>
          <w:color w:val="auto"/>
        </w:rPr>
        <w:tab/>
      </w:r>
      <w:r>
        <w:rPr>
          <w:rFonts w:ascii="Arial" w:cs="Arial" w:eastAsia="Arial" w:hAnsi="Arial"/>
          <w:sz w:val="16"/>
          <w:szCs w:val="16"/>
          <w:color w:val="auto"/>
        </w:rPr>
        <w:t>operations,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liquidate the Trust Account and dissolve and liquidate.</w:t>
      </w:r>
    </w:p>
    <w:p>
      <w:pPr>
        <w:spacing w:after="0" w:line="200" w:lineRule="exact"/>
        <w:rPr>
          <w:sz w:val="20"/>
          <w:szCs w:val="20"/>
          <w:color w:val="auto"/>
        </w:rPr>
      </w:pPr>
    </w:p>
    <w:p>
      <w:pPr>
        <w:sectPr>
          <w:pgSz w:w="11900" w:h="16838" w:orient="portrait"/>
          <w:cols w:equalWidth="0" w:num="2">
            <w:col w:w="3040" w:space="160"/>
            <w:col w:w="8080"/>
          </w:cols>
          <w:pgMar w:left="360" w:top="918" w:right="259" w:bottom="1440" w:gutter="0" w:footer="0" w:header="0"/>
        </w:sect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360" w:top="918" w:right="259" w:bottom="1440" w:gutter="0" w:footer="0" w:header="0"/>
          <w:type w:val="continuous"/>
        </w:sectPr>
      </w:pPr>
    </w:p>
    <w:bookmarkStart w:id="96" w:name="page97"/>
    <w:bookmarkEnd w:id="96"/>
    <w:p>
      <w:pPr>
        <w:spacing w:after="0" w:line="280" w:lineRule="auto"/>
        <w:rPr>
          <w:sz w:val="20"/>
          <w:szCs w:val="20"/>
          <w:color w:val="auto"/>
        </w:rPr>
      </w:pPr>
      <w:r>
        <w:rPr>
          <w:rFonts w:ascii="Arial" w:cs="Arial" w:eastAsia="Arial" w:hAnsi="Arial"/>
          <w:sz w:val="18"/>
          <w:szCs w:val="18"/>
          <w:b w:val="1"/>
          <w:bCs w:val="1"/>
          <w:color w:val="auto"/>
        </w:rPr>
        <w:t>General Terms Relating to the Election and Removal of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4060" w:type="dxa"/>
            <w:vAlign w:val="bottom"/>
          </w:tcPr>
          <w:p>
            <w:pPr>
              <w:spacing w:after="0"/>
              <w:rPr>
                <w:sz w:val="20"/>
                <w:szCs w:val="20"/>
                <w:color w:val="auto"/>
              </w:rPr>
            </w:pPr>
            <w:r>
              <w:rPr>
                <w:rFonts w:ascii="Arial" w:cs="Arial" w:eastAsia="Arial" w:hAnsi="Arial"/>
                <w:sz w:val="18"/>
                <w:szCs w:val="18"/>
                <w:color w:val="auto"/>
                <w:w w:val="98"/>
              </w:rPr>
              <w:t>The Current Certificate of Incorporation provides as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follows: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Incorporation provides as follows:</w:t>
            </w:r>
          </w:p>
        </w:tc>
        <w:tc>
          <w:tcPr>
            <w:tcW w:w="0" w:type="dxa"/>
            <w:vAlign w:val="bottom"/>
          </w:tcPr>
          <w:p>
            <w:pPr>
              <w:spacing w:after="0"/>
              <w:rPr>
                <w:sz w:val="1"/>
                <w:szCs w:val="1"/>
                <w:color w:val="auto"/>
              </w:rPr>
            </w:pPr>
          </w:p>
        </w:tc>
      </w:tr>
      <w:tr>
        <w:trPr>
          <w:trHeight w:val="416"/>
        </w:trPr>
        <w:tc>
          <w:tcPr>
            <w:tcW w:w="4060" w:type="dxa"/>
            <w:vAlign w:val="bottom"/>
          </w:tcPr>
          <w:p>
            <w:pPr>
              <w:spacing w:after="0"/>
              <w:rPr>
                <w:sz w:val="20"/>
                <w:szCs w:val="20"/>
                <w:color w:val="auto"/>
              </w:rPr>
            </w:pPr>
            <w:r>
              <w:rPr>
                <w:rFonts w:ascii="Arial" w:cs="Arial" w:eastAsia="Arial" w:hAnsi="Arial"/>
                <w:sz w:val="18"/>
                <w:szCs w:val="18"/>
                <w:i w:val="1"/>
                <w:iCs w:val="1"/>
                <w:color w:val="auto"/>
              </w:rPr>
              <w:t xml:space="preserve">Article VII. A. </w:t>
            </w:r>
            <w:r>
              <w:rPr>
                <w:rFonts w:ascii="Arial" w:cs="Arial" w:eastAsia="Arial" w:hAnsi="Arial"/>
                <w:sz w:val="18"/>
                <w:szCs w:val="18"/>
                <w:color w:val="auto"/>
              </w:rPr>
              <w:t>Election of directors need not be by</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Article VI</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w w:val="92"/>
              </w:rPr>
              <w:t>ballot unless the by-laws of the Corporation so provide.</w:t>
            </w:r>
          </w:p>
        </w:tc>
        <w:tc>
          <w:tcPr>
            <w:tcW w:w="4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4"/>
              </w:rPr>
              <w:t>D. Any or all of the directors (other than the directors</w:t>
            </w:r>
          </w:p>
        </w:tc>
        <w:tc>
          <w:tcPr>
            <w:tcW w:w="0" w:type="dxa"/>
            <w:vAlign w:val="bottom"/>
          </w:tcPr>
          <w:p>
            <w:pPr>
              <w:spacing w:after="0"/>
              <w:rPr>
                <w:sz w:val="1"/>
                <w:szCs w:val="1"/>
                <w:color w:val="auto"/>
              </w:rPr>
            </w:pPr>
          </w:p>
        </w:tc>
      </w:tr>
      <w:tr>
        <w:trPr>
          <w:trHeight w:val="201"/>
        </w:trPr>
        <w:tc>
          <w:tcPr>
            <w:tcW w:w="4060" w:type="dxa"/>
            <w:vAlign w:val="bottom"/>
          </w:tcPr>
          <w:p>
            <w:pPr>
              <w:spacing w:after="0"/>
              <w:rPr>
                <w:sz w:val="17"/>
                <w:szCs w:val="17"/>
                <w:color w:val="auto"/>
              </w:rPr>
            </w:pPr>
          </w:p>
        </w:tc>
        <w:tc>
          <w:tcPr>
            <w:tcW w:w="40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elected by the holders of any series of Preferred Stock</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of the Corporation, voting separately as a series or</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together with one or more other such series, as the case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may be) may be removed at any time either with or</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without cause by the affirmative vote of a majority in</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voting power of all outstanding shares of stock of the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Corporation entitled to vote thereon, voting as a single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class; provided, however, that at any time when the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Priority Holders beneficially own, in the aggregate,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less than 40% in voting power of the stock of the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Corporation entitled to vote generally in the election of</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directors, any such director or all such directors may</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be removed only for cause and only by the affirmative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vote of the holders of at least 66 2/3% in voting power</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 all the then-outstanding shares of stock of the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Corporation entitled to vote thereon, voting together as</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single class.</w:t>
            </w:r>
          </w:p>
        </w:tc>
        <w:tc>
          <w:tcPr>
            <w:tcW w:w="0" w:type="dxa"/>
            <w:vAlign w:val="bottom"/>
          </w:tcPr>
          <w:p>
            <w:pPr>
              <w:spacing w:after="0"/>
              <w:rPr>
                <w:sz w:val="1"/>
                <w:szCs w:val="1"/>
                <w:color w:val="auto"/>
              </w:rPr>
            </w:pPr>
          </w:p>
        </w:tc>
      </w:tr>
      <w:tr>
        <w:trPr>
          <w:trHeight w:val="416"/>
        </w:trPr>
        <w:tc>
          <w:tcPr>
            <w:tcW w:w="4060" w:type="dxa"/>
            <w:vAlign w:val="bottom"/>
          </w:tcPr>
          <w:p>
            <w:pPr>
              <w:spacing w:after="0"/>
              <w:rPr>
                <w:sz w:val="24"/>
                <w:szCs w:val="24"/>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E. Elections of directors need not be by written ballot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unless the Bylaws shall so provide.</w:t>
            </w:r>
          </w:p>
        </w:tc>
        <w:tc>
          <w:tcPr>
            <w:tcW w:w="0" w:type="dxa"/>
            <w:vAlign w:val="bottom"/>
          </w:tcPr>
          <w:p>
            <w:pPr>
              <w:spacing w:after="0"/>
              <w:rPr>
                <w:sz w:val="1"/>
                <w:szCs w:val="1"/>
                <w:color w:val="auto"/>
              </w:rPr>
            </w:pPr>
          </w:p>
        </w:tc>
      </w:tr>
      <w:tr>
        <w:trPr>
          <w:trHeight w:val="416"/>
        </w:trPr>
        <w:tc>
          <w:tcPr>
            <w:tcW w:w="4060" w:type="dxa"/>
            <w:vAlign w:val="bottom"/>
          </w:tcPr>
          <w:p>
            <w:pPr>
              <w:spacing w:after="0"/>
              <w:rPr>
                <w:sz w:val="24"/>
                <w:szCs w:val="24"/>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F. During any period when the holders of any series of</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Preferred Stock have the right to elect additional</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directors,  then  upon  commencement  and  for  the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duration  of  the  period  during  which  such  right</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continues:  (i)  the  then  otherwise  total  authorized</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  directors  of  the  Corporation  shall</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automatically be increased by such specified number</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of directors, and the holders of such Preferred Stock</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shall be entitled to elect the additional directors so</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provided for or fixed pursuant to said provisions, and</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(ii) each such additional director shall serve until such</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director’s successor shall have been duly elected and</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qualified, or until such director’s right to hold such</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office  terminates  pursuant  to  said  provisions,</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whichever occurs earlier, subject to his or her earlier</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death,  resignation,  retirement,  disqualification  or</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removal. Except as otherwise provided by the Board of</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Directors in the resolution or resolutions establishing</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such series, whenever the holders of any series of</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Preferred Stock having such right to elect additional</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directors are divested of such right pursuant to the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provisions of such stock, the terms of office of all such</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additional directors elected by the holders of such</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stock, or elected to fill any vacancies resulting from</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the death, resignation, disqualification or removal of</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such additional directors, shall forthwith terminate and</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the  total  authorized  number  of  directors  of  the</w:t>
            </w: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Corporation shall be reduced accordingly.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-7528560</wp:posOffset>
            </wp:positionV>
            <wp:extent cx="7247255" cy="7529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7255" cy="7529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200"/>
            <w:col w:w="8100"/>
          </w:cols>
          <w:pgMar w:left="360" w:top="914" w:right="239" w:bottom="1440" w:gutter="0" w:footer="0" w:header="0"/>
        </w:sectPr>
      </w:pPr>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00"/>
          </w:cols>
          <w:pgMar w:left="360" w:top="914" w:right="239" w:bottom="1440" w:gutter="0" w:footer="0" w:header="0"/>
          <w:type w:val="continuous"/>
        </w:sectPr>
      </w:pPr>
    </w:p>
    <w:bookmarkStart w:id="97" w:name="page98"/>
    <w:bookmarkEnd w:id="97"/>
    <w:p>
      <w:pPr>
        <w:spacing w:after="0"/>
        <w:tabs>
          <w:tab w:leader="none" w:pos="3180" w:val="left"/>
        </w:tabs>
        <w:rPr>
          <w:sz w:val="20"/>
          <w:szCs w:val="20"/>
          <w:color w:val="auto"/>
        </w:rPr>
      </w:pPr>
      <w:r>
        <w:rPr>
          <w:rFonts w:ascii="Arial" w:cs="Arial" w:eastAsia="Arial" w:hAnsi="Arial"/>
          <w:sz w:val="18"/>
          <w:szCs w:val="18"/>
          <w:b w:val="1"/>
          <w:bCs w:val="1"/>
          <w:color w:val="auto"/>
        </w:rPr>
        <w:t>Meetings and Special Meetings</w:t>
      </w:r>
      <w:r>
        <w:rPr>
          <w:sz w:val="20"/>
          <w:szCs w:val="20"/>
          <w:color w:val="auto"/>
        </w:rPr>
        <w:tab/>
      </w:r>
      <w:r>
        <w:rPr>
          <w:rFonts w:ascii="Arial" w:cs="Arial" w:eastAsia="Arial" w:hAnsi="Arial"/>
          <w:sz w:val="16"/>
          <w:szCs w:val="16"/>
          <w:color w:val="auto"/>
        </w:rPr>
        <w:t>The Current Certificate of Incorporation does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7255" cy="68116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7255" cy="6811645"/>
                    </a:xfrm>
                    <a:prstGeom prst="rect">
                      <a:avLst/>
                    </a:prstGeom>
                    <a:noFill/>
                  </pic:spPr>
                </pic:pic>
              </a:graphicData>
            </a:graphic>
          </wp:anchor>
        </w:drawing>
      </w:r>
    </w:p>
    <w:p>
      <w:pPr>
        <w:spacing w:after="0" w:line="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applicable language.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Proposed Amended and Restated Certificate of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Incorporation provides as follows: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VII</w:t>
      </w:r>
      <w:r>
        <w:rPr>
          <w:rFonts w:ascii="Arial" w:cs="Arial" w:eastAsia="Arial" w:hAnsi="Arial"/>
          <w:sz w:val="18"/>
          <w:szCs w:val="18"/>
          <w:color w:val="auto"/>
        </w:rPr>
        <w:t>.</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Special meetings of the stockholders of the Corporation for any purpose or purposes (i) may be called at any time by the Board of Directors, and (ii) shall be called by the Secretary upon the written request of stockholders owning at least twenty-five percent (25%) in amount of the entire capital stock of the Corporation issued and outstanding, and entitled to vote at the special meeting.</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B. At any time when the Priority Holders beneficially own, in the aggregate, at least 40% in voting power of the stock of the Corporation entitled to vote generally in the election of directors, any action required or permitted by the GCL to be taken at a stockholders’ meeting may be taken without a meeting and without prior notice and without a vote, if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 At any time when the Priority Holders beneficially own, in the aggregate, less than 40%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200" w:lineRule="exact"/>
        <w:rPr>
          <w:sz w:val="20"/>
          <w:szCs w:val="20"/>
          <w:color w:val="auto"/>
        </w:rPr>
      </w:pPr>
    </w:p>
    <w:p>
      <w:pPr>
        <w:sectPr>
          <w:pgSz w:w="11900" w:h="16838" w:orient="portrait"/>
          <w:cols w:equalWidth="0" w:num="2">
            <w:col w:w="7200" w:space="100"/>
            <w:col w:w="3980"/>
          </w:cols>
          <w:pgMar w:left="360" w:top="914" w:right="259" w:bottom="1440" w:gutter="0" w:footer="0" w:header="0"/>
        </w:sect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360" w:top="914" w:right="259" w:bottom="1440" w:gutter="0" w:footer="0" w:header="0"/>
          <w:type w:val="continuous"/>
        </w:sectPr>
      </w:pPr>
    </w:p>
    <w:bookmarkStart w:id="98" w:name="page99"/>
    <w:bookmarkEnd w:id="98"/>
    <w:p>
      <w:pPr>
        <w:spacing w:after="0"/>
        <w:tabs>
          <w:tab w:leader="none" w:pos="3180" w:val="left"/>
        </w:tabs>
        <w:rPr>
          <w:sz w:val="20"/>
          <w:szCs w:val="20"/>
          <w:color w:val="auto"/>
        </w:rPr>
      </w:pPr>
      <w:r>
        <w:rPr>
          <w:rFonts w:ascii="Arial" w:cs="Arial" w:eastAsia="Arial" w:hAnsi="Arial"/>
          <w:sz w:val="18"/>
          <w:szCs w:val="18"/>
          <w:b w:val="1"/>
          <w:bCs w:val="1"/>
          <w:color w:val="auto"/>
        </w:rPr>
        <w:t>Appointment of Officers</w:t>
      </w:r>
      <w:r>
        <w:rPr>
          <w:sz w:val="20"/>
          <w:szCs w:val="20"/>
          <w:color w:val="auto"/>
        </w:rPr>
        <w:tab/>
      </w:r>
      <w:r>
        <w:rPr>
          <w:rFonts w:ascii="Arial" w:cs="Arial" w:eastAsia="Arial" w:hAnsi="Arial"/>
          <w:sz w:val="16"/>
          <w:szCs w:val="16"/>
          <w:color w:val="auto"/>
        </w:rPr>
        <w:t>The Current Certificate of Incorporation does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7255" cy="15195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7255" cy="1519555"/>
                    </a:xfrm>
                    <a:prstGeom prst="rect">
                      <a:avLst/>
                    </a:prstGeom>
                    <a:noFill/>
                  </pic:spPr>
                </pic:pic>
              </a:graphicData>
            </a:graphic>
          </wp:anchor>
        </w:drawing>
      </w:r>
    </w:p>
    <w:p>
      <w:pPr>
        <w:spacing w:after="0" w:line="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applicable language.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Proposed Amended and Restated Certificate of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Incorporation provides as follows:</w:t>
      </w:r>
    </w:p>
    <w:p>
      <w:pPr>
        <w:spacing w:after="0" w:line="200" w:lineRule="exact"/>
        <w:rPr>
          <w:sz w:val="20"/>
          <w:szCs w:val="20"/>
          <w:color w:val="auto"/>
        </w:rPr>
      </w:pPr>
    </w:p>
    <w:p>
      <w:pPr>
        <w:sectPr>
          <w:pgSz w:w="11900" w:h="16838" w:orient="portrait"/>
          <w:cols w:equalWidth="0" w:num="2">
            <w:col w:w="7200" w:space="100"/>
            <w:col w:w="3980"/>
          </w:cols>
          <w:pgMar w:left="360" w:top="914" w:right="259" w:bottom="1440" w:gutter="0" w:footer="0" w:header="0"/>
        </w:sectPr>
      </w:pP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Article VIII</w:t>
      </w:r>
    </w:p>
    <w:p>
      <w:pPr>
        <w:spacing w:after="0" w:line="223"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The officers of the Corporation shall be chosen in such</w:t>
      </w:r>
    </w:p>
    <w:p>
      <w:pPr>
        <w:spacing w:after="0" w:line="46" w:lineRule="exact"/>
        <w:rPr>
          <w:sz w:val="20"/>
          <w:szCs w:val="20"/>
          <w:color w:val="auto"/>
        </w:rPr>
      </w:pPr>
    </w:p>
    <w:p>
      <w:pPr>
        <w:ind w:left="7300"/>
        <w:spacing w:after="0"/>
        <w:rPr>
          <w:sz w:val="20"/>
          <w:szCs w:val="20"/>
          <w:color w:val="auto"/>
        </w:rPr>
      </w:pPr>
      <w:r>
        <w:rPr>
          <w:rFonts w:ascii="Arial" w:cs="Arial" w:eastAsia="Arial" w:hAnsi="Arial"/>
          <w:sz w:val="17"/>
          <w:szCs w:val="17"/>
          <w:color w:val="auto"/>
        </w:rPr>
        <w:t>a manner, shall hold their offices for such terms and</w:t>
      </w:r>
    </w:p>
    <w:p>
      <w:pPr>
        <w:spacing w:after="0" w:line="20" w:lineRule="exact"/>
        <w:rPr>
          <w:sz w:val="20"/>
          <w:szCs w:val="20"/>
          <w:color w:val="auto"/>
        </w:rPr>
      </w:pPr>
    </w:p>
    <w:p>
      <w:pPr>
        <w:ind w:left="7300"/>
        <w:spacing w:after="0"/>
        <w:rPr>
          <w:sz w:val="20"/>
          <w:szCs w:val="20"/>
          <w:color w:val="auto"/>
        </w:rPr>
      </w:pPr>
      <w:r>
        <w:rPr>
          <w:rFonts w:ascii="Arial" w:cs="Arial" w:eastAsia="Arial" w:hAnsi="Arial"/>
          <w:sz w:val="17"/>
          <w:szCs w:val="17"/>
          <w:color w:val="auto"/>
        </w:rPr>
        <w:t>shall carry out such duties as are determined by the</w:t>
      </w:r>
    </w:p>
    <w:p>
      <w:pPr>
        <w:spacing w:after="0" w:line="20"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Board of Directors, subject to the right of the Board of</w:t>
      </w:r>
    </w:p>
    <w:p>
      <w:pPr>
        <w:spacing w:after="0" w:line="31"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Directors to remove any officer or officers at any time</w:t>
      </w:r>
    </w:p>
    <w:p>
      <w:pPr>
        <w:spacing w:after="0" w:line="3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with or without cause.</w:t>
      </w: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360" w:top="914" w:right="25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19"/>
        </w:trPr>
        <w:tc>
          <w:tcPr>
            <w:tcW w:w="2740" w:type="dxa"/>
            <w:vAlign w:val="bottom"/>
          </w:tcPr>
          <w:p>
            <w:pPr>
              <w:spacing w:after="0"/>
              <w:rPr>
                <w:sz w:val="20"/>
                <w:szCs w:val="20"/>
                <w:color w:val="auto"/>
              </w:rPr>
            </w:pPr>
            <w:r>
              <w:rPr>
                <w:rFonts w:ascii="Arial" w:cs="Arial" w:eastAsia="Arial" w:hAnsi="Arial"/>
                <w:sz w:val="18"/>
                <w:szCs w:val="18"/>
                <w:b w:val="1"/>
                <w:bCs w:val="1"/>
                <w:color w:val="auto"/>
              </w:rPr>
              <w:t>Indemnification and Liability</w:t>
            </w:r>
          </w:p>
        </w:tc>
        <w:tc>
          <w:tcPr>
            <w:tcW w:w="4520" w:type="dxa"/>
            <w:vAlign w:val="bottom"/>
          </w:tcPr>
          <w:p>
            <w:pPr>
              <w:ind w:left="460"/>
              <w:spacing w:after="0"/>
              <w:rPr>
                <w:sz w:val="20"/>
                <w:szCs w:val="20"/>
                <w:color w:val="auto"/>
              </w:rPr>
            </w:pPr>
            <w:r>
              <w:rPr>
                <w:rFonts w:ascii="Arial" w:cs="Arial" w:eastAsia="Arial" w:hAnsi="Arial"/>
                <w:sz w:val="18"/>
                <w:szCs w:val="18"/>
                <w:color w:val="auto"/>
                <w:w w:val="97"/>
              </w:rPr>
              <w:t>The  Current  Certificate  of  Incorporation  does  not</w:t>
            </w:r>
          </w:p>
        </w:tc>
        <w:tc>
          <w:tcPr>
            <w:tcW w:w="4020" w:type="dxa"/>
            <w:vAlign w:val="bottom"/>
          </w:tcPr>
          <w:p>
            <w:pPr>
              <w:ind w:left="4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include a provision similar to Article IX.C of the</w:t>
            </w:r>
          </w:p>
        </w:tc>
        <w:tc>
          <w:tcPr>
            <w:tcW w:w="4020" w:type="dxa"/>
            <w:vAlign w:val="bottom"/>
          </w:tcPr>
          <w:p>
            <w:pPr>
              <w:ind w:left="40"/>
              <w:spacing w:after="0"/>
              <w:rPr>
                <w:sz w:val="20"/>
                <w:szCs w:val="20"/>
                <w:color w:val="auto"/>
              </w:rPr>
            </w:pPr>
            <w:r>
              <w:rPr>
                <w:rFonts w:ascii="Arial" w:cs="Arial" w:eastAsia="Arial" w:hAnsi="Arial"/>
                <w:sz w:val="18"/>
                <w:szCs w:val="18"/>
                <w:color w:val="auto"/>
                <w:w w:val="97"/>
              </w:rPr>
              <w:t>Incorporation does not include provisions similar to</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Proposed  Amended  and  Restated  Certificate  of</w:t>
            </w:r>
          </w:p>
        </w:tc>
        <w:tc>
          <w:tcPr>
            <w:tcW w:w="4020" w:type="dxa"/>
            <w:vAlign w:val="bottom"/>
          </w:tcPr>
          <w:p>
            <w:pPr>
              <w:ind w:left="40"/>
              <w:spacing w:after="0"/>
              <w:rPr>
                <w:sz w:val="20"/>
                <w:szCs w:val="20"/>
                <w:color w:val="auto"/>
              </w:rPr>
            </w:pPr>
            <w:r>
              <w:rPr>
                <w:rFonts w:ascii="Arial" w:cs="Arial" w:eastAsia="Arial" w:hAnsi="Arial"/>
                <w:sz w:val="18"/>
                <w:szCs w:val="18"/>
                <w:color w:val="auto"/>
              </w:rPr>
              <w:t>Article VIII.B (particularly with regard to advance</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w w:val="93"/>
              </w:rPr>
              <w:t>Incorporation (authorizing the Corporation to purchase</w:t>
            </w:r>
          </w:p>
        </w:tc>
        <w:tc>
          <w:tcPr>
            <w:tcW w:w="4020" w:type="dxa"/>
            <w:vAlign w:val="bottom"/>
          </w:tcPr>
          <w:p>
            <w:pPr>
              <w:ind w:left="40"/>
              <w:spacing w:after="0"/>
              <w:rPr>
                <w:sz w:val="20"/>
                <w:szCs w:val="20"/>
                <w:color w:val="auto"/>
              </w:rPr>
            </w:pPr>
            <w:r>
              <w:rPr>
                <w:rFonts w:ascii="Arial" w:cs="Arial" w:eastAsia="Arial" w:hAnsi="Arial"/>
                <w:sz w:val="18"/>
                <w:szCs w:val="18"/>
                <w:color w:val="auto"/>
              </w:rPr>
              <w:t>payments) and Article VIII.C.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insurance for directors and officers).</w:t>
            </w:r>
          </w:p>
        </w:tc>
        <w:tc>
          <w:tcPr>
            <w:tcW w:w="4020" w:type="dxa"/>
            <w:vAlign w:val="bottom"/>
            <w:vMerge w:val="restart"/>
          </w:tcPr>
          <w:p>
            <w:pPr>
              <w:ind w:left="4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w w:val="98"/>
              </w:rPr>
              <w:t>The Current Certificate of Incorporation provides as</w:t>
            </w:r>
          </w:p>
        </w:tc>
        <w:tc>
          <w:tcPr>
            <w:tcW w:w="4020" w:type="dxa"/>
            <w:vAlign w:val="bottom"/>
          </w:tcPr>
          <w:p>
            <w:pPr>
              <w:ind w:left="40"/>
              <w:spacing w:after="0"/>
              <w:rPr>
                <w:sz w:val="20"/>
                <w:szCs w:val="20"/>
                <w:color w:val="auto"/>
              </w:rPr>
            </w:pPr>
            <w:r>
              <w:rPr>
                <w:rFonts w:ascii="Arial" w:cs="Arial" w:eastAsia="Arial" w:hAnsi="Arial"/>
                <w:sz w:val="18"/>
                <w:szCs w:val="18"/>
                <w:color w:val="auto"/>
                <w:w w:val="96"/>
              </w:rPr>
              <w:t>Incorporation includes the provisions of Article IX.C,</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follows with respect to indemnification, which the</w:t>
            </w:r>
          </w:p>
        </w:tc>
        <w:tc>
          <w:tcPr>
            <w:tcW w:w="4020" w:type="dxa"/>
            <w:vAlign w:val="bottom"/>
          </w:tcPr>
          <w:p>
            <w:pPr>
              <w:ind w:left="40"/>
              <w:spacing w:after="0"/>
              <w:rPr>
                <w:sz w:val="20"/>
                <w:szCs w:val="20"/>
                <w:color w:val="auto"/>
              </w:rPr>
            </w:pPr>
            <w:r>
              <w:rPr>
                <w:rFonts w:ascii="Arial" w:cs="Arial" w:eastAsia="Arial" w:hAnsi="Arial"/>
                <w:sz w:val="18"/>
                <w:szCs w:val="18"/>
                <w:color w:val="auto"/>
                <w:w w:val="91"/>
              </w:rPr>
              <w:t>(authorizing the Corporation to purchase insurance for</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Proposed  Amended  and  Restated  Certificate  of</w:t>
            </w:r>
          </w:p>
        </w:tc>
        <w:tc>
          <w:tcPr>
            <w:tcW w:w="4020" w:type="dxa"/>
            <w:vAlign w:val="bottom"/>
          </w:tcPr>
          <w:p>
            <w:pPr>
              <w:ind w:left="40"/>
              <w:spacing w:after="0"/>
              <w:rPr>
                <w:sz w:val="20"/>
                <w:szCs w:val="20"/>
                <w:color w:val="auto"/>
              </w:rPr>
            </w:pPr>
            <w:r>
              <w:rPr>
                <w:rFonts w:ascii="Arial" w:cs="Arial" w:eastAsia="Arial" w:hAnsi="Arial"/>
                <w:sz w:val="18"/>
                <w:szCs w:val="18"/>
                <w:color w:val="auto"/>
                <w:w w:val="92"/>
              </w:rPr>
              <w:t>directors and officers), which the Current Certificate of</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Incorporation does not provide:</w:t>
            </w:r>
          </w:p>
        </w:tc>
        <w:tc>
          <w:tcPr>
            <w:tcW w:w="4020" w:type="dxa"/>
            <w:vAlign w:val="bottom"/>
          </w:tcPr>
          <w:p>
            <w:pPr>
              <w:ind w:left="40"/>
              <w:spacing w:after="0"/>
              <w:rPr>
                <w:sz w:val="20"/>
                <w:szCs w:val="20"/>
                <w:color w:val="auto"/>
              </w:rPr>
            </w:pPr>
            <w:r>
              <w:rPr>
                <w:rFonts w:ascii="Arial" w:cs="Arial" w:eastAsia="Arial" w:hAnsi="Arial"/>
                <w:sz w:val="18"/>
                <w:szCs w:val="18"/>
                <w:color w:val="auto"/>
              </w:rPr>
              <w:t>Incorporation does not provide.</w:t>
            </w:r>
          </w:p>
        </w:tc>
        <w:tc>
          <w:tcPr>
            <w:tcW w:w="0" w:type="dxa"/>
            <w:vAlign w:val="bottom"/>
          </w:tcPr>
          <w:p>
            <w:pPr>
              <w:spacing w:after="0"/>
              <w:rPr>
                <w:sz w:val="1"/>
                <w:szCs w:val="1"/>
                <w:color w:val="auto"/>
              </w:rPr>
            </w:pPr>
          </w:p>
        </w:tc>
      </w:tr>
      <w:tr>
        <w:trPr>
          <w:trHeight w:val="430"/>
        </w:trPr>
        <w:tc>
          <w:tcPr>
            <w:tcW w:w="2740" w:type="dxa"/>
            <w:vAlign w:val="bottom"/>
          </w:tcPr>
          <w:p>
            <w:pPr>
              <w:spacing w:after="0"/>
              <w:rPr>
                <w:sz w:val="24"/>
                <w:szCs w:val="24"/>
                <w:color w:val="auto"/>
              </w:rPr>
            </w:pPr>
          </w:p>
        </w:tc>
        <w:tc>
          <w:tcPr>
            <w:tcW w:w="4520" w:type="dxa"/>
            <w:vAlign w:val="bottom"/>
          </w:tcPr>
          <w:p>
            <w:pPr>
              <w:ind w:left="460"/>
              <w:spacing w:after="0"/>
              <w:rPr>
                <w:sz w:val="20"/>
                <w:szCs w:val="20"/>
                <w:color w:val="auto"/>
              </w:rPr>
            </w:pPr>
            <w:r>
              <w:rPr>
                <w:rFonts w:ascii="Arial" w:cs="Arial" w:eastAsia="Arial" w:hAnsi="Arial"/>
                <w:sz w:val="18"/>
                <w:szCs w:val="18"/>
                <w:i w:val="1"/>
                <w:iCs w:val="1"/>
                <w:color w:val="auto"/>
              </w:rPr>
              <w:t>Article VIII</w:t>
            </w:r>
            <w:r>
              <w:rPr>
                <w:rFonts w:ascii="Arial" w:cs="Arial" w:eastAsia="Arial" w:hAnsi="Arial"/>
                <w:sz w:val="18"/>
                <w:szCs w:val="18"/>
                <w:color w:val="auto"/>
              </w:rPr>
              <w:t>.</w:t>
            </w:r>
          </w:p>
        </w:tc>
        <w:tc>
          <w:tcPr>
            <w:tcW w:w="4020" w:type="dxa"/>
            <w:vAlign w:val="bottom"/>
          </w:tcPr>
          <w:p>
            <w:pPr>
              <w:ind w:left="40"/>
              <w:spacing w:after="0"/>
              <w:rPr>
                <w:sz w:val="20"/>
                <w:szCs w:val="20"/>
                <w:color w:val="auto"/>
              </w:rPr>
            </w:pPr>
            <w:r>
              <w:rPr>
                <w:rFonts w:ascii="Arial" w:cs="Arial" w:eastAsia="Arial" w:hAnsi="Arial"/>
                <w:sz w:val="18"/>
                <w:szCs w:val="18"/>
                <w:i w:val="1"/>
                <w:iCs w:val="1"/>
                <w:color w:val="auto"/>
              </w:rPr>
              <w:t>Article IX</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6"/>
        </w:trPr>
        <w:tc>
          <w:tcPr>
            <w:tcW w:w="2740" w:type="dxa"/>
            <w:vAlign w:val="bottom"/>
          </w:tcPr>
          <w:p>
            <w:pPr>
              <w:spacing w:after="0"/>
              <w:rPr>
                <w:sz w:val="24"/>
                <w:szCs w:val="24"/>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B. The Corporation, to the full extent permitted by</w:t>
            </w:r>
          </w:p>
        </w:tc>
        <w:tc>
          <w:tcPr>
            <w:tcW w:w="4020" w:type="dxa"/>
            <w:vAlign w:val="bottom"/>
          </w:tcPr>
          <w:p>
            <w:pPr>
              <w:ind w:left="40"/>
              <w:spacing w:after="0"/>
              <w:rPr>
                <w:sz w:val="20"/>
                <w:szCs w:val="20"/>
                <w:color w:val="auto"/>
              </w:rPr>
            </w:pPr>
            <w:r>
              <w:rPr>
                <w:rFonts w:ascii="Arial" w:cs="Arial" w:eastAsia="Arial" w:hAnsi="Arial"/>
                <w:sz w:val="18"/>
                <w:szCs w:val="18"/>
                <w:color w:val="auto"/>
                <w:w w:val="97"/>
              </w:rPr>
              <w:t>C. In furtherance and not in limitation of the powers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w w:val="91"/>
              </w:rPr>
              <w:t>Section 145 of the GCL, as amended from time to time,</w:t>
            </w:r>
          </w:p>
        </w:tc>
        <w:tc>
          <w:tcPr>
            <w:tcW w:w="4020" w:type="dxa"/>
            <w:vAlign w:val="bottom"/>
          </w:tcPr>
          <w:p>
            <w:pPr>
              <w:ind w:left="40"/>
              <w:spacing w:after="0"/>
              <w:rPr>
                <w:sz w:val="20"/>
                <w:szCs w:val="20"/>
                <w:color w:val="auto"/>
              </w:rPr>
            </w:pPr>
            <w:r>
              <w:rPr>
                <w:rFonts w:ascii="Arial" w:cs="Arial" w:eastAsia="Arial" w:hAnsi="Arial"/>
                <w:sz w:val="18"/>
                <w:szCs w:val="18"/>
                <w:color w:val="auto"/>
              </w:rPr>
              <w:t>conferred by statute: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-2056765</wp:posOffset>
            </wp:positionV>
            <wp:extent cx="7247255" cy="5659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7255" cy="5659755"/>
                    </a:xfrm>
                    <a:prstGeom prst="rect">
                      <a:avLst/>
                    </a:prstGeom>
                    <a:noFill/>
                  </pic:spPr>
                </pic:pic>
              </a:graphicData>
            </a:graphic>
          </wp:anchor>
        </w:drawing>
      </w:r>
    </w:p>
    <w:p>
      <w:pPr>
        <w:sectPr>
          <w:pgSz w:w="11900" w:h="16838" w:orient="portrait"/>
          <w:cols w:equalWidth="0" w:num="1">
            <w:col w:w="11280"/>
          </w:cols>
          <w:pgMar w:left="360" w:top="914" w:right="259" w:bottom="1440" w:gutter="0" w:footer="0" w:header="0"/>
        </w:sectPr>
      </w:pPr>
    </w:p>
    <w:p>
      <w:pPr>
        <w:jc w:val="both"/>
        <w:ind w:left="3200"/>
        <w:spacing w:after="0" w:line="284" w:lineRule="auto"/>
        <w:rPr>
          <w:sz w:val="20"/>
          <w:szCs w:val="20"/>
          <w:color w:val="auto"/>
        </w:rPr>
      </w:pPr>
      <w:r>
        <w:rPr>
          <w:rFonts w:ascii="Arial" w:cs="Arial" w:eastAsia="Arial" w:hAnsi="Arial"/>
          <w:sz w:val="16"/>
          <w:szCs w:val="16"/>
          <w:color w:val="auto"/>
        </w:rPr>
        <w:t>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69" w:lineRule="exact"/>
        <w:rPr>
          <w:sz w:val="20"/>
          <w:szCs w:val="20"/>
          <w:color w:val="auto"/>
        </w:rPr>
      </w:pPr>
    </w:p>
    <w:p>
      <w:pPr>
        <w:jc w:val="both"/>
        <w:ind w:left="3200"/>
        <w:spacing w:after="0" w:line="287" w:lineRule="auto"/>
        <w:rPr>
          <w:sz w:val="20"/>
          <w:szCs w:val="20"/>
          <w:color w:val="auto"/>
        </w:rPr>
      </w:pPr>
      <w:r>
        <w:rPr>
          <w:rFonts w:ascii="Arial" w:cs="Arial" w:eastAsia="Arial" w:hAnsi="Arial"/>
          <w:sz w:val="16"/>
          <w:szCs w:val="16"/>
          <w:color w:val="auto"/>
        </w:rPr>
        <w:t>C. 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both"/>
        <w:ind w:left="6" w:hanging="6"/>
        <w:spacing w:after="0" w:line="285" w:lineRule="auto"/>
        <w:tabs>
          <w:tab w:leader="none" w:pos="28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Corporation may purchase and maintain insurance on behalf of any person who is or was a director, officer, employee or agent of the Corporation, or is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law; and</w:t>
      </w:r>
    </w:p>
    <w:p>
      <w:pPr>
        <w:spacing w:after="0" w:line="170" w:lineRule="exact"/>
        <w:rPr>
          <w:rFonts w:ascii="Arial" w:cs="Arial" w:eastAsia="Arial" w:hAnsi="Arial"/>
          <w:sz w:val="16"/>
          <w:szCs w:val="16"/>
          <w:color w:val="auto"/>
        </w:rPr>
      </w:pPr>
    </w:p>
    <w:p>
      <w:pPr>
        <w:jc w:val="both"/>
        <w:ind w:left="6" w:hanging="6"/>
        <w:spacing w:after="0" w:line="287" w:lineRule="auto"/>
        <w:tabs>
          <w:tab w:leader="none" w:pos="27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Corporation may create a trust fund, grant a security interest and/or use other means (including, without limitation, letters of credit, surety bonds and/or other similar arrangements), as well as enter into contracts providing indemnification to the full extent authorized or permitted by law and including as part thereof provisions with respect to any or all of the foregoing to ensure the payment of such amounts as may become necessary to effect indemnification as provided therein, or elsewhere.</w:t>
      </w:r>
    </w:p>
    <w:p>
      <w:pPr>
        <w:spacing w:after="0" w:line="200" w:lineRule="exact"/>
        <w:rPr>
          <w:sz w:val="20"/>
          <w:szCs w:val="20"/>
          <w:color w:val="auto"/>
        </w:rPr>
      </w:pPr>
    </w:p>
    <w:p>
      <w:pPr>
        <w:sectPr>
          <w:pgSz w:w="11900" w:h="16838" w:orient="portrait"/>
          <w:cols w:equalWidth="0" w:num="2">
            <w:col w:w="7200" w:space="354"/>
            <w:col w:w="3726"/>
          </w:cols>
          <w:pgMar w:left="360" w:top="914" w:right="25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360" w:top="914" w:right="259" w:bottom="1440" w:gutter="0" w:footer="0" w:header="0"/>
          <w:type w:val="continuous"/>
        </w:sectPr>
      </w:pPr>
    </w:p>
    <w:bookmarkStart w:id="100" w:name="page101"/>
    <w:bookmarkEnd w:id="100"/>
    <w:p>
      <w:pPr>
        <w:spacing w:after="0"/>
        <w:tabs>
          <w:tab w:leader="none" w:pos="3180" w:val="left"/>
        </w:tabs>
        <w:rPr>
          <w:sz w:val="20"/>
          <w:szCs w:val="20"/>
          <w:color w:val="auto"/>
        </w:rPr>
      </w:pPr>
      <w:r>
        <w:rPr>
          <w:rFonts w:ascii="Arial" w:cs="Arial" w:eastAsia="Arial" w:hAnsi="Arial"/>
          <w:sz w:val="18"/>
          <w:szCs w:val="18"/>
          <w:b w:val="1"/>
          <w:bCs w:val="1"/>
          <w:color w:val="auto"/>
        </w:rPr>
        <w:t>Outside Business Activities and</w:t>
      </w:r>
      <w:r>
        <w:rPr>
          <w:sz w:val="20"/>
          <w:szCs w:val="20"/>
          <w:color w:val="auto"/>
        </w:rPr>
        <w:tab/>
      </w:r>
      <w:r>
        <w:rPr>
          <w:rFonts w:ascii="Arial" w:cs="Arial" w:eastAsia="Arial" w:hAnsi="Arial"/>
          <w:sz w:val="16"/>
          <w:szCs w:val="16"/>
          <w:color w:val="auto"/>
        </w:rPr>
        <w:t>The Current Certificate of Incorporation does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7255" cy="3260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7255" cy="3260725"/>
                    </a:xfrm>
                    <a:prstGeom prst="rect">
                      <a:avLst/>
                    </a:prstGeom>
                    <a:noFill/>
                  </pic:spPr>
                </pic:pic>
              </a:graphicData>
            </a:graphic>
          </wp:anchor>
        </w:drawing>
      </w:r>
    </w:p>
    <w:p>
      <w:pPr>
        <w:spacing w:after="0" w:line="7"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b w:val="1"/>
          <w:bCs w:val="1"/>
          <w:color w:val="auto"/>
        </w:rPr>
        <w:t>Corporate Opportunities</w:t>
      </w:r>
      <w:r>
        <w:rPr>
          <w:sz w:val="20"/>
          <w:szCs w:val="20"/>
          <w:color w:val="auto"/>
        </w:rPr>
        <w:tab/>
      </w:r>
      <w:r>
        <w:rPr>
          <w:rFonts w:ascii="Arial" w:cs="Arial" w:eastAsia="Arial" w:hAnsi="Arial"/>
          <w:sz w:val="17"/>
          <w:szCs w:val="17"/>
          <w:color w:val="auto"/>
        </w:rPr>
        <w:t xml:space="preserve">similar provisions to </w:t>
      </w:r>
      <w:r>
        <w:rPr>
          <w:rFonts w:ascii="Arial" w:cs="Arial" w:eastAsia="Arial" w:hAnsi="Arial"/>
          <w:sz w:val="17"/>
          <w:szCs w:val="17"/>
          <w:i w:val="1"/>
          <w:iCs w:val="1"/>
          <w:color w:val="auto"/>
        </w:rPr>
        <w:t>Article XII</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Article XII of the Proposed Amended and Restated Certificate of Incorporation grants certain rights to certain directors with respect to the pursuit of corporate opportunities and outside business activities. Article XII provides as follows: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In recognition and anticipation that members of the Board of Directors who are not employees of the Corporation (“Non-Employee Directors”)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XII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w:t>
      </w:r>
    </w:p>
    <w:p>
      <w:pPr>
        <w:spacing w:after="0" w:line="200" w:lineRule="exact"/>
        <w:rPr>
          <w:sz w:val="20"/>
          <w:szCs w:val="20"/>
          <w:color w:val="auto"/>
        </w:rPr>
      </w:pPr>
    </w:p>
    <w:p>
      <w:pPr>
        <w:sectPr>
          <w:pgSz w:w="11900" w:h="16838" w:orient="portrait"/>
          <w:cols w:equalWidth="0" w:num="2">
            <w:col w:w="7200" w:space="100"/>
            <w:col w:w="3980"/>
          </w:cols>
          <w:pgMar w:left="360" w:top="914" w:right="259" w:bottom="1440" w:gutter="0" w:footer="0" w:header="0"/>
        </w:sectPr>
      </w:pP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360" w:top="914" w:right="259" w:bottom="1440" w:gutter="0" w:footer="0" w:header="0"/>
          <w:type w:val="continuous"/>
        </w:sectPr>
      </w:pPr>
    </w:p>
    <w:bookmarkStart w:id="101" w:name="page102"/>
    <w:bookmarkEnd w:id="101"/>
    <w:p>
      <w:pPr>
        <w:ind w:left="6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584200</wp:posOffset>
            </wp:positionV>
            <wp:extent cx="7247255" cy="69481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7255" cy="6948170"/>
                    </a:xfrm>
                    <a:prstGeom prst="rect">
                      <a:avLst/>
                    </a:prstGeom>
                    <a:noFill/>
                  </pic:spPr>
                </pic:pic>
              </a:graphicData>
            </a:graphic>
          </wp:anchor>
        </w:drawing>
        <w:t>B. No Non-Employee Director (including any Non-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Employee Director who serves as an officer of the</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Corporation in both his or her director and officer</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capacities) or his or her Affiliates (such Persons being</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referred to, collectively, as “Identified Persons” and,</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individually, as an “Identified Person”) shall, to the</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fullest extent permitted by law, have any duty to refrain</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from directly or indirectly (1) engaging in the same or</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similar business activities or lines of business in which</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the Corporation or any of its Affiliates now engages or</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proposes to engage or (2) otherwise competing with</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the Corporation or any of its Affiliates, and, to the</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fullest extent permitted by law, no Identified Person</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shall be liable to the Corporation or its stockholders or</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to any Affiliate of the Corporation for breach of any</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fiduciary duty solely by reason of the fact that such</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Identified Person engages in any such activities. To the</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fullest extent permitted by law, the Corporation hereby</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renounces any interest or expectancy in, or right to be</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offered an opportunity to participate in, any business</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opportunity which may be a corporate opportunity for</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an Identified Person and the Corporation or any of its</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Affiliates, except as provided in Section (C) of this</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Article XII. Subject to said Section (C) of this Article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XII, in the event that any Identified Person acquires</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knowledge of a potential transaction or other business</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opportunity which may be a corporate opportunity for</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itself, herself or himself and the Corporation or any of</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its Affiliates, such Identified Person shall, to the fullest</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extent permitted by law, have no duty to communicate</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or offer such transaction or other business opportunity</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to the Corporation or any of its Affiliates and, to the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fullest extent permitted by law, shall not be liable to</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the Corporation or its stockholders or to any Affiliate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of the Corporation for breach of any fiduciary duty as a</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stockholder, director or officer of  the  Corporation</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solely by reason of the fact that such Identified Person</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pursues or acquires such corporate opportunity for</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itself, herself or himself, or offers or directs such</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corporate opportunity to another Person.</w:t>
      </w:r>
    </w:p>
    <w:p>
      <w:pPr>
        <w:spacing w:after="0" w:line="20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C. The Corporation does not renounce its interest in</w:t>
      </w:r>
    </w:p>
    <w:p>
      <w:pPr>
        <w:spacing w:after="0" w:line="34" w:lineRule="exact"/>
        <w:rPr>
          <w:sz w:val="20"/>
          <w:szCs w:val="20"/>
          <w:color w:val="auto"/>
        </w:rPr>
      </w:pPr>
    </w:p>
    <w:p>
      <w:pPr>
        <w:ind w:left="6220"/>
        <w:spacing w:after="0"/>
        <w:tabs>
          <w:tab w:leader="none" w:pos="6620" w:val="left"/>
          <w:tab w:leader="none" w:pos="7460" w:val="left"/>
          <w:tab w:leader="none" w:pos="8440" w:val="left"/>
          <w:tab w:leader="none" w:pos="9120" w:val="left"/>
          <w:tab w:leader="none" w:pos="9400" w:val="left"/>
          <w:tab w:leader="none" w:pos="9820" w:val="left"/>
        </w:tabs>
        <w:rPr>
          <w:sz w:val="20"/>
          <w:szCs w:val="20"/>
          <w:color w:val="auto"/>
        </w:rPr>
      </w:pPr>
      <w:r>
        <w:rPr>
          <w:rFonts w:ascii="Arial" w:cs="Arial" w:eastAsia="Arial" w:hAnsi="Arial"/>
          <w:sz w:val="18"/>
          <w:szCs w:val="18"/>
          <w:color w:val="auto"/>
        </w:rPr>
        <w:t>any</w:t>
        <w:tab/>
        <w:t>corporate</w:t>
        <w:tab/>
        <w:t>opportunity</w:t>
        <w:tab/>
        <w:t>offered</w:t>
        <w:tab/>
        <w:t>to</w:t>
        <w:tab/>
        <w:t>any</w:t>
      </w:r>
      <w:r>
        <w:rPr>
          <w:sz w:val="20"/>
          <w:szCs w:val="20"/>
          <w:color w:val="auto"/>
        </w:rPr>
        <w:tab/>
      </w:r>
      <w:r>
        <w:rPr>
          <w:rFonts w:ascii="Arial" w:cs="Arial" w:eastAsia="Arial" w:hAnsi="Arial"/>
          <w:sz w:val="16"/>
          <w:szCs w:val="16"/>
          <w:color w:val="auto"/>
        </w:rPr>
        <w:t>Non-</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Employee  Director  (including  any  Non-Employee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Director who serves as an officer of this Corporation)</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if such opportunity is expressly offered to such person</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solely in his or her capacity as a director or officer of</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the Corporation, and the provisions of Section (B) of</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this Article XII shall not apply to any such corporate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opportunity.</w:t>
      </w:r>
    </w:p>
    <w:p>
      <w:pPr>
        <w:spacing w:after="0" w:line="200" w:lineRule="exact"/>
        <w:rPr>
          <w:sz w:val="20"/>
          <w:szCs w:val="20"/>
          <w:color w:val="auto"/>
        </w:rPr>
      </w:pPr>
    </w:p>
    <w:p>
      <w:pPr>
        <w:spacing w:after="0" w:line="23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00"/>
          </w:cols>
          <w:pgMar w:left="1440" w:top="1079" w:right="25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Survival of the Certificate of incorporation Provisions where Certain Provisions are Held Invalid, Illegal or Unenforceable</w:t>
      </w:r>
    </w:p>
    <w:p>
      <w:pPr>
        <w:spacing w:after="0" w:line="20" w:lineRule="exact"/>
        <w:rPr>
          <w:sz w:val="20"/>
          <w:szCs w:val="20"/>
          <w:color w:val="auto"/>
        </w:rPr>
      </w:pPr>
      <w:r>
        <w:rPr>
          <w:sz w:val="20"/>
          <w:szCs w:val="20"/>
          <w:color w:val="auto"/>
        </w:rPr>
        <w:br w:type="column"/>
      </w:r>
    </w:p>
    <w:p>
      <w:pPr>
        <w:ind w:left="4100"/>
        <w:spacing w:after="0"/>
        <w:rPr>
          <w:sz w:val="20"/>
          <w:szCs w:val="20"/>
          <w:color w:val="auto"/>
        </w:rPr>
      </w:pPr>
      <w:r>
        <w:rPr>
          <w:rFonts w:ascii="Arial" w:cs="Arial" w:eastAsia="Arial" w:hAnsi="Arial"/>
          <w:sz w:val="17"/>
          <w:szCs w:val="17"/>
          <w:color w:val="auto"/>
        </w:rPr>
        <w:t>D. In addition to and notwithstanding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-225425</wp:posOffset>
            </wp:positionV>
            <wp:extent cx="7247255" cy="48996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7255" cy="4899660"/>
                    </a:xfrm>
                    <a:prstGeom prst="rect">
                      <a:avLst/>
                    </a:prstGeom>
                    <a:noFill/>
                  </pic:spPr>
                </pic:pic>
              </a:graphicData>
            </a:graphic>
          </wp:anchor>
        </w:drawing>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provisions of this Article XII, a corporate opportunity</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shall  not  be  deemed  to  be  a  potential  corporate</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opportunity for the Corporation if it is a business</w:t>
      </w:r>
    </w:p>
    <w:p>
      <w:pPr>
        <w:spacing w:after="0" w:line="8" w:lineRule="exact"/>
        <w:rPr>
          <w:sz w:val="20"/>
          <w:szCs w:val="20"/>
          <w:color w:val="auto"/>
        </w:rPr>
      </w:pPr>
    </w:p>
    <w:p>
      <w:pPr>
        <w:ind w:left="4100"/>
        <w:spacing w:after="0"/>
        <w:tabs>
          <w:tab w:leader="none" w:pos="5080" w:val="left"/>
          <w:tab w:leader="none" w:pos="5520" w:val="left"/>
          <w:tab w:leader="none" w:pos="5840" w:val="left"/>
          <w:tab w:leader="none" w:pos="6220" w:val="left"/>
          <w:tab w:leader="none" w:pos="7260" w:val="left"/>
          <w:tab w:leader="none" w:pos="7540" w:val="left"/>
        </w:tabs>
        <w:rPr>
          <w:sz w:val="20"/>
          <w:szCs w:val="20"/>
          <w:color w:val="auto"/>
        </w:rPr>
      </w:pPr>
      <w:r>
        <w:rPr>
          <w:rFonts w:ascii="Arial" w:cs="Arial" w:eastAsia="Arial" w:hAnsi="Arial"/>
          <w:sz w:val="18"/>
          <w:szCs w:val="18"/>
          <w:color w:val="auto"/>
        </w:rPr>
        <w:t>opportunity</w:t>
        <w:tab/>
        <w:t>that</w:t>
        <w:tab/>
        <w:t>(i)</w:t>
        <w:tab/>
        <w:t>the</w:t>
        <w:tab/>
        <w:t>Corporation</w:t>
        <w:tab/>
        <w:t>is</w:t>
      </w:r>
      <w:r>
        <w:rPr>
          <w:sz w:val="20"/>
          <w:szCs w:val="20"/>
          <w:color w:val="auto"/>
        </w:rPr>
        <w:tab/>
      </w:r>
      <w:r>
        <w:rPr>
          <w:rFonts w:ascii="Arial" w:cs="Arial" w:eastAsia="Arial" w:hAnsi="Arial"/>
          <w:sz w:val="15"/>
          <w:szCs w:val="15"/>
          <w:color w:val="auto"/>
        </w:rPr>
        <w:t>unable,</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financially or legally, or is not contractually permitted</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to undertake, (ii) from its nature, is not in the line of</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the  Corporation’s  business  or  is  of  no  practical</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advantage to the Corporation or (iii) is one in which</w:t>
      </w:r>
    </w:p>
    <w:p>
      <w:pPr>
        <w:spacing w:after="0" w:line="20" w:lineRule="exact"/>
        <w:rPr>
          <w:sz w:val="20"/>
          <w:szCs w:val="20"/>
          <w:color w:val="auto"/>
        </w:rPr>
      </w:pPr>
    </w:p>
    <w:p>
      <w:pPr>
        <w:ind w:left="4100"/>
        <w:spacing w:after="0"/>
        <w:tabs>
          <w:tab w:leader="none" w:pos="4480" w:val="left"/>
          <w:tab w:leader="none" w:pos="5520" w:val="left"/>
          <w:tab w:leader="none" w:pos="5920" w:val="left"/>
          <w:tab w:leader="none" w:pos="6280" w:val="left"/>
          <w:tab w:leader="none" w:pos="6960" w:val="left"/>
          <w:tab w:leader="none" w:pos="7280" w:val="left"/>
        </w:tabs>
        <w:rPr>
          <w:sz w:val="20"/>
          <w:szCs w:val="20"/>
          <w:color w:val="auto"/>
        </w:rPr>
      </w:pPr>
      <w:r>
        <w:rPr>
          <w:rFonts w:ascii="Arial" w:cs="Arial" w:eastAsia="Arial" w:hAnsi="Arial"/>
          <w:sz w:val="18"/>
          <w:szCs w:val="18"/>
          <w:color w:val="auto"/>
        </w:rPr>
        <w:t>the</w:t>
        <w:tab/>
        <w:t>Corporation</w:t>
        <w:tab/>
        <w:t>has</w:t>
        <w:tab/>
        <w:t>no</w:t>
        <w:tab/>
        <w:t>interest</w:t>
        <w:tab/>
        <w:t>or</w:t>
      </w:r>
      <w:r>
        <w:rPr>
          <w:sz w:val="20"/>
          <w:szCs w:val="20"/>
          <w:color w:val="auto"/>
        </w:rPr>
        <w:tab/>
      </w:r>
      <w:r>
        <w:rPr>
          <w:rFonts w:ascii="Arial" w:cs="Arial" w:eastAsia="Arial" w:hAnsi="Arial"/>
          <w:sz w:val="15"/>
          <w:szCs w:val="15"/>
          <w:color w:val="auto"/>
        </w:rPr>
        <w:t>reasonable</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expectancy.</w:t>
      </w:r>
    </w:p>
    <w:p>
      <w:pPr>
        <w:spacing w:after="0" w:line="20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E. For purposes of this Article XII, (i) “Affiliate” shall</w:t>
      </w:r>
    </w:p>
    <w:p>
      <w:pPr>
        <w:spacing w:after="0" w:line="34"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mean, (a) in respect of each Non-Employee Director,</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any Person that, directly or indirectly, is controlled by</w:t>
      </w:r>
    </w:p>
    <w:p>
      <w:pPr>
        <w:spacing w:after="0" w:line="20" w:lineRule="exact"/>
        <w:rPr>
          <w:sz w:val="20"/>
          <w:szCs w:val="20"/>
          <w:color w:val="auto"/>
        </w:rPr>
      </w:pPr>
    </w:p>
    <w:p>
      <w:pPr>
        <w:ind w:left="4100"/>
        <w:spacing w:after="0"/>
        <w:tabs>
          <w:tab w:leader="none" w:pos="4620" w:val="left"/>
          <w:tab w:leader="none" w:pos="5920" w:val="left"/>
          <w:tab w:leader="none" w:pos="6720" w:val="left"/>
          <w:tab w:leader="none" w:pos="7340" w:val="left"/>
          <w:tab w:leader="none" w:pos="7840" w:val="left"/>
        </w:tabs>
        <w:rPr>
          <w:sz w:val="20"/>
          <w:szCs w:val="20"/>
          <w:color w:val="auto"/>
        </w:rPr>
      </w:pPr>
      <w:r>
        <w:rPr>
          <w:rFonts w:ascii="Arial" w:cs="Arial" w:eastAsia="Arial" w:hAnsi="Arial"/>
          <w:sz w:val="18"/>
          <w:szCs w:val="18"/>
          <w:color w:val="auto"/>
        </w:rPr>
        <w:t>such</w:t>
        <w:tab/>
        <w:t>Non-Employee</w:t>
        <w:tab/>
        <w:t>Director</w:t>
        <w:tab/>
        <w:t>(other</w:t>
        <w:tab/>
        <w:t>than</w:t>
      </w:r>
      <w:r>
        <w:rPr>
          <w:sz w:val="20"/>
          <w:szCs w:val="20"/>
          <w:color w:val="auto"/>
        </w:rPr>
        <w:tab/>
      </w:r>
      <w:r>
        <w:rPr>
          <w:rFonts w:ascii="Arial" w:cs="Arial" w:eastAsia="Arial" w:hAnsi="Arial"/>
          <w:sz w:val="15"/>
          <w:szCs w:val="15"/>
          <w:color w:val="auto"/>
        </w:rPr>
        <w:t>the</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Corporation and any entity that is controlled by the</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Corporation) and (b) in respect of the Corporation, any</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Person that, directly or indirectly, is controlled by the</w:t>
      </w:r>
    </w:p>
    <w:p>
      <w:pPr>
        <w:spacing w:after="0" w:line="20" w:lineRule="exact"/>
        <w:rPr>
          <w:sz w:val="20"/>
          <w:szCs w:val="20"/>
          <w:color w:val="auto"/>
        </w:rPr>
      </w:pPr>
    </w:p>
    <w:p>
      <w:pPr>
        <w:ind w:left="4100"/>
        <w:spacing w:after="0"/>
        <w:tabs>
          <w:tab w:leader="none" w:pos="5160" w:val="left"/>
          <w:tab w:leader="none" w:pos="5580" w:val="left"/>
          <w:tab w:leader="none" w:pos="5960" w:val="left"/>
          <w:tab w:leader="none" w:pos="6760" w:val="left"/>
          <w:tab w:leader="none" w:pos="7260" w:val="left"/>
          <w:tab w:leader="none" w:pos="7800" w:val="left"/>
        </w:tabs>
        <w:rPr>
          <w:sz w:val="20"/>
          <w:szCs w:val="20"/>
          <w:color w:val="auto"/>
        </w:rPr>
      </w:pPr>
      <w:r>
        <w:rPr>
          <w:rFonts w:ascii="Arial" w:cs="Arial" w:eastAsia="Arial" w:hAnsi="Arial"/>
          <w:sz w:val="18"/>
          <w:szCs w:val="18"/>
          <w:color w:val="auto"/>
        </w:rPr>
        <w:t>Corporation;</w:t>
        <w:tab/>
        <w:t>and</w:t>
        <w:tab/>
        <w:t>(ii)</w:t>
        <w:tab/>
        <w:t>“Person”</w:t>
        <w:tab/>
        <w:t>shall</w:t>
        <w:tab/>
        <w:t>mean</w:t>
      </w:r>
      <w:r>
        <w:rPr>
          <w:sz w:val="20"/>
          <w:szCs w:val="20"/>
          <w:color w:val="auto"/>
        </w:rPr>
        <w:tab/>
      </w:r>
      <w:r>
        <w:rPr>
          <w:rFonts w:ascii="Arial" w:cs="Arial" w:eastAsia="Arial" w:hAnsi="Arial"/>
          <w:sz w:val="16"/>
          <w:szCs w:val="16"/>
          <w:color w:val="auto"/>
        </w:rPr>
        <w:t>any</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individual, corporation, general or limited partnership,</w:t>
      </w:r>
    </w:p>
    <w:p>
      <w:pPr>
        <w:spacing w:after="0" w:line="31" w:lineRule="exact"/>
        <w:rPr>
          <w:sz w:val="20"/>
          <w:szCs w:val="20"/>
          <w:color w:val="auto"/>
        </w:rPr>
      </w:pPr>
    </w:p>
    <w:p>
      <w:pPr>
        <w:ind w:left="4100"/>
        <w:spacing w:after="0"/>
        <w:tabs>
          <w:tab w:leader="none" w:pos="4780" w:val="left"/>
          <w:tab w:leader="none" w:pos="5540" w:val="left"/>
          <w:tab w:leader="none" w:pos="6420" w:val="left"/>
          <w:tab w:leader="none" w:pos="6940" w:val="left"/>
          <w:tab w:leader="none" w:pos="7700" w:val="left"/>
        </w:tabs>
        <w:rPr>
          <w:sz w:val="20"/>
          <w:szCs w:val="20"/>
          <w:color w:val="auto"/>
        </w:rPr>
      </w:pPr>
      <w:r>
        <w:rPr>
          <w:rFonts w:ascii="Arial" w:cs="Arial" w:eastAsia="Arial" w:hAnsi="Arial"/>
          <w:sz w:val="18"/>
          <w:szCs w:val="18"/>
          <w:color w:val="auto"/>
        </w:rPr>
        <w:t>limited</w:t>
        <w:tab/>
        <w:t>liability</w:t>
        <w:tab/>
        <w:t>company,</w:t>
        <w:tab/>
        <w:t>joint</w:t>
        <w:tab/>
        <w:t>venture,</w:t>
      </w:r>
      <w:r>
        <w:rPr>
          <w:sz w:val="20"/>
          <w:szCs w:val="20"/>
          <w:color w:val="auto"/>
        </w:rPr>
        <w:tab/>
      </w:r>
      <w:r>
        <w:rPr>
          <w:rFonts w:ascii="Arial" w:cs="Arial" w:eastAsia="Arial" w:hAnsi="Arial"/>
          <w:sz w:val="16"/>
          <w:szCs w:val="16"/>
          <w:color w:val="auto"/>
        </w:rPr>
        <w:t>trust,</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association or any other entity.</w:t>
      </w:r>
    </w:p>
    <w:p>
      <w:pPr>
        <w:spacing w:after="0" w:line="20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F. To the fullest extent permitted by law, any Person</w:t>
      </w:r>
    </w:p>
    <w:p>
      <w:pPr>
        <w:spacing w:after="0" w:line="34"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purchasing or otherwise acquiring any interest in any</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shares of capital stock of the Corporation shall be</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deemed to have notice of and to have consented to the</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provisions of this Article XII.</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Current Certificate of Incorporation does not Article XIII.A of the Proposed Amended and Restated include a provision similar to that of Article XIII.A of Certificate of Incorporation provides as follows with the Proposed Amended and Restated Certificate of respect to where a provision of the certificate of</w:t>
      </w:r>
    </w:p>
    <w:p>
      <w:pPr>
        <w:jc w:val="both"/>
        <w:ind w:left="4100" w:hanging="4099"/>
        <w:spacing w:after="0" w:line="258" w:lineRule="auto"/>
        <w:tabs>
          <w:tab w:leader="none" w:pos="4080"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incorporation is held be invalid, illegal or unenforceable:</w:t>
      </w:r>
    </w:p>
    <w:p>
      <w:pPr>
        <w:spacing w:after="0" w:line="200" w:lineRule="exact"/>
        <w:rPr>
          <w:sz w:val="20"/>
          <w:szCs w:val="20"/>
          <w:color w:val="auto"/>
        </w:rPr>
      </w:pPr>
    </w:p>
    <w:p>
      <w:pPr>
        <w:sectPr>
          <w:pgSz w:w="11900" w:h="16838" w:orient="portrait"/>
          <w:cols w:equalWidth="0" w:num="2">
            <w:col w:w="3040" w:space="160"/>
            <w:col w:w="8080"/>
          </w:cols>
          <w:pgMar w:left="360" w:top="1080" w:right="259" w:bottom="1440" w:gutter="0" w:footer="0" w:header="0"/>
        </w:sect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360" w:top="1080" w:right="259" w:bottom="1440" w:gutter="0" w:footer="0" w:header="0"/>
          <w:type w:val="continuous"/>
        </w:sectPr>
      </w:pPr>
    </w:p>
    <w:bookmarkStart w:id="103" w:name="page104"/>
    <w:bookmarkEnd w:id="103"/>
    <w:tbl>
      <w:tblPr>
        <w:tblLayout w:type="fixed"/>
        <w:tblInd w:w="10" w:type="dxa"/>
        <w:tblCellMar>
          <w:top w:w="0" w:type="dxa"/>
          <w:left w:w="0" w:type="dxa"/>
          <w:bottom w:w="0" w:type="dxa"/>
          <w:right w:w="0" w:type="dxa"/>
        </w:tblCellMar>
      </w:tblPr>
      <w:tr>
        <w:trPr>
          <w:trHeight w:val="214"/>
        </w:trPr>
        <w:tc>
          <w:tcPr>
            <w:tcW w:w="2680" w:type="dxa"/>
            <w:vAlign w:val="bottom"/>
            <w:tcBorders>
              <w:top w:val="single" w:sz="8" w:color="auto"/>
              <w:left w:val="single" w:sz="8" w:color="auto"/>
            </w:tcBorders>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40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 xml:space="preserve">Article XIII.A. </w:t>
            </w:r>
            <w:r>
              <w:rPr>
                <w:rFonts w:ascii="Arial" w:cs="Arial" w:eastAsia="Arial" w:hAnsi="Arial"/>
                <w:sz w:val="18"/>
                <w:szCs w:val="18"/>
                <w:color w:val="auto"/>
              </w:rPr>
              <w:t>If any provision or provisions of this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Certificate  of  Incorporation  shall  be  held  to  be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invalid, illegal or unenforceable as applied to any</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circumstance  for  any  reason  whatsoever:  (i)  the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validity, legality and enforceability of such provisions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in  any  other  circumstance  and  of  the  remaining</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provisions  of  this  Certificate  of  Incorporation</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(including, without limitation, each portion of any</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paragraph  of  this  Certificate  of  Incorporation</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containing any such provision held to be invalid,</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illegal or unenforceable that is not itself held to be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invalid, illegal or unenforceable) shall not in any way</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be affected or impaired thereby and (ii) to the fullest</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extent possible, the provisions of this Certificate of</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Incorporation  (including,  without  limitation,  each</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such portion of any paragraph of this Certificate of</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Incorporation containing any such provision held to</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be  invalid,  illegal  or  unenforceable)  shall  be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construed so as to permit the Corporation to protect</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its directors, officers, employees and agents from</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personal liability in respect of their good faith service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or for the benefit of the Corporation to the fullest</w:t>
            </w:r>
          </w:p>
        </w:tc>
      </w:tr>
      <w:tr>
        <w:trPr>
          <w:trHeight w:val="230"/>
        </w:trPr>
        <w:tc>
          <w:tcPr>
            <w:tcW w:w="2680" w:type="dxa"/>
            <w:vAlign w:val="bottom"/>
            <w:tcBorders>
              <w:left w:val="single" w:sz="8" w:color="auto"/>
            </w:tcBorders>
          </w:tcPr>
          <w:p>
            <w:pPr>
              <w:spacing w:after="0"/>
              <w:rPr>
                <w:sz w:val="19"/>
                <w:szCs w:val="19"/>
                <w:color w:val="auto"/>
              </w:rPr>
            </w:pPr>
          </w:p>
        </w:tc>
        <w:tc>
          <w:tcPr>
            <w:tcW w:w="4700" w:type="dxa"/>
            <w:vAlign w:val="bottom"/>
          </w:tcPr>
          <w:p>
            <w:pPr>
              <w:spacing w:after="0"/>
              <w:rPr>
                <w:sz w:val="19"/>
                <w:szCs w:val="19"/>
                <w:color w:val="auto"/>
              </w:rPr>
            </w:pPr>
          </w:p>
        </w:tc>
        <w:tc>
          <w:tcPr>
            <w:tcW w:w="4040" w:type="dxa"/>
            <w:vAlign w:val="bottom"/>
            <w:tcBorders>
              <w:right w:val="single" w:sz="8" w:color="auto"/>
            </w:tcBorders>
          </w:tcPr>
          <w:p>
            <w:pPr>
              <w:jc w:val="right"/>
              <w:ind w:right="2090"/>
              <w:spacing w:after="0"/>
              <w:rPr>
                <w:sz w:val="20"/>
                <w:szCs w:val="20"/>
                <w:color w:val="auto"/>
              </w:rPr>
            </w:pPr>
            <w:r>
              <w:rPr>
                <w:rFonts w:ascii="Arial" w:cs="Arial" w:eastAsia="Arial" w:hAnsi="Arial"/>
                <w:sz w:val="18"/>
                <w:szCs w:val="18"/>
                <w:color w:val="auto"/>
                <w:w w:val="96"/>
              </w:rPr>
              <w:t>extent permitted by law.</w:t>
            </w:r>
          </w:p>
        </w:tc>
      </w:tr>
      <w:tr>
        <w:trPr>
          <w:trHeight w:val="416"/>
        </w:trPr>
        <w:tc>
          <w:tcPr>
            <w:tcW w:w="26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Forum Selection Clauses</w:t>
            </w:r>
          </w:p>
        </w:tc>
        <w:tc>
          <w:tcPr>
            <w:tcW w:w="4700" w:type="dxa"/>
            <w:vAlign w:val="bottom"/>
          </w:tcPr>
          <w:p>
            <w:pPr>
              <w:ind w:left="640"/>
              <w:spacing w:after="0"/>
              <w:rPr>
                <w:sz w:val="20"/>
                <w:szCs w:val="20"/>
                <w:color w:val="auto"/>
              </w:rPr>
            </w:pPr>
            <w:r>
              <w:rPr>
                <w:rFonts w:ascii="Arial" w:cs="Arial" w:eastAsia="Arial" w:hAnsi="Arial"/>
                <w:sz w:val="18"/>
                <w:szCs w:val="18"/>
                <w:color w:val="auto"/>
                <w:w w:val="98"/>
              </w:rPr>
              <w:t>The Current Certificate of Incorporation provides for</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Article XIII.B of the Proposed Amended and Restated</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forum selection and related terms with respect to</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Certificate of Incorporation provides a more plenary</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compromises   and   arrangements   between   the</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forum  selection  clause.  It  specifically  provides  as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Corporation and its creditors or any class of them</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follows: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1"/>
              </w:rPr>
              <w:t>and/or between this Corporation and its stockholders or</w:t>
            </w:r>
          </w:p>
        </w:tc>
        <w:tc>
          <w:tcPr>
            <w:tcW w:w="4040" w:type="dxa"/>
            <w:vAlign w:val="bottom"/>
            <w:tcBorders>
              <w:right w:val="single" w:sz="8" w:color="auto"/>
            </w:tcBorders>
          </w:tcPr>
          <w:p>
            <w:pPr>
              <w:spacing w:after="0"/>
              <w:rPr>
                <w:sz w:val="18"/>
                <w:szCs w:val="18"/>
                <w:color w:val="auto"/>
              </w:rPr>
            </w:pP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any  class  of  them.  The  Current  Certificate  of</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 xml:space="preserve">Article XIII.B. </w:t>
            </w:r>
            <w:r>
              <w:rPr>
                <w:rFonts w:ascii="Arial" w:cs="Arial" w:eastAsia="Arial" w:hAnsi="Arial"/>
                <w:sz w:val="18"/>
                <w:szCs w:val="18"/>
                <w:color w:val="auto"/>
              </w:rPr>
              <w:t>Unless the Corporation consents in</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9"/>
              </w:rPr>
              <w:t>Incorporation specifically provides as follows in this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writing to the selection of an alternative forum, the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regard:</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Court of Chancery of the State of Delaware shall, to</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the fullest extent permitted by law, be the sole and</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i w:val="1"/>
                <w:iCs w:val="1"/>
                <w:color w:val="auto"/>
              </w:rPr>
              <w:t>Article IX</w:t>
            </w:r>
            <w:r>
              <w:rPr>
                <w:rFonts w:ascii="Arial" w:cs="Arial" w:eastAsia="Arial" w:hAnsi="Arial"/>
                <w:sz w:val="18"/>
                <w:szCs w:val="18"/>
                <w:color w:val="auto"/>
              </w:rPr>
              <w:t>.</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exclusive  forum  for  (i)  any  derivative  action  or</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proceeding brought on behalf of the Corporation, (ii)</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4"/>
              </w:rPr>
              <w:t>Whenever a compromise or arrangement is proposed</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any action asserting a claim of breach of a fiduciary</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3"/>
              </w:rPr>
              <w:t>between this Corporation and its creditors or any class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duty owed by any director or officer of the Corporation</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7"/>
              </w:rPr>
              <w:t>of  them  and/or  between  this  Corporation  and  its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to the Corporation or the Corporation’s stockholders,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8"/>
              </w:rPr>
              <w:t>stockholders  or  any  class  of  them,  any  court  of</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1"/>
              </w:rPr>
              <w:t>creditors or other constituents, (iii) any action asserting</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equitable jurisdiction within the State of Delaware</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 claim against the Corporation or any director or</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may, on the application in a summary way of this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officer of the Corporation arising pursuant to any</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3"/>
              </w:rPr>
              <w:t>Corporation or of any creditor or stockholder thereof or</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provision of the GCL or this Amended and Restated</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on  the  application  of  any  receiver  or  receivers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Certificate of Incorporation or the Bylaws (as either</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8"/>
              </w:rPr>
              <w:t>appointed for this Corporation under Section 291 of</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1"/>
              </w:rPr>
              <w:t>may be amended and/or restated from time to time), or</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7"/>
              </w:rPr>
              <w:t>Title 8 of the Delaware Code or on the application of</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(iv)  any  action  asserting  a  claim  against  the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7"/>
              </w:rPr>
              <w:t>trustees in dissolution or of any receiver or receivers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Corporation  or  any  director  or  officer  of  the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8"/>
              </w:rPr>
              <w:t>appointed for this Corporation under Section 279 of</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Corporation governed by the internal affairs doctrine,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8"/>
              </w:rPr>
              <w:t>Title 8 of the Delaware Code order a meeting of the</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in each such case subject to said court having personal</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creditors  or  class  of  creditors,  and/or  of  the</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jurisdiction over the indispensable parties named as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stockholders  or  class  of  stockholders  of  this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defendants therein; provided that, if and only if the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5"/>
              </w:rPr>
              <w:t>Corporation, as the case may be, to be summoned in</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Court of Chancery of the State of Delaware dismisses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5"/>
              </w:rPr>
              <w:t>such manner as the said court directs. If a majority in</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any such action for lack of subject matter jurisdiction,</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number representing three fourths in value of the</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such action may be brought in another state court</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creditors  or  class  of  creditors,  and/or  of  the</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sitting in the State of Delaware. To the fullest extent</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stockholders  or  class  of  stockholders  of  this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permitted by law, any person purchasing or otherwise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8"/>
              </w:rPr>
              <w:t>Corporation,  as  the  case  may  be,  agree  to  any</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acquiring any interest in shares of capital stock of the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3"/>
              </w:rPr>
              <w:t>compromise or arrangement and to any reorganization</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Corporation shall be deemed to have notice of and</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of  this  Corporation  as  a  consequence  of  such</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consents to the provisions of this Article XII(B).</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5"/>
              </w:rPr>
              <w:t>compromise or arrangement, the said compromise or</w:t>
            </w:r>
          </w:p>
        </w:tc>
        <w:tc>
          <w:tcPr>
            <w:tcW w:w="4040" w:type="dxa"/>
            <w:vAlign w:val="bottom"/>
            <w:tcBorders>
              <w:right w:val="single" w:sz="8" w:color="auto"/>
            </w:tcBorders>
          </w:tcPr>
          <w:p>
            <w:pPr>
              <w:spacing w:after="0"/>
              <w:rPr>
                <w:sz w:val="18"/>
                <w:szCs w:val="18"/>
                <w:color w:val="auto"/>
              </w:rPr>
            </w:pP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7"/>
              </w:rPr>
              <w:t>arrangement  and  the  said  reorganization  shall,  if</w:t>
            </w:r>
          </w:p>
        </w:tc>
        <w:tc>
          <w:tcPr>
            <w:tcW w:w="4040" w:type="dxa"/>
            <w:vAlign w:val="bottom"/>
            <w:tcBorders>
              <w:right w:val="single" w:sz="8" w:color="auto"/>
            </w:tcBorders>
          </w:tcPr>
          <w:p>
            <w:pPr>
              <w:spacing w:after="0"/>
              <w:rPr>
                <w:sz w:val="18"/>
                <w:szCs w:val="18"/>
                <w:color w:val="auto"/>
              </w:rPr>
            </w:pP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7"/>
              </w:rPr>
              <w:t>sanctioned by the court to which the said application</w:t>
            </w:r>
          </w:p>
        </w:tc>
        <w:tc>
          <w:tcPr>
            <w:tcW w:w="4040" w:type="dxa"/>
            <w:vAlign w:val="bottom"/>
            <w:tcBorders>
              <w:right w:val="single" w:sz="8" w:color="auto"/>
            </w:tcBorders>
          </w:tcPr>
          <w:p>
            <w:pPr>
              <w:spacing w:after="0"/>
              <w:rPr>
                <w:sz w:val="18"/>
                <w:szCs w:val="18"/>
                <w:color w:val="auto"/>
              </w:rPr>
            </w:pP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2"/>
              </w:rPr>
              <w:t>has been made, be binding on all the creditors or class</w:t>
            </w:r>
          </w:p>
        </w:tc>
        <w:tc>
          <w:tcPr>
            <w:tcW w:w="4040" w:type="dxa"/>
            <w:vAlign w:val="bottom"/>
            <w:tcBorders>
              <w:right w:val="single" w:sz="8" w:color="auto"/>
            </w:tcBorders>
          </w:tcPr>
          <w:p>
            <w:pPr>
              <w:spacing w:after="0"/>
              <w:rPr>
                <w:sz w:val="18"/>
                <w:szCs w:val="18"/>
                <w:color w:val="auto"/>
              </w:rPr>
            </w:pP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5"/>
              </w:rPr>
              <w:t>of creditors, and/or on all the stockholders or class of</w:t>
            </w:r>
          </w:p>
        </w:tc>
        <w:tc>
          <w:tcPr>
            <w:tcW w:w="4040" w:type="dxa"/>
            <w:vAlign w:val="bottom"/>
            <w:tcBorders>
              <w:right w:val="single" w:sz="8" w:color="auto"/>
            </w:tcBorders>
          </w:tcPr>
          <w:p>
            <w:pPr>
              <w:spacing w:after="0"/>
              <w:rPr>
                <w:sz w:val="18"/>
                <w:szCs w:val="18"/>
                <w:color w:val="auto"/>
              </w:rPr>
            </w:pP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4"/>
              </w:rPr>
              <w:t>stockholders, of this Corporation, as the case may be,</w:t>
            </w:r>
          </w:p>
        </w:tc>
        <w:tc>
          <w:tcPr>
            <w:tcW w:w="4040" w:type="dxa"/>
            <w:vAlign w:val="bottom"/>
            <w:tcBorders>
              <w:right w:val="single" w:sz="8" w:color="auto"/>
            </w:tcBorders>
          </w:tcPr>
          <w:p>
            <w:pPr>
              <w:spacing w:after="0"/>
              <w:rPr>
                <w:sz w:val="18"/>
                <w:szCs w:val="18"/>
                <w:color w:val="auto"/>
              </w:rPr>
            </w:pPr>
          </w:p>
        </w:tc>
      </w:tr>
      <w:tr>
        <w:trPr>
          <w:trHeight w:val="229"/>
        </w:trPr>
        <w:tc>
          <w:tcPr>
            <w:tcW w:w="2680" w:type="dxa"/>
            <w:vAlign w:val="bottom"/>
            <w:tcBorders>
              <w:left w:val="single" w:sz="8" w:color="auto"/>
              <w:bottom w:val="single" w:sz="8" w:color="auto"/>
            </w:tcBorders>
          </w:tcPr>
          <w:p>
            <w:pPr>
              <w:spacing w:after="0"/>
              <w:rPr>
                <w:sz w:val="19"/>
                <w:szCs w:val="19"/>
                <w:color w:val="auto"/>
              </w:rPr>
            </w:pPr>
          </w:p>
        </w:tc>
        <w:tc>
          <w:tcPr>
            <w:tcW w:w="47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and also on this Corporation.</w:t>
            </w:r>
          </w:p>
        </w:tc>
        <w:tc>
          <w:tcPr>
            <w:tcW w:w="4040" w:type="dxa"/>
            <w:vAlign w:val="bottom"/>
            <w:tcBorders>
              <w:bottom w:val="single" w:sz="8" w:color="auto"/>
              <w:right w:val="single" w:sz="8" w:color="auto"/>
            </w:tcBorders>
          </w:tcPr>
          <w:p>
            <w:pPr>
              <w:spacing w:after="0"/>
              <w:rPr>
                <w:sz w:val="19"/>
                <w:szCs w:val="19"/>
                <w:color w:val="auto"/>
              </w:rPr>
            </w:pPr>
          </w:p>
        </w:tc>
      </w:tr>
      <w:tr>
        <w:trPr>
          <w:trHeight w:val="639"/>
        </w:trPr>
        <w:tc>
          <w:tcPr>
            <w:tcW w:w="26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ind w:left="2960"/>
              <w:spacing w:after="0"/>
              <w:rPr>
                <w:sz w:val="20"/>
                <w:szCs w:val="20"/>
                <w:color w:val="auto"/>
              </w:rPr>
            </w:pPr>
            <w:r>
              <w:rPr>
                <w:rFonts w:ascii="Arial" w:cs="Arial" w:eastAsia="Arial" w:hAnsi="Arial"/>
                <w:sz w:val="18"/>
                <w:szCs w:val="18"/>
                <w:color w:val="auto"/>
              </w:rPr>
              <w:t>94</w:t>
            </w: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9" w:right="239" w:bottom="688"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Reasons for the Amendments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the judgment of our board of directors, the amendments to our Proposed Amended and Restated Certificate of Incorporation set forth in this Additional Amendments Proposal are desirable for the following reasons:</w:t>
      </w:r>
    </w:p>
    <w:p>
      <w:pPr>
        <w:spacing w:after="0" w:line="171" w:lineRule="exact"/>
        <w:rPr>
          <w:sz w:val="20"/>
          <w:szCs w:val="20"/>
          <w:color w:val="auto"/>
        </w:rPr>
      </w:pPr>
    </w:p>
    <w:p>
      <w:pPr>
        <w:ind w:left="660" w:right="20" w:hanging="330"/>
        <w:spacing w:after="0" w:line="275"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Our board of directors believes the name of the combined company should reflect the Business Combination with Priority and operating business following the Business Combination.</w:t>
      </w:r>
    </w:p>
    <w:p>
      <w:pPr>
        <w:spacing w:after="0" w:line="170"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Article VI of our Current Certificate of Incorporation relates to our operations as a special purpose acquisition company prior to the consummation of our initial business combination and would not be applicable to the combined company after consummation of the Business Combination. Accordingly, this Article would serve no further purpose. Furthermore, Perpetual existence is the customary period of existence for corporations and our board of directors believes it is the most appropriate duration for the combined company.</w:t>
      </w:r>
    </w:p>
    <w:p>
      <w:pPr>
        <w:spacing w:after="0" w:line="185"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Certain administrative changes to our certificate of incorporation are necessary and desirable to conform with those of other public operating companies.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Additional Amendments Proposal. Broker non-votes, abstentions or the failure to vote on this Additional Amendments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Additional Amendments Proposal.</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Additional Amendments Proposal is conditioned upon the approval and completion of the Business Combination Proposal. If the Business Combination Proposal is not approved, this Additional Amendments Proposal will have no effect even if approved by our stockholders.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ind w:left="660"/>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ADDITIONAL AMENDMENTS PROPOSAL.</w:t>
      </w:r>
    </w:p>
    <w:p>
      <w:pPr>
        <w:spacing w:after="0" w:line="38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00"/>
          </w:cols>
          <w:pgMar w:left="240" w:top="901" w:right="6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PROPOSAL NO. 7—THE 2018 EQUITY INCENTIVE PLAN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Business Combination, we intend to adopt the 2018 Equity Incentive Plan. The following is a summary of certain terms and conditions of the 2018 Equity Incentive Plan. This summary is qualified in its entirety by reference to the 2018 Equity Incentive Plan, which is attached as Annex G to this proxy statement. You are encouraged to read the entirety of the 2018 Equity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2018 Equity Incentive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compensation committee of our board of directors (the “compensation committee”) will administer the 2018 Equity Incentive Plan. The compensation committee will have authority, to exercise in its discretion, subject to and not inconsistent with the express provisions of the 2018 Equity Incentive Plan: to administer the 2018 Equity Incentive Plan and to exercise all the powers and authorities either specifically granted to it under the 2018 Equity Incentive Plan or necessary or advisable in the administration of the 2018 Equity Incentive Plan, including, without limitation: the authority to grant awards; to select the recipients of awards may from time to time be granted and the time or times at which awards will be granted; to determine the type and number of awards to be granted, the number of shares of Company Stock or cash or other property to which an award may relate and the terms, conditions, restrictions and performance criteria relating to any award; to determine whether, to what extent, and under what circumstances an award may be settled, cancelled, forfeited, exchanged, or surrendered; to determine whether an award may be settled in cash and/or shares of Priority; to waive any of the terms, conditions, restrictions and performance criteria of any award, including to accelerate the vesting or lapse of restrictions of any outstanding award, based in each case on such considerations as the compensation committee, in its discretion, determines; to construe and interpret the 2018 Equity Incentive Plan and any award; to prescribe, amend and rescind rules and regulations relating to the 2018 Equity Incentive Plan; to determine the terms and provisions of award Agreements; and to make all other determinations that it deems necessary or advisable for the administration of the 2018 Equity Incentive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Any current or prospective employees, officers, consultants or advisors that the compensation committee (or, in the case of non-employee directors, the board of directors) selects, from time to time, are eligible to receive awards under to the 2018 Equity Incentive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Authorized</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2018 Equity Incentive Plan provides for the issuance of up to 10% of the number of shares of common stock outstanding immediately following consummation of the Business Combination, all of which may be issued with respect to incentive stock options under the 2018 Equity Incentive Plan. If any award granted under the 2018 Equity Incentive Plan expires, terminates, or is canceled or forfeited without being settled or exercised, or if a SAR is settled in cash or otherwise without the issuance of shares, shares of our common stock subject to such award will again be made available for future grants. In addition, if any shares are surrendered or tendered to pay the exercise price of an award or to satisfy withholding taxes owed, such shares will again be available for grants under the 2018 Equity Incentive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Available for Grant</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compensation committee may grant awards of non-qualified stock options, incentive stock options, SARs, restricted stock awards, restricted stock units, other stock-based awards (including cash bonus awards) or any combination of the foregoing.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compensation committee will be authorized to grant options to purchase shares of our common stock that are either “qualified,” meaning they are intended to satisfy the requirements of section 422 of the Code for incentive stock options, or “non-qualified,” meaning they are not intended to satisfy the requirements of section 422 of the Code. All options granted under the 2018 Equity Incentive Plan will be non-qualified unless the applicable award agreement expressly states that the option is intended to be an “incentive stock option.” Options granted under the 2018 Equity Incentive Plan will be subject to the terms and conditions established by the compensation committee. Under the terms of the 2018 Equity Incentive Plan, the exercise price of the options will not be less than the fair market value of our common stock at the time of grant (except with respect to Substitute Awards). Options granted under the 2018 Equity Incentive Plan will be subject to such terms, including the exercise price and the conditions and timing of exercise, as may be determined by the compensation committee and specified in the applicable award agreement. The maximum term of an option granted under the 2018 Equity Incentive Plan will be ten years from the date of grant (or five years in the case of a qualified option granted to a 10% stockholder), provided that if the term of a non-qualified option would expire at a time when trading in the shares of our common stock is prohibited by Priority’s insider trading policy, the option’s term will be extended automatically until the 30th day following the expiration of such prohibition (as long as such extension will not violate section 409A of the Code). Payment in respect of the exercise of an option may be made in cash, by check, by cash equivalent and/or by delivery of shares of our common stock valued at the fair market value at the time the option is exercised,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 required withholding taxes, (ii) if there is a public market for the shares of our common stock at such time, by means of a broker-assisted cashless exercise mechanism or (iii) by means of a “net exercise” procedure effected by withholding the number of shares otherwise deliverable in respect of an option that are needed to pay the exercise price and all applicable required withholding taxes. Any fractional shares of common stock will be settled in cash.</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SARs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compensation committee will be authorized to award stock appreciation rights (“SARs”) under the 2018 Equity Incentive Plan. SARs will be 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SARs granted in connection with an option will be subject to terms similar to the option corresponding to such SARs, including with respect to vesting and expiration. Except as otherwise provided by the compensation committee, the base price per share of our common stock underlying each SAR will not be less than 100% of the fair market value of such share, determined as of the date of grant and the maximum term of a SAR granted under the 2018 Equity Incentive Plan will be ten years from the date of grant. The remaining terms of each grant of SARs will be established by the compensation committee and reflected in the award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will be authorized to grant restricted stock under the 2018 Equity Incentive Plan, which will be 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 The compensation committee, in its discretion, may require that any dividends paid on shares of restricted stock be held in escrow until all restrictions on such shares of restricted stock have lapsed.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Awards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compensation committee will be authorized to grant restricted stock unit awards, which will be subject to the terms and conditions established by the compensation committee. A restricted stock unit award, once vested, may be settled in a number of shares of our common stock equal to the number of units earned, or in cash equal to the fair market value of the number of shares of our common stock, earned in respect of such restricted stock unit award of units earned, at the election of the compensation committee. To the extent provided in an award agreement, the holder of outstanding restricted stock units will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which accumulated dividend equivalents (and interest thereon, if applicable) will be payable at the same time that the underlying restricted stock units are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Stock-Based Awards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compensation committee will be authorized to grant awards of unrestricted shares of our common stock, rights to receive grants of awards at a future date or other awards denominated in shares of our common stock under such terms and conditions as the compensation committee may determine and as set forth in the applicable award agreement.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Effect of a Change in Control</w:t>
      </w: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the event of a merger, consolidation, acquisition of property or shares, stock rights offering, liquidation, or similar event affecting Priority or any of its subsidiaries (each, a “corporate event”) or a stock dividend, stock split, reverse stock split, separation, spinoff, reorganization, extraordinary dividend of cash or other property, share combination, or recapitalization or similar event affecting the capital structure of Priority (each, a “share change”), the compensation committee or the Board will make such equitable and appropriate substitutions or adjustments to the aggregate number and kind of shares of common stock or other securities reserved for issuance and delivery under the 2018 Equity Incentive Plan, the various maximum limitations set forth above, (C) the number and kind of shares of common stock or other securities subject to outstanding awards and (D) the exercise price or base price of outstanding awards. In the case of corporate events, such adjustments may include, without limitation, (A) the cancellation of outstanding Awards in exchange for payments of cash, securities or other property or a combination thereof having an aggregate value equal to the value of such Awards, as determined by the compensation committee or the Board, in its discretion (it being understood that in the case of a corporate event with respect to which stockholders receive consideration other than publicly-traded equity securities of the ultimate surviving entity, any such determination by the compensation committee that the value of an option or SAR would for this purpose be deemed to equal the excess, if any, of the value of the consideration being paid for each share pursuant to such corporate event over the exercise price of such option or the base price of such SAR will conclusively be deemed valid), (b) the substitution of securities or other property (including, without limitation, cash or other securities of Priority and securities of entities other than Priority) for the shares of common stock subject to outstanding awards and (c) in connection with a sale of a subsidiary, affiliate, or division, arranging for the assumption of awards, or replacement of awards with new awards based on securities or other property (including, without limitation, other securities of Priority and securities of entities other than Priority), by the affected subsidiary, affiliate, or division or by the entity that controls such subsidiary, affiliate, or division following such corporate event (as well as any corresponding adjustments to awards that remain based upon common stock). Unless otherwise determined by the Committee and provided in the applicable Award Agreement, in the event of a “change in control,” the compensation committee, in its discretion, may take such actions with respect to outstanding awards as determines to be appropriate.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Each award may be exercised during the participant’s lifetime by the participant or, if permissible under applicable law, by the participant’s guardian or legal representative. Upon the death of a participant, outstanding Awards granted to such participant may be exercised only by the executor or administrator of the participant’s estate or by a person who shall have acquired the right to such exercise by will or by the laws of descent and distribution.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2018 Equity Incentive Plan will have a term of ten years. The Board may, at any time, suspend or terminate the 2018 Equity Incentive Plan or revise or amend it in any respect whatsoever; however, stockholder approval will be required for any such amendment if and to the extent such approval is required in order to comply with applicable law or stock exchange listing requirement. No action hereunder may, without the consent of a participant, reduce the Participant’s rights under any outstanding award. No amendment, suspension or termination will materially and adversely affect the rights of any participant or recipient of any award without the consent of the participant or recipient.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2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is a general summary of the material U.S. federal income tax consequences of the grant, exercise and vesting of awards under the 2018 Equity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United States federal income tax consequences to any particular participant may differ from those described herein by reason of, among other things, the particular circumstances of such participant. The summary is intended for the information of stockholders considering how to vote with respect to this proposal and not as tax guidance to participants in the 2018 Equity Incentive Plan. Participants are strongly urged to consult their own tax advisors regarding the federal and other tax consequences to them of participating in the 2018 Equity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Holders of incentive stock options will generally incur no federal income tax liability at the time of grant or 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9" w:name="page110"/>
    <w:bookmarkEnd w:id="109"/>
    <w:p>
      <w:pPr>
        <w:jc w:val="both"/>
        <w:spacing w:after="0" w:line="290" w:lineRule="auto"/>
        <w:rPr>
          <w:sz w:val="20"/>
          <w:szCs w:val="20"/>
          <w:color w:val="auto"/>
        </w:rPr>
      </w:pPr>
      <w:r>
        <w:rPr>
          <w:rFonts w:ascii="Arial" w:cs="Arial" w:eastAsia="Arial" w:hAnsi="Arial"/>
          <w:sz w:val="16"/>
          <w:szCs w:val="16"/>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 280G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 income will be realized by a participant upon grant or vesting of a SAR. Upon the exercise of a SAR, 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of the Code for compensation paid to certain executives designated in those sections.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We will be able to deduct, at the same time as it is recognized by the participant, the amount of taxable compensation to the participant for U.S. federal income tax purposes, but such deduction may be limited under section 280G of the Code for compensation paid to certain executives designated in those sections.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 participant will not be subject to tax upon the grant or vesting of a restricted 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 280G of the Code for compensation paid to certain executives designated in those sections.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2018 Plan Benefits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Grants under the 2018 Equity Incentive Plan will be made at the discretion of the compensation committee. The grants under the 2018 Equity Incentive Plan are not yet determinable. The value of the awards granted under the 2018 Equity Incentive Plan will depend on a number of factors, including the fair market value of our common stock on future dates, the exercise decisions made by the participants and the extent to which any applicable performance goals necessary for vesting or payment are achieved.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Term</w:t>
      </w:r>
    </w:p>
    <w:p>
      <w:pPr>
        <w:spacing w:after="0" w:line="227"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We expect the 2018 Equity Incentive Plan to be effective upon the completion of the Business Combination. No award will be granted under the 2018 Equity Incentive Plan on or after the tenth anniversary of the 2018 Equity Incentive Plan becoming effective. Any award outstanding under the 2018 Equity Incentive Plan at the time of termination will remain in effect until such award is exercised or has expired in accordance with its terms.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The approval of the 2018 Equity Incentive Plan requires the affirmative vote of holders of a majority of the shares of our common stock represented in person or by proxy and entitled to vote thereon at the Special Meeting.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this proposal.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APPROVAL OF THE 2018 EQUITY INCENTIVE PLAN PROPOSAL.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PROPOSAL NO. 8 - THE EARNOUT INCENTIVE PLAN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contemplated by the Purchase Agreement, in connection with the Business Combination, we intend to adopt the Earnout Incentive Plan. The following is a summary of certain terms and conditions of the Earnout Incentive Plan. This summary is qualified in its entirety by reference to the Earnout Incentive Plan, which is attached as Annex H to this proxy statement. You are encouraged to read the entirety of the Earnout Incentive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Earnout Incentive Plan</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Administration.</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committee or subcommittee of our Board (the “plan committee”) appointed by the Board will administer the Earnout Incentive Plan. As of the closing of the Business Combination, the plan committee will consist of Mr. Thomas Priore. It will be the duty of compensation committee to conduct the general administration of the Earnout Incentive Plan in accordance with its provisions. The plan committee will have the power to interpret the Earnout Incentive Plan and the award agreements, and to adopt such rules for the administration, interpretation and application of the Earnout Incentive Plan as are consistent therewith, to interpret, amend or revoke any such rules, to delegate authority in accordance with the terms of the Earnout Incentive Plan and to amend any award agreement provided that the rights or obligations of the participant that is the subject of any such award agreement are not affected adversely. Any such grant or award under the Earnout Incentive Plan need not be the same with respect to each participant. The plan committee may, in its sole discretion, adopt special guidelines and provisions for persons who are residing in or employed in, or subject to, the taxes of, any domestic or foreign jurisdictions to comply with applicable tax and securities laws of such domestic or foreign jurisdictions. The plan committee will act by a majority of its members in attendance at a meeting at which a quorum is present or by a memorandum or other written instrument signed by all members of plan committee.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Any employee, non-employee director, consultant or advisor that the plan committee selects, from time to time, are eligible to receive awards under to the Earnout Incentive Plan.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Number of Shares Authorized.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Earnout Incentive Plan provides that up to 5,880,000 shares of common stock, in the aggregate, may be issued or transferred pursuant to awards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Earnout Incentive Plan (the “Share Limit”) as follows:</w:t>
      </w:r>
    </w:p>
    <w:p>
      <w:pPr>
        <w:spacing w:after="0" w:line="209" w:lineRule="exact"/>
        <w:rPr>
          <w:sz w:val="20"/>
          <w:szCs w:val="20"/>
          <w:color w:val="auto"/>
        </w:rPr>
      </w:pPr>
    </w:p>
    <w:p>
      <w:pPr>
        <w:jc w:val="both"/>
        <w:ind w:left="660" w:hanging="330"/>
        <w:spacing w:after="0" w:line="258"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aggregate of 2,940,000 shares of common stock may be issued pursuant to awards under the Earnout Incentive Plan if: (a) the consolidated adjusted EBITDA during the fiscal year ending December 31, 2018 equals or exceeds $82,500,000 and (b) the fair market value of the common stock equals or exceeds $12.00 per share for any 20 trading days within a consecutive 30-trading day period on or before December 31, 2019 (the “First Earnout Conditions”); and</w:t>
      </w:r>
    </w:p>
    <w:p>
      <w:pPr>
        <w:spacing w:after="0" w:line="185"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aggregate of 2,940,000 shares of common stock may be issued pursuant to awards under the Earnout Incentive Plan if: (a) the consolidated adjusted EBITDA during the Fiscal Year ending December 31, 2019 equals or exceeds $91,500,000 and (b) the fair market value the common stock equals or exceeds $14.00 per share for any 20 trading days within a consecutive 30-trading day period during the period beginning on January 1, 2019 and ending on December 31, 2020 (the “Second Earnout Conditions”).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However, if the First Earnout Conditions are not attained but the Second Earnout Conditions are attained, an aggregate of 5,880,000 shares of common stock (in lieu of 2,940,000) may be issued pursuant to awards under the Earnout Incentive Plan.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Awards Available for Grant.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plan committee may grant stock payment awards, deferred stock awards and/or restricted stock unit awards or any combination of the foregoing.</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Payment.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plan committee will be authorized to grant stock payments which consist of unrestricted, fully transferable shares of common stock.</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1" w:name="page112"/>
    <w:bookmarkEnd w:id="111"/>
    <w:p>
      <w:pPr>
        <w:ind w:left="200"/>
        <w:spacing w:after="0"/>
        <w:rPr>
          <w:sz w:val="20"/>
          <w:szCs w:val="20"/>
          <w:color w:val="auto"/>
        </w:rPr>
      </w:pPr>
      <w:r>
        <w:rPr>
          <w:rFonts w:ascii="Arial" w:cs="Arial" w:eastAsia="Arial" w:hAnsi="Arial"/>
          <w:sz w:val="18"/>
          <w:szCs w:val="18"/>
          <w:i w:val="1"/>
          <w:iCs w:val="1"/>
          <w:color w:val="auto"/>
        </w:rPr>
        <w:t>Deferred Stock.</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committee will be authorized to grant restricted stock under the Earnout Incentive Plan, which will be subject to the terms and conditions established by the plan committee. Deferred stock is common stock that is generally non-transferable and is subject to other restrictions determined by the plan committee for a specified period.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 Unit.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committee will be authorized to grant restricted stock units in such amounts and subject to such terms and conditions as determined by the plan committee, including such vesting conditions as it deems appropriate. On the distribution date, the Company will issue to the participant one unrestricted, fully transferable share of common stock for each restricted stock unit.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in Common Stock or Assets of the Company, Acquisition or Liquidation of the Company and Other Corporate Events.</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the event of any dividend or other extraordinary distribution (whether in the form of cash, common stock, other securities or other property), recapitalization, reclassification, stock split, reverse stock split, reorganization, merger, consolidation, split-up, spin-off, combination, repurchase, liquidation, dissolution, or sale, transfer, exchange or other disposition of all or substantially all of the assets of the Company, or exchange of common stock or other securities of the Company, issuance of warrants or other rights to purchase common stock or other securities of the Company, or other similar corporate transaction or event that affects the common stock (a “Corporate Event”), then plan committee will make equitably adjustments of to prevent dilution or enlargement of the benefits or potential benefits intended to be made available under the Earnout Incentive Plan or with respect to an award including, the number of shares of common stock with respect to which awards may be granted or awarded (including, without limitation, adjustments to the Share Limit and kind of shares which may be issued under the Earnout Incentive Plan) and the number of shares of common stock (or other securities or property) subject to outstanding awards. In general, in the event of any Corporate Event or any unusual or nonrecurring transactions or events affecting the Company any of its subsidiaries, or the financial statements of the Company or any of its subsidiaries, or of changes in applicable laws, regulations or accounting principles, the plan committee, in its discretion, and on such terms and conditions as it deems appropriate, is authorized to take any one or more of the following actions: (i) to provide for the purchase of any such award for an amount of cash equal to the amount that could have been attained upon the realization of the participant’s rights had such award been currently payable or fully vested, or for the cancellation of such award if no amount could have been attained upon the realization of the participant’s rights had such award been currently payable or fully vested; (ii) to provide for the replacement of such award with other rights or property selected by plan committee in its discretion having an aggregate value not exceeding the amount that could have been attained upon the realization of the participant’s rights had such award been currently payable or fully vested; (iii) to provide that the award cannot vest or become payable after such event; (iv) to provide that such award be assumed by the successor or survivor corporation, or a parent or subsidiary thereof, or will be substituted for by similar rights or awards covering the stock of the successor or survivor corporation, or a parent or subsidiary thereof, with appropriate adjustments as to the number and kind of shares and prices; (v) to make adjustments in the number and type of shares of common stock subject to outstanding awards, and/or in the terms and conditions of (including the grant or purchase price), and the criteria included in, outstanding rights and awards and rights and awards which may be granted in the future; and/or (vi) to provide that, for a specified period of time prior to such event, the restrictions imposed under an award agreement upon some or all restricted stock units or deferred stock may be terminated.</w:t>
      </w:r>
    </w:p>
    <w:p>
      <w:pPr>
        <w:spacing w:after="0" w:line="3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Nontransferability.</w:t>
      </w:r>
    </w:p>
    <w:p>
      <w:pPr>
        <w:spacing w:after="0" w:line="223"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Each award may be exercised during the participant’s lifetime by the participant or, if permissible under applicable law, by the participant’s guardian or legal representative. Upon the death of a participant, outstanding awards granted to such participant may be exercised only by the executor or administrator of the participant’s estate or by a person who will have acquired the right to such exercise by will or by the laws of descent and distribution.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Earnout Incentive Plan may be wholly or partially amended or otherwise modified, suspended or terminated at any time or from time to time by the Board or the plan committee, retroactively or otherwise. However, neither the Board or the plan committee may not take any action without stockholder approval that, except as otherwise provided in the Earnout Incentive Plan, would require stockholder approval in accordance with applicable law or applicable stock exchange rule. The Board or the plan committee may amend the terms of any award theretofore granted, prospectively or retroactively, however, except as otherwise provided in the Earnout Incentive Plan, no such amendment may, without the consent of the participant, alter or impair any rights of the participant under such award without the consent of the participant unless the award itself otherwise expressly so provides.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23" w:lineRule="exact"/>
        <w:rPr>
          <w:sz w:val="20"/>
          <w:szCs w:val="20"/>
          <w:color w:val="auto"/>
        </w:rPr>
      </w:pPr>
    </w:p>
    <w:p>
      <w:pPr>
        <w:jc w:val="both"/>
        <w:ind w:firstLine="193"/>
        <w:spacing w:after="0" w:line="269" w:lineRule="auto"/>
        <w:rPr>
          <w:sz w:val="20"/>
          <w:szCs w:val="20"/>
          <w:color w:val="auto"/>
        </w:rPr>
      </w:pPr>
      <w:r>
        <w:rPr>
          <w:rFonts w:ascii="Arial" w:cs="Arial" w:eastAsia="Arial" w:hAnsi="Arial"/>
          <w:sz w:val="17"/>
          <w:szCs w:val="17"/>
          <w:b w:val="1"/>
          <w:bCs w:val="1"/>
          <w:color w:val="auto"/>
        </w:rPr>
        <w:t>The following is a general summary of the material U.S. federal income tax consequences of the grant, exercise and vesting of awards under the Earnout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 The summary is intended for the information of stockholders considering how to vote with respect to this proposal and not as tax guidance to participants in the Earnout Incentive Plan. Participants are strongly urged to consult their own tax advisors regarding the federal and other tax consequences to them of participating in the Earnout Incentive Plan.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We will be able to deduct, at the same time as it is recognized by the participant, the amount of taxable compensation to the participant for U.S. federal income tax purposes, but such deduction may be limited under section 280G of the Code for compensation paid to certain executives designated in those sections.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 units.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 participant will not be subject to tax upon the grant or vesting of a restricted stock unit award. Rather, upon the delivery of shares pursuant to the restricted stock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 280G of the Code for compensation paid to certain executives designated in those sections.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New 2018 Plan Benefits.</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Grants under the Earnout Incentive Plan will be made at the discretion of the plan committee. The grants under the Earnout Incentive Plan are not yet determinable. The value of the awards granted under the Earnout Incentive Plan will depend on a number of factors, including the fair market value of our common stock on future dates, and the extent to which any applicable performance goals necessary for vesting or payment are achieved.</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Effective Date; Term.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expect the Earnout Incentive Plan to be effective upon the completion of the Business Combination.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ind w:firstLine="193"/>
        <w:spacing w:after="0" w:line="306" w:lineRule="auto"/>
        <w:rPr>
          <w:sz w:val="20"/>
          <w:szCs w:val="20"/>
          <w:color w:val="auto"/>
        </w:rPr>
      </w:pPr>
      <w:r>
        <w:rPr>
          <w:rFonts w:ascii="Arial" w:cs="Arial" w:eastAsia="Arial" w:hAnsi="Arial"/>
          <w:sz w:val="17"/>
          <w:szCs w:val="17"/>
          <w:color w:val="auto"/>
        </w:rPr>
        <w:t>The approval of the Earnout Incentive Plan requires the affirmative vote of holders of a majority of the shares of our common stock represented in person or by proxy and entitled to vote thereon at the Special Meeting.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this proposal.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APPROVAL OF THE EARNOUT INCENTIVE PLAN.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PROPOSAL NO. 9 - THE NASDAQ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terms of the Purchase Agreement, M I Acquisitions is required to issue more than 20% of its issued and outstanding shares of common stock to the Sellers. Because of the issuance of in excess of 20% of the outstanding shares of common stock of M I Acquisitions, we are required to obtain stockholder approval in order to comply with Nasdaq Listing Rules 5635(a) and (d).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Nasdaq Listing Rule 5635(a), stockholder approval is required prior to the issuance of securities in connection with the acquisition of another company if such securities are not issued in a public offering and (A) such securities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greater of book or market value of the stock if the number of shares of common stock to be issued is or may be equal to 20% or more of the common stock, or 20% or more of the voting power, outstanding before the issuance.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 on Current Stockholders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If the Nasdaq Proposal is adopted, M I Acquisitions would issue shares representing more than 20% of its outstanding common stock in connection with the Business Combination. The issuance of such shares would result in significant dilution to the M I Acquisition stockholders and would afford such stockholders a smaller percentage interest in the voting power, liquidation value and aggregate book value of M I Acquisitions.</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If the Nasdaq Proposal is not approved and we consummate the Business Combination on its current terms, M I Acquisitions would be in violation of Nasdaq Listing Rule 5635(a) and potentially Nasdaq Listing Rule 5635(d), which could result in the delisting of our securities from the Nasdaq Capital Market. If Nasdaq delists our securities from trading on its exchange, we could face significant material adverse consequences, including:</w:t>
      </w:r>
    </w:p>
    <w:p>
      <w:pPr>
        <w:spacing w:after="0" w:line="164" w:lineRule="exact"/>
        <w:rPr>
          <w:sz w:val="20"/>
          <w:szCs w:val="20"/>
          <w:color w:val="auto"/>
        </w:rPr>
      </w:pPr>
    </w:p>
    <w:p>
      <w:pPr>
        <w:ind w:left="660" w:hanging="330"/>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determination that our shares are a “penny stock,” which will require brokers trading in our securities to adhere to more stringent rules, possibly resulting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post-transaction company;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It is a condition to the obligations of the Sellers to close the Business Combination that M I Acquisitions’ common stock remain listed on the Nasdaq Capital Market. As a result, if the Nasdaq Proposal is not adopted, the Business Combination may not be completed.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Approval of the Nasdaq Proposal requires the affirmative vote of the holders of a majority of the shares of M I Acquisitions common stock represented in person or by proxy at the special meeting of M I Acquisitions stockholders and entitled to vote thereon. Adoption of the Nasdaq Proposal is conditioned upon the adoption of the Authorized Share Increase Proposal, the 2018 Equity Incentive Plan Proposal and the Earnout Incentive Plan Proposal.</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BOARD OF DIRECTORS UNANIMOUSLY RECOMMENDS THAT OUR STOCKHOLDERS VOTE “FOR” THE NASDAQ PROPOSAL.</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20"/>
          </w:cols>
          <w:pgMar w:left="240" w:top="901"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PROPOSAL NO. 10 - THE ADJOURNMENT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Adjournment Proposal</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there are not sufficient votes for, or otherwise in connection with, the adoption of the Purchase Agreement and the transactions contemplated thereby, the board of directors may adjourn the special meeting to a later date, or dates, if necessary, to permit further solicitation of proxies. In no event will M I Acquisitions seek adjournment which would result in soliciting of proxies, having a stockholder vote, or otherwise consummating a business combination after the termination date specified in the M I Acquisitions certificate of incorporation. Unless the certificate of incorporation is amended, the termination date can be no later than [________],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Approval of the Adjournment Proposal requires the affirmative vote of the holders of a majority of the shares of M I Acquisitions common stock as of the record date represented in person or by proxy at the special meeting of M I Acquisitions stockholders and entitled to vote thereon. Adoption of the Adjournment Proposal is not conditioned upon the adoption of any of the other Proposals.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ADJOURNMENT PROPOSAL.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COMPARATIVE PER SHARE DATA</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summary historical comparative share and unit information for M I Acquisitions and Priority and unaudited pro forma condensed combined per share information of M I Acquisitions after giving effect to the Business Combination, assuming four redemption scenarios as follows:</w:t>
      </w:r>
    </w:p>
    <w:p>
      <w:pPr>
        <w:spacing w:after="0" w:line="182" w:lineRule="exact"/>
        <w:rPr>
          <w:sz w:val="20"/>
          <w:szCs w:val="20"/>
          <w:color w:val="auto"/>
        </w:rPr>
      </w:pPr>
    </w:p>
    <w:p>
      <w:pPr>
        <w:jc w:val="both"/>
        <w:ind w:left="660" w:hanging="330"/>
        <w:spacing w:after="0" w:line="262"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Assuming No Redemption – GS Warrant Exercised: This presentation assumes that no current M I Acquisitions’ public stockholders exercise redemption rights with respect to their shares for a pro rata portion of the fund in M I Acquisitions’ trust account and the GS Warrant issued by Priority was exercised or is otherwise no longer outstanding at the Closing.</w:t>
      </w:r>
    </w:p>
    <w:p>
      <w:pPr>
        <w:spacing w:after="0" w:line="182" w:lineRule="exact"/>
        <w:rPr>
          <w:rFonts w:ascii="Arial" w:cs="Arial" w:eastAsia="Arial" w:hAnsi="Arial"/>
          <w:sz w:val="18"/>
          <w:szCs w:val="18"/>
          <w:color w:val="auto"/>
        </w:rPr>
      </w:pPr>
    </w:p>
    <w:p>
      <w:pPr>
        <w:jc w:val="both"/>
        <w:ind w:left="660" w:hanging="330"/>
        <w:spacing w:after="0" w:line="266" w:lineRule="auto"/>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Assuming Maximum Redemption – GS Warrant Exercised: This presentation assumes that stockholders holding 3.4 million of M I Acquisitions’ public shares exercise their redemption rights and that such shares are redeemed for their pro rata share ($10.43 per share) of the funds in its trust account and the GS Warrant issued by Priority was exercised or is otherwise no longer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March 31,2018.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$35.4 million. Aggregate redemption payments of $35.4 million calculated as $55.4 million in the trust account per the pro forma condensed combined balance sheet less $20.0 million required available cash from the trust account. Public redemption shares of approximately 3.4 million shares calculated as $35.4 million redemption payments divided by estimated per share redemption value of $10.43 ($55,383,870 in trust account per the pro forma condensed combined balance sheet divided by 5,310,109 M I Acquisitions public shares).</w:t>
      </w:r>
    </w:p>
    <w:p>
      <w:pPr>
        <w:spacing w:after="0" w:line="190" w:lineRule="exact"/>
        <w:rPr>
          <w:rFonts w:ascii="Arial" w:cs="Arial" w:eastAsia="Arial" w:hAnsi="Arial"/>
          <w:sz w:val="17"/>
          <w:szCs w:val="17"/>
          <w:color w:val="auto"/>
        </w:rPr>
      </w:pPr>
    </w:p>
    <w:p>
      <w:pPr>
        <w:jc w:val="both"/>
        <w:ind w:left="660" w:hanging="330"/>
        <w:spacing w:after="0" w:line="262"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Assuming No Redemption – GS Warrant Outstanding: This presentation assumes that no current M I Acquisitions’ public stockholders exercise redemption rights with respect to their shares for a pro rata portion of the fund in M I Acquisitions’ trust account and the GS Warrant issued by Priority was not exercised and remains outstanding at the Closing.</w:t>
      </w:r>
    </w:p>
    <w:p>
      <w:pPr>
        <w:spacing w:after="0" w:line="182" w:lineRule="exact"/>
        <w:rPr>
          <w:rFonts w:ascii="Arial" w:cs="Arial" w:eastAsia="Arial" w:hAnsi="Arial"/>
          <w:sz w:val="18"/>
          <w:szCs w:val="18"/>
          <w:color w:val="auto"/>
        </w:rPr>
      </w:pPr>
    </w:p>
    <w:p>
      <w:pPr>
        <w:jc w:val="both"/>
        <w:ind w:left="660" w:hanging="330"/>
        <w:spacing w:after="0" w:line="284" w:lineRule="auto"/>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Assuming Maximum Redemption – GS Warrant Outstanding: This presentation assumes that stockholders holding 3.4 million of M I Acquisitions’ public shares exercise their redemption rights and that such shares are redeemed for their pro rata share ($10.43 per share) of the funds in its trust account and the GS Warrant issued by Priority was not exercised and remains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March 31,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$35.4 million. Aggregate redemption payments of $35.4 million calculated as $55.4 million in trust account per the pro forma condensed combined balance sheet less $20.0 million required available cash from the trust account. Public redemption shares of approximately 3.4 million shares calculated as $35.4 million redemption payments divided by estimated per share redemption value of $10.43 ($55,383,870 in trust account per the pro forma condensed combined balance sheet divided by 5,310,109 M I Acquisitions public shares).</w:t>
      </w:r>
    </w:p>
    <w:p>
      <w:pPr>
        <w:spacing w:after="0" w:line="39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pro forma book value information reflects the Business Combination as if it had occurred on March 31, 2018. The weighted average shares outstanding and net earnings per share information reflect the Business Combination as if they had occurred on January 1,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7" w:name="page118"/>
    <w:bookmarkEnd w:id="117"/>
    <w:p>
      <w:pPr>
        <w:jc w:val="both"/>
        <w:spacing w:after="0" w:line="278" w:lineRule="auto"/>
        <w:rPr>
          <w:sz w:val="20"/>
          <w:szCs w:val="20"/>
          <w:color w:val="auto"/>
        </w:rPr>
      </w:pPr>
      <w:r>
        <w:rPr>
          <w:rFonts w:ascii="Arial" w:cs="Arial" w:eastAsia="Arial" w:hAnsi="Arial"/>
          <w:sz w:val="17"/>
          <w:szCs w:val="17"/>
          <w:color w:val="auto"/>
        </w:rPr>
        <w:t>This information is only a summary and should be read together with the historical financial information summary included elsewhere in this proxy statement, and the historical financial statements of M I Acquisitions and Priority and related notes that are included elsewhere in this proxy statement. The unaudited M I Acquisitions and Priority pro forma combined per share information is derived from, and should be read in conjunction with, the unaudited pro forma condensed combined financial statements and related notes included elsewhere in this proxy statement.</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M I Acquisitions and Priority would have been had the companies been combined during the period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Historical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4"/>
              </w:rPr>
              <w:t>Scenario 1: GS Warrant Outstanding</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Scenario 2: GS Warrant Exercised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3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Ml</w:t>
            </w: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 Forma</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Pro Forma Combined</w:t>
            </w:r>
          </w:p>
        </w:tc>
        <w:tc>
          <w:tcPr>
            <w:tcW w:w="140" w:type="dxa"/>
            <w:vAlign w:val="bottom"/>
          </w:tcPr>
          <w:p>
            <w:pPr>
              <w:spacing w:after="0"/>
              <w:rPr>
                <w:sz w:val="23"/>
                <w:szCs w:val="23"/>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98"/>
              </w:rPr>
              <w:t>Pro Forma Combined</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Priority</w:t>
            </w:r>
          </w:p>
        </w:tc>
        <w:tc>
          <w:tcPr>
            <w:tcW w:w="100" w:type="dxa"/>
            <w:vAlign w:val="bottom"/>
          </w:tcPr>
          <w:p>
            <w:pPr>
              <w:spacing w:after="0"/>
              <w:rPr>
                <w:sz w:val="12"/>
                <w:szCs w:val="12"/>
                <w:color w:val="auto"/>
              </w:rPr>
            </w:pPr>
          </w:p>
        </w:tc>
        <w:tc>
          <w:tcPr>
            <w:tcW w:w="114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Combined</w:t>
            </w:r>
          </w:p>
        </w:tc>
        <w:tc>
          <w:tcPr>
            <w:tcW w:w="160" w:type="dxa"/>
            <w:vAlign w:val="bottom"/>
          </w:tcPr>
          <w:p>
            <w:pPr>
              <w:spacing w:after="0"/>
              <w:rPr>
                <w:sz w:val="12"/>
                <w:szCs w:val="12"/>
                <w:color w:val="auto"/>
              </w:rPr>
            </w:pPr>
          </w:p>
        </w:tc>
        <w:tc>
          <w:tcPr>
            <w:tcW w:w="13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(Assuming</w:t>
            </w:r>
          </w:p>
        </w:tc>
        <w:tc>
          <w:tcPr>
            <w:tcW w:w="140" w:type="dxa"/>
            <w:vAlign w:val="bottom"/>
          </w:tcPr>
          <w:p>
            <w:pPr>
              <w:spacing w:after="0"/>
              <w:rPr>
                <w:sz w:val="12"/>
                <w:szCs w:val="12"/>
                <w:color w:val="auto"/>
              </w:rPr>
            </w:pPr>
          </w:p>
        </w:tc>
        <w:tc>
          <w:tcPr>
            <w:tcW w:w="11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Combined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Acquisitions</w:t>
            </w:r>
          </w:p>
        </w:tc>
        <w:tc>
          <w:tcPr>
            <w:tcW w:w="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(Assuming</w:t>
            </w: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(Assuming</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Historical</w:t>
            </w:r>
          </w:p>
        </w:tc>
        <w:tc>
          <w:tcPr>
            <w:tcW w:w="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Historical</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 Redemptions)</w:t>
            </w:r>
          </w:p>
        </w:tc>
        <w:tc>
          <w:tcPr>
            <w:tcW w:w="1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Redemptions)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 Redemptions)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Redemptions)</w:t>
            </w:r>
          </w:p>
        </w:tc>
        <w:tc>
          <w:tcPr>
            <w:tcW w:w="0" w:type="dxa"/>
            <w:vAlign w:val="bottom"/>
          </w:tcPr>
          <w:p>
            <w:pPr>
              <w:spacing w:after="0"/>
              <w:rPr>
                <w:sz w:val="1"/>
                <w:szCs w:val="1"/>
                <w:color w:val="auto"/>
              </w:rPr>
            </w:pPr>
          </w:p>
        </w:tc>
      </w:tr>
      <w:tr>
        <w:trPr>
          <w:trHeight w:val="141"/>
        </w:trPr>
        <w:tc>
          <w:tcPr>
            <w:tcW w:w="37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As of and for the Three Months Ended March 31,2018</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60"/>
              <w:spacing w:after="0" w:line="148" w:lineRule="exact"/>
              <w:rPr>
                <w:sz w:val="20"/>
                <w:szCs w:val="20"/>
                <w:color w:val="auto"/>
              </w:rPr>
            </w:pPr>
            <w:r>
              <w:rPr>
                <w:rFonts w:ascii="Arial" w:cs="Arial" w:eastAsia="Arial" w:hAnsi="Arial"/>
                <w:sz w:val="14"/>
                <w:szCs w:val="14"/>
                <w:color w:val="auto"/>
              </w:rPr>
              <w:t>Book value per share/unit - basic (1 )(3)</w:t>
            </w:r>
          </w:p>
        </w:tc>
        <w:tc>
          <w:tcPr>
            <w:tcW w:w="440" w:type="dxa"/>
            <w:vAlign w:val="bottom"/>
            <w:gridSpan w:val="2"/>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2.13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(36.46)</w:t>
            </w:r>
          </w:p>
        </w:tc>
        <w:tc>
          <w:tcPr>
            <w:tcW w:w="10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(1.93)</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(2.60)</w:t>
            </w:r>
          </w:p>
        </w:tc>
        <w:tc>
          <w:tcPr>
            <w:tcW w:w="14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(1.89)</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Book value per share/unit - diluted (1 )(3)</w:t>
            </w:r>
          </w:p>
        </w:tc>
        <w:tc>
          <w:tcPr>
            <w:tcW w:w="440" w:type="dxa"/>
            <w:vAlign w:val="bottom"/>
            <w:gridSpan w:val="2"/>
            <w:shd w:val="clear" w:color="auto" w:fill="CCEEFF"/>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2.13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(36.46)</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(2.55)</w:t>
            </w:r>
          </w:p>
        </w:tc>
        <w:tc>
          <w:tcPr>
            <w:tcW w:w="1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8"/>
        </w:trPr>
        <w:tc>
          <w:tcPr>
            <w:tcW w:w="3700" w:type="dxa"/>
            <w:vAlign w:val="bottom"/>
          </w:tcPr>
          <w:p>
            <w:pPr>
              <w:ind w:left="160"/>
              <w:spacing w:after="0" w:line="148" w:lineRule="exact"/>
              <w:rPr>
                <w:sz w:val="20"/>
                <w:szCs w:val="20"/>
                <w:color w:val="auto"/>
              </w:rPr>
            </w:pPr>
            <w:r>
              <w:rPr>
                <w:rFonts w:ascii="Arial" w:cs="Arial" w:eastAsia="Arial" w:hAnsi="Arial"/>
                <w:sz w:val="14"/>
                <w:szCs w:val="14"/>
                <w:color w:val="auto"/>
              </w:rPr>
              <w:t>Weighted average shares/units outstanding - basic (3)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2,352,922</w:t>
            </w:r>
          </w:p>
        </w:tc>
        <w:tc>
          <w:tcPr>
            <w:tcW w:w="60" w:type="dxa"/>
            <w:vAlign w:val="bottom"/>
          </w:tcPr>
          <w:p>
            <w:pPr>
              <w:spacing w:after="0"/>
              <w:rPr>
                <w:sz w:val="12"/>
                <w:szCs w:val="12"/>
                <w:color w:val="auto"/>
              </w:rPr>
            </w:pP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4,445,000</w:t>
            </w:r>
          </w:p>
        </w:tc>
        <w:tc>
          <w:tcPr>
            <w:tcW w:w="100" w:type="dxa"/>
            <w:vAlign w:val="bottom"/>
          </w:tcPr>
          <w:p>
            <w:pPr>
              <w:spacing w:after="0"/>
              <w:rPr>
                <w:sz w:val="12"/>
                <w:szCs w:val="12"/>
                <w:color w:val="auto"/>
              </w:rPr>
            </w:pPr>
          </w:p>
        </w:tc>
        <w:tc>
          <w:tcPr>
            <w:tcW w:w="114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65,514,157</w:t>
            </w:r>
          </w:p>
        </w:tc>
        <w:tc>
          <w:tcPr>
            <w:tcW w:w="160" w:type="dxa"/>
            <w:vAlign w:val="bottom"/>
          </w:tcPr>
          <w:p>
            <w:pPr>
              <w:spacing w:after="0"/>
              <w:rPr>
                <w:sz w:val="12"/>
                <w:szCs w:val="12"/>
                <w:color w:val="auto"/>
              </w:rPr>
            </w:pPr>
          </w:p>
        </w:tc>
        <w:tc>
          <w:tcPr>
            <w:tcW w:w="13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62,121,613</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66,747,225</w:t>
            </w:r>
          </w:p>
        </w:tc>
        <w:tc>
          <w:tcPr>
            <w:tcW w:w="160" w:type="dxa"/>
            <w:vAlign w:val="bottom"/>
          </w:tcPr>
          <w:p>
            <w:pPr>
              <w:spacing w:after="0"/>
              <w:rPr>
                <w:sz w:val="12"/>
                <w:szCs w:val="12"/>
                <w:color w:val="auto"/>
              </w:rPr>
            </w:pPr>
          </w:p>
        </w:tc>
        <w:tc>
          <w:tcPr>
            <w:tcW w:w="126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63,354,681</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Weighted average shares/units outstanding - diluted (3)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2,352,922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4,445,000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66,747,225</w:t>
            </w: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63,354,681</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66,747,225</w:t>
            </w: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63,354,681</w:t>
            </w:r>
          </w:p>
        </w:tc>
        <w:tc>
          <w:tcPr>
            <w:tcW w:w="0" w:type="dxa"/>
            <w:vAlign w:val="bottom"/>
          </w:tcPr>
          <w:p>
            <w:pPr>
              <w:spacing w:after="0"/>
              <w:rPr>
                <w:sz w:val="1"/>
                <w:szCs w:val="1"/>
                <w:color w:val="auto"/>
              </w:rPr>
            </w:pPr>
          </w:p>
        </w:tc>
      </w:tr>
      <w:tr>
        <w:trPr>
          <w:trHeight w:val="148"/>
        </w:trPr>
        <w:tc>
          <w:tcPr>
            <w:tcW w:w="3700" w:type="dxa"/>
            <w:vAlign w:val="bottom"/>
          </w:tcPr>
          <w:p>
            <w:pPr>
              <w:ind w:left="160"/>
              <w:spacing w:after="0" w:line="148" w:lineRule="exact"/>
              <w:rPr>
                <w:sz w:val="20"/>
                <w:szCs w:val="20"/>
                <w:color w:val="auto"/>
              </w:rPr>
            </w:pPr>
            <w:r>
              <w:rPr>
                <w:rFonts w:ascii="Arial" w:cs="Arial" w:eastAsia="Arial" w:hAnsi="Arial"/>
                <w:sz w:val="14"/>
                <w:szCs w:val="14"/>
                <w:color w:val="auto"/>
              </w:rPr>
              <w:t>Net loss per share/unit - basic (3)</w:t>
            </w:r>
          </w:p>
        </w:tc>
        <w:tc>
          <w:tcPr>
            <w:tcW w:w="440" w:type="dxa"/>
            <w:vAlign w:val="bottom"/>
            <w:gridSpan w:val="2"/>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(0.13)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(0.72)</w:t>
            </w:r>
          </w:p>
        </w:tc>
        <w:tc>
          <w:tcPr>
            <w:tcW w:w="10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(0.04)</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(0.05)</w:t>
            </w:r>
          </w:p>
        </w:tc>
        <w:tc>
          <w:tcPr>
            <w:tcW w:w="14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(0.04)</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Net loss per share/unit - diluted (3)</w:t>
            </w:r>
          </w:p>
        </w:tc>
        <w:tc>
          <w:tcPr>
            <w:tcW w:w="440" w:type="dxa"/>
            <w:vAlign w:val="bottom"/>
            <w:gridSpan w:val="2"/>
            <w:shd w:val="clear" w:color="auto" w:fill="CCEEFF"/>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(0.13)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(0.72)</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As of and for the Year Ended December 31,2017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60"/>
              <w:spacing w:after="0" w:line="148" w:lineRule="exact"/>
              <w:rPr>
                <w:sz w:val="20"/>
                <w:szCs w:val="20"/>
                <w:color w:val="auto"/>
              </w:rPr>
            </w:pPr>
            <w:r>
              <w:rPr>
                <w:rFonts w:ascii="Arial" w:cs="Arial" w:eastAsia="Arial" w:hAnsi="Arial"/>
                <w:sz w:val="14"/>
                <w:szCs w:val="14"/>
                <w:color w:val="auto"/>
              </w:rPr>
              <w:t>Book value per share/unit - basic (1 )(3)</w:t>
            </w:r>
          </w:p>
        </w:tc>
        <w:tc>
          <w:tcPr>
            <w:tcW w:w="440" w:type="dxa"/>
            <w:vAlign w:val="bottom"/>
            <w:gridSpan w:val="2"/>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2.15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(17.68)</w:t>
            </w:r>
          </w:p>
        </w:tc>
        <w:tc>
          <w:tcPr>
            <w:tcW w:w="10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(1.93)</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(2.60)</w:t>
            </w:r>
          </w:p>
        </w:tc>
        <w:tc>
          <w:tcPr>
            <w:tcW w:w="14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(1.89)</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Book value per share/unit - diluted (1 )(3)</w:t>
            </w:r>
          </w:p>
        </w:tc>
        <w:tc>
          <w:tcPr>
            <w:tcW w:w="440" w:type="dxa"/>
            <w:vAlign w:val="bottom"/>
            <w:gridSpan w:val="2"/>
            <w:shd w:val="clear" w:color="auto" w:fill="CCEEFF"/>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2.15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(17.68)</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(2.55)</w:t>
            </w:r>
          </w:p>
        </w:tc>
        <w:tc>
          <w:tcPr>
            <w:tcW w:w="1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8"/>
        </w:trPr>
        <w:tc>
          <w:tcPr>
            <w:tcW w:w="3700" w:type="dxa"/>
            <w:vAlign w:val="bottom"/>
          </w:tcPr>
          <w:p>
            <w:pPr>
              <w:ind w:left="160"/>
              <w:spacing w:after="0" w:line="148" w:lineRule="exact"/>
              <w:rPr>
                <w:sz w:val="20"/>
                <w:szCs w:val="20"/>
                <w:color w:val="auto"/>
              </w:rPr>
            </w:pPr>
            <w:r>
              <w:rPr>
                <w:rFonts w:ascii="Arial" w:cs="Arial" w:eastAsia="Arial" w:hAnsi="Arial"/>
                <w:sz w:val="14"/>
                <w:szCs w:val="14"/>
                <w:color w:val="auto"/>
              </w:rPr>
              <w:t>Weighted average shares/units outstanding - basic (3)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2,330,884</w:t>
            </w:r>
          </w:p>
        </w:tc>
        <w:tc>
          <w:tcPr>
            <w:tcW w:w="60" w:type="dxa"/>
            <w:vAlign w:val="bottom"/>
          </w:tcPr>
          <w:p>
            <w:pPr>
              <w:spacing w:after="0"/>
              <w:rPr>
                <w:sz w:val="12"/>
                <w:szCs w:val="12"/>
                <w:color w:val="auto"/>
              </w:rPr>
            </w:pP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5,098,000</w:t>
            </w:r>
          </w:p>
        </w:tc>
        <w:tc>
          <w:tcPr>
            <w:tcW w:w="100" w:type="dxa"/>
            <w:vAlign w:val="bottom"/>
          </w:tcPr>
          <w:p>
            <w:pPr>
              <w:spacing w:after="0"/>
              <w:rPr>
                <w:sz w:val="12"/>
                <w:szCs w:val="12"/>
                <w:color w:val="auto"/>
              </w:rPr>
            </w:pPr>
          </w:p>
        </w:tc>
        <w:tc>
          <w:tcPr>
            <w:tcW w:w="114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65,514,157</w:t>
            </w:r>
          </w:p>
        </w:tc>
        <w:tc>
          <w:tcPr>
            <w:tcW w:w="160" w:type="dxa"/>
            <w:vAlign w:val="bottom"/>
          </w:tcPr>
          <w:p>
            <w:pPr>
              <w:spacing w:after="0"/>
              <w:rPr>
                <w:sz w:val="12"/>
                <w:szCs w:val="12"/>
                <w:color w:val="auto"/>
              </w:rPr>
            </w:pPr>
          </w:p>
        </w:tc>
        <w:tc>
          <w:tcPr>
            <w:tcW w:w="13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62,132,126</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66,747,225</w:t>
            </w:r>
          </w:p>
        </w:tc>
        <w:tc>
          <w:tcPr>
            <w:tcW w:w="160" w:type="dxa"/>
            <w:vAlign w:val="bottom"/>
          </w:tcPr>
          <w:p>
            <w:pPr>
              <w:spacing w:after="0"/>
              <w:rPr>
                <w:sz w:val="12"/>
                <w:szCs w:val="12"/>
                <w:color w:val="auto"/>
              </w:rPr>
            </w:pPr>
          </w:p>
        </w:tc>
        <w:tc>
          <w:tcPr>
            <w:tcW w:w="126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63,365,194</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Weighted average shares/units outstanding - diluted (3)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2,330,884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5,098,000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66,747,225</w:t>
            </w: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63,365,194</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66,747,225</w:t>
            </w: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63,365,194</w:t>
            </w:r>
          </w:p>
        </w:tc>
        <w:tc>
          <w:tcPr>
            <w:tcW w:w="0" w:type="dxa"/>
            <w:vAlign w:val="bottom"/>
          </w:tcPr>
          <w:p>
            <w:pPr>
              <w:spacing w:after="0"/>
              <w:rPr>
                <w:sz w:val="1"/>
                <w:szCs w:val="1"/>
                <w:color w:val="auto"/>
              </w:rPr>
            </w:pPr>
          </w:p>
        </w:tc>
      </w:tr>
      <w:tr>
        <w:trPr>
          <w:trHeight w:val="148"/>
        </w:trPr>
        <w:tc>
          <w:tcPr>
            <w:tcW w:w="3700" w:type="dxa"/>
            <w:vAlign w:val="bottom"/>
          </w:tcPr>
          <w:p>
            <w:pPr>
              <w:ind w:left="160"/>
              <w:spacing w:after="0" w:line="148" w:lineRule="exact"/>
              <w:rPr>
                <w:sz w:val="20"/>
                <w:szCs w:val="20"/>
                <w:color w:val="auto"/>
              </w:rPr>
            </w:pPr>
            <w:r>
              <w:rPr>
                <w:rFonts w:ascii="Arial" w:cs="Arial" w:eastAsia="Arial" w:hAnsi="Arial"/>
                <w:sz w:val="14"/>
                <w:szCs w:val="14"/>
                <w:color w:val="auto"/>
              </w:rPr>
              <w:t>Net (loss) earnings per share/unit - basic (3)</w:t>
            </w:r>
          </w:p>
        </w:tc>
        <w:tc>
          <w:tcPr>
            <w:tcW w:w="440" w:type="dxa"/>
            <w:vAlign w:val="bottom"/>
            <w:gridSpan w:val="2"/>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(0.19)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0.85</w:t>
            </w:r>
          </w:p>
        </w:tc>
        <w:tc>
          <w:tcPr>
            <w:tcW w:w="10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0.04</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0.04</w:t>
            </w:r>
          </w:p>
        </w:tc>
        <w:tc>
          <w:tcPr>
            <w:tcW w:w="14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0.04</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Net (loss) earnings per share/unit - diluted (3)</w:t>
            </w:r>
          </w:p>
        </w:tc>
        <w:tc>
          <w:tcPr>
            <w:tcW w:w="440" w:type="dxa"/>
            <w:vAlign w:val="bottom"/>
            <w:gridSpan w:val="2"/>
            <w:shd w:val="clear" w:color="auto" w:fill="CCEEFF"/>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(0.19)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0.85</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Book value per share = Total Shareholders' Equity (Deficit) excluding Preferred Equity/Total Basic (or Diluted) Outstanding Shares</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number of shares outstanding under “M I Acquisitions Historical” excludes shares subject to possible redemption.</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Priority is an LLC and as such has units versus shares whereas M I Acquisitions has shares.</w:t>
      </w:r>
    </w:p>
    <w:p>
      <w:pPr>
        <w:spacing w:after="0" w:line="209" w:lineRule="exact"/>
        <w:rPr>
          <w:sz w:val="20"/>
          <w:szCs w:val="20"/>
          <w:color w:val="auto"/>
        </w:rPr>
      </w:pPr>
    </w:p>
    <w:p>
      <w:pPr>
        <w:jc w:val="center"/>
        <w:ind w:left="260" w:right="80"/>
        <w:spacing w:after="0" w:line="275" w:lineRule="auto"/>
        <w:rPr>
          <w:sz w:val="20"/>
          <w:szCs w:val="20"/>
          <w:color w:val="auto"/>
        </w:rPr>
      </w:pPr>
      <w:r>
        <w:rPr>
          <w:rFonts w:ascii="Arial" w:cs="Arial" w:eastAsia="Arial" w:hAnsi="Arial"/>
          <w:sz w:val="18"/>
          <w:szCs w:val="18"/>
          <w:color w:val="auto"/>
        </w:rPr>
        <w:t>See pro forma condensed combined financial information and related notes in “Unaudited Pro Forma Condensed Combined Financial Information” included elsewhere in this proxy statement.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UNAUDITED PRO FORMA CONDENSED COMBINED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3" w:lineRule="exact"/>
        <w:rPr>
          <w:sz w:val="20"/>
          <w:szCs w:val="20"/>
          <w:color w:val="auto"/>
        </w:rPr>
      </w:pPr>
    </w:p>
    <w:p>
      <w:pPr>
        <w:jc w:val="both"/>
        <w:ind w:right="20" w:firstLine="490"/>
        <w:spacing w:after="0" w:line="262" w:lineRule="auto"/>
        <w:rPr>
          <w:sz w:val="20"/>
          <w:szCs w:val="20"/>
          <w:color w:val="auto"/>
        </w:rPr>
      </w:pPr>
      <w:r>
        <w:rPr>
          <w:rFonts w:ascii="Arial" w:cs="Arial" w:eastAsia="Arial" w:hAnsi="Arial"/>
          <w:sz w:val="18"/>
          <w:szCs w:val="18"/>
          <w:color w:val="auto"/>
        </w:rPr>
        <w:t>M I Acquisitions is providing the following unaudited pro forma condensed combined financial information to aid you in your analysis of the financial aspects of the Business Combination. The following unaudited pro forma condensed combined financial information has been prepared in accordance with Article 11 of Regulation S-X.</w:t>
      </w:r>
    </w:p>
    <w:p>
      <w:pPr>
        <w:spacing w:after="0" w:line="182"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8"/>
          <w:szCs w:val="18"/>
          <w:color w:val="auto"/>
        </w:rPr>
        <w:t>M I Acquisitions is a special purpose acquisition company incorporated in Delaware on April 23, 2015. On September 19, 2016, M I Acquisitions consummated the IPO. Upon the closing of the IPO, overallotment option and the private placements, $54.7 million from the net proceeds thereof was placed in a trust account and invested in U.S. Treasury Bills with a maturity of six months or less. As of March 31, 2018, there was $55.4 million held in the trust account. As a special purpose acquisition company, M I Acquisitions’ purpose is to acquire, through a merger, share exchange, asset acquisition, stock purchase, recapitalization, reorganization or other similar business combination, one or more businesses or entities. M I Acquisitions entered into a Purchase Agreement, dated February 26, 2018, as amended and restated on March 26, 2018 and April 17, 2018, with the Sellers to acquire all of the outstanding equity interests of Priority.</w:t>
      </w:r>
    </w:p>
    <w:p>
      <w:pPr>
        <w:spacing w:after="0" w:line="193"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7"/>
          <w:szCs w:val="17"/>
          <w:color w:val="auto"/>
        </w:rPr>
        <w:t>Priority is a leading provider of merchant acquiring and commercial payment solutions, offering unique product capabilities to small and mid-sized businesses, enterprises and distribution partners in the United States. Priority was founded in 2005 with a mission to build a merchant inspired payments platform that would advance the goals of its SMB and enterprise business partners. Priority has grown from the 38th largest U.S. merchant acquirer to become the 13th largest as of 2017, measured by Visa and MasterCard purchase volume according to The Nilson Report. Priority is currently the 6th largest non-bank merchant acquirer in the United States. Priority processed over 110 million and 439 million transactions and over $9 billion and $34 billion in bankcard payment volume across approximately 174,000 merchants as of March 31, 2018 and December 31, 2017, respectively. Headquartered in Alpharetta, GA, Priority has approximately 480 employees and is led by an experienced group of payments executives.</w:t>
      </w:r>
    </w:p>
    <w:p>
      <w:pPr>
        <w:spacing w:after="0" w:line="17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The following unaudited pro forma condensed combined balance sheet as of March 31, 2018 assumes that the Business Combination and the related proposed equity commitments have occurred on March 31, 2018. The unaudited pro forma condensed combined statements of operations for the three months ended March 31, 2018 and year ended December 31, 2017 present pro forma effect to the Business Combination and the related proposed equity commitments as if they had been completed on January 1, 2017.</w:t>
      </w:r>
    </w:p>
    <w:p>
      <w:pPr>
        <w:spacing w:after="0" w:line="185"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The pro forma combined financial statements do not necessarily reflect what the combined company’s financial condition or results of operations would have been had the acquisition occurred on the dates indicated. The pro forma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spacing w:after="0" w:line="185" w:lineRule="exact"/>
        <w:rPr>
          <w:sz w:val="20"/>
          <w:szCs w:val="20"/>
          <w:color w:val="auto"/>
        </w:rPr>
      </w:pPr>
    </w:p>
    <w:p>
      <w:pPr>
        <w:jc w:val="both"/>
        <w:ind w:firstLine="484"/>
        <w:spacing w:after="0" w:line="271" w:lineRule="auto"/>
        <w:rPr>
          <w:sz w:val="20"/>
          <w:szCs w:val="20"/>
          <w:color w:val="auto"/>
        </w:rPr>
      </w:pPr>
      <w:r>
        <w:rPr>
          <w:rFonts w:ascii="Arial" w:cs="Arial" w:eastAsia="Arial" w:hAnsi="Arial"/>
          <w:sz w:val="17"/>
          <w:szCs w:val="17"/>
          <w:color w:val="auto"/>
        </w:rPr>
        <w:t>The historical financial information of M I Acquisitions was derived from the unaudited and audited financial statements of M I Acquisitions as of and for the three months ended March 31, 2018 and for the year ended December 31, 2017, included elsewhere in this proxy statement. The historical financial information of Priority was derived from the unaudited and audited consolidated financial statements of Priority as of and for the three months ended March 31, 2018 and for the year ended December 31, 2017, included elsewhere in this proxy statement. This information should be read together with M I Acquisitions’ and Priority’s unaudited and audited financial statements and related notes, the sections titled “Management’s Discussion and Analysis of Financial Condition and Results of Operations of M I Acquisitions,” and “Management’s Discussion and Analysis of Financial Condition and Results of Operations of Priority” and other financial information included elsewhere in this proxy statement.</w:t>
      </w:r>
    </w:p>
    <w:p>
      <w:pPr>
        <w:spacing w:after="0" w:line="176"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The Business Combination will be accounted for as a reverse merger, with no goodwill or other intangible assets recorded, in accordance with GAAP. Under this method of accounting, M I Acquisitions will be treated as the “acquired” company for financial reporting purposes. Accordingly, for accounting purposes, the Business Combination will be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Priority has been determined to be the accounting acquirer based on evaluation of the following facts and circumstances:</w:t>
      </w:r>
    </w:p>
    <w:p>
      <w:pPr>
        <w:spacing w:after="0" w:line="223" w:lineRule="exact"/>
        <w:rPr>
          <w:sz w:val="20"/>
          <w:szCs w:val="20"/>
          <w:color w:val="auto"/>
        </w:rPr>
      </w:pPr>
    </w:p>
    <w:p>
      <w:pPr>
        <w:ind w:left="820" w:hanging="329"/>
        <w:spacing w:after="0" w:line="275" w:lineRule="auto"/>
        <w:tabs>
          <w:tab w:leader="none" w:pos="8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Priority stockholder group will have the greatest voting interest in the combined entity under the no and maximum redemption scenarios with over 91% and 96% voting interest,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119" w:name="page120"/>
    <w:bookmarkEnd w:id="119"/>
    <w:p>
      <w:pPr>
        <w:ind w:left="820" w:hanging="329"/>
        <w:spacing w:after="0"/>
        <w:tabs>
          <w:tab w:leader="none" w:pos="8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largest individual minority shareholder comes from Priority;</w:t>
      </w:r>
    </w:p>
    <w:p>
      <w:pPr>
        <w:spacing w:after="0" w:line="223" w:lineRule="exact"/>
        <w:rPr>
          <w:rFonts w:ascii="Arial" w:cs="Arial" w:eastAsia="Arial" w:hAnsi="Arial"/>
          <w:sz w:val="18"/>
          <w:szCs w:val="18"/>
          <w:color w:val="auto"/>
        </w:rPr>
      </w:pPr>
    </w:p>
    <w:p>
      <w:pPr>
        <w:ind w:left="820" w:hanging="329"/>
        <w:spacing w:after="0"/>
        <w:tabs>
          <w:tab w:leader="none" w:pos="8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combined company’s board of directors will consist of seven directors, all of which will be selected by Priority;</w:t>
      </w:r>
    </w:p>
    <w:p>
      <w:pPr>
        <w:spacing w:after="0" w:line="223" w:lineRule="exact"/>
        <w:rPr>
          <w:rFonts w:ascii="Arial" w:cs="Arial" w:eastAsia="Arial" w:hAnsi="Arial"/>
          <w:sz w:val="18"/>
          <w:szCs w:val="18"/>
          <w:color w:val="auto"/>
        </w:rPr>
      </w:pPr>
    </w:p>
    <w:p>
      <w:pPr>
        <w:ind w:left="820" w:hanging="329"/>
        <w:spacing w:after="0"/>
        <w:tabs>
          <w:tab w:leader="none" w:pos="8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Priority will hold C-suite management roles for the combined company.</w:t>
      </w:r>
    </w:p>
    <w:p>
      <w:pPr>
        <w:spacing w:after="0" w:line="223" w:lineRule="exact"/>
        <w:rPr>
          <w:sz w:val="20"/>
          <w:szCs w:val="20"/>
          <w:color w:val="auto"/>
        </w:rPr>
      </w:pPr>
    </w:p>
    <w:p>
      <w:pPr>
        <w:jc w:val="both"/>
        <w:ind w:firstLine="484"/>
        <w:spacing w:after="0" w:line="275" w:lineRule="auto"/>
        <w:rPr>
          <w:sz w:val="20"/>
          <w:szCs w:val="20"/>
          <w:color w:val="auto"/>
        </w:rPr>
      </w:pPr>
      <w:r>
        <w:rPr>
          <w:rFonts w:ascii="Arial" w:cs="Arial" w:eastAsia="Arial" w:hAnsi="Arial"/>
          <w:sz w:val="18"/>
          <w:szCs w:val="18"/>
          <w:color w:val="auto"/>
        </w:rPr>
        <w:t>Other factors were considered, including size of the entities and the location of the combined company’s headquarters, noting that the preponderance of evidence as described above is indicative that Priority is the accounting acquirer in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 Combination</w:t>
      </w:r>
    </w:p>
    <w:p>
      <w:pPr>
        <w:spacing w:after="0" w:line="223"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7"/>
          <w:szCs w:val="17"/>
          <w:color w:val="auto"/>
        </w:rPr>
        <w:t>Pursuant to the Purchase Agreement, in exchange for all of the issued and outstanding equity interests of Priority, M I Acquisitions agreed to pay the aggregate consideration in the form of Consideration Shares, as defined in the Purchase Agreement, means a number of shares of common stock, rounded to the nearest whole share, equal to the Company Equity Value, as defined in the Purchase Agreement, divided by $10.30 (the “Merger Consideration”). The GS Warrant is a 7 year, zero exercise price warrant issued by Priority to Goldman Sachs in connection with the refinancing of Priority’s credit facility on January 3, 2017 that initially entitled Goldman Sachs to exercise to receive 1.8% of Priority’s outstanding Class A Common Units at any time prior to expiration (the “GS Warrant”). On January 11, 2018, the warrant agreement was further amended to change the purchase percent from 1.8% to 2.2%. The change in the warrant percentage was the result of anti-dilution provisions in the agreement with Goldman Sachs, which were triggered by the Class A Common unit redemption that occurred during the three months ended March 31, 2018 as discussed in Priority’s financial statements included elsewhere in this proxy. Pursuant to the Purchase Agreement, if the GS Warrant is still outstanding, at the Closing, M I Acquisitions shall issue a Replacement to Goldman Sachs in exchange for the cancellation of the current GS Warrant on substantially the same terms of the GS Warrant, which shall be exercisable for an aggregate number of shares of common stock, rounded to the nearest whole share, that Goldman Sachs would be entitled to receive at the closing of the Business Combination if the GS Warrant had been exercised immediately prior to closing. If the existing warrant has been exercised, then Goldman Sachs shall be entitled to receive a portion of the Merger Consideration and no replacement warrant will be issued at the closing. If the GS Warrant is otherwise no longer outstanding but has not been exercised, then Goldman Sachs shall not be entitled to receive any Merger Consideration and no replacement warrant shall be issued. The following represents the Merger Consideration:</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Scenario 1: GS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Scenario 2: GS</w:t>
            </w:r>
          </w:p>
        </w:tc>
      </w:tr>
      <w:tr>
        <w:trPr>
          <w:trHeight w:val="229"/>
        </w:trPr>
        <w:tc>
          <w:tcPr>
            <w:tcW w:w="5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Warrant</w:t>
            </w:r>
          </w:p>
        </w:tc>
        <w:tc>
          <w:tcPr>
            <w:tcW w:w="60" w:type="dxa"/>
            <w:vAlign w:val="bottom"/>
          </w:tcPr>
          <w:p>
            <w:pPr>
              <w:spacing w:after="0"/>
              <w:rPr>
                <w:sz w:val="19"/>
                <w:szCs w:val="19"/>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Warrant Exercised</w:t>
            </w:r>
          </w:p>
        </w:tc>
      </w:tr>
      <w:tr>
        <w:trPr>
          <w:trHeight w:val="233"/>
        </w:trPr>
        <w:tc>
          <w:tcPr>
            <w:tcW w:w="5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Outstanding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(1)</w:t>
            </w:r>
          </w:p>
        </w:tc>
        <w:tc>
          <w:tcPr>
            <w:tcW w:w="80" w:type="dxa"/>
            <w:vAlign w:val="bottom"/>
          </w:tcPr>
          <w:p>
            <w:pPr>
              <w:spacing w:after="0"/>
              <w:rPr>
                <w:sz w:val="20"/>
                <w:szCs w:val="20"/>
                <w:color w:val="auto"/>
              </w:rPr>
            </w:pPr>
          </w:p>
        </w:tc>
      </w:tr>
      <w:tr>
        <w:trPr>
          <w:trHeight w:val="204"/>
        </w:trPr>
        <w:tc>
          <w:tcPr>
            <w:tcW w:w="5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top w:val="single" w:sz="8" w:color="auto"/>
            </w:tcBorders>
            <w:gridSpan w:val="2"/>
          </w:tcPr>
          <w:p>
            <w:pPr>
              <w:spacing w:after="0" w:line="204" w:lineRule="exact"/>
              <w:rPr>
                <w:sz w:val="20"/>
                <w:szCs w:val="20"/>
                <w:color w:val="auto"/>
              </w:rPr>
            </w:pPr>
            <w:r>
              <w:rPr>
                <w:rFonts w:ascii="Arial" w:cs="Arial" w:eastAsia="Arial" w:hAnsi="Arial"/>
                <w:sz w:val="18"/>
                <w:szCs w:val="18"/>
                <w:b w:val="1"/>
                <w:bCs w:val="1"/>
                <w:color w:val="auto"/>
                <w:w w:val="86"/>
              </w:rPr>
              <w:t>Three months ended</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Borders>
              <w:top w:val="single" w:sz="8" w:color="auto"/>
            </w:tcBorders>
            <w:gridSpan w:val="2"/>
          </w:tcPr>
          <w:p>
            <w:pPr>
              <w:jc w:val="center"/>
              <w:spacing w:after="0" w:line="204" w:lineRule="exact"/>
              <w:rPr>
                <w:sz w:val="20"/>
                <w:szCs w:val="20"/>
                <w:color w:val="auto"/>
              </w:rPr>
            </w:pPr>
            <w:r>
              <w:rPr>
                <w:rFonts w:ascii="Arial" w:cs="Arial" w:eastAsia="Arial" w:hAnsi="Arial"/>
                <w:sz w:val="18"/>
                <w:szCs w:val="18"/>
                <w:b w:val="1"/>
                <w:bCs w:val="1"/>
                <w:color w:val="auto"/>
                <w:w w:val="88"/>
              </w:rPr>
              <w:t>Three months ended</w:t>
            </w:r>
          </w:p>
        </w:tc>
        <w:tc>
          <w:tcPr>
            <w:tcW w:w="80" w:type="dxa"/>
            <w:vAlign w:val="bottom"/>
          </w:tcPr>
          <w:p>
            <w:pPr>
              <w:spacing w:after="0"/>
              <w:rPr>
                <w:sz w:val="17"/>
                <w:szCs w:val="17"/>
                <w:color w:val="auto"/>
              </w:rPr>
            </w:pPr>
          </w:p>
        </w:tc>
      </w:tr>
      <w:tr>
        <w:trPr>
          <w:trHeight w:val="233"/>
        </w:trPr>
        <w:tc>
          <w:tcPr>
            <w:tcW w:w="57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March 31, 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March 31, 2018</w:t>
            </w:r>
          </w:p>
        </w:tc>
      </w:tr>
      <w:tr>
        <w:trPr>
          <w:trHeight w:val="209"/>
        </w:trPr>
        <w:tc>
          <w:tcPr>
            <w:tcW w:w="57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Enterprise Value (1)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5700" w:type="dxa"/>
            <w:vAlign w:val="bottom"/>
          </w:tcPr>
          <w:p>
            <w:pPr>
              <w:ind w:left="160"/>
              <w:spacing w:after="0"/>
              <w:rPr>
                <w:sz w:val="20"/>
                <w:szCs w:val="20"/>
                <w:color w:val="auto"/>
              </w:rPr>
            </w:pPr>
            <w:r>
              <w:rPr>
                <w:rFonts w:ascii="Arial" w:cs="Arial" w:eastAsia="Arial" w:hAnsi="Arial"/>
                <w:sz w:val="18"/>
                <w:szCs w:val="18"/>
                <w:color w:val="auto"/>
              </w:rPr>
              <w:t>Minus: Closing Indebtedness (2)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(351.1)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(351.1)</w:t>
            </w:r>
          </w:p>
        </w:tc>
      </w:tr>
      <w:tr>
        <w:trPr>
          <w:trHeight w:val="229"/>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Plus: Closing Cash (2)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r>
      <w:tr>
        <w:trPr>
          <w:trHeight w:val="209"/>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Priority Equity Value ($) - at Closing</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616.6</w:t>
            </w:r>
          </w:p>
        </w:tc>
        <w:tc>
          <w:tcPr>
            <w:tcW w:w="80" w:type="dxa"/>
            <w:vAlign w:val="bottom"/>
            <w:tcBorders>
              <w:bottom w:val="single" w:sz="8" w:color="CCEEFF"/>
            </w:tcBorders>
          </w:tcPr>
          <w:p>
            <w:pPr>
              <w:spacing w:after="0"/>
              <w:rPr>
                <w:sz w:val="18"/>
                <w:szCs w:val="18"/>
                <w:color w:val="auto"/>
              </w:rPr>
            </w:pPr>
          </w:p>
        </w:tc>
      </w:tr>
      <w:tr>
        <w:trPr>
          <w:trHeight w:val="209"/>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Divided by: $10.30 / Share (1)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18"/>
                <w:szCs w:val="18"/>
                <w:color w:val="auto"/>
              </w:rPr>
            </w:pPr>
          </w:p>
        </w:tc>
      </w:tr>
      <w:tr>
        <w:trPr>
          <w:trHeight w:val="229"/>
        </w:trPr>
        <w:tc>
          <w:tcPr>
            <w:tcW w:w="5700" w:type="dxa"/>
            <w:vAlign w:val="bottom"/>
          </w:tcPr>
          <w:p>
            <w:pPr>
              <w:ind w:left="160"/>
              <w:spacing w:after="0"/>
              <w:rPr>
                <w:sz w:val="20"/>
                <w:szCs w:val="20"/>
                <w:color w:val="auto"/>
              </w:rPr>
            </w:pPr>
            <w:r>
              <w:rPr>
                <w:rFonts w:ascii="Arial" w:cs="Arial" w:eastAsia="Arial" w:hAnsi="Arial"/>
                <w:sz w:val="18"/>
                <w:szCs w:val="18"/>
                <w:color w:val="auto"/>
              </w:rPr>
              <w:t>Less: GS Warrant Shares, if outstanding (3)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2"/>
        </w:trPr>
        <w:tc>
          <w:tcPr>
            <w:tcW w:w="57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 xml:space="preserve">Share Consideration - at Closing </w:t>
            </w:r>
            <w:r>
              <w:rPr>
                <w:rFonts w:ascii="Arial" w:cs="Arial" w:eastAsia="Arial" w:hAnsi="Arial"/>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720" w:hanging="261"/>
        <w:spacing w:after="0"/>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Values and scenarios obtained from the amended and restated Purchase Agreement.</w:t>
      </w:r>
    </w:p>
    <w:p>
      <w:pPr>
        <w:spacing w:after="0" w:line="22" w:lineRule="exact"/>
        <w:rPr>
          <w:rFonts w:ascii="Arial" w:cs="Arial" w:eastAsia="Arial" w:hAnsi="Arial"/>
          <w:sz w:val="18"/>
          <w:szCs w:val="18"/>
          <w:color w:val="auto"/>
        </w:rPr>
      </w:pPr>
    </w:p>
    <w:p>
      <w:pPr>
        <w:ind w:left="460" w:right="80" w:hanging="1"/>
        <w:spacing w:after="0" w:line="249" w:lineRule="auto"/>
        <w:tabs>
          <w:tab w:leader="none" w:pos="71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Closing Indebtedness and Closing Cash are estimates of the amounts at the Business Combination consummation date. Actual amounts will be as of the date of the Closing.</w:t>
      </w:r>
    </w:p>
    <w:p>
      <w:pPr>
        <w:ind w:left="720" w:hanging="261"/>
        <w:spacing w:after="0"/>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Calculated as 2.1% of 59.9 million shares or 2.2% of the total shares expected to be issued to Priority Class A holders.</w:t>
      </w:r>
    </w:p>
    <w:p>
      <w:pPr>
        <w:spacing w:after="0" w:line="8" w:lineRule="exact"/>
        <w:rPr>
          <w:rFonts w:ascii="Arial" w:cs="Arial" w:eastAsia="Arial" w:hAnsi="Arial"/>
          <w:sz w:val="18"/>
          <w:szCs w:val="18"/>
          <w:color w:val="auto"/>
        </w:rPr>
      </w:pPr>
    </w:p>
    <w:p>
      <w:pPr>
        <w:ind w:left="720" w:hanging="261"/>
        <w:spacing w:after="0"/>
        <w:tabs>
          <w:tab w:leader="none" w:pos="7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Amount shown due to rounding. Actual amount rounds down to 58.6 million versus 58.7 million shares calculated by the above formula.</w:t>
      </w:r>
    </w:p>
    <w:p>
      <w:pPr>
        <w:spacing w:after="0" w:line="220"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Sellers, or at their election, to members of Priority’s management or other service providers post-business combination pursuant to the Earn-out Incentive Plan —4.9 million shares for the first earn-out and 4.9 million shares for the second earn-out. For the first earn-out,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w:t>
      </w:r>
    </w:p>
    <w:p>
      <w:pPr>
        <w:spacing w:after="0" w:line="176"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Concurrently with the Purchase Agreement, the Founders and Priority entered the Founders Share Agreement, a copy of which is attached hereto as Annex B, pursuant to which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acquisition, which shares may be reissued to the Founders if one of the earn-outs described herein (and relating to the Purchase Agreement consideration) is achieved.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0" w:name="page121"/>
    <w:bookmarkEnd w:id="120"/>
    <w:p>
      <w:pPr>
        <w:ind w:firstLine="323"/>
        <w:spacing w:after="0" w:line="275" w:lineRule="auto"/>
        <w:rPr>
          <w:sz w:val="20"/>
          <w:szCs w:val="20"/>
          <w:color w:val="auto"/>
        </w:rPr>
      </w:pPr>
      <w:r>
        <w:rPr>
          <w:rFonts w:ascii="Arial" w:cs="Arial" w:eastAsia="Arial" w:hAnsi="Arial"/>
          <w:sz w:val="18"/>
          <w:szCs w:val="18"/>
          <w:color w:val="auto"/>
        </w:rPr>
        <w:t>The unaudited pro forma condensed combined financial information has been prepared assuming four alternative levels of redemption into cash of M I Acquisitions’ common stock:</w:t>
      </w:r>
    </w:p>
    <w:p>
      <w:pPr>
        <w:spacing w:after="0" w:line="171" w:lineRule="exact"/>
        <w:rPr>
          <w:sz w:val="20"/>
          <w:szCs w:val="20"/>
          <w:color w:val="auto"/>
        </w:rPr>
      </w:pPr>
    </w:p>
    <w:p>
      <w:pPr>
        <w:jc w:val="both"/>
        <w:ind w:left="660" w:hanging="330"/>
        <w:spacing w:after="0" w:line="262"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Assuming No Redemption – GS Warrant Exercised: This presentation assumes that no current M I Acquisitions’ public stockholders exercise redemption rights with respect to their shares for a pro rata portion of the fund in M I Acquisitions’ trust account and the GS Warrant issued by Priority was exercised or is otherwise no longer outstanding at the Closing.</w:t>
      </w:r>
    </w:p>
    <w:p>
      <w:pPr>
        <w:spacing w:after="0" w:line="182" w:lineRule="exact"/>
        <w:rPr>
          <w:rFonts w:ascii="Arial" w:cs="Arial" w:eastAsia="Arial" w:hAnsi="Arial"/>
          <w:sz w:val="18"/>
          <w:szCs w:val="18"/>
          <w:color w:val="auto"/>
        </w:rPr>
      </w:pPr>
    </w:p>
    <w:p>
      <w:pPr>
        <w:jc w:val="both"/>
        <w:ind w:left="660" w:hanging="330"/>
        <w:spacing w:after="0" w:line="284" w:lineRule="auto"/>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Assuming Maximum Redemption – GS Warrant Exercised: This presentation assumes that stockholders holding 3.4 million of M I Acquisitions’ public shares exercise their redemption rights and that such shares are redeemed for their pro rata share ($10.43 per share) of the funds in its trust account and the GS Warrant issued by Priority was exercised or is otherwise no longer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March 31,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$35.4 million. Aggregate redemption payments of $35.4 million calculated as $55.4 million in the trust account per the pro forma condensed combined balance sheet less $20.0 million required available cash from the trust account. Public redemption shares of approximately 3.4 million shares calculated as $35.4 million redemption payments divided by estimated per share redemption value of $10.43 ($55,383,870 in trust account per the pro forma condensed combined balance sheet divided by 5,310,109 M I Acquisitions public shares).</w:t>
      </w:r>
    </w:p>
    <w:p>
      <w:pPr>
        <w:spacing w:after="0" w:line="172" w:lineRule="exact"/>
        <w:rPr>
          <w:rFonts w:ascii="Arial" w:cs="Arial" w:eastAsia="Arial" w:hAnsi="Arial"/>
          <w:sz w:val="16"/>
          <w:szCs w:val="16"/>
          <w:color w:val="auto"/>
        </w:rPr>
      </w:pPr>
    </w:p>
    <w:p>
      <w:pPr>
        <w:jc w:val="both"/>
        <w:ind w:left="660" w:hanging="330"/>
        <w:spacing w:after="0" w:line="262"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Assuming No Redemption – GS Warrant Outstanding: This presentation assumes that no current M I Acquisitions’ public stockholders exercise redemption rights with respect to their shares for a pro rata portion of the fund in M I Acquisitions’ trust account and the GS Warrant issued by Priority was not exercised and remains outstanding at the Closing.</w:t>
      </w:r>
    </w:p>
    <w:p>
      <w:pPr>
        <w:spacing w:after="0" w:line="182" w:lineRule="exact"/>
        <w:rPr>
          <w:rFonts w:ascii="Arial" w:cs="Arial" w:eastAsia="Arial" w:hAnsi="Arial"/>
          <w:sz w:val="18"/>
          <w:szCs w:val="18"/>
          <w:color w:val="auto"/>
        </w:rPr>
      </w:pPr>
    </w:p>
    <w:p>
      <w:pPr>
        <w:jc w:val="both"/>
        <w:ind w:left="660" w:hanging="330"/>
        <w:spacing w:after="0" w:line="284" w:lineRule="auto"/>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Assuming Maximum Redemption – GS Warrant Outstanding: This presentation assumes that stockholders holding 3.4 million of M I Acquisitions’ public shares exercise their redemption rights and that such shares are redeemed for their pro rata share ($10.43 per share) of the funds in its trust account and the GS Warrant issued by Priority was not exercised and remains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March 31,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$35.4 million. Aggregate redemption payments of $35.4 million calculated as $55.4 million in trust account per the pro forma condensed combined balance sheet less $20.0 million required available cash from the trust account. Public redemption shares of approximately 3.4 million shares calculated as $35.4 million redemption payments divided by estimated per share redemption value of $10.43 ($55,383,870 in trust account per the pro forma condensed combined balance sheet divided by 5,310,109 M I Acquisitions public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The following summarizes the pro forma common stock shares outstanding under the four scenarios: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35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Scenario 1: GS Warrant Outstanding</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Scenario 2: GS Warrant Exercised</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60" w:type="dxa"/>
            <w:vAlign w:val="bottom"/>
          </w:tcPr>
          <w:p>
            <w:pPr>
              <w:spacing w:after="0"/>
              <w:rPr>
                <w:sz w:val="12"/>
                <w:szCs w:val="12"/>
                <w:color w:val="auto"/>
              </w:rPr>
            </w:pPr>
          </w:p>
        </w:tc>
        <w:tc>
          <w:tcPr>
            <w:tcW w:w="3520" w:type="dxa"/>
            <w:vAlign w:val="bottom"/>
            <w:tcBorders>
              <w:bottom w:val="single" w:sz="8" w:color="auto"/>
            </w:tcBorders>
            <w:gridSpan w:val="7"/>
          </w:tcPr>
          <w:p>
            <w:pPr>
              <w:jc w:val="right"/>
              <w:ind w:right="420"/>
              <w:spacing w:after="0" w:line="141" w:lineRule="exact"/>
              <w:rPr>
                <w:sz w:val="20"/>
                <w:szCs w:val="20"/>
                <w:color w:val="auto"/>
              </w:rPr>
            </w:pPr>
            <w:r>
              <w:rPr>
                <w:rFonts w:ascii="Arial" w:cs="Arial" w:eastAsia="Arial" w:hAnsi="Arial"/>
                <w:sz w:val="14"/>
                <w:szCs w:val="14"/>
                <w:b w:val="1"/>
                <w:bCs w:val="1"/>
                <w:color w:val="auto"/>
              </w:rPr>
              <w:t>Three months ended March 31, 2018</w:t>
            </w: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Borders>
              <w:bottom w:val="single" w:sz="8" w:color="auto"/>
            </w:tcBorders>
            <w:gridSpan w:val="6"/>
          </w:tcPr>
          <w:p>
            <w:pPr>
              <w:jc w:val="right"/>
              <w:ind w:right="220"/>
              <w:spacing w:after="0" w:line="141" w:lineRule="exact"/>
              <w:rPr>
                <w:sz w:val="20"/>
                <w:szCs w:val="20"/>
                <w:color w:val="auto"/>
              </w:rPr>
            </w:pPr>
            <w:r>
              <w:rPr>
                <w:rFonts w:ascii="Arial" w:cs="Arial" w:eastAsia="Arial" w:hAnsi="Arial"/>
                <w:sz w:val="14"/>
                <w:szCs w:val="14"/>
                <w:b w:val="1"/>
                <w:bCs w:val="1"/>
                <w:color w:val="auto"/>
              </w:rPr>
              <w:t>Three months ended March 31, 2018</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Pro Forma Combined</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Pro Forma</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Pro Forma</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Combined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Combined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3"/>
              </w:rPr>
              <w:t>Combined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(Assuming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(Assuming</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(Assuming</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(Assuming</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Maximum</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Maximum</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 Redemptions)</w:t>
            </w:r>
          </w:p>
        </w:tc>
        <w:tc>
          <w:tcPr>
            <w:tcW w:w="4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Redemptions)</w:t>
            </w:r>
          </w:p>
        </w:tc>
        <w:tc>
          <w:tcPr>
            <w:tcW w:w="4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Redemptions)</w:t>
            </w:r>
          </w:p>
        </w:tc>
        <w:tc>
          <w:tcPr>
            <w:tcW w:w="4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Redemptions)</w:t>
            </w:r>
          </w:p>
        </w:tc>
        <w:tc>
          <w:tcPr>
            <w:tcW w:w="4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M I Merger Consideration shares (1)</w:t>
            </w:r>
          </w:p>
        </w:tc>
        <w:tc>
          <w:tcPr>
            <w:tcW w:w="12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58,630,277</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58,630,277</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59,863,345</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59,863,345</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160"/>
              <w:spacing w:after="0" w:line="148" w:lineRule="exact"/>
              <w:rPr>
                <w:sz w:val="20"/>
                <w:szCs w:val="20"/>
                <w:color w:val="auto"/>
              </w:rPr>
            </w:pPr>
            <w:r>
              <w:rPr>
                <w:rFonts w:ascii="Arial" w:cs="Arial" w:eastAsia="Arial" w:hAnsi="Arial"/>
                <w:sz w:val="14"/>
                <w:szCs w:val="14"/>
                <w:color w:val="auto"/>
              </w:rPr>
              <w:t>M I Founder shares held by the Sellers</w:t>
            </w:r>
          </w:p>
        </w:tc>
        <w:tc>
          <w:tcPr>
            <w:tcW w:w="12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453,210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tcPr>
          <w:p>
            <w:pPr>
              <w:jc w:val="right"/>
              <w:ind w:right="220"/>
              <w:spacing w:after="0" w:line="148" w:lineRule="exact"/>
              <w:rPr>
                <w:sz w:val="20"/>
                <w:szCs w:val="20"/>
                <w:color w:val="auto"/>
              </w:rPr>
            </w:pPr>
            <w:r>
              <w:rPr>
                <w:rFonts w:ascii="Arial" w:cs="Arial" w:eastAsia="Arial" w:hAnsi="Arial"/>
                <w:sz w:val="14"/>
                <w:szCs w:val="14"/>
                <w:color w:val="auto"/>
              </w:rPr>
              <w:t>453,210</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453,210</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453,210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 I Private Placement shares held by the Sellers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421,107</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421,107</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421,107</w:t>
            </w: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421,107</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60" w:type="dxa"/>
            <w:vAlign w:val="bottom"/>
          </w:tcPr>
          <w:p>
            <w:pPr>
              <w:ind w:left="160"/>
              <w:spacing w:after="0" w:line="141" w:lineRule="exact"/>
              <w:rPr>
                <w:sz w:val="20"/>
                <w:szCs w:val="20"/>
                <w:color w:val="auto"/>
              </w:rPr>
            </w:pPr>
            <w:r>
              <w:rPr>
                <w:rFonts w:ascii="Arial" w:cs="Arial" w:eastAsia="Arial" w:hAnsi="Arial"/>
                <w:sz w:val="14"/>
                <w:szCs w:val="14"/>
                <w:b w:val="1"/>
                <w:bCs w:val="1"/>
                <w:color w:val="auto"/>
              </w:rPr>
              <w:t>Priority shares</w:t>
            </w:r>
          </w:p>
        </w:tc>
        <w:tc>
          <w:tcPr>
            <w:tcW w:w="10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59,504,594</w:t>
            </w: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91%</w:t>
            </w:r>
          </w:p>
        </w:tc>
        <w:tc>
          <w:tcPr>
            <w:tcW w:w="60" w:type="dxa"/>
            <w:vAlign w:val="bottom"/>
          </w:tcPr>
          <w:p>
            <w:pPr>
              <w:spacing w:after="0"/>
              <w:rPr>
                <w:sz w:val="12"/>
                <w:szCs w:val="12"/>
                <w:color w:val="auto"/>
              </w:rPr>
            </w:pPr>
          </w:p>
        </w:tc>
        <w:tc>
          <w:tcPr>
            <w:tcW w:w="13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59,504,594</w:t>
            </w:r>
          </w:p>
        </w:tc>
        <w:tc>
          <w:tcPr>
            <w:tcW w:w="220" w:type="dxa"/>
            <w:vAlign w:val="bottom"/>
          </w:tcPr>
          <w:p>
            <w:pPr>
              <w:spacing w:after="0"/>
              <w:rPr>
                <w:sz w:val="12"/>
                <w:szCs w:val="12"/>
                <w:color w:val="auto"/>
              </w:rPr>
            </w:pP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96%</w:t>
            </w:r>
          </w:p>
        </w:tc>
        <w:tc>
          <w:tcPr>
            <w:tcW w:w="10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60,737,662</w:t>
            </w:r>
          </w:p>
        </w:tc>
        <w:tc>
          <w:tcPr>
            <w:tcW w:w="200" w:type="dxa"/>
            <w:vAlign w:val="bottom"/>
          </w:tcPr>
          <w:p>
            <w:pPr>
              <w:spacing w:after="0"/>
              <w:rPr>
                <w:sz w:val="12"/>
                <w:szCs w:val="12"/>
                <w:color w:val="auto"/>
              </w:rPr>
            </w:pP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91%</w:t>
            </w:r>
          </w:p>
        </w:tc>
        <w:tc>
          <w:tcPr>
            <w:tcW w:w="10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60,737,662</w:t>
            </w:r>
          </w:p>
        </w:tc>
        <w:tc>
          <w:tcPr>
            <w:tcW w:w="200" w:type="dxa"/>
            <w:vAlign w:val="bottom"/>
          </w:tcPr>
          <w:p>
            <w:pPr>
              <w:spacing w:after="0"/>
              <w:rPr>
                <w:sz w:val="12"/>
                <w:szCs w:val="12"/>
                <w:color w:val="auto"/>
              </w:rPr>
            </w:pPr>
          </w:p>
        </w:tc>
        <w:tc>
          <w:tcPr>
            <w:tcW w:w="6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160"/>
              <w:spacing w:after="0" w:line="148" w:lineRule="exact"/>
              <w:rPr>
                <w:sz w:val="20"/>
                <w:szCs w:val="20"/>
                <w:color w:val="auto"/>
              </w:rPr>
            </w:pPr>
            <w:r>
              <w:rPr>
                <w:rFonts w:ascii="Arial" w:cs="Arial" w:eastAsia="Arial" w:hAnsi="Arial"/>
                <w:sz w:val="14"/>
                <w:szCs w:val="14"/>
                <w:color w:val="auto"/>
              </w:rPr>
              <w:t>Shares held by current M I public shareholders</w:t>
            </w:r>
          </w:p>
        </w:tc>
        <w:tc>
          <w:tcPr>
            <w:tcW w:w="12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5,310,109</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5,310,109</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5,310,109</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5,310,109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public shares redeemed (2)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(3,392,544)</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(3,392,544)</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60" w:type="dxa"/>
            <w:vAlign w:val="bottom"/>
          </w:tcPr>
          <w:p>
            <w:pPr>
              <w:ind w:left="160"/>
              <w:spacing w:after="0" w:line="141" w:lineRule="exact"/>
              <w:rPr>
                <w:sz w:val="20"/>
                <w:szCs w:val="20"/>
                <w:color w:val="auto"/>
              </w:rPr>
            </w:pPr>
            <w:r>
              <w:rPr>
                <w:rFonts w:ascii="Arial" w:cs="Arial" w:eastAsia="Arial" w:hAnsi="Arial"/>
                <w:sz w:val="14"/>
                <w:szCs w:val="14"/>
                <w:b w:val="1"/>
                <w:bCs w:val="1"/>
                <w:color w:val="auto"/>
              </w:rPr>
              <w:t>M I shares</w:t>
            </w:r>
          </w:p>
        </w:tc>
        <w:tc>
          <w:tcPr>
            <w:tcW w:w="10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5,310,109</w:t>
            </w: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8%</w:t>
            </w:r>
          </w:p>
        </w:tc>
        <w:tc>
          <w:tcPr>
            <w:tcW w:w="60" w:type="dxa"/>
            <w:vAlign w:val="bottom"/>
          </w:tcPr>
          <w:p>
            <w:pPr>
              <w:spacing w:after="0"/>
              <w:rPr>
                <w:sz w:val="12"/>
                <w:szCs w:val="12"/>
                <w:color w:val="auto"/>
              </w:rPr>
            </w:pPr>
          </w:p>
        </w:tc>
        <w:tc>
          <w:tcPr>
            <w:tcW w:w="13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1,917,565</w:t>
            </w:r>
          </w:p>
        </w:tc>
        <w:tc>
          <w:tcPr>
            <w:tcW w:w="220" w:type="dxa"/>
            <w:vAlign w:val="bottom"/>
          </w:tcPr>
          <w:p>
            <w:pPr>
              <w:spacing w:after="0"/>
              <w:rPr>
                <w:sz w:val="12"/>
                <w:szCs w:val="12"/>
                <w:color w:val="auto"/>
              </w:rPr>
            </w:pP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3%</w:t>
            </w:r>
          </w:p>
        </w:tc>
        <w:tc>
          <w:tcPr>
            <w:tcW w:w="10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5,310,109</w:t>
            </w:r>
          </w:p>
        </w:tc>
        <w:tc>
          <w:tcPr>
            <w:tcW w:w="200" w:type="dxa"/>
            <w:vAlign w:val="bottom"/>
          </w:tcPr>
          <w:p>
            <w:pPr>
              <w:spacing w:after="0"/>
              <w:rPr>
                <w:sz w:val="12"/>
                <w:szCs w:val="12"/>
                <w:color w:val="auto"/>
              </w:rPr>
            </w:pP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8%</w:t>
            </w:r>
          </w:p>
        </w:tc>
        <w:tc>
          <w:tcPr>
            <w:tcW w:w="10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1,917,565</w:t>
            </w:r>
          </w:p>
        </w:tc>
        <w:tc>
          <w:tcPr>
            <w:tcW w:w="200" w:type="dxa"/>
            <w:vAlign w:val="bottom"/>
          </w:tcPr>
          <w:p>
            <w:pPr>
              <w:spacing w:after="0"/>
              <w:rPr>
                <w:sz w:val="12"/>
                <w:szCs w:val="12"/>
                <w:color w:val="auto"/>
              </w:rPr>
            </w:pPr>
          </w:p>
        </w:tc>
        <w:tc>
          <w:tcPr>
            <w:tcW w:w="6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160"/>
              <w:spacing w:after="0" w:line="148" w:lineRule="exact"/>
              <w:rPr>
                <w:sz w:val="20"/>
                <w:szCs w:val="20"/>
                <w:color w:val="auto"/>
              </w:rPr>
            </w:pPr>
            <w:r>
              <w:rPr>
                <w:rFonts w:ascii="Arial" w:cs="Arial" w:eastAsia="Arial" w:hAnsi="Arial"/>
                <w:sz w:val="14"/>
                <w:szCs w:val="14"/>
                <w:color w:val="auto"/>
              </w:rPr>
              <w:t>Founder shares</w:t>
            </w:r>
          </w:p>
        </w:tc>
        <w:tc>
          <w:tcPr>
            <w:tcW w:w="12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1,327,527</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1,327,527</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1,327,527</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1,327,527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Less Founder shares bought by the Sellers</w:t>
            </w:r>
          </w:p>
        </w:tc>
        <w:tc>
          <w:tcPr>
            <w:tcW w:w="12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(453,210)</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(453,210)</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(453,210)</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(453,210)</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tcPr>
          <w:p>
            <w:pPr>
              <w:ind w:left="160"/>
              <w:spacing w:after="0"/>
              <w:rPr>
                <w:sz w:val="20"/>
                <w:szCs w:val="20"/>
                <w:color w:val="auto"/>
              </w:rPr>
            </w:pPr>
            <w:r>
              <w:rPr>
                <w:rFonts w:ascii="Arial" w:cs="Arial" w:eastAsia="Arial" w:hAnsi="Arial"/>
                <w:sz w:val="14"/>
                <w:szCs w:val="14"/>
                <w:color w:val="auto"/>
              </w:rPr>
              <w:t>Less Founder shares forfeited</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(174,863)</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4"/>
                <w:szCs w:val="14"/>
                <w:color w:val="auto"/>
              </w:rPr>
              <w:t>(174,863)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(174,863)</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(174,863)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60" w:type="dxa"/>
            <w:vAlign w:val="bottom"/>
            <w:tcBorders>
              <w:top w:val="single" w:sz="8" w:color="CCEEFF"/>
            </w:tcBorders>
            <w:shd w:val="clear" w:color="auto" w:fill="CCEEFF"/>
          </w:tcPr>
          <w:p>
            <w:pPr>
              <w:ind w:left="160"/>
              <w:spacing w:after="0" w:line="141" w:lineRule="exact"/>
              <w:rPr>
                <w:sz w:val="20"/>
                <w:szCs w:val="20"/>
                <w:color w:val="auto"/>
              </w:rPr>
            </w:pPr>
            <w:r>
              <w:rPr>
                <w:rFonts w:ascii="Arial" w:cs="Arial" w:eastAsia="Arial" w:hAnsi="Arial"/>
                <w:sz w:val="14"/>
                <w:szCs w:val="14"/>
                <w:b w:val="1"/>
                <w:bCs w:val="1"/>
                <w:color w:val="auto"/>
              </w:rPr>
              <w:t>Founders shares</w:t>
            </w:r>
          </w:p>
        </w:tc>
        <w:tc>
          <w:tcPr>
            <w:tcW w:w="10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699,454</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b w:val="1"/>
                <w:bCs w:val="1"/>
                <w:color w:val="auto"/>
              </w:rPr>
              <w:t>1%</w:t>
            </w:r>
          </w:p>
        </w:tc>
        <w:tc>
          <w:tcPr>
            <w:tcW w:w="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699,454</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b w:val="1"/>
                <w:bCs w:val="1"/>
                <w:color w:val="auto"/>
              </w:rPr>
              <w:t>1%</w:t>
            </w:r>
          </w:p>
        </w:tc>
        <w:tc>
          <w:tcPr>
            <w:tcW w:w="10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699,454</w:t>
            </w: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b w:val="1"/>
                <w:bCs w:val="1"/>
                <w:color w:val="auto"/>
              </w:rPr>
              <w:t>1%</w:t>
            </w:r>
          </w:p>
        </w:tc>
        <w:tc>
          <w:tcPr>
            <w:tcW w:w="10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699,454</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gridSpan w:val="2"/>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 Forma Shares Outstanding</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65,514,157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62,121,613</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66,747,225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63,354,681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60" w:hanging="252"/>
        <w:spacing w:after="0"/>
        <w:tabs>
          <w:tab w:leader="none" w:pos="2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Refer to the Consideration Shares table herein.</w:t>
      </w:r>
    </w:p>
    <w:p>
      <w:pPr>
        <w:spacing w:after="0" w:line="22" w:lineRule="exact"/>
        <w:rPr>
          <w:rFonts w:ascii="Arial" w:cs="Arial" w:eastAsia="Arial" w:hAnsi="Arial"/>
          <w:sz w:val="18"/>
          <w:szCs w:val="18"/>
          <w:color w:val="auto"/>
        </w:rPr>
      </w:pPr>
    </w:p>
    <w:p>
      <w:pPr>
        <w:ind w:right="80" w:firstLine="8"/>
        <w:spacing w:after="0" w:line="254" w:lineRule="auto"/>
        <w:tabs>
          <w:tab w:leader="none" w:pos="25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Public shares estimated to be redeemed calculated as $35.4 million ($55,383,870 from trust account on pro forma balance sheet less $20,000,000 available cash from the trust account) divided by $10.43 redemption value per share ($55,383,870 from trust account on pro forma balance sheet divided by 5,310,109 public shares).</w:t>
      </w:r>
    </w:p>
    <w:p>
      <w:pPr>
        <w:spacing w:after="0" w:line="189"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The following unaudited pro forma condensed combined balance sheet as of March 31, 2018 and the unaudited pro forma condensed combined statements of operations for the three months ended March 31, 2018 and the year ended December 31, 2017 are based on the historical financial statements of M I Acquisitions and Priority. The unaudited pro forma adjustments are based on information currently available,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2" w:name="page123"/>
    <w:bookmarkEnd w:id="122"/>
    <w:p>
      <w:pPr>
        <w:ind w:left="286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rPr>
              <w:t>Scenario 1: GS Warrant Outstanding (aa)</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As of March 31,</w:t>
            </w: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of March 31, 2018</w:t>
            </w:r>
          </w:p>
        </w:tc>
        <w:tc>
          <w:tcPr>
            <w:tcW w:w="0" w:type="dxa"/>
            <w:vAlign w:val="bottom"/>
          </w:tcPr>
          <w:p>
            <w:pPr>
              <w:spacing w:after="0"/>
              <w:rPr>
                <w:sz w:val="1"/>
                <w:szCs w:val="1"/>
                <w:color w:val="auto"/>
              </w:rPr>
            </w:pPr>
          </w:p>
        </w:tc>
      </w:tr>
      <w:tr>
        <w:trPr>
          <w:trHeight w:val="141"/>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68"/>
              <w:spacing w:after="0" w:line="141" w:lineRule="exact"/>
              <w:rPr>
                <w:sz w:val="20"/>
                <w:szCs w:val="20"/>
                <w:color w:val="auto"/>
              </w:rPr>
            </w:pPr>
            <w:r>
              <w:rPr>
                <w:rFonts w:ascii="Arial" w:cs="Arial" w:eastAsia="Arial" w:hAnsi="Arial"/>
                <w:sz w:val="14"/>
                <w:szCs w:val="14"/>
                <w:b w:val="1"/>
                <w:bCs w:val="1"/>
                <w:color w:val="auto"/>
                <w:w w:val="94"/>
              </w:rPr>
              <w:t>Pro Forma</w:t>
            </w:r>
          </w:p>
        </w:tc>
        <w:tc>
          <w:tcPr>
            <w:tcW w:w="80" w:type="dxa"/>
            <w:vAlign w:val="bottom"/>
          </w:tcPr>
          <w:p>
            <w:pPr>
              <w:spacing w:after="0"/>
              <w:rPr>
                <w:sz w:val="12"/>
                <w:szCs w:val="12"/>
                <w:color w:val="auto"/>
              </w:rPr>
            </w:pPr>
          </w:p>
        </w:tc>
        <w:tc>
          <w:tcPr>
            <w:tcW w:w="1240" w:type="dxa"/>
            <w:vAlign w:val="bottom"/>
            <w:gridSpan w:val="2"/>
          </w:tcPr>
          <w:p>
            <w:pPr>
              <w:jc w:val="center"/>
              <w:ind w:right="488"/>
              <w:spacing w:after="0" w:line="141" w:lineRule="exact"/>
              <w:rPr>
                <w:sz w:val="20"/>
                <w:szCs w:val="20"/>
                <w:color w:val="auto"/>
              </w:rPr>
            </w:pPr>
            <w:r>
              <w:rPr>
                <w:rFonts w:ascii="Arial" w:cs="Arial" w:eastAsia="Arial" w:hAnsi="Arial"/>
                <w:sz w:val="14"/>
                <w:szCs w:val="14"/>
                <w:b w:val="1"/>
                <w:bCs w:val="1"/>
                <w:color w:val="auto"/>
                <w:w w:val="97"/>
              </w:rPr>
              <w:t>Pro Forma</w:t>
            </w:r>
          </w:p>
        </w:tc>
        <w:tc>
          <w:tcPr>
            <w:tcW w:w="13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4"/>
              </w:rPr>
              <w:t>Additional Pro Forma</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98"/>
              </w:rPr>
              <w:t>As of March 31, 2018</w:t>
            </w:r>
          </w:p>
        </w:tc>
        <w:tc>
          <w:tcPr>
            <w:tcW w:w="60" w:type="dxa"/>
            <w:vAlign w:val="bottom"/>
          </w:tcPr>
          <w:p>
            <w:pPr>
              <w:spacing w:after="0"/>
              <w:rPr>
                <w:sz w:val="10"/>
                <w:szCs w:val="10"/>
                <w:color w:val="auto"/>
              </w:rPr>
            </w:pPr>
          </w:p>
        </w:tc>
        <w:tc>
          <w:tcPr>
            <w:tcW w:w="1400" w:type="dxa"/>
            <w:vAlign w:val="bottom"/>
            <w:gridSpan w:val="3"/>
          </w:tcPr>
          <w:p>
            <w:pPr>
              <w:jc w:val="center"/>
              <w:ind w:right="468"/>
              <w:spacing w:after="0" w:line="119" w:lineRule="exact"/>
              <w:rPr>
                <w:sz w:val="20"/>
                <w:szCs w:val="20"/>
                <w:color w:val="auto"/>
              </w:rPr>
            </w:pPr>
            <w:r>
              <w:rPr>
                <w:rFonts w:ascii="Arial" w:cs="Arial" w:eastAsia="Arial" w:hAnsi="Arial"/>
                <w:sz w:val="13"/>
                <w:szCs w:val="13"/>
                <w:b w:val="1"/>
                <w:bCs w:val="1"/>
                <w:color w:val="auto"/>
                <w:w w:val="99"/>
              </w:rPr>
              <w:t>Adjustments</w:t>
            </w:r>
          </w:p>
        </w:tc>
        <w:tc>
          <w:tcPr>
            <w:tcW w:w="80" w:type="dxa"/>
            <w:vAlign w:val="bottom"/>
          </w:tcPr>
          <w:p>
            <w:pPr>
              <w:spacing w:after="0"/>
              <w:rPr>
                <w:sz w:val="10"/>
                <w:szCs w:val="10"/>
                <w:color w:val="auto"/>
              </w:rPr>
            </w:pPr>
          </w:p>
        </w:tc>
        <w:tc>
          <w:tcPr>
            <w:tcW w:w="1240" w:type="dxa"/>
            <w:vAlign w:val="bottom"/>
            <w:gridSpan w:val="2"/>
          </w:tcPr>
          <w:p>
            <w:pPr>
              <w:jc w:val="center"/>
              <w:ind w:right="488"/>
              <w:spacing w:after="0" w:line="119" w:lineRule="exact"/>
              <w:rPr>
                <w:sz w:val="20"/>
                <w:szCs w:val="20"/>
                <w:color w:val="auto"/>
              </w:rPr>
            </w:pPr>
            <w:r>
              <w:rPr>
                <w:rFonts w:ascii="Arial" w:cs="Arial" w:eastAsia="Arial" w:hAnsi="Arial"/>
                <w:sz w:val="13"/>
                <w:szCs w:val="13"/>
                <w:b w:val="1"/>
                <w:bCs w:val="1"/>
                <w:color w:val="auto"/>
              </w:rPr>
              <w:t>Combined</w:t>
            </w:r>
          </w:p>
        </w:tc>
        <w:tc>
          <w:tcPr>
            <w:tcW w:w="160" w:type="dxa"/>
            <w:vAlign w:val="bottom"/>
          </w:tcPr>
          <w:p>
            <w:pPr>
              <w:spacing w:after="0"/>
              <w:rPr>
                <w:sz w:val="10"/>
                <w:szCs w:val="10"/>
                <w:color w:val="auto"/>
              </w:rPr>
            </w:pPr>
          </w:p>
        </w:tc>
        <w:tc>
          <w:tcPr>
            <w:tcW w:w="1580" w:type="dxa"/>
            <w:vAlign w:val="bottom"/>
            <w:gridSpan w:val="2"/>
          </w:tcPr>
          <w:p>
            <w:pPr>
              <w:jc w:val="center"/>
              <w:ind w:right="448"/>
              <w:spacing w:after="0" w:line="119" w:lineRule="exact"/>
              <w:rPr>
                <w:sz w:val="20"/>
                <w:szCs w:val="20"/>
                <w:color w:val="auto"/>
              </w:rPr>
            </w:pPr>
            <w:r>
              <w:rPr>
                <w:rFonts w:ascii="Arial" w:cs="Arial" w:eastAsia="Arial" w:hAnsi="Arial"/>
                <w:sz w:val="13"/>
                <w:szCs w:val="13"/>
                <w:b w:val="1"/>
                <w:bCs w:val="1"/>
                <w:color w:val="auto"/>
                <w:w w:val="99"/>
              </w:rPr>
              <w:t>Adjustments</w:t>
            </w:r>
          </w:p>
        </w:tc>
        <w:tc>
          <w:tcPr>
            <w:tcW w:w="120" w:type="dxa"/>
            <w:vAlign w:val="bottom"/>
          </w:tcPr>
          <w:p>
            <w:pPr>
              <w:spacing w:after="0"/>
              <w:rPr>
                <w:sz w:val="10"/>
                <w:szCs w:val="10"/>
                <w:color w:val="auto"/>
              </w:rPr>
            </w:pPr>
          </w:p>
        </w:tc>
        <w:tc>
          <w:tcPr>
            <w:tcW w:w="13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Pro Forma Combined</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68"/>
              <w:spacing w:after="0"/>
              <w:rPr>
                <w:sz w:val="20"/>
                <w:szCs w:val="20"/>
                <w:color w:val="auto"/>
              </w:rPr>
            </w:pPr>
            <w:r>
              <w:rPr>
                <w:rFonts w:ascii="Arial" w:cs="Arial" w:eastAsia="Arial" w:hAnsi="Arial"/>
                <w:sz w:val="14"/>
                <w:szCs w:val="14"/>
                <w:b w:val="1"/>
                <w:bCs w:val="1"/>
                <w:color w:val="auto"/>
                <w:w w:val="91"/>
              </w:rPr>
              <w:t>(Assuming</w:t>
            </w:r>
          </w:p>
        </w:tc>
        <w:tc>
          <w:tcPr>
            <w:tcW w:w="80" w:type="dxa"/>
            <w:vAlign w:val="bottom"/>
          </w:tcPr>
          <w:p>
            <w:pPr>
              <w:spacing w:after="0"/>
              <w:rPr>
                <w:sz w:val="14"/>
                <w:szCs w:val="14"/>
                <w:color w:val="auto"/>
              </w:rPr>
            </w:pPr>
          </w:p>
        </w:tc>
        <w:tc>
          <w:tcPr>
            <w:tcW w:w="1240" w:type="dxa"/>
            <w:vAlign w:val="bottom"/>
            <w:gridSpan w:val="2"/>
          </w:tcPr>
          <w:p>
            <w:pPr>
              <w:jc w:val="center"/>
              <w:ind w:right="488"/>
              <w:spacing w:after="0"/>
              <w:rPr>
                <w:sz w:val="20"/>
                <w:szCs w:val="20"/>
                <w:color w:val="auto"/>
              </w:rPr>
            </w:pPr>
            <w:r>
              <w:rPr>
                <w:rFonts w:ascii="Arial" w:cs="Arial" w:eastAsia="Arial" w:hAnsi="Arial"/>
                <w:sz w:val="14"/>
                <w:szCs w:val="14"/>
                <w:b w:val="1"/>
                <w:bCs w:val="1"/>
                <w:color w:val="auto"/>
                <w:w w:val="88"/>
              </w:rPr>
              <w:t>(Assuming</w:t>
            </w:r>
          </w:p>
        </w:tc>
        <w:tc>
          <w:tcPr>
            <w:tcW w:w="160" w:type="dxa"/>
            <w:vAlign w:val="bottom"/>
          </w:tcPr>
          <w:p>
            <w:pPr>
              <w:spacing w:after="0"/>
              <w:rPr>
                <w:sz w:val="14"/>
                <w:szCs w:val="14"/>
                <w:color w:val="auto"/>
              </w:rPr>
            </w:pPr>
          </w:p>
        </w:tc>
        <w:tc>
          <w:tcPr>
            <w:tcW w:w="15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1"/>
              </w:rPr>
              <w:t>(Assuming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88"/>
              <w:spacing w:after="0"/>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32"/>
        </w:trPr>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80"/>
              <w:spacing w:after="0" w:line="132" w:lineRule="exact"/>
              <w:rPr>
                <w:sz w:val="20"/>
                <w:szCs w:val="20"/>
                <w:color w:val="auto"/>
              </w:rPr>
            </w:pPr>
            <w:r>
              <w:rPr>
                <w:rFonts w:ascii="Arial" w:cs="Arial" w:eastAsia="Arial" w:hAnsi="Arial"/>
                <w:sz w:val="14"/>
                <w:szCs w:val="14"/>
                <w:b w:val="1"/>
                <w:bCs w:val="1"/>
                <w:color w:val="auto"/>
              </w:rPr>
              <w:t>M I</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68"/>
              <w:spacing w:after="0" w:line="132" w:lineRule="exact"/>
              <w:rPr>
                <w:sz w:val="20"/>
                <w:szCs w:val="20"/>
                <w:color w:val="auto"/>
              </w:rPr>
            </w:pPr>
            <w:r>
              <w:rPr>
                <w:rFonts w:ascii="Arial" w:cs="Arial" w:eastAsia="Arial" w:hAnsi="Arial"/>
                <w:sz w:val="14"/>
                <w:szCs w:val="14"/>
                <w:b w:val="1"/>
                <w:bCs w:val="1"/>
                <w:color w:val="auto"/>
              </w:rPr>
              <w:t>Priority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568"/>
              <w:spacing w:after="0" w:line="132" w:lineRule="exact"/>
              <w:rPr>
                <w:sz w:val="20"/>
                <w:szCs w:val="20"/>
                <w:color w:val="auto"/>
              </w:rPr>
            </w:pPr>
            <w:r>
              <w:rPr>
                <w:rFonts w:ascii="Arial" w:cs="Arial" w:eastAsia="Arial" w:hAnsi="Arial"/>
                <w:sz w:val="14"/>
                <w:szCs w:val="14"/>
                <w:b w:val="1"/>
                <w:bCs w:val="1"/>
                <w:color w:val="auto"/>
              </w:rPr>
              <w:t>Minimum</w:t>
            </w:r>
          </w:p>
        </w:tc>
        <w:tc>
          <w:tcPr>
            <w:tcW w:w="80" w:type="dxa"/>
            <w:vAlign w:val="bottom"/>
          </w:tcPr>
          <w:p>
            <w:pPr>
              <w:spacing w:after="0"/>
              <w:rPr>
                <w:sz w:val="11"/>
                <w:szCs w:val="11"/>
                <w:color w:val="auto"/>
              </w:rPr>
            </w:pPr>
          </w:p>
        </w:tc>
        <w:tc>
          <w:tcPr>
            <w:tcW w:w="1240" w:type="dxa"/>
            <w:vAlign w:val="bottom"/>
            <w:gridSpan w:val="2"/>
          </w:tcPr>
          <w:p>
            <w:pPr>
              <w:jc w:val="center"/>
              <w:ind w:right="488"/>
              <w:spacing w:after="0" w:line="132" w:lineRule="exact"/>
              <w:rPr>
                <w:sz w:val="20"/>
                <w:szCs w:val="20"/>
                <w:color w:val="auto"/>
              </w:rPr>
            </w:pPr>
            <w:r>
              <w:rPr>
                <w:rFonts w:ascii="Arial" w:cs="Arial" w:eastAsia="Arial" w:hAnsi="Arial"/>
                <w:sz w:val="14"/>
                <w:szCs w:val="14"/>
                <w:b w:val="1"/>
                <w:bCs w:val="1"/>
                <w:color w:val="auto"/>
                <w:w w:val="97"/>
              </w:rPr>
              <w:t>Minimum</w:t>
            </w:r>
          </w:p>
        </w:tc>
        <w:tc>
          <w:tcPr>
            <w:tcW w:w="160" w:type="dxa"/>
            <w:vAlign w:val="bottom"/>
          </w:tcPr>
          <w:p>
            <w:pPr>
              <w:spacing w:after="0"/>
              <w:rPr>
                <w:sz w:val="11"/>
                <w:szCs w:val="11"/>
                <w:color w:val="auto"/>
              </w:rPr>
            </w:pPr>
          </w:p>
        </w:tc>
        <w:tc>
          <w:tcPr>
            <w:tcW w:w="1580" w:type="dxa"/>
            <w:vAlign w:val="bottom"/>
            <w:gridSpan w:val="2"/>
          </w:tcPr>
          <w:p>
            <w:pPr>
              <w:jc w:val="center"/>
              <w:ind w:right="468"/>
              <w:spacing w:after="0" w:line="132" w:lineRule="exact"/>
              <w:rPr>
                <w:sz w:val="20"/>
                <w:szCs w:val="20"/>
                <w:color w:val="auto"/>
              </w:rPr>
            </w:pPr>
            <w:r>
              <w:rPr>
                <w:rFonts w:ascii="Arial" w:cs="Arial" w:eastAsia="Arial" w:hAnsi="Arial"/>
                <w:sz w:val="14"/>
                <w:szCs w:val="14"/>
                <w:b w:val="1"/>
                <w:bCs w:val="1"/>
                <w:color w:val="auto"/>
                <w:w w:val="99"/>
              </w:rPr>
              <w:t>Maximum</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408"/>
              <w:spacing w:after="0" w:line="132"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(Historical)</w:t>
            </w:r>
          </w:p>
        </w:tc>
        <w:tc>
          <w:tcPr>
            <w:tcW w:w="8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(Historical)</w:t>
            </w:r>
          </w:p>
        </w:tc>
        <w:tc>
          <w:tcPr>
            <w:tcW w:w="1460" w:type="dxa"/>
            <w:vAlign w:val="bottom"/>
            <w:gridSpan w:val="4"/>
          </w:tcPr>
          <w:p>
            <w:pPr>
              <w:ind w:left="60"/>
              <w:spacing w:after="0"/>
              <w:rPr>
                <w:sz w:val="20"/>
                <w:szCs w:val="20"/>
                <w:color w:val="auto"/>
              </w:rPr>
            </w:pPr>
            <w:r>
              <w:rPr>
                <w:rFonts w:ascii="Arial" w:cs="Arial" w:eastAsia="Arial" w:hAnsi="Arial"/>
                <w:sz w:val="14"/>
                <w:szCs w:val="14"/>
                <w:b w:val="1"/>
                <w:bCs w:val="1"/>
                <w:color w:val="auto"/>
              </w:rPr>
              <w:t>Redemptions)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Redemptions)</w:t>
            </w:r>
          </w:p>
        </w:tc>
        <w:tc>
          <w:tcPr>
            <w:tcW w:w="160" w:type="dxa"/>
            <w:vAlign w:val="bottom"/>
          </w:tcPr>
          <w:p>
            <w:pPr>
              <w:spacing w:after="0"/>
              <w:rPr>
                <w:sz w:val="14"/>
                <w:szCs w:val="14"/>
                <w:color w:val="auto"/>
              </w:rPr>
            </w:pPr>
          </w:p>
        </w:tc>
        <w:tc>
          <w:tcPr>
            <w:tcW w:w="15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2"/>
              </w:rPr>
              <w:t>Redemptions)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88"/>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1"/>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line="148"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18,313</w:t>
            </w:r>
          </w:p>
        </w:tc>
        <w:tc>
          <w:tcPr>
            <w:tcW w:w="1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55,384</w:t>
            </w:r>
            <w:r>
              <w:rPr>
                <w:rFonts w:ascii="Arial" w:cs="Arial" w:eastAsia="Arial" w:hAnsi="Arial"/>
                <w:sz w:val="14"/>
                <w:szCs w:val="14"/>
                <w:b w:val="1"/>
                <w:bCs w:val="1"/>
                <w:color w:val="auto"/>
              </w:rPr>
              <w:t>[A]</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58,156</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(35,384</w:t>
            </w:r>
            <w:r>
              <w:rPr>
                <w:rFonts w:ascii="Arial" w:cs="Arial" w:eastAsia="Arial" w:hAnsi="Arial"/>
                <w:sz w:val="14"/>
                <w:szCs w:val="14"/>
                <w:b w:val="1"/>
                <w:bCs w:val="1"/>
                <w:color w:val="auto"/>
              </w:rPr>
              <w:t>)[K]</w:t>
            </w:r>
          </w:p>
        </w:tc>
        <w:tc>
          <w:tcPr>
            <w:tcW w:w="2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22,772</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(12,241</w:t>
            </w:r>
            <w:r>
              <w:rPr>
                <w:rFonts w:ascii="Arial" w:cs="Arial" w:eastAsia="Arial" w:hAnsi="Arial"/>
                <w:sz w:val="14"/>
                <w:szCs w:val="14"/>
                <w:b w:val="1"/>
                <w:bCs w:val="1"/>
                <w:color w:val="auto"/>
              </w:rPr>
              <w:t>)[B]</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(2,116</w:t>
            </w:r>
            <w:r>
              <w:rPr>
                <w:rFonts w:ascii="Arial" w:cs="Arial" w:eastAsia="Arial" w:hAnsi="Arial"/>
                <w:sz w:val="14"/>
                <w:szCs w:val="14"/>
                <w:b w:val="1"/>
                <w:bCs w:val="1"/>
                <w:color w:val="auto"/>
              </w:rPr>
              <w:t>)[B]</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(1,062</w:t>
            </w:r>
            <w:r>
              <w:rPr>
                <w:rFonts w:ascii="Arial" w:cs="Arial" w:eastAsia="Arial" w:hAnsi="Arial"/>
                <w:sz w:val="14"/>
                <w:szCs w:val="14"/>
                <w:b w:val="1"/>
                <w:bCs w:val="1"/>
                <w:color w:val="auto"/>
              </w:rPr>
              <w:t>)[C]</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(28</w:t>
            </w:r>
            <w:r>
              <w:rPr>
                <w:rFonts w:ascii="Arial" w:cs="Arial" w:eastAsia="Arial" w:hAnsi="Arial"/>
                <w:sz w:val="14"/>
                <w:szCs w:val="14"/>
                <w:b w:val="1"/>
                <w:bCs w:val="1"/>
                <w:color w:val="auto"/>
              </w:rPr>
              <w:t>)[D]</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(133</w:t>
            </w:r>
            <w:r>
              <w:rPr>
                <w:rFonts w:ascii="Arial" w:cs="Arial" w:eastAsia="Arial" w:hAnsi="Arial"/>
                <w:sz w:val="14"/>
                <w:szCs w:val="14"/>
                <w:b w:val="1"/>
                <w:bCs w:val="1"/>
                <w:color w:val="auto"/>
              </w:rPr>
              <w:t>)[E]</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19,816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19,816</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19,816</w:t>
            </w:r>
          </w:p>
        </w:tc>
        <w:tc>
          <w:tcPr>
            <w:tcW w:w="0" w:type="dxa"/>
            <w:vAlign w:val="bottom"/>
          </w:tcPr>
          <w:p>
            <w:pPr>
              <w:spacing w:after="0"/>
              <w:rPr>
                <w:sz w:val="1"/>
                <w:szCs w:val="1"/>
                <w:color w:val="auto"/>
              </w:rPr>
            </w:pPr>
          </w:p>
        </w:tc>
      </w:tr>
      <w:tr>
        <w:trPr>
          <w:trHeight w:val="129"/>
        </w:trPr>
        <w:tc>
          <w:tcPr>
            <w:tcW w:w="3180" w:type="dxa"/>
            <w:vAlign w:val="bottom"/>
          </w:tcPr>
          <w:p>
            <w:pPr>
              <w:ind w:left="160"/>
              <w:spacing w:after="0" w:line="129" w:lineRule="exact"/>
              <w:rPr>
                <w:sz w:val="20"/>
                <w:szCs w:val="20"/>
                <w:color w:val="auto"/>
              </w:rPr>
            </w:pPr>
            <w:r>
              <w:rPr>
                <w:rFonts w:ascii="Arial" w:cs="Arial" w:eastAsia="Arial" w:hAnsi="Arial"/>
                <w:sz w:val="14"/>
                <w:szCs w:val="14"/>
                <w:color w:val="auto"/>
                <w:w w:val="97"/>
              </w:rPr>
              <w:t>Accounts receivable, net of allowance for doubtful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60"/>
              <w:spacing w:after="0"/>
              <w:rPr>
                <w:sz w:val="20"/>
                <w:szCs w:val="20"/>
                <w:color w:val="auto"/>
              </w:rPr>
            </w:pPr>
            <w:r>
              <w:rPr>
                <w:rFonts w:ascii="Arial" w:cs="Arial" w:eastAsia="Arial" w:hAnsi="Arial"/>
                <w:sz w:val="14"/>
                <w:szCs w:val="14"/>
                <w:color w:val="auto"/>
              </w:rPr>
              <w:t>accounts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42,636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42,636</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42,636</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Due from related parties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268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268</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268</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4,310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4,351</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4,351</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Current portion of notes receivable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3,075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3,075</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3,075</w:t>
            </w:r>
          </w:p>
        </w:tc>
        <w:tc>
          <w:tcPr>
            <w:tcW w:w="0" w:type="dxa"/>
            <w:vAlign w:val="bottom"/>
          </w:tcPr>
          <w:p>
            <w:pPr>
              <w:spacing w:after="0"/>
              <w:rPr>
                <w:sz w:val="1"/>
                <w:szCs w:val="1"/>
                <w:color w:val="auto"/>
              </w:rPr>
            </w:pPr>
          </w:p>
        </w:tc>
      </w:tr>
      <w:tr>
        <w:trPr>
          <w:trHeight w:val="161"/>
        </w:trPr>
        <w:tc>
          <w:tcPr>
            <w:tcW w:w="3180" w:type="dxa"/>
            <w:vAlign w:val="bottom"/>
          </w:tcPr>
          <w:p>
            <w:pPr>
              <w:ind w:left="160"/>
              <w:spacing w:after="0"/>
              <w:rPr>
                <w:sz w:val="20"/>
                <w:szCs w:val="20"/>
                <w:color w:val="auto"/>
              </w:rPr>
            </w:pPr>
            <w:r>
              <w:rPr>
                <w:rFonts w:ascii="Arial" w:cs="Arial" w:eastAsia="Arial" w:hAnsi="Arial"/>
                <w:sz w:val="14"/>
                <w:szCs w:val="14"/>
                <w:color w:val="auto"/>
              </w:rPr>
              <w:t>Settlement assets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4,328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4,328</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4,328</w:t>
            </w:r>
          </w:p>
        </w:tc>
        <w:tc>
          <w:tcPr>
            <w:tcW w:w="0" w:type="dxa"/>
            <w:vAlign w:val="bottom"/>
          </w:tcPr>
          <w:p>
            <w:pPr>
              <w:spacing w:after="0"/>
              <w:rPr>
                <w:sz w:val="1"/>
                <w:szCs w:val="1"/>
                <w:color w:val="auto"/>
              </w:rPr>
            </w:pPr>
          </w:p>
        </w:tc>
      </w:tr>
      <w:tr>
        <w:trPr>
          <w:trHeight w:val="141"/>
        </w:trPr>
        <w:tc>
          <w:tcPr>
            <w:tcW w:w="318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current assets</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80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92,746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39,804</w:t>
            </w:r>
          </w:p>
        </w:tc>
        <w:tc>
          <w:tcPr>
            <w:tcW w:w="5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132,630</w:t>
            </w:r>
          </w:p>
        </w:tc>
        <w:tc>
          <w:tcPr>
            <w:tcW w:w="4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(35,384)</w:t>
            </w: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97,246</w:t>
            </w:r>
          </w:p>
        </w:tc>
        <w:tc>
          <w:tcPr>
            <w:tcW w:w="3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Cash and cash equivalents held in trust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55,384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(55,384</w:t>
            </w:r>
            <w:r>
              <w:rPr>
                <w:rFonts w:ascii="Arial" w:cs="Arial" w:eastAsia="Arial" w:hAnsi="Arial"/>
                <w:sz w:val="14"/>
                <w:szCs w:val="14"/>
                <w:b w:val="1"/>
                <w:bCs w:val="1"/>
                <w:color w:val="auto"/>
              </w:rPr>
              <w:t>)[A]</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Notes receivable, less current portion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3,343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3,343</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Property, equipment, and software, net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13,566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13,566</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13,566</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101,532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101,532</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101,532</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43,106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43,106</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43,106</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Investment in unconsolidated entities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1,307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1,307</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61"/>
        </w:trPr>
        <w:tc>
          <w:tcPr>
            <w:tcW w:w="3180" w:type="dxa"/>
            <w:vAlign w:val="bottom"/>
          </w:tcPr>
          <w:p>
            <w:pPr>
              <w:ind w:left="160"/>
              <w:spacing w:after="0"/>
              <w:rPr>
                <w:sz w:val="20"/>
                <w:szCs w:val="20"/>
                <w:color w:val="auto"/>
              </w:rPr>
            </w:pPr>
            <w:r>
              <w:rPr>
                <w:rFonts w:ascii="Arial" w:cs="Arial" w:eastAsia="Arial" w:hAnsi="Arial"/>
                <w:sz w:val="14"/>
                <w:szCs w:val="14"/>
                <w:color w:val="auto"/>
              </w:rPr>
              <w:t>Other non current assets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325</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18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55,464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255,925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(15,580</w:t>
            </w:r>
          </w:p>
        </w:tc>
        <w:tc>
          <w:tcPr>
            <w:tcW w:w="5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295,809</w:t>
            </w:r>
          </w:p>
        </w:tc>
        <w:tc>
          <w:tcPr>
            <w:tcW w:w="4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(35,384</w:t>
            </w:r>
          </w:p>
        </w:tc>
        <w:tc>
          <w:tcPr>
            <w:tcW w:w="3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260,425</w:t>
            </w:r>
          </w:p>
        </w:tc>
        <w:tc>
          <w:tcPr>
            <w:tcW w:w="3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tcPr>
          <w:p>
            <w:pPr>
              <w:spacing w:after="0" w:line="141" w:lineRule="exact"/>
              <w:rPr>
                <w:sz w:val="20"/>
                <w:szCs w:val="20"/>
                <w:color w:val="auto"/>
              </w:rPr>
            </w:pPr>
            <w:r>
              <w:rPr>
                <w:rFonts w:ascii="Arial" w:cs="Arial" w:eastAsia="Arial" w:hAnsi="Arial"/>
                <w:sz w:val="14"/>
                <w:szCs w:val="14"/>
                <w:b w:val="1"/>
                <w:bCs w:val="1"/>
                <w:color w:val="auto"/>
              </w:rPr>
              <w:t>Liabilities and Stockholders' Equity (Deficit)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line="148" w:lineRule="exact"/>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Accounts payable and accrued expenses</w:t>
            </w:r>
          </w:p>
        </w:tc>
        <w:tc>
          <w:tcPr>
            <w:tcW w:w="2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18,736</w:t>
            </w:r>
          </w:p>
        </w:tc>
        <w:tc>
          <w:tcPr>
            <w:tcW w:w="1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rPr>
              <w:t>(665</w:t>
            </w:r>
            <w:r>
              <w:rPr>
                <w:rFonts w:ascii="Arial" w:cs="Arial" w:eastAsia="Arial" w:hAnsi="Arial"/>
                <w:sz w:val="14"/>
                <w:szCs w:val="14"/>
                <w:b w:val="1"/>
                <w:bCs w:val="1"/>
                <w:color w:val="auto"/>
              </w:rPr>
              <w:t>)[J]</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18,633</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18,633</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Offering costs payable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8" w:lineRule="exact"/>
              <w:rPr>
                <w:sz w:val="20"/>
                <w:szCs w:val="20"/>
                <w:color w:val="auto"/>
              </w:rPr>
            </w:pPr>
            <w:r>
              <w:rPr>
                <w:rFonts w:ascii="Arial" w:cs="Arial" w:eastAsia="Arial" w:hAnsi="Arial"/>
                <w:sz w:val="14"/>
                <w:szCs w:val="14"/>
                <w:color w:val="auto"/>
              </w:rPr>
              <w:t>12</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Notes payable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(28</w:t>
            </w:r>
            <w:r>
              <w:rPr>
                <w:rFonts w:ascii="Arial" w:cs="Arial" w:eastAsia="Arial" w:hAnsi="Arial"/>
                <w:sz w:val="14"/>
                <w:szCs w:val="14"/>
                <w:b w:val="1"/>
                <w:bCs w:val="1"/>
                <w:color w:val="auto"/>
              </w:rPr>
              <w:t>)[D]</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Note payable – related parties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133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(133</w:t>
            </w:r>
            <w:r>
              <w:rPr>
                <w:rFonts w:ascii="Arial" w:cs="Arial" w:eastAsia="Arial" w:hAnsi="Arial"/>
                <w:sz w:val="14"/>
                <w:szCs w:val="14"/>
                <w:b w:val="1"/>
                <w:bCs w:val="1"/>
                <w:color w:val="auto"/>
              </w:rPr>
              <w:t>)[E]</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Accrued residual commissions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19,857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19,857</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19,857</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Customer deposits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4,229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4,229</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4,229</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Current portion of notes payable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2,682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2,682</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2,682</w:t>
            </w:r>
          </w:p>
        </w:tc>
        <w:tc>
          <w:tcPr>
            <w:tcW w:w="0" w:type="dxa"/>
            <w:vAlign w:val="bottom"/>
          </w:tcPr>
          <w:p>
            <w:pPr>
              <w:spacing w:after="0"/>
              <w:rPr>
                <w:sz w:val="1"/>
                <w:szCs w:val="1"/>
                <w:color w:val="auto"/>
              </w:rPr>
            </w:pPr>
          </w:p>
        </w:tc>
      </w:tr>
      <w:tr>
        <w:trPr>
          <w:trHeight w:val="161"/>
        </w:trPr>
        <w:tc>
          <w:tcPr>
            <w:tcW w:w="3180" w:type="dxa"/>
            <w:vAlign w:val="bottom"/>
          </w:tcPr>
          <w:p>
            <w:pPr>
              <w:ind w:left="160"/>
              <w:spacing w:after="0"/>
              <w:rPr>
                <w:sz w:val="20"/>
                <w:szCs w:val="20"/>
                <w:color w:val="auto"/>
              </w:rPr>
            </w:pPr>
            <w:r>
              <w:rPr>
                <w:rFonts w:ascii="Arial" w:cs="Arial" w:eastAsia="Arial" w:hAnsi="Arial"/>
                <w:sz w:val="14"/>
                <w:szCs w:val="14"/>
                <w:color w:val="auto"/>
              </w:rPr>
              <w:t>Settlement obligations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13,704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13,704</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13,704</w:t>
            </w:r>
          </w:p>
        </w:tc>
        <w:tc>
          <w:tcPr>
            <w:tcW w:w="0" w:type="dxa"/>
            <w:vAlign w:val="bottom"/>
          </w:tcPr>
          <w:p>
            <w:pPr>
              <w:spacing w:after="0"/>
              <w:rPr>
                <w:sz w:val="1"/>
                <w:szCs w:val="1"/>
                <w:color w:val="auto"/>
              </w:rPr>
            </w:pPr>
          </w:p>
        </w:tc>
      </w:tr>
      <w:tr>
        <w:trPr>
          <w:trHeight w:val="141"/>
        </w:trPr>
        <w:tc>
          <w:tcPr>
            <w:tcW w:w="318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current liabilities</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735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59,208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(826</w:t>
            </w:r>
          </w:p>
        </w:tc>
        <w:tc>
          <w:tcPr>
            <w:tcW w:w="5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59,117</w:t>
            </w:r>
          </w:p>
        </w:tc>
        <w:tc>
          <w:tcPr>
            <w:tcW w:w="4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59,117</w:t>
            </w:r>
          </w:p>
        </w:tc>
        <w:tc>
          <w:tcPr>
            <w:tcW w:w="3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80" w:type="dxa"/>
            <w:vAlign w:val="bottom"/>
          </w:tcPr>
          <w:p>
            <w:pPr>
              <w:ind w:left="160"/>
              <w:spacing w:after="0" w:line="109" w:lineRule="exact"/>
              <w:rPr>
                <w:sz w:val="20"/>
                <w:szCs w:val="20"/>
                <w:color w:val="auto"/>
              </w:rPr>
            </w:pPr>
            <w:r>
              <w:rPr>
                <w:rFonts w:ascii="Arial" w:cs="Arial" w:eastAsia="Arial" w:hAnsi="Arial"/>
                <w:sz w:val="12"/>
                <w:szCs w:val="12"/>
                <w:color w:val="auto"/>
              </w:rPr>
              <w:t>Notes payable, net of discounts and deferred</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60"/>
              <w:spacing w:after="0"/>
              <w:rPr>
                <w:sz w:val="20"/>
                <w:szCs w:val="20"/>
                <w:color w:val="auto"/>
              </w:rPr>
            </w:pPr>
            <w:r>
              <w:rPr>
                <w:rFonts w:ascii="Arial" w:cs="Arial" w:eastAsia="Arial" w:hAnsi="Arial"/>
                <w:sz w:val="14"/>
                <w:szCs w:val="14"/>
                <w:color w:val="auto"/>
              </w:rPr>
              <w:t>financing costs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340,457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340,457</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340,457</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Warrant liability</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12,182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12,182</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12,182</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Deferred underwriting fee payable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1,062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(1,062</w:t>
            </w:r>
            <w:r>
              <w:rPr>
                <w:rFonts w:ascii="Arial" w:cs="Arial" w:eastAsia="Arial" w:hAnsi="Arial"/>
                <w:sz w:val="14"/>
                <w:szCs w:val="14"/>
                <w:b w:val="1"/>
                <w:bCs w:val="1"/>
                <w:color w:val="auto"/>
              </w:rPr>
              <w:t>)[C]</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1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6,149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color w:val="auto"/>
              </w:rPr>
              <w:t>6,149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6,149</w:t>
            </w:r>
          </w:p>
        </w:tc>
        <w:tc>
          <w:tcPr>
            <w:tcW w:w="0" w:type="dxa"/>
            <w:vAlign w:val="bottom"/>
          </w:tcPr>
          <w:p>
            <w:pPr>
              <w:spacing w:after="0"/>
              <w:rPr>
                <w:sz w:val="1"/>
                <w:szCs w:val="1"/>
                <w:color w:val="auto"/>
              </w:rPr>
            </w:pPr>
          </w:p>
        </w:tc>
      </w:tr>
      <w:tr>
        <w:trPr>
          <w:trHeight w:val="141"/>
        </w:trPr>
        <w:tc>
          <w:tcPr>
            <w:tcW w:w="3180" w:type="dxa"/>
            <w:vAlign w:val="bottom"/>
            <w:tcBorders>
              <w:bottom w:val="single" w:sz="8" w:color="CCEEFF"/>
            </w:tcBorders>
          </w:tcPr>
          <w:p>
            <w:pPr>
              <w:ind w:left="340"/>
              <w:spacing w:after="0" w:line="141" w:lineRule="exact"/>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1,797</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417,996</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(1,888</w:t>
            </w:r>
          </w:p>
        </w:tc>
        <w:tc>
          <w:tcPr>
            <w:tcW w:w="54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417,905</w:t>
            </w:r>
          </w:p>
        </w:tc>
        <w:tc>
          <w:tcPr>
            <w:tcW w:w="4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417,905</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80" w:type="dxa"/>
            <w:vAlign w:val="bottom"/>
          </w:tcPr>
          <w:p>
            <w:pPr>
              <w:ind w:left="160"/>
              <w:spacing w:after="0" w:line="129" w:lineRule="exact"/>
              <w:rPr>
                <w:sz w:val="20"/>
                <w:szCs w:val="20"/>
                <w:color w:val="auto"/>
              </w:rPr>
            </w:pPr>
            <w:r>
              <w:rPr>
                <w:rFonts w:ascii="Arial" w:cs="Arial" w:eastAsia="Arial" w:hAnsi="Arial"/>
                <w:sz w:val="14"/>
                <w:szCs w:val="14"/>
                <w:color w:val="auto"/>
              </w:rPr>
              <w:t>Common stock subject to possible conversion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w w:val="95"/>
              </w:rPr>
              <w:t>(4,672,795 shares at conversion value as of March</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248"/>
              <w:spacing w:after="0"/>
              <w:rPr>
                <w:sz w:val="20"/>
                <w:szCs w:val="20"/>
                <w:color w:val="auto"/>
              </w:rPr>
            </w:pPr>
            <w:r>
              <w:rPr>
                <w:rFonts w:ascii="Arial" w:cs="Arial" w:eastAsia="Arial" w:hAnsi="Arial"/>
                <w:sz w:val="14"/>
                <w:szCs w:val="14"/>
                <w:color w:val="auto"/>
              </w:rPr>
              <w:t>(48,667</w:t>
            </w:r>
            <w:r>
              <w:rPr>
                <w:rFonts w:ascii="Arial" w:cs="Arial" w:eastAsia="Arial" w:hAnsi="Arial"/>
                <w:sz w:val="14"/>
                <w:szCs w:val="14"/>
                <w:b w:val="1"/>
                <w:bCs w:val="1"/>
                <w:color w:val="auto"/>
              </w:rPr>
              <w:t>)[F]</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60"/>
              <w:spacing w:after="0"/>
              <w:rPr>
                <w:sz w:val="20"/>
                <w:szCs w:val="20"/>
                <w:color w:val="auto"/>
              </w:rPr>
            </w:pPr>
            <w:r>
              <w:rPr>
                <w:rFonts w:ascii="Arial" w:cs="Arial" w:eastAsia="Arial" w:hAnsi="Arial"/>
                <w:sz w:val="14"/>
                <w:szCs w:val="14"/>
                <w:color w:val="auto"/>
              </w:rPr>
              <w:t>31, 2018)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48,667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line="148" w:lineRule="exact"/>
              <w:rPr>
                <w:sz w:val="20"/>
                <w:szCs w:val="20"/>
                <w:color w:val="auto"/>
              </w:rPr>
            </w:pPr>
            <w:r>
              <w:rPr>
                <w:rFonts w:ascii="Arial" w:cs="Arial" w:eastAsia="Arial" w:hAnsi="Arial"/>
                <w:sz w:val="14"/>
                <w:szCs w:val="14"/>
                <w:b w:val="1"/>
                <w:bCs w:val="1"/>
                <w:color w:val="auto"/>
              </w:rPr>
              <w:t>Stockholders' Equity (Deficit)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Preferred stock</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88"/>
              <w:spacing w:after="0" w:line="148" w:lineRule="exact"/>
              <w:rPr>
                <w:sz w:val="20"/>
                <w:szCs w:val="20"/>
                <w:color w:val="auto"/>
              </w:rPr>
            </w:pPr>
            <w:r>
              <w:rPr>
                <w:rFonts w:ascii="Arial" w:cs="Arial" w:eastAsia="Arial" w:hAnsi="Arial"/>
                <w:sz w:val="14"/>
                <w:szCs w:val="14"/>
                <w:color w:val="auto"/>
              </w:rPr>
              <w:t>5</w:t>
            </w:r>
            <w:r>
              <w:rPr>
                <w:rFonts w:ascii="Arial" w:cs="Arial" w:eastAsia="Arial" w:hAnsi="Arial"/>
                <w:sz w:val="14"/>
                <w:szCs w:val="14"/>
                <w:b w:val="1"/>
                <w:bCs w:val="1"/>
                <w:color w:val="auto"/>
              </w:rPr>
              <w:t>[F]</w:t>
            </w:r>
          </w:p>
        </w:tc>
        <w:tc>
          <w:tcPr>
            <w:tcW w:w="80" w:type="dxa"/>
            <w:vAlign w:val="bottom"/>
          </w:tcPr>
          <w:p>
            <w:pPr>
              <w:spacing w:after="0"/>
              <w:rPr>
                <w:sz w:val="12"/>
                <w:szCs w:val="12"/>
                <w:color w:val="auto"/>
              </w:rPr>
            </w:pPr>
          </w:p>
        </w:tc>
        <w:tc>
          <w:tcPr>
            <w:tcW w:w="1240" w:type="dxa"/>
            <w:vAlign w:val="bottom"/>
            <w:gridSpan w:val="2"/>
          </w:tcPr>
          <w:p>
            <w:pPr>
              <w:jc w:val="right"/>
              <w:ind w:right="248"/>
              <w:spacing w:after="0" w:line="148" w:lineRule="exact"/>
              <w:rPr>
                <w:sz w:val="20"/>
                <w:szCs w:val="20"/>
                <w:color w:val="auto"/>
              </w:rPr>
            </w:pPr>
            <w:r>
              <w:rPr>
                <w:rFonts w:ascii="Arial" w:cs="Arial" w:eastAsia="Arial" w:hAnsi="Arial"/>
                <w:sz w:val="14"/>
                <w:szCs w:val="14"/>
                <w:color w:val="auto"/>
              </w:rPr>
              <w:t>66</w:t>
            </w:r>
            <w:r>
              <w:rPr>
                <w:rFonts w:ascii="Arial" w:cs="Arial" w:eastAsia="Arial" w:hAnsi="Arial"/>
                <w:sz w:val="14"/>
                <w:szCs w:val="14"/>
                <w:b w:val="1"/>
                <w:bCs w:val="1"/>
                <w:color w:val="auto"/>
              </w:rPr>
              <w:t>[I]</w:t>
            </w:r>
          </w:p>
        </w:tc>
        <w:tc>
          <w:tcPr>
            <w:tcW w:w="160" w:type="dxa"/>
            <w:vAlign w:val="bottom"/>
          </w:tcPr>
          <w:p>
            <w:pPr>
              <w:spacing w:after="0"/>
              <w:rPr>
                <w:sz w:val="12"/>
                <w:szCs w:val="12"/>
                <w:color w:val="auto"/>
              </w:rPr>
            </w:pPr>
          </w:p>
        </w:tc>
        <w:tc>
          <w:tcPr>
            <w:tcW w:w="1580" w:type="dxa"/>
            <w:vAlign w:val="bottom"/>
            <w:gridSpan w:val="2"/>
          </w:tcPr>
          <w:p>
            <w:pPr>
              <w:jc w:val="right"/>
              <w:ind w:right="48"/>
              <w:spacing w:after="0" w:line="148" w:lineRule="exact"/>
              <w:rPr>
                <w:sz w:val="20"/>
                <w:szCs w:val="20"/>
                <w:color w:val="auto"/>
              </w:rPr>
            </w:pPr>
            <w:r>
              <w:rPr>
                <w:rFonts w:ascii="Arial" w:cs="Arial" w:eastAsia="Arial" w:hAnsi="Arial"/>
                <w:sz w:val="14"/>
                <w:szCs w:val="14"/>
                <w:color w:val="auto"/>
              </w:rPr>
              <w:t>(3</w:t>
            </w:r>
            <w:r>
              <w:rPr>
                <w:rFonts w:ascii="Arial" w:cs="Arial" w:eastAsia="Arial" w:hAnsi="Arial"/>
                <w:sz w:val="14"/>
                <w:szCs w:val="14"/>
                <w:b w:val="1"/>
                <w:bCs w:val="1"/>
                <w:color w:val="auto"/>
              </w:rPr>
              <w:t>)[K]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88"/>
              <w:spacing w:after="0" w:line="148" w:lineRule="exact"/>
              <w:rPr>
                <w:sz w:val="20"/>
                <w:szCs w:val="20"/>
                <w:color w:val="auto"/>
              </w:rPr>
            </w:pPr>
            <w:r>
              <w:rPr>
                <w:rFonts w:ascii="Arial" w:cs="Arial" w:eastAsia="Arial" w:hAnsi="Arial"/>
                <w:sz w:val="14"/>
                <w:szCs w:val="14"/>
                <w:color w:val="auto"/>
              </w:rPr>
              <w:t>63</w:t>
            </w: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59</w:t>
            </w:r>
            <w:r>
              <w:rPr>
                <w:rFonts w:ascii="Arial" w:cs="Arial" w:eastAsia="Arial" w:hAnsi="Arial"/>
                <w:sz w:val="14"/>
                <w:szCs w:val="14"/>
                <w:b w:val="1"/>
                <w:bCs w:val="1"/>
                <w:color w:val="auto"/>
              </w:rPr>
              <w:t>[G][I]</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5,387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8"/>
              <w:spacing w:after="0" w:line="148" w:lineRule="exact"/>
              <w:rPr>
                <w:sz w:val="20"/>
                <w:szCs w:val="20"/>
                <w:color w:val="auto"/>
              </w:rPr>
            </w:pPr>
            <w:r>
              <w:rPr>
                <w:rFonts w:ascii="Arial" w:cs="Arial" w:eastAsia="Arial" w:hAnsi="Arial"/>
                <w:sz w:val="14"/>
                <w:szCs w:val="14"/>
                <w:color w:val="auto"/>
              </w:rPr>
              <w:t xml:space="preserve">48,662 </w:t>
            </w:r>
            <w:r>
              <w:rPr>
                <w:rFonts w:ascii="Arial" w:cs="Arial" w:eastAsia="Arial" w:hAnsi="Arial"/>
                <w:sz w:val="14"/>
                <w:szCs w:val="14"/>
                <w:b w:val="1"/>
                <w:bCs w:val="1"/>
                <w:color w:val="auto"/>
              </w:rPr>
              <w:t>[F]</w:t>
            </w:r>
          </w:p>
        </w:tc>
        <w:tc>
          <w:tcPr>
            <w:tcW w:w="80" w:type="dxa"/>
            <w:vAlign w:val="bottom"/>
          </w:tcPr>
          <w:p>
            <w:pPr>
              <w:spacing w:after="0"/>
              <w:rPr>
                <w:sz w:val="12"/>
                <w:szCs w:val="12"/>
                <w:color w:val="auto"/>
              </w:rPr>
            </w:pPr>
          </w:p>
        </w:tc>
        <w:tc>
          <w:tcPr>
            <w:tcW w:w="1240" w:type="dxa"/>
            <w:vAlign w:val="bottom"/>
            <w:gridSpan w:val="2"/>
          </w:tcPr>
          <w:p>
            <w:pPr>
              <w:jc w:val="right"/>
              <w:ind w:right="248"/>
              <w:spacing w:after="0" w:line="148" w:lineRule="exact"/>
              <w:rPr>
                <w:sz w:val="20"/>
                <w:szCs w:val="20"/>
                <w:color w:val="auto"/>
              </w:rPr>
            </w:pPr>
            <w:r>
              <w:rPr>
                <w:rFonts w:ascii="Arial" w:cs="Arial" w:eastAsia="Arial" w:hAnsi="Arial"/>
                <w:sz w:val="14"/>
                <w:szCs w:val="14"/>
                <w:color w:val="auto"/>
              </w:rPr>
              <w:t>53,601</w:t>
            </w:r>
            <w:r>
              <w:rPr>
                <w:rFonts w:ascii="Arial" w:cs="Arial" w:eastAsia="Arial" w:hAnsi="Arial"/>
                <w:sz w:val="14"/>
                <w:szCs w:val="14"/>
                <w:b w:val="1"/>
                <w:bCs w:val="1"/>
                <w:color w:val="auto"/>
              </w:rPr>
              <w:t>[I]</w:t>
            </w:r>
          </w:p>
        </w:tc>
        <w:tc>
          <w:tcPr>
            <w:tcW w:w="160" w:type="dxa"/>
            <w:vAlign w:val="bottom"/>
          </w:tcPr>
          <w:p>
            <w:pPr>
              <w:spacing w:after="0"/>
              <w:rPr>
                <w:sz w:val="12"/>
                <w:szCs w:val="12"/>
                <w:color w:val="auto"/>
              </w:rPr>
            </w:pPr>
          </w:p>
        </w:tc>
        <w:tc>
          <w:tcPr>
            <w:tcW w:w="1580" w:type="dxa"/>
            <w:vAlign w:val="bottom"/>
            <w:gridSpan w:val="2"/>
          </w:tcPr>
          <w:p>
            <w:pPr>
              <w:jc w:val="right"/>
              <w:ind w:right="48"/>
              <w:spacing w:after="0" w:line="148" w:lineRule="exact"/>
              <w:rPr>
                <w:sz w:val="20"/>
                <w:szCs w:val="20"/>
                <w:color w:val="auto"/>
              </w:rPr>
            </w:pPr>
            <w:r>
              <w:rPr>
                <w:rFonts w:ascii="Arial" w:cs="Arial" w:eastAsia="Arial" w:hAnsi="Arial"/>
                <w:sz w:val="14"/>
                <w:szCs w:val="14"/>
                <w:color w:val="auto"/>
              </w:rPr>
              <w:t>(35,381</w:t>
            </w:r>
            <w:r>
              <w:rPr>
                <w:rFonts w:ascii="Arial" w:cs="Arial" w:eastAsia="Arial" w:hAnsi="Arial"/>
                <w:sz w:val="14"/>
                <w:szCs w:val="14"/>
                <w:b w:val="1"/>
                <w:bCs w:val="1"/>
                <w:color w:val="auto"/>
              </w:rPr>
              <w:t>)[K]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88"/>
              <w:spacing w:after="0" w:line="148" w:lineRule="exact"/>
              <w:rPr>
                <w:sz w:val="20"/>
                <w:szCs w:val="20"/>
                <w:color w:val="auto"/>
              </w:rPr>
            </w:pPr>
            <w:r>
              <w:rPr>
                <w:rFonts w:ascii="Arial" w:cs="Arial" w:eastAsia="Arial" w:hAnsi="Arial"/>
                <w:sz w:val="14"/>
                <w:szCs w:val="14"/>
                <w:color w:val="auto"/>
              </w:rPr>
              <w:t>18,220</w:t>
            </w: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8"/>
              <w:spacing w:after="0" w:line="148" w:lineRule="exact"/>
              <w:rPr>
                <w:sz w:val="20"/>
                <w:szCs w:val="20"/>
                <w:color w:val="auto"/>
              </w:rPr>
            </w:pPr>
            <w:r>
              <w:rPr>
                <w:rFonts w:ascii="Arial" w:cs="Arial" w:eastAsia="Arial" w:hAnsi="Arial"/>
                <w:sz w:val="14"/>
                <w:szCs w:val="14"/>
                <w:color w:val="auto"/>
              </w:rPr>
              <w:t>(59</w:t>
            </w:r>
            <w:r>
              <w:rPr>
                <w:rFonts w:ascii="Arial" w:cs="Arial" w:eastAsia="Arial" w:hAnsi="Arial"/>
                <w:sz w:val="14"/>
                <w:szCs w:val="14"/>
                <w:b w:val="1"/>
                <w:bCs w:val="1"/>
                <w:color w:val="auto"/>
              </w:rPr>
              <w:t>)[G]</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08"/>
              <w:spacing w:after="0" w:line="148" w:lineRule="exact"/>
              <w:rPr>
                <w:sz w:val="20"/>
                <w:szCs w:val="20"/>
                <w:color w:val="auto"/>
              </w:rPr>
            </w:pPr>
            <w:r>
              <w:rPr>
                <w:rFonts w:ascii="Arial" w:cs="Arial" w:eastAsia="Arial" w:hAnsi="Arial"/>
                <w:sz w:val="14"/>
                <w:szCs w:val="14"/>
                <w:color w:val="auto"/>
              </w:rPr>
              <w:t>(389</w:t>
            </w:r>
            <w:r>
              <w:rPr>
                <w:rFonts w:ascii="Arial" w:cs="Arial" w:eastAsia="Arial" w:hAnsi="Arial"/>
                <w:sz w:val="14"/>
                <w:szCs w:val="14"/>
                <w:b w:val="1"/>
                <w:bCs w:val="1"/>
                <w:color w:val="auto"/>
              </w:rPr>
              <w:t>)[H]</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(389)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389</w:t>
            </w:r>
            <w:r>
              <w:rPr>
                <w:rFonts w:ascii="Arial" w:cs="Arial" w:eastAsia="Arial" w:hAnsi="Arial"/>
                <w:sz w:val="14"/>
                <w:szCs w:val="14"/>
                <w:b w:val="1"/>
                <w:bCs w:val="1"/>
                <w:color w:val="auto"/>
              </w:rPr>
              <w:t>[H]</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8"/>
              <w:spacing w:after="0" w:line="148" w:lineRule="exact"/>
              <w:rPr>
                <w:sz w:val="20"/>
                <w:szCs w:val="20"/>
                <w:color w:val="auto"/>
              </w:rPr>
            </w:pPr>
            <w:r>
              <w:rPr>
                <w:rFonts w:ascii="Arial" w:cs="Arial" w:eastAsia="Arial" w:hAnsi="Arial"/>
                <w:sz w:val="14"/>
                <w:szCs w:val="14"/>
                <w:color w:val="auto"/>
              </w:rPr>
              <w:t>(175,763</w:t>
            </w:r>
            <w:r>
              <w:rPr>
                <w:rFonts w:ascii="Arial" w:cs="Arial" w:eastAsia="Arial" w:hAnsi="Arial"/>
                <w:sz w:val="14"/>
                <w:szCs w:val="14"/>
                <w:b w:val="1"/>
                <w:bCs w:val="1"/>
                <w:color w:val="auto"/>
              </w:rPr>
              <w:t>)[I]</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(175,763</w:t>
            </w: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(12,241</w:t>
            </w:r>
            <w:r>
              <w:rPr>
                <w:rFonts w:ascii="Arial" w:cs="Arial" w:eastAsia="Arial" w:hAnsi="Arial"/>
                <w:sz w:val="14"/>
                <w:szCs w:val="14"/>
                <w:b w:val="1"/>
                <w:bCs w:val="1"/>
                <w:color w:val="auto"/>
              </w:rPr>
              <w:t>)[B]</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(2,116</w:t>
            </w:r>
            <w:r>
              <w:rPr>
                <w:rFonts w:ascii="Arial" w:cs="Arial" w:eastAsia="Arial" w:hAnsi="Arial"/>
                <w:sz w:val="14"/>
                <w:szCs w:val="14"/>
                <w:b w:val="1"/>
                <w:bCs w:val="1"/>
                <w:color w:val="auto"/>
              </w:rPr>
              <w:t>)[B]</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08"/>
              <w:spacing w:after="0" w:line="148" w:lineRule="exact"/>
              <w:rPr>
                <w:sz w:val="20"/>
                <w:szCs w:val="20"/>
                <w:color w:val="auto"/>
              </w:rPr>
            </w:pPr>
            <w:r>
              <w:rPr>
                <w:rFonts w:ascii="Arial" w:cs="Arial" w:eastAsia="Arial" w:hAnsi="Arial"/>
                <w:sz w:val="14"/>
                <w:szCs w:val="14"/>
                <w:color w:val="auto"/>
              </w:rPr>
              <w:t>(162,071</w:t>
            </w:r>
            <w:r>
              <w:rPr>
                <w:rFonts w:ascii="Arial" w:cs="Arial" w:eastAsia="Arial" w:hAnsi="Arial"/>
                <w:sz w:val="14"/>
                <w:szCs w:val="14"/>
                <w:b w:val="1"/>
                <w:bCs w:val="1"/>
                <w:color w:val="auto"/>
              </w:rPr>
              <w:t>)[G]</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665</w:t>
            </w:r>
            <w:r>
              <w:rPr>
                <w:rFonts w:ascii="Arial" w:cs="Arial" w:eastAsia="Arial" w:hAnsi="Arial"/>
                <w:sz w:val="14"/>
                <w:szCs w:val="14"/>
                <w:b w:val="1"/>
                <w:bCs w:val="1"/>
                <w:color w:val="auto"/>
              </w:rPr>
              <w:t>[J]</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180" w:type="dxa"/>
            <w:vAlign w:val="bottom"/>
            <w:tcBorders>
              <w:bottom w:val="single" w:sz="8" w:color="CCEEFF"/>
            </w:tcBorders>
          </w:tcPr>
          <w:p>
            <w:pPr>
              <w:ind w:left="340"/>
              <w:spacing w:after="0" w:line="141" w:lineRule="exact"/>
              <w:rPr>
                <w:sz w:val="20"/>
                <w:szCs w:val="20"/>
                <w:color w:val="auto"/>
              </w:rPr>
            </w:pPr>
            <w:r>
              <w:rPr>
                <w:rFonts w:ascii="Arial" w:cs="Arial" w:eastAsia="Arial" w:hAnsi="Arial"/>
                <w:sz w:val="14"/>
                <w:szCs w:val="14"/>
                <w:b w:val="1"/>
                <w:bCs w:val="1"/>
                <w:color w:val="auto"/>
              </w:rPr>
              <w:t>Total stockholders' equity (deficit)</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5,000</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(127,096</w:t>
            </w:r>
          </w:p>
        </w:tc>
        <w:tc>
          <w:tcPr>
            <w:tcW w:w="54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)[I]</w:t>
            </w: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(122,096</w:t>
            </w:r>
          </w:p>
        </w:tc>
        <w:tc>
          <w:tcPr>
            <w:tcW w:w="480" w:type="dxa"/>
            <w:vAlign w:val="bottom"/>
            <w:tcBorders>
              <w:bottom w:val="single" w:sz="8" w:color="CCEEFF"/>
            </w:tcBorders>
          </w:tcPr>
          <w:p>
            <w:pPr>
              <w:jc w:val="right"/>
              <w:ind w:right="208"/>
              <w:spacing w:after="0" w:line="141" w:lineRule="exact"/>
              <w:rPr>
                <w:sz w:val="20"/>
                <w:szCs w:val="20"/>
                <w:color w:val="auto"/>
              </w:rPr>
            </w:pPr>
            <w:r>
              <w:rPr>
                <w:rFonts w:ascii="Arial" w:cs="Arial" w:eastAsia="Arial" w:hAnsi="Arial"/>
                <w:sz w:val="14"/>
                <w:szCs w:val="14"/>
                <w:b w:val="1"/>
                <w:bCs w:val="1"/>
                <w:color w:val="auto"/>
              </w:rPr>
              <w:t>)[I]</w:t>
            </w: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(35,384</w:t>
            </w:r>
          </w:p>
        </w:tc>
        <w:tc>
          <w:tcPr>
            <w:tcW w:w="3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)[I]</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(157,480</w:t>
            </w:r>
          </w:p>
        </w:tc>
        <w:tc>
          <w:tcPr>
            <w:tcW w:w="300" w:type="dxa"/>
            <w:vAlign w:val="bottom"/>
            <w:tcBorders>
              <w:bottom w:val="single" w:sz="8" w:color="CCEEFF"/>
            </w:tcBorders>
          </w:tcPr>
          <w:p>
            <w:pPr>
              <w:jc w:val="right"/>
              <w:ind w:right="28"/>
              <w:spacing w:after="0" w:line="141" w:lineRule="exact"/>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41"/>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tcPr>
          <w:p>
            <w:pPr>
              <w:ind w:left="160"/>
              <w:spacing w:after="0"/>
              <w:rPr>
                <w:sz w:val="20"/>
                <w:szCs w:val="20"/>
                <w:color w:val="auto"/>
              </w:rPr>
            </w:pPr>
            <w:r>
              <w:rPr>
                <w:rFonts w:ascii="Arial" w:cs="Arial" w:eastAsia="Arial" w:hAnsi="Arial"/>
                <w:sz w:val="14"/>
                <w:szCs w:val="14"/>
                <w:color w:val="auto"/>
              </w:rPr>
              <w:t>Members’ equity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(162,071)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Arial" w:cs="Arial" w:eastAsia="Arial" w:hAnsi="Arial"/>
                <w:sz w:val="14"/>
                <w:szCs w:val="14"/>
                <w:color w:val="auto"/>
              </w:rPr>
              <w:t>162,071</w:t>
            </w:r>
            <w:r>
              <w:rPr>
                <w:rFonts w:ascii="Arial" w:cs="Arial" w:eastAsia="Arial" w:hAnsi="Arial"/>
                <w:sz w:val="14"/>
                <w:szCs w:val="14"/>
                <w:b w:val="1"/>
                <w:bCs w:val="1"/>
                <w:color w:val="auto"/>
              </w:rPr>
              <w:t>[G]</w:t>
            </w: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3180" w:type="dxa"/>
            <w:vAlign w:val="bottom"/>
            <w:tcBorders>
              <w:top w:val="single" w:sz="8" w:color="CCEEFF"/>
            </w:tcBorders>
            <w:shd w:val="clear" w:color="auto" w:fill="CCEEFF"/>
          </w:tcPr>
          <w:p>
            <w:pPr>
              <w:ind w:left="340"/>
              <w:spacing w:after="0" w:line="105" w:lineRule="exact"/>
              <w:rPr>
                <w:sz w:val="20"/>
                <w:szCs w:val="20"/>
                <w:color w:val="auto"/>
              </w:rPr>
            </w:pPr>
            <w:r>
              <w:rPr>
                <w:rFonts w:ascii="Arial" w:cs="Arial" w:eastAsia="Arial" w:hAnsi="Arial"/>
                <w:sz w:val="12"/>
                <w:szCs w:val="12"/>
                <w:b w:val="1"/>
                <w:bCs w:val="1"/>
                <w:color w:val="auto"/>
              </w:rPr>
              <w:t>Total liabilities and stockholders' equity</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(deficit)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55,464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255,925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428"/>
              <w:spacing w:after="0" w:line="198" w:lineRule="exact"/>
              <w:rPr>
                <w:sz w:val="20"/>
                <w:szCs w:val="20"/>
                <w:color w:val="auto"/>
              </w:rPr>
            </w:pPr>
            <w:r>
              <w:rPr>
                <w:rFonts w:ascii="Arial" w:cs="Arial" w:eastAsia="Arial" w:hAnsi="Arial"/>
                <w:sz w:val="12"/>
                <w:szCs w:val="12"/>
                <w:b w:val="1"/>
                <w:bCs w:val="1"/>
                <w:color w:val="auto"/>
              </w:rPr>
              <w:t>(15,580</w:t>
            </w:r>
            <w:r>
              <w:rPr>
                <w:rFonts w:ascii="Arial" w:cs="Arial" w:eastAsia="Arial" w:hAnsi="Arial"/>
                <w:sz w:val="22"/>
                <w:szCs w:val="22"/>
                <w:b w:val="1"/>
                <w:bCs w:val="1"/>
                <w:color w:val="auto"/>
                <w:vertAlign w:val="superscript"/>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295,809</w:t>
            </w:r>
          </w:p>
        </w:tc>
        <w:tc>
          <w:tcPr>
            <w:tcW w:w="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2"/>
            <w:shd w:val="clear" w:color="auto" w:fill="CCEEFF"/>
          </w:tcPr>
          <w:p>
            <w:pPr>
              <w:jc w:val="right"/>
              <w:ind w:right="248"/>
              <w:spacing w:after="0" w:line="198" w:lineRule="exact"/>
              <w:rPr>
                <w:sz w:val="20"/>
                <w:szCs w:val="20"/>
                <w:color w:val="auto"/>
              </w:rPr>
            </w:pPr>
            <w:r>
              <w:rPr>
                <w:rFonts w:ascii="Arial" w:cs="Arial" w:eastAsia="Arial" w:hAnsi="Arial"/>
                <w:sz w:val="12"/>
                <w:szCs w:val="12"/>
                <w:b w:val="1"/>
                <w:bCs w:val="1"/>
                <w:color w:val="auto"/>
              </w:rPr>
              <w:t>(35,384</w:t>
            </w:r>
            <w:r>
              <w:rPr>
                <w:rFonts w:ascii="Arial" w:cs="Arial" w:eastAsia="Arial" w:hAnsi="Arial"/>
                <w:sz w:val="22"/>
                <w:szCs w:val="22"/>
                <w:b w:val="1"/>
                <w:bCs w:val="1"/>
                <w:color w:val="auto"/>
                <w:vertAlign w:val="superscript"/>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260,425</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(aa) Refer to Pro Forma Explanation (I)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7255" cy="1879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7255" cy="1879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Scenario 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3" w:name="page124"/>
    <w:bookmarkEnd w:id="123"/>
    <w:p>
      <w:pPr>
        <w:jc w:val="center"/>
        <w:spacing w:after="0" w:line="264" w:lineRule="auto"/>
        <w:rPr>
          <w:sz w:val="20"/>
          <w:szCs w:val="20"/>
          <w:color w:val="auto"/>
        </w:rPr>
      </w:pPr>
      <w:r>
        <w:rPr>
          <w:rFonts w:ascii="Arial" w:cs="Arial" w:eastAsia="Arial" w:hAnsi="Arial"/>
          <w:sz w:val="18"/>
          <w:szCs w:val="18"/>
          <w:b w:val="1"/>
          <w:bCs w:val="1"/>
          <w:color w:val="auto"/>
        </w:rPr>
        <w:t>UNAUDITED PRO FORMA CONDENSED COMBINED STATEMENT OF OPERATIONS FOR THE THREE MONTHS ENDED MARCH 31, 2018 (in thousands, except share and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gridSpan w:val="14"/>
          </w:tcPr>
          <w:p>
            <w:pPr>
              <w:jc w:val="center"/>
              <w:ind w:right="159"/>
              <w:spacing w:after="0"/>
              <w:rPr>
                <w:sz w:val="20"/>
                <w:szCs w:val="20"/>
                <w:color w:val="auto"/>
              </w:rPr>
            </w:pPr>
            <w:r>
              <w:rPr>
                <w:rFonts w:ascii="Arial" w:cs="Arial" w:eastAsia="Arial" w:hAnsi="Arial"/>
                <w:sz w:val="14"/>
                <w:szCs w:val="14"/>
                <w:b w:val="1"/>
                <w:bCs w:val="1"/>
                <w:color w:val="auto"/>
                <w:w w:val="94"/>
              </w:rPr>
              <w:t>Scenario 1: GS Warrant Outstanding &amp; Scenario 2: GS Warrant Exercised</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0"/>
              </w:rPr>
              <w:t>except share and per share data</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5"/>
          </w:tcPr>
          <w:p>
            <w:pPr>
              <w:jc w:val="right"/>
              <w:spacing w:after="0" w:line="119" w:lineRule="exact"/>
              <w:rPr>
                <w:sz w:val="20"/>
                <w:szCs w:val="20"/>
                <w:color w:val="auto"/>
              </w:rPr>
            </w:pPr>
            <w:r>
              <w:rPr>
                <w:rFonts w:ascii="Arial" w:cs="Arial" w:eastAsia="Arial" w:hAnsi="Arial"/>
                <w:sz w:val="13"/>
                <w:szCs w:val="13"/>
                <w:b w:val="1"/>
                <w:bCs w:val="1"/>
                <w:color w:val="auto"/>
              </w:rPr>
              <w:t>Three months ended</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vMerge w:val="restart"/>
          </w:tcPr>
          <w:p>
            <w:pPr>
              <w:jc w:val="center"/>
              <w:ind w:right="59"/>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March 31, 2018</w:t>
            </w: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8"/>
              <w:spacing w:after="0" w:line="141" w:lineRule="exact"/>
              <w:rPr>
                <w:sz w:val="20"/>
                <w:szCs w:val="20"/>
                <w:color w:val="auto"/>
              </w:rPr>
            </w:pPr>
            <w:r>
              <w:rPr>
                <w:rFonts w:ascii="Arial" w:cs="Arial" w:eastAsia="Arial" w:hAnsi="Arial"/>
                <w:sz w:val="14"/>
                <w:szCs w:val="14"/>
                <w:b w:val="1"/>
                <w:bCs w:val="1"/>
                <w:color w:val="auto"/>
                <w:w w:val="94"/>
              </w:rPr>
              <w:t>Pro Forma</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8"/>
              <w:spacing w:after="0" w:line="141" w:lineRule="exact"/>
              <w:rPr>
                <w:sz w:val="20"/>
                <w:szCs w:val="20"/>
                <w:color w:val="auto"/>
              </w:rPr>
            </w:pPr>
            <w:r>
              <w:rPr>
                <w:rFonts w:ascii="Arial" w:cs="Arial" w:eastAsia="Arial" w:hAnsi="Arial"/>
                <w:sz w:val="14"/>
                <w:szCs w:val="14"/>
                <w:b w:val="1"/>
                <w:bCs w:val="1"/>
                <w:color w:val="auto"/>
                <w:w w:val="97"/>
              </w:rPr>
              <w:t>Pro Forma</w:t>
            </w:r>
          </w:p>
        </w:tc>
        <w:tc>
          <w:tcPr>
            <w:tcW w:w="1120" w:type="dxa"/>
            <w:vAlign w:val="bottom"/>
          </w:tcPr>
          <w:p>
            <w:pPr>
              <w:jc w:val="center"/>
              <w:ind w:left="8"/>
              <w:spacing w:after="0" w:line="141" w:lineRule="exact"/>
              <w:rPr>
                <w:sz w:val="20"/>
                <w:szCs w:val="20"/>
                <w:color w:val="auto"/>
              </w:rPr>
            </w:pPr>
            <w:r>
              <w:rPr>
                <w:rFonts w:ascii="Arial" w:cs="Arial" w:eastAsia="Arial" w:hAnsi="Arial"/>
                <w:sz w:val="14"/>
                <w:szCs w:val="14"/>
                <w:b w:val="1"/>
                <w:bCs w:val="1"/>
                <w:color w:val="auto"/>
                <w:w w:val="96"/>
              </w:rPr>
              <w:t>Additional Pro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99"/>
              <w:spacing w:after="0" w:line="141" w:lineRule="exact"/>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132"/>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spacing w:after="0" w:line="132" w:lineRule="exact"/>
              <w:rPr>
                <w:sz w:val="20"/>
                <w:szCs w:val="20"/>
                <w:color w:val="auto"/>
              </w:rPr>
            </w:pPr>
            <w:r>
              <w:rPr>
                <w:rFonts w:ascii="Arial" w:cs="Arial" w:eastAsia="Arial" w:hAnsi="Arial"/>
                <w:sz w:val="14"/>
                <w:szCs w:val="14"/>
                <w:b w:val="1"/>
                <w:bCs w:val="1"/>
                <w:color w:val="auto"/>
                <w:w w:val="91"/>
              </w:rPr>
              <w:t>Adjustments</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8"/>
              <w:spacing w:after="0" w:line="132" w:lineRule="exact"/>
              <w:rPr>
                <w:sz w:val="20"/>
                <w:szCs w:val="20"/>
                <w:color w:val="auto"/>
              </w:rPr>
            </w:pPr>
            <w:r>
              <w:rPr>
                <w:rFonts w:ascii="Arial" w:cs="Arial" w:eastAsia="Arial" w:hAnsi="Arial"/>
                <w:sz w:val="14"/>
                <w:szCs w:val="14"/>
                <w:b w:val="1"/>
                <w:bCs w:val="1"/>
                <w:color w:val="auto"/>
                <w:w w:val="93"/>
              </w:rPr>
              <w:t>Combined</w:t>
            </w:r>
          </w:p>
        </w:tc>
        <w:tc>
          <w:tcPr>
            <w:tcW w:w="1320" w:type="dxa"/>
            <w:vAlign w:val="bottom"/>
            <w:gridSpan w:val="3"/>
          </w:tcPr>
          <w:p>
            <w:pPr>
              <w:spacing w:after="0" w:line="132" w:lineRule="exact"/>
              <w:rPr>
                <w:sz w:val="20"/>
                <w:szCs w:val="20"/>
                <w:color w:val="auto"/>
              </w:rPr>
            </w:pPr>
            <w:r>
              <w:rPr>
                <w:rFonts w:ascii="Arial" w:cs="Arial" w:eastAsia="Arial" w:hAnsi="Arial"/>
                <w:sz w:val="14"/>
                <w:szCs w:val="14"/>
                <w:b w:val="1"/>
                <w:bCs w:val="1"/>
                <w:color w:val="auto"/>
                <w:w w:val="98"/>
              </w:rPr>
              <w:t>Forma Adjustments</w:t>
            </w:r>
          </w:p>
        </w:tc>
        <w:tc>
          <w:tcPr>
            <w:tcW w:w="80" w:type="dxa"/>
            <w:vAlign w:val="bottom"/>
          </w:tcPr>
          <w:p>
            <w:pPr>
              <w:spacing w:after="0"/>
              <w:rPr>
                <w:sz w:val="11"/>
                <w:szCs w:val="11"/>
                <w:color w:val="auto"/>
              </w:rPr>
            </w:pPr>
          </w:p>
        </w:tc>
        <w:tc>
          <w:tcPr>
            <w:tcW w:w="134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4"/>
                <w:szCs w:val="14"/>
                <w:b w:val="1"/>
                <w:bCs w:val="1"/>
                <w:color w:val="auto"/>
                <w:w w:val="92"/>
              </w:rPr>
              <w:t>Pro Forma Combined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420" w:type="dxa"/>
            <w:vAlign w:val="bottom"/>
            <w:gridSpan w:val="7"/>
          </w:tcPr>
          <w:p>
            <w:pPr>
              <w:jc w:val="right"/>
              <w:ind w:right="59"/>
              <w:spacing w:after="0"/>
              <w:rPr>
                <w:sz w:val="20"/>
                <w:szCs w:val="20"/>
                <w:color w:val="auto"/>
              </w:rPr>
            </w:pPr>
            <w:r>
              <w:rPr>
                <w:rFonts w:ascii="Arial" w:cs="Arial" w:eastAsia="Arial" w:hAnsi="Arial"/>
                <w:sz w:val="14"/>
                <w:szCs w:val="14"/>
                <w:b w:val="1"/>
                <w:bCs w:val="1"/>
                <w:color w:val="auto"/>
                <w:w w:val="95"/>
              </w:rPr>
              <w:t>Three months ended March 31, 2018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1"/>
              </w:rPr>
              <w:t>(Assuming</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8"/>
              </w:rPr>
              <w:t>(Assuming</w:t>
            </w:r>
          </w:p>
        </w:tc>
        <w:tc>
          <w:tcPr>
            <w:tcW w:w="1120" w:type="dxa"/>
            <w:vAlign w:val="bottom"/>
          </w:tcPr>
          <w:p>
            <w:pPr>
              <w:jc w:val="center"/>
              <w:ind w:left="8"/>
              <w:spacing w:after="0"/>
              <w:rPr>
                <w:sz w:val="20"/>
                <w:szCs w:val="20"/>
                <w:color w:val="auto"/>
              </w:rPr>
            </w:pPr>
            <w:r>
              <w:rPr>
                <w:rFonts w:ascii="Arial" w:cs="Arial" w:eastAsia="Arial" w:hAnsi="Arial"/>
                <w:sz w:val="14"/>
                <w:szCs w:val="14"/>
                <w:b w:val="1"/>
                <w:bCs w:val="1"/>
                <w:color w:val="auto"/>
                <w:w w:val="88"/>
              </w:rPr>
              <w:t>(Assuming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32"/>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88"/>
              <w:spacing w:after="0" w:line="132" w:lineRule="exact"/>
              <w:rPr>
                <w:sz w:val="20"/>
                <w:szCs w:val="20"/>
                <w:color w:val="auto"/>
              </w:rPr>
            </w:pPr>
            <w:r>
              <w:rPr>
                <w:rFonts w:ascii="Arial" w:cs="Arial" w:eastAsia="Arial" w:hAnsi="Arial"/>
                <w:sz w:val="14"/>
                <w:szCs w:val="14"/>
                <w:b w:val="1"/>
                <w:bCs w:val="1"/>
                <w:color w:val="auto"/>
              </w:rPr>
              <w:t>Priority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48"/>
              <w:spacing w:after="0" w:line="132" w:lineRule="exact"/>
              <w:rPr>
                <w:sz w:val="20"/>
                <w:szCs w:val="20"/>
                <w:color w:val="auto"/>
              </w:rPr>
            </w:pPr>
            <w:r>
              <w:rPr>
                <w:rFonts w:ascii="Arial" w:cs="Arial" w:eastAsia="Arial" w:hAnsi="Arial"/>
                <w:sz w:val="14"/>
                <w:szCs w:val="14"/>
                <w:b w:val="1"/>
                <w:bCs w:val="1"/>
                <w:color w:val="auto"/>
              </w:rPr>
              <w:t>Minimum</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8"/>
              <w:spacing w:after="0" w:line="132" w:lineRule="exact"/>
              <w:rPr>
                <w:sz w:val="20"/>
                <w:szCs w:val="20"/>
                <w:color w:val="auto"/>
              </w:rPr>
            </w:pPr>
            <w:r>
              <w:rPr>
                <w:rFonts w:ascii="Arial" w:cs="Arial" w:eastAsia="Arial" w:hAnsi="Arial"/>
                <w:sz w:val="14"/>
                <w:szCs w:val="14"/>
                <w:b w:val="1"/>
                <w:bCs w:val="1"/>
                <w:color w:val="auto"/>
                <w:w w:val="97"/>
              </w:rPr>
              <w:t>Minimum</w:t>
            </w:r>
          </w:p>
        </w:tc>
        <w:tc>
          <w:tcPr>
            <w:tcW w:w="1120" w:type="dxa"/>
            <w:vAlign w:val="bottom"/>
          </w:tcPr>
          <w:p>
            <w:pPr>
              <w:jc w:val="center"/>
              <w:ind w:left="8"/>
              <w:spacing w:after="0" w:line="132" w:lineRule="exact"/>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19"/>
              <w:spacing w:after="0" w:line="132"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w w:val="97"/>
              </w:rPr>
              <w:t>M I (Historical)</w:t>
            </w:r>
          </w:p>
        </w:tc>
        <w:tc>
          <w:tcPr>
            <w:tcW w:w="100" w:type="dxa"/>
            <w:vAlign w:val="bottom"/>
          </w:tcPr>
          <w:p>
            <w:pPr>
              <w:spacing w:after="0"/>
              <w:rPr>
                <w:sz w:val="14"/>
                <w:szCs w:val="14"/>
                <w:color w:val="auto"/>
              </w:rPr>
            </w:pPr>
          </w:p>
        </w:tc>
        <w:tc>
          <w:tcPr>
            <w:tcW w:w="100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w w:val="98"/>
              </w:rPr>
              <w:t>(Historical)</w:t>
            </w:r>
          </w:p>
        </w:tc>
        <w:tc>
          <w:tcPr>
            <w:tcW w:w="6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Redemptions)</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89"/>
              </w:rPr>
              <w:t>Redemptions)</w:t>
            </w:r>
          </w:p>
        </w:tc>
        <w:tc>
          <w:tcPr>
            <w:tcW w:w="112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Redemptions)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160"/>
              <w:spacing w:after="0" w:line="148" w:lineRule="exact"/>
              <w:rPr>
                <w:sz w:val="20"/>
                <w:szCs w:val="20"/>
                <w:color w:val="auto"/>
              </w:rPr>
            </w:pPr>
            <w:r>
              <w:rPr>
                <w:rFonts w:ascii="Arial" w:cs="Arial" w:eastAsia="Arial" w:hAnsi="Arial"/>
                <w:sz w:val="14"/>
                <w:szCs w:val="14"/>
                <w:color w:val="auto"/>
              </w:rPr>
              <w:t>Merchant card fees revenue</w:t>
            </w:r>
          </w:p>
        </w:tc>
        <w:tc>
          <w:tcPr>
            <w:tcW w:w="340" w:type="dxa"/>
            <w:vAlign w:val="bottom"/>
            <w:gridSpan w:val="2"/>
          </w:tcPr>
          <w:p>
            <w:pPr>
              <w:jc w:val="right"/>
              <w:ind w:right="124"/>
              <w:spacing w:after="0" w:line="148"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108,010</w:t>
            </w:r>
          </w:p>
        </w:tc>
        <w:tc>
          <w:tcPr>
            <w:tcW w:w="1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108,010</w:t>
            </w:r>
          </w:p>
        </w:tc>
        <w:tc>
          <w:tcPr>
            <w:tcW w:w="112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108,010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Outsourced services revenue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6,001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6,001</w:t>
            </w:r>
          </w:p>
        </w:tc>
        <w:tc>
          <w:tcPr>
            <w:tcW w:w="1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6,001</w:t>
            </w:r>
          </w:p>
        </w:tc>
        <w:tc>
          <w:tcPr>
            <w:tcW w:w="0" w:type="dxa"/>
            <w:vAlign w:val="bottom"/>
          </w:tcPr>
          <w:p>
            <w:pPr>
              <w:spacing w:after="0"/>
              <w:rPr>
                <w:sz w:val="1"/>
                <w:szCs w:val="1"/>
                <w:color w:val="auto"/>
              </w:rPr>
            </w:pPr>
          </w:p>
        </w:tc>
      </w:tr>
      <w:tr>
        <w:trPr>
          <w:trHeight w:val="161"/>
        </w:trPr>
        <w:tc>
          <w:tcPr>
            <w:tcW w:w="3600" w:type="dxa"/>
            <w:vAlign w:val="bottom"/>
          </w:tcPr>
          <w:p>
            <w:pPr>
              <w:ind w:left="160"/>
              <w:spacing w:after="0"/>
              <w:rPr>
                <w:sz w:val="20"/>
                <w:szCs w:val="20"/>
                <w:color w:val="auto"/>
              </w:rPr>
            </w:pPr>
            <w:r>
              <w:rPr>
                <w:rFonts w:ascii="Arial" w:cs="Arial" w:eastAsia="Arial" w:hAnsi="Arial"/>
                <w:sz w:val="14"/>
                <w:szCs w:val="14"/>
                <w:color w:val="auto"/>
              </w:rPr>
              <w:t>Other revenues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4"/>
                <w:szCs w:val="14"/>
                <w:color w:val="auto"/>
              </w:rPr>
              <w:t>1,585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1,585</w:t>
            </w:r>
          </w:p>
        </w:tc>
        <w:tc>
          <w:tcPr>
            <w:tcW w:w="1120" w:type="dxa"/>
            <w:vAlign w:val="bottom"/>
          </w:tcPr>
          <w:p>
            <w:pPr>
              <w:spacing w:after="0"/>
              <w:rPr>
                <w:sz w:val="14"/>
                <w:szCs w:val="1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41"/>
        </w:trPr>
        <w:tc>
          <w:tcPr>
            <w:tcW w:w="360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revenue, net</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115,596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115,596</w:t>
            </w: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115,596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00" w:type="dxa"/>
            <w:vAlign w:val="bottom"/>
          </w:tcPr>
          <w:p>
            <w:pPr>
              <w:spacing w:after="0" w:line="141" w:lineRule="exact"/>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Costs of merchant card fees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82,813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82,813</w:t>
            </w:r>
          </w:p>
        </w:tc>
        <w:tc>
          <w:tcPr>
            <w:tcW w:w="1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82,813</w:t>
            </w:r>
          </w:p>
        </w:tc>
        <w:tc>
          <w:tcPr>
            <w:tcW w:w="0" w:type="dxa"/>
            <w:vAlign w:val="bottom"/>
          </w:tcPr>
          <w:p>
            <w:pPr>
              <w:spacing w:after="0"/>
              <w:rPr>
                <w:sz w:val="1"/>
                <w:szCs w:val="1"/>
                <w:color w:val="auto"/>
              </w:rPr>
            </w:pPr>
          </w:p>
        </w:tc>
      </w:tr>
      <w:tr>
        <w:trPr>
          <w:trHeight w:val="148"/>
        </w:trPr>
        <w:tc>
          <w:tcPr>
            <w:tcW w:w="3600" w:type="dxa"/>
            <w:vAlign w:val="bottom"/>
          </w:tcPr>
          <w:p>
            <w:pPr>
              <w:ind w:left="160"/>
              <w:spacing w:after="0" w:line="148" w:lineRule="exact"/>
              <w:rPr>
                <w:sz w:val="20"/>
                <w:szCs w:val="20"/>
                <w:color w:val="auto"/>
              </w:rPr>
            </w:pPr>
            <w:r>
              <w:rPr>
                <w:rFonts w:ascii="Arial" w:cs="Arial" w:eastAsia="Arial" w:hAnsi="Arial"/>
                <w:sz w:val="14"/>
                <w:szCs w:val="14"/>
                <w:color w:val="auto"/>
              </w:rPr>
              <w:t>Other costs of services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4,376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4,376</w:t>
            </w:r>
          </w:p>
        </w:tc>
        <w:tc>
          <w:tcPr>
            <w:tcW w:w="1120" w:type="dxa"/>
            <w:vAlign w:val="bottom"/>
          </w:tcPr>
          <w:p>
            <w:pPr>
              <w:spacing w:after="0"/>
              <w:rPr>
                <w:sz w:val="12"/>
                <w:szCs w:val="12"/>
                <w:color w:val="auto"/>
              </w:rPr>
            </w:pPr>
          </w:p>
        </w:tc>
        <w:tc>
          <w:tcPr>
            <w:tcW w:w="2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Salary and employee benefits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8,972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8,972</w:t>
            </w:r>
          </w:p>
        </w:tc>
        <w:tc>
          <w:tcPr>
            <w:tcW w:w="1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8,972</w:t>
            </w:r>
          </w:p>
        </w:tc>
        <w:tc>
          <w:tcPr>
            <w:tcW w:w="0" w:type="dxa"/>
            <w:vAlign w:val="bottom"/>
          </w:tcPr>
          <w:p>
            <w:pPr>
              <w:spacing w:after="0"/>
              <w:rPr>
                <w:sz w:val="1"/>
                <w:szCs w:val="1"/>
                <w:color w:val="auto"/>
              </w:rPr>
            </w:pPr>
          </w:p>
        </w:tc>
      </w:tr>
      <w:tr>
        <w:trPr>
          <w:trHeight w:val="148"/>
        </w:trPr>
        <w:tc>
          <w:tcPr>
            <w:tcW w:w="3600" w:type="dxa"/>
            <w:vAlign w:val="bottom"/>
          </w:tcPr>
          <w:p>
            <w:pPr>
              <w:ind w:left="160"/>
              <w:spacing w:after="0" w:line="148"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3,767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3,767</w:t>
            </w:r>
          </w:p>
        </w:tc>
        <w:tc>
          <w:tcPr>
            <w:tcW w:w="1120" w:type="dxa"/>
            <w:vAlign w:val="bottom"/>
          </w:tcPr>
          <w:p>
            <w:pPr>
              <w:spacing w:after="0"/>
              <w:rPr>
                <w:sz w:val="12"/>
                <w:szCs w:val="12"/>
                <w:color w:val="auto"/>
              </w:rPr>
            </w:pPr>
          </w:p>
        </w:tc>
        <w:tc>
          <w:tcPr>
            <w:tcW w:w="2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3,767</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Selling, general and administrative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5,219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5,219</w:t>
            </w:r>
          </w:p>
        </w:tc>
        <w:tc>
          <w:tcPr>
            <w:tcW w:w="1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5,219</w:t>
            </w:r>
          </w:p>
        </w:tc>
        <w:tc>
          <w:tcPr>
            <w:tcW w:w="0" w:type="dxa"/>
            <w:vAlign w:val="bottom"/>
          </w:tcPr>
          <w:p>
            <w:pPr>
              <w:spacing w:after="0"/>
              <w:rPr>
                <w:sz w:val="1"/>
                <w:szCs w:val="1"/>
                <w:color w:val="auto"/>
              </w:rPr>
            </w:pPr>
          </w:p>
        </w:tc>
      </w:tr>
      <w:tr>
        <w:trPr>
          <w:trHeight w:val="148"/>
        </w:trPr>
        <w:tc>
          <w:tcPr>
            <w:tcW w:w="3600" w:type="dxa"/>
            <w:vAlign w:val="bottom"/>
          </w:tcPr>
          <w:p>
            <w:pPr>
              <w:ind w:left="160"/>
              <w:spacing w:after="0" w:line="148" w:lineRule="exact"/>
              <w:rPr>
                <w:sz w:val="20"/>
                <w:szCs w:val="20"/>
                <w:color w:val="auto"/>
              </w:rPr>
            </w:pPr>
            <w:r>
              <w:rPr>
                <w:rFonts w:ascii="Arial" w:cs="Arial" w:eastAsia="Arial" w:hAnsi="Arial"/>
                <w:sz w:val="14"/>
                <w:szCs w:val="14"/>
                <w:color w:val="auto"/>
              </w:rPr>
              <w:t>Administration fee - related party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99"/>
              <w:spacing w:after="0" w:line="148"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100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30</w:t>
            </w:r>
          </w:p>
        </w:tc>
        <w:tc>
          <w:tcPr>
            <w:tcW w:w="1120" w:type="dxa"/>
            <w:vAlign w:val="bottom"/>
          </w:tcPr>
          <w:p>
            <w:pPr>
              <w:spacing w:after="0"/>
              <w:rPr>
                <w:sz w:val="12"/>
                <w:szCs w:val="12"/>
                <w:color w:val="auto"/>
              </w:rPr>
            </w:pPr>
          </w:p>
        </w:tc>
        <w:tc>
          <w:tcPr>
            <w:tcW w:w="2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Operating costs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9"/>
              <w:spacing w:after="0" w:line="148" w:lineRule="exact"/>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291</w:t>
            </w:r>
          </w:p>
        </w:tc>
        <w:tc>
          <w:tcPr>
            <w:tcW w:w="1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61"/>
        </w:trPr>
        <w:tc>
          <w:tcPr>
            <w:tcW w:w="3600" w:type="dxa"/>
            <w:vAlign w:val="bottom"/>
          </w:tcPr>
          <w:p>
            <w:pPr>
              <w:ind w:left="160"/>
              <w:spacing w:after="0"/>
              <w:rPr>
                <w:sz w:val="20"/>
                <w:szCs w:val="20"/>
                <w:color w:val="auto"/>
              </w:rPr>
            </w:pPr>
            <w:r>
              <w:rPr>
                <w:rFonts w:ascii="Arial" w:cs="Arial" w:eastAsia="Arial" w:hAnsi="Arial"/>
                <w:sz w:val="14"/>
                <w:szCs w:val="14"/>
                <w:color w:val="auto"/>
              </w:rPr>
              <w:t>Other operating expenses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4"/>
                <w:szCs w:val="14"/>
                <w:color w:val="auto"/>
              </w:rPr>
              <w:t>2,571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2,571</w:t>
            </w:r>
          </w:p>
        </w:tc>
        <w:tc>
          <w:tcPr>
            <w:tcW w:w="1120" w:type="dxa"/>
            <w:vAlign w:val="bottom"/>
          </w:tcPr>
          <w:p>
            <w:pPr>
              <w:spacing w:after="0"/>
              <w:rPr>
                <w:sz w:val="14"/>
                <w:szCs w:val="1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141"/>
        </w:trPr>
        <w:tc>
          <w:tcPr>
            <w:tcW w:w="360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operating expenses</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321</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107,718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108,039</w:t>
            </w: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108,039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0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(Loss) income from operations</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(321</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7,878</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7,557</w:t>
            </w: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7,557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0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Other income (expense)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160"/>
              <w:spacing w:after="0" w:line="148" w:lineRule="exact"/>
              <w:rPr>
                <w:sz w:val="20"/>
                <w:szCs w:val="20"/>
                <w:color w:val="auto"/>
              </w:rPr>
            </w:pPr>
            <w:r>
              <w:rPr>
                <w:rFonts w:ascii="Arial" w:cs="Arial" w:eastAsia="Arial" w:hAnsi="Arial"/>
                <w:sz w:val="14"/>
                <w:szCs w:val="14"/>
                <w:color w:val="auto"/>
              </w:rPr>
              <w:t>Interest and other income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99"/>
              <w:spacing w:after="0" w:line="148" w:lineRule="exact"/>
              <w:rPr>
                <w:sz w:val="20"/>
                <w:szCs w:val="20"/>
                <w:color w:val="auto"/>
              </w:rPr>
            </w:pPr>
            <w:r>
              <w:rPr>
                <w:rFonts w:ascii="Arial" w:cs="Arial" w:eastAsia="Arial" w:hAnsi="Arial"/>
                <w:sz w:val="14"/>
                <w:szCs w:val="14"/>
                <w:color w:val="auto"/>
              </w:rPr>
              <w:t>174</w:t>
            </w:r>
          </w:p>
        </w:tc>
        <w:tc>
          <w:tcPr>
            <w:tcW w:w="100" w:type="dxa"/>
            <w:vAlign w:val="bottom"/>
          </w:tcPr>
          <w:p>
            <w:pPr>
              <w:spacing w:after="0"/>
              <w:rPr>
                <w:sz w:val="12"/>
                <w:szCs w:val="12"/>
                <w:color w:val="auto"/>
              </w:rPr>
            </w:pPr>
          </w:p>
        </w:tc>
        <w:tc>
          <w:tcPr>
            <w:tcW w:w="100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191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spacing w:after="0" w:line="148" w:lineRule="exact"/>
              <w:rPr>
                <w:sz w:val="20"/>
                <w:szCs w:val="20"/>
                <w:color w:val="auto"/>
              </w:rPr>
            </w:pPr>
            <w:r>
              <w:rPr>
                <w:rFonts w:ascii="Arial" w:cs="Arial" w:eastAsia="Arial" w:hAnsi="Arial"/>
                <w:sz w:val="14"/>
                <w:szCs w:val="14"/>
                <w:color w:val="auto"/>
              </w:rPr>
              <w:t xml:space="preserve">(174) </w:t>
            </w:r>
            <w:r>
              <w:rPr>
                <w:rFonts w:ascii="Arial" w:cs="Arial" w:eastAsia="Arial" w:hAnsi="Arial"/>
                <w:sz w:val="14"/>
                <w:szCs w:val="14"/>
                <w:b w:val="1"/>
                <w:bCs w:val="1"/>
                <w:color w:val="auto"/>
              </w:rPr>
              <w:t>(AA)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191</w:t>
            </w:r>
          </w:p>
        </w:tc>
        <w:tc>
          <w:tcPr>
            <w:tcW w:w="1120" w:type="dxa"/>
            <w:vAlign w:val="bottom"/>
          </w:tcPr>
          <w:p>
            <w:pPr>
              <w:spacing w:after="0"/>
              <w:rPr>
                <w:sz w:val="12"/>
                <w:szCs w:val="12"/>
                <w:color w:val="auto"/>
              </w:rPr>
            </w:pPr>
          </w:p>
        </w:tc>
        <w:tc>
          <w:tcPr>
            <w:tcW w:w="2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Interest and other expense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9"/>
              <w:spacing w:after="0" w:line="148" w:lineRule="exact"/>
              <w:rPr>
                <w:sz w:val="20"/>
                <w:szCs w:val="20"/>
                <w:color w:val="auto"/>
              </w:rPr>
            </w:pPr>
            <w:r>
              <w:rPr>
                <w:rFonts w:ascii="Arial" w:cs="Arial" w:eastAsia="Arial" w:hAnsi="Arial"/>
                <w:sz w:val="14"/>
                <w:szCs w:val="14"/>
                <w:color w:val="auto"/>
              </w:rPr>
              <w:t>(11,192)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8"/>
              <w:spacing w:after="0" w:line="148" w:lineRule="exact"/>
              <w:rPr>
                <w:sz w:val="20"/>
                <w:szCs w:val="20"/>
                <w:color w:val="auto"/>
              </w:rPr>
            </w:pPr>
            <w:r>
              <w:rPr>
                <w:rFonts w:ascii="Arial" w:cs="Arial" w:eastAsia="Arial" w:hAnsi="Arial"/>
                <w:sz w:val="14"/>
                <w:szCs w:val="14"/>
                <w:color w:val="auto"/>
              </w:rPr>
              <w:t>(11,192)</w:t>
            </w:r>
          </w:p>
        </w:tc>
        <w:tc>
          <w:tcPr>
            <w:tcW w:w="1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9"/>
              <w:spacing w:after="0" w:line="148" w:lineRule="exact"/>
              <w:rPr>
                <w:sz w:val="20"/>
                <w:szCs w:val="20"/>
                <w:color w:val="auto"/>
              </w:rPr>
            </w:pPr>
            <w:r>
              <w:rPr>
                <w:rFonts w:ascii="Arial" w:cs="Arial" w:eastAsia="Arial" w:hAnsi="Arial"/>
                <w:sz w:val="14"/>
                <w:szCs w:val="14"/>
                <w:color w:val="auto"/>
              </w:rPr>
              <w:t>(11,192)</w:t>
            </w:r>
          </w:p>
        </w:tc>
        <w:tc>
          <w:tcPr>
            <w:tcW w:w="0" w:type="dxa"/>
            <w:vAlign w:val="bottom"/>
          </w:tcPr>
          <w:p>
            <w:pPr>
              <w:spacing w:after="0"/>
              <w:rPr>
                <w:sz w:val="1"/>
                <w:szCs w:val="1"/>
                <w:color w:val="auto"/>
              </w:rPr>
            </w:pPr>
          </w:p>
        </w:tc>
      </w:tr>
      <w:tr>
        <w:trPr>
          <w:trHeight w:val="161"/>
        </w:trPr>
        <w:tc>
          <w:tcPr>
            <w:tcW w:w="3600" w:type="dxa"/>
            <w:vAlign w:val="bottom"/>
          </w:tcPr>
          <w:p>
            <w:pPr>
              <w:ind w:left="160"/>
              <w:spacing w:after="0"/>
              <w:rPr>
                <w:sz w:val="20"/>
                <w:szCs w:val="20"/>
                <w:color w:val="auto"/>
              </w:rPr>
            </w:pPr>
            <w:r>
              <w:rPr>
                <w:rFonts w:ascii="Arial" w:cs="Arial" w:eastAsia="Arial" w:hAnsi="Arial"/>
                <w:sz w:val="14"/>
                <w:szCs w:val="14"/>
                <w:color w:val="auto"/>
              </w:rPr>
              <w:t>Equity in loss of unconsolidated entities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4"/>
                <w:szCs w:val="14"/>
                <w:color w:val="auto"/>
              </w:rPr>
              <w:t>(54)</w:t>
            </w:r>
          </w:p>
        </w:tc>
        <w:tc>
          <w:tcPr>
            <w:tcW w:w="1120" w:type="dxa"/>
            <w:vAlign w:val="bottom"/>
          </w:tcPr>
          <w:p>
            <w:pPr>
              <w:spacing w:after="0"/>
              <w:rPr>
                <w:sz w:val="14"/>
                <w:szCs w:val="1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9"/>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1"/>
        </w:trPr>
        <w:tc>
          <w:tcPr>
            <w:tcW w:w="360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other income (expense)</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174</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(11,055</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(174</w:t>
            </w:r>
          </w:p>
        </w:tc>
        <w:tc>
          <w:tcPr>
            <w:tcW w:w="440" w:type="dxa"/>
            <w:vAlign w:val="bottom"/>
            <w:tcBorders>
              <w:top w:val="single" w:sz="8" w:color="CCEEFF"/>
            </w:tcBorders>
            <w:gridSpan w:val="2"/>
            <w:shd w:val="clear" w:color="auto" w:fill="CCEEFF"/>
          </w:tcPr>
          <w:p>
            <w:pPr>
              <w:jc w:val="right"/>
              <w:ind w:right="311"/>
              <w:spacing w:after="0" w:line="141" w:lineRule="exact"/>
              <w:rPr>
                <w:sz w:val="20"/>
                <w:szCs w:val="20"/>
                <w:color w:val="auto"/>
              </w:rPr>
            </w:pPr>
            <w:r>
              <w:rPr>
                <w:rFonts w:ascii="Arial" w:cs="Arial" w:eastAsia="Arial" w:hAnsi="Arial"/>
                <w:sz w:val="14"/>
                <w:szCs w:val="14"/>
                <w:b w:val="1"/>
                <w:bCs w:val="1"/>
                <w:color w:val="auto"/>
                <w:w w:val="84"/>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(11,055</w:t>
            </w:r>
          </w:p>
        </w:tc>
        <w:tc>
          <w:tcPr>
            <w:tcW w:w="220" w:type="dxa"/>
            <w:vAlign w:val="bottom"/>
            <w:tcBorders>
              <w:top w:val="single" w:sz="8" w:color="CCEEFF"/>
            </w:tcBorders>
            <w:shd w:val="clear" w:color="auto" w:fill="CCEEFF"/>
          </w:tcPr>
          <w:p>
            <w:pPr>
              <w:jc w:val="right"/>
              <w:ind w:right="88"/>
              <w:spacing w:after="0" w:line="141" w:lineRule="exact"/>
              <w:rPr>
                <w:sz w:val="20"/>
                <w:szCs w:val="20"/>
                <w:color w:val="auto"/>
              </w:rPr>
            </w:pPr>
            <w:r>
              <w:rPr>
                <w:rFonts w:ascii="Arial" w:cs="Arial" w:eastAsia="Arial" w:hAnsi="Arial"/>
                <w:sz w:val="14"/>
                <w:szCs w:val="14"/>
                <w:b w:val="1"/>
                <w:bCs w:val="1"/>
                <w:color w:val="auto"/>
                <w:w w:val="84"/>
              </w:rPr>
              <w:t>)</w:t>
            </w:r>
          </w:p>
        </w:tc>
        <w:tc>
          <w:tcPr>
            <w:tcW w:w="11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(11,055</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41"/>
        </w:trPr>
        <w:tc>
          <w:tcPr>
            <w:tcW w:w="360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Loss before taxes</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(147</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(3,177</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(174</w:t>
            </w:r>
          </w:p>
        </w:tc>
        <w:tc>
          <w:tcPr>
            <w:tcW w:w="440" w:type="dxa"/>
            <w:vAlign w:val="bottom"/>
            <w:tcBorders>
              <w:bottom w:val="single" w:sz="8" w:color="CCEEFF"/>
            </w:tcBorders>
            <w:gridSpan w:val="2"/>
          </w:tcPr>
          <w:p>
            <w:pPr>
              <w:jc w:val="right"/>
              <w:ind w:right="311"/>
              <w:spacing w:after="0" w:line="141" w:lineRule="exact"/>
              <w:rPr>
                <w:sz w:val="20"/>
                <w:szCs w:val="20"/>
                <w:color w:val="auto"/>
              </w:rPr>
            </w:pPr>
            <w:r>
              <w:rPr>
                <w:rFonts w:ascii="Arial" w:cs="Arial" w:eastAsia="Arial" w:hAnsi="Arial"/>
                <w:sz w:val="14"/>
                <w:szCs w:val="14"/>
                <w:b w:val="1"/>
                <w:bCs w:val="1"/>
                <w:color w:val="auto"/>
                <w:w w:val="84"/>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(3,498</w:t>
            </w:r>
          </w:p>
        </w:tc>
        <w:tc>
          <w:tcPr>
            <w:tcW w:w="220" w:type="dxa"/>
            <w:vAlign w:val="bottom"/>
            <w:tcBorders>
              <w:bottom w:val="single" w:sz="8" w:color="CCEEFF"/>
            </w:tcBorders>
          </w:tcPr>
          <w:p>
            <w:pPr>
              <w:jc w:val="right"/>
              <w:ind w:right="88"/>
              <w:spacing w:after="0" w:line="141" w:lineRule="exact"/>
              <w:rPr>
                <w:sz w:val="20"/>
                <w:szCs w:val="20"/>
                <w:color w:val="auto"/>
              </w:rPr>
            </w:pPr>
            <w:r>
              <w:rPr>
                <w:rFonts w:ascii="Arial" w:cs="Arial" w:eastAsia="Arial" w:hAnsi="Arial"/>
                <w:sz w:val="14"/>
                <w:szCs w:val="14"/>
                <w:b w:val="1"/>
                <w:bCs w:val="1"/>
                <w:color w:val="auto"/>
                <w:w w:val="84"/>
              </w:rPr>
              <w:t>)</w:t>
            </w:r>
          </w:p>
        </w:tc>
        <w:tc>
          <w:tcPr>
            <w:tcW w:w="112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(3,498</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41"/>
        </w:trPr>
        <w:tc>
          <w:tcPr>
            <w:tcW w:w="360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rPr>
              <w:t>Income tax benefit</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665</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51"/>
              <w:spacing w:after="0" w:line="141" w:lineRule="exact"/>
              <w:rPr>
                <w:sz w:val="20"/>
                <w:szCs w:val="20"/>
                <w:color w:val="auto"/>
              </w:rPr>
            </w:pPr>
            <w:r>
              <w:rPr>
                <w:rFonts w:ascii="Arial" w:cs="Arial" w:eastAsia="Arial" w:hAnsi="Arial"/>
                <w:sz w:val="14"/>
                <w:szCs w:val="14"/>
                <w:b w:val="1"/>
                <w:bCs w:val="1"/>
                <w:color w:val="auto"/>
                <w:w w:val="94"/>
              </w:rPr>
              <w:t>(BB)</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665</w:t>
            </w:r>
          </w:p>
        </w:tc>
        <w:tc>
          <w:tcPr>
            <w:tcW w:w="22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0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b w:val="1"/>
                <w:bCs w:val="1"/>
                <w:color w:val="auto"/>
              </w:rPr>
              <w:t>Net 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(147</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(3,177</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491</w:t>
            </w: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(2,833</w:t>
            </w:r>
          </w:p>
        </w:tc>
        <w:tc>
          <w:tcPr>
            <w:tcW w:w="220" w:type="dxa"/>
            <w:vAlign w:val="bottom"/>
            <w:tcBorders>
              <w:bottom w:val="single" w:sz="8" w:color="CCEEFF"/>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(2,833</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28"/>
        </w:trPr>
        <w:tc>
          <w:tcPr>
            <w:tcW w:w="3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Scenario 1: GS Warrant Outstanding</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0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rPr>
              <w:t>Net loss per shares of common stock – basic</w:t>
            </w:r>
          </w:p>
        </w:tc>
        <w:tc>
          <w:tcPr>
            <w:tcW w:w="340" w:type="dxa"/>
            <w:vAlign w:val="bottom"/>
            <w:gridSpan w:val="2"/>
            <w:shd w:val="clear" w:color="auto" w:fill="CCEEFF"/>
          </w:tcPr>
          <w:p>
            <w:pPr>
              <w:jc w:val="right"/>
              <w:ind w:right="124"/>
              <w:spacing w:after="0" w:line="141"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1" w:lineRule="exact"/>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8"/>
              <w:spacing w:after="0" w:line="141" w:lineRule="exact"/>
              <w:rPr>
                <w:sz w:val="20"/>
                <w:szCs w:val="20"/>
                <w:color w:val="auto"/>
              </w:rPr>
            </w:pPr>
            <w:r>
              <w:rPr>
                <w:rFonts w:ascii="Arial" w:cs="Arial" w:eastAsia="Arial" w:hAnsi="Arial"/>
                <w:sz w:val="14"/>
                <w:szCs w:val="14"/>
                <w:color w:val="auto"/>
              </w:rPr>
              <w:t>(0.04)</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9"/>
              <w:spacing w:after="0" w:line="141"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29"/>
        </w:trPr>
        <w:tc>
          <w:tcPr>
            <w:tcW w:w="3600" w:type="dxa"/>
            <w:vAlign w:val="bottom"/>
          </w:tcPr>
          <w:p>
            <w:pPr>
              <w:ind w:left="160"/>
              <w:spacing w:after="0" w:line="129" w:lineRule="exact"/>
              <w:rPr>
                <w:sz w:val="20"/>
                <w:szCs w:val="20"/>
                <w:color w:val="auto"/>
              </w:rPr>
            </w:pPr>
            <w:r>
              <w:rPr>
                <w:rFonts w:ascii="Arial" w:cs="Arial" w:eastAsia="Arial" w:hAnsi="Arial"/>
                <w:sz w:val="14"/>
                <w:szCs w:val="14"/>
                <w:color w:val="auto"/>
                <w:w w:val="95"/>
              </w:rPr>
              <w:t>Weighted average shares of common stock outstanding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6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2,352,922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65,514,157</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62,121,613</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Net loss per shares of common stock – diluted</w:t>
            </w:r>
          </w:p>
        </w:tc>
        <w:tc>
          <w:tcPr>
            <w:tcW w:w="340" w:type="dxa"/>
            <w:vAlign w:val="bottom"/>
            <w:gridSpan w:val="2"/>
            <w:shd w:val="clear" w:color="auto" w:fill="CCEEFF"/>
          </w:tcPr>
          <w:p>
            <w:pPr>
              <w:jc w:val="right"/>
              <w:ind w:right="124"/>
              <w:spacing w:after="0" w:line="148"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8" w:lineRule="exact"/>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8"/>
              <w:spacing w:after="0" w:line="148" w:lineRule="exact"/>
              <w:rPr>
                <w:sz w:val="20"/>
                <w:szCs w:val="20"/>
                <w:color w:val="auto"/>
              </w:rPr>
            </w:pPr>
            <w:r>
              <w:rPr>
                <w:rFonts w:ascii="Arial" w:cs="Arial" w:eastAsia="Arial" w:hAnsi="Arial"/>
                <w:sz w:val="14"/>
                <w:szCs w:val="14"/>
                <w:color w:val="auto"/>
              </w:rPr>
              <w:t>(0.04)</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9"/>
              <w:spacing w:after="0" w:line="148"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29"/>
        </w:trPr>
        <w:tc>
          <w:tcPr>
            <w:tcW w:w="3600" w:type="dxa"/>
            <w:vAlign w:val="bottom"/>
          </w:tcPr>
          <w:p>
            <w:pPr>
              <w:ind w:left="160"/>
              <w:spacing w:after="0" w:line="129" w:lineRule="exact"/>
              <w:rPr>
                <w:sz w:val="20"/>
                <w:szCs w:val="20"/>
                <w:color w:val="auto"/>
              </w:rPr>
            </w:pPr>
            <w:r>
              <w:rPr>
                <w:rFonts w:ascii="Arial" w:cs="Arial" w:eastAsia="Arial" w:hAnsi="Arial"/>
                <w:sz w:val="14"/>
                <w:szCs w:val="14"/>
                <w:color w:val="auto"/>
                <w:w w:val="95"/>
              </w:rPr>
              <w:t>Weighted average shares of common stock outstanding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6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2,352,922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66,747,225</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63,354,681</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Scenario 2: GS Warrant Exercised</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0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w w:val="97"/>
              </w:rPr>
              <w:t>Net loss per shares of common stock – basic and diluted</w:t>
            </w:r>
          </w:p>
        </w:tc>
        <w:tc>
          <w:tcPr>
            <w:tcW w:w="340" w:type="dxa"/>
            <w:vAlign w:val="bottom"/>
            <w:gridSpan w:val="2"/>
            <w:shd w:val="clear" w:color="auto" w:fill="CCEEFF"/>
          </w:tcPr>
          <w:p>
            <w:pPr>
              <w:jc w:val="right"/>
              <w:ind w:right="124"/>
              <w:spacing w:after="0" w:line="141"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1" w:lineRule="exact"/>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8"/>
              <w:spacing w:after="0" w:line="141" w:lineRule="exact"/>
              <w:rPr>
                <w:sz w:val="20"/>
                <w:szCs w:val="20"/>
                <w:color w:val="auto"/>
              </w:rPr>
            </w:pPr>
            <w:r>
              <w:rPr>
                <w:rFonts w:ascii="Arial" w:cs="Arial" w:eastAsia="Arial" w:hAnsi="Arial"/>
                <w:sz w:val="14"/>
                <w:szCs w:val="14"/>
                <w:color w:val="auto"/>
              </w:rPr>
              <w:t>(0.04)</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9"/>
              <w:spacing w:after="0" w:line="141"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29"/>
        </w:trPr>
        <w:tc>
          <w:tcPr>
            <w:tcW w:w="3600" w:type="dxa"/>
            <w:vAlign w:val="bottom"/>
          </w:tcPr>
          <w:p>
            <w:pPr>
              <w:ind w:left="160"/>
              <w:spacing w:after="0" w:line="129" w:lineRule="exact"/>
              <w:rPr>
                <w:sz w:val="20"/>
                <w:szCs w:val="20"/>
                <w:color w:val="auto"/>
              </w:rPr>
            </w:pPr>
            <w:r>
              <w:rPr>
                <w:rFonts w:ascii="Arial" w:cs="Arial" w:eastAsia="Arial" w:hAnsi="Arial"/>
                <w:sz w:val="14"/>
                <w:szCs w:val="14"/>
                <w:color w:val="auto"/>
                <w:w w:val="95"/>
              </w:rPr>
              <w:t>Weighted average shares of common stock outstanding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60"/>
              <w:spacing w:after="0"/>
              <w:rPr>
                <w:sz w:val="20"/>
                <w:szCs w:val="20"/>
                <w:color w:val="auto"/>
              </w:rPr>
            </w:pPr>
            <w:r>
              <w:rPr>
                <w:rFonts w:ascii="Arial" w:cs="Arial" w:eastAsia="Arial" w:hAnsi="Arial"/>
                <w:sz w:val="14"/>
                <w:szCs w:val="14"/>
                <w:color w:val="auto"/>
              </w:rPr>
              <w:t>basic and diluted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2,352,922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66,747,225</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63,354,681</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YEAR ENDED DECEMBER 31, 2017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60" w:type="dxa"/>
            <w:vAlign w:val="bottom"/>
            <w:gridSpan w:val="13"/>
          </w:tcPr>
          <w:p>
            <w:pPr>
              <w:jc w:val="center"/>
              <w:ind w:right="139"/>
              <w:spacing w:after="0"/>
              <w:rPr>
                <w:sz w:val="20"/>
                <w:szCs w:val="20"/>
                <w:color w:val="auto"/>
              </w:rPr>
            </w:pPr>
            <w:r>
              <w:rPr>
                <w:rFonts w:ascii="Arial" w:cs="Arial" w:eastAsia="Arial" w:hAnsi="Arial"/>
                <w:sz w:val="14"/>
                <w:szCs w:val="14"/>
                <w:b w:val="1"/>
                <w:bCs w:val="1"/>
                <w:color w:val="auto"/>
                <w:w w:val="94"/>
              </w:rPr>
              <w:t>Scenario 1: GS Warrant Outstanding &amp; Scenario 2: GS Warrant Exercised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left="49"/>
              <w:spacing w:after="0"/>
              <w:rPr>
                <w:sz w:val="20"/>
                <w:szCs w:val="20"/>
                <w:color w:val="auto"/>
              </w:rPr>
            </w:pPr>
            <w:r>
              <w:rPr>
                <w:rFonts w:ascii="Arial" w:cs="Arial" w:eastAsia="Arial" w:hAnsi="Arial"/>
                <w:sz w:val="14"/>
                <w:szCs w:val="14"/>
                <w:b w:val="1"/>
                <w:bCs w:val="1"/>
                <w:color w:val="auto"/>
                <w:w w:val="90"/>
              </w:rPr>
              <w:t>except share and per share data</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48"/>
              <w:spacing w:after="0" w:line="119" w:lineRule="exact"/>
              <w:rPr>
                <w:sz w:val="20"/>
                <w:szCs w:val="20"/>
                <w:color w:val="auto"/>
              </w:rPr>
            </w:pPr>
            <w:r>
              <w:rPr>
                <w:rFonts w:ascii="Arial" w:cs="Arial" w:eastAsia="Arial" w:hAnsi="Arial"/>
                <w:sz w:val="13"/>
                <w:szCs w:val="13"/>
                <w:b w:val="1"/>
                <w:bCs w:val="1"/>
                <w:color w:val="auto"/>
                <w:w w:val="99"/>
              </w:rPr>
              <w:t>Year ended</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restart"/>
          </w:tcPr>
          <w:p>
            <w:pPr>
              <w:jc w:val="center"/>
              <w:ind w:right="219"/>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408"/>
              <w:spacing w:after="0" w:line="141" w:lineRule="exact"/>
              <w:rPr>
                <w:sz w:val="20"/>
                <w:szCs w:val="20"/>
                <w:color w:val="auto"/>
              </w:rPr>
            </w:pPr>
            <w:r>
              <w:rPr>
                <w:rFonts w:ascii="Arial" w:cs="Arial" w:eastAsia="Arial" w:hAnsi="Arial"/>
                <w:sz w:val="14"/>
                <w:szCs w:val="14"/>
                <w:b w:val="1"/>
                <w:bCs w:val="1"/>
                <w:color w:val="auto"/>
                <w:w w:val="94"/>
              </w:rPr>
              <w:t>Pro Forma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8"/>
              <w:spacing w:after="0" w:line="141" w:lineRule="exact"/>
              <w:rPr>
                <w:sz w:val="20"/>
                <w:szCs w:val="20"/>
                <w:color w:val="auto"/>
              </w:rPr>
            </w:pPr>
            <w:r>
              <w:rPr>
                <w:rFonts w:ascii="Arial" w:cs="Arial" w:eastAsia="Arial" w:hAnsi="Arial"/>
                <w:sz w:val="14"/>
                <w:szCs w:val="14"/>
                <w:b w:val="1"/>
                <w:bCs w:val="1"/>
                <w:color w:val="auto"/>
                <w:w w:val="97"/>
              </w:rPr>
              <w:t>Pro Forma</w:t>
            </w:r>
          </w:p>
        </w:tc>
        <w:tc>
          <w:tcPr>
            <w:tcW w:w="1120" w:type="dxa"/>
            <w:vAlign w:val="bottom"/>
          </w:tcPr>
          <w:p>
            <w:pPr>
              <w:jc w:val="center"/>
              <w:ind w:left="29"/>
              <w:spacing w:after="0" w:line="141" w:lineRule="exact"/>
              <w:rPr>
                <w:sz w:val="20"/>
                <w:szCs w:val="20"/>
                <w:color w:val="auto"/>
              </w:rPr>
            </w:pPr>
            <w:r>
              <w:rPr>
                <w:rFonts w:ascii="Arial" w:cs="Arial" w:eastAsia="Arial" w:hAnsi="Arial"/>
                <w:sz w:val="14"/>
                <w:szCs w:val="14"/>
                <w:b w:val="1"/>
                <w:bCs w:val="1"/>
                <w:color w:val="auto"/>
                <w:w w:val="94"/>
              </w:rPr>
              <w:t>Additional Pro</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99"/>
              <w:spacing w:after="0" w:line="141" w:lineRule="exact"/>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300" w:type="dxa"/>
            <w:vAlign w:val="bottom"/>
            <w:gridSpan w:val="3"/>
          </w:tcPr>
          <w:p>
            <w:pPr>
              <w:jc w:val="center"/>
              <w:ind w:right="328"/>
              <w:spacing w:after="0" w:line="119" w:lineRule="exact"/>
              <w:rPr>
                <w:sz w:val="20"/>
                <w:szCs w:val="20"/>
                <w:color w:val="auto"/>
              </w:rPr>
            </w:pPr>
            <w:r>
              <w:rPr>
                <w:rFonts w:ascii="Arial" w:cs="Arial" w:eastAsia="Arial" w:hAnsi="Arial"/>
                <w:sz w:val="13"/>
                <w:szCs w:val="13"/>
                <w:b w:val="1"/>
                <w:bCs w:val="1"/>
                <w:color w:val="auto"/>
                <w:w w:val="99"/>
              </w:rPr>
              <w:t>Adjustments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28"/>
              <w:spacing w:after="0" w:line="119" w:lineRule="exact"/>
              <w:rPr>
                <w:sz w:val="20"/>
                <w:szCs w:val="20"/>
                <w:color w:val="auto"/>
              </w:rPr>
            </w:pPr>
            <w:r>
              <w:rPr>
                <w:rFonts w:ascii="Arial" w:cs="Arial" w:eastAsia="Arial" w:hAnsi="Arial"/>
                <w:sz w:val="13"/>
                <w:szCs w:val="13"/>
                <w:b w:val="1"/>
                <w:bCs w:val="1"/>
                <w:color w:val="auto"/>
              </w:rPr>
              <w:t>Combined</w:t>
            </w: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Forma Adjustments</w:t>
            </w:r>
          </w:p>
        </w:tc>
        <w:tc>
          <w:tcPr>
            <w:tcW w:w="100" w:type="dxa"/>
            <w:vAlign w:val="bottom"/>
          </w:tcPr>
          <w:p>
            <w:pPr>
              <w:spacing w:after="0"/>
              <w:rPr>
                <w:sz w:val="10"/>
                <w:szCs w:val="10"/>
                <w:color w:val="auto"/>
              </w:rPr>
            </w:pPr>
          </w:p>
        </w:tc>
        <w:tc>
          <w:tcPr>
            <w:tcW w:w="13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Pro Forma Combined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b w:val="1"/>
                <w:bCs w:val="1"/>
                <w:color w:val="auto"/>
                <w:w w:val="91"/>
              </w:rPr>
              <w:t>(Assuming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8"/>
              </w:rPr>
              <w:t>(Assuming</w:t>
            </w:r>
          </w:p>
        </w:tc>
        <w:tc>
          <w:tcPr>
            <w:tcW w:w="1120" w:type="dxa"/>
            <w:vAlign w:val="bottom"/>
          </w:tcPr>
          <w:p>
            <w:pPr>
              <w:jc w:val="center"/>
              <w:ind w:left="29"/>
              <w:spacing w:after="0"/>
              <w:rPr>
                <w:sz w:val="20"/>
                <w:szCs w:val="20"/>
                <w:color w:val="auto"/>
              </w:rPr>
            </w:pPr>
            <w:r>
              <w:rPr>
                <w:rFonts w:ascii="Arial" w:cs="Arial" w:eastAsia="Arial" w:hAnsi="Arial"/>
                <w:sz w:val="14"/>
                <w:szCs w:val="14"/>
                <w:b w:val="1"/>
                <w:bCs w:val="1"/>
                <w:color w:val="auto"/>
                <w:w w:val="91"/>
              </w:rPr>
              <w:t>(Assuming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32"/>
        </w:trPr>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139"/>
              <w:spacing w:after="0" w:line="132" w:lineRule="exact"/>
              <w:rPr>
                <w:sz w:val="20"/>
                <w:szCs w:val="20"/>
                <w:color w:val="auto"/>
              </w:rPr>
            </w:pPr>
            <w:r>
              <w:rPr>
                <w:rFonts w:ascii="Arial" w:cs="Arial" w:eastAsia="Arial" w:hAnsi="Arial"/>
                <w:sz w:val="14"/>
                <w:szCs w:val="14"/>
                <w:b w:val="1"/>
                <w:bCs w:val="1"/>
                <w:color w:val="auto"/>
                <w:w w:val="97"/>
              </w:rPr>
              <w:t>Priority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408"/>
              <w:spacing w:after="0" w:line="132" w:lineRule="exact"/>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8"/>
              <w:spacing w:after="0" w:line="132" w:lineRule="exact"/>
              <w:rPr>
                <w:sz w:val="20"/>
                <w:szCs w:val="20"/>
                <w:color w:val="auto"/>
              </w:rPr>
            </w:pPr>
            <w:r>
              <w:rPr>
                <w:rFonts w:ascii="Arial" w:cs="Arial" w:eastAsia="Arial" w:hAnsi="Arial"/>
                <w:sz w:val="14"/>
                <w:szCs w:val="14"/>
                <w:b w:val="1"/>
                <w:bCs w:val="1"/>
                <w:color w:val="auto"/>
                <w:w w:val="97"/>
              </w:rPr>
              <w:t>Minimum</w:t>
            </w:r>
          </w:p>
        </w:tc>
        <w:tc>
          <w:tcPr>
            <w:tcW w:w="1120" w:type="dxa"/>
            <w:vAlign w:val="bottom"/>
          </w:tcPr>
          <w:p>
            <w:pPr>
              <w:jc w:val="center"/>
              <w:ind w:left="49"/>
              <w:spacing w:after="0" w:line="132" w:lineRule="exact"/>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39"/>
              <w:spacing w:after="0" w:line="132"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w w:val="97"/>
              </w:rPr>
              <w:t>M I (Historical)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(Historical)</w:t>
            </w:r>
          </w:p>
        </w:tc>
        <w:tc>
          <w:tcPr>
            <w:tcW w:w="1300" w:type="dxa"/>
            <w:vAlign w:val="bottom"/>
            <w:gridSpan w:val="3"/>
          </w:tcPr>
          <w:p>
            <w:pPr>
              <w:jc w:val="center"/>
              <w:ind w:right="328"/>
              <w:spacing w:after="0"/>
              <w:rPr>
                <w:sz w:val="20"/>
                <w:szCs w:val="20"/>
                <w:color w:val="auto"/>
              </w:rPr>
            </w:pPr>
            <w:r>
              <w:rPr>
                <w:rFonts w:ascii="Arial" w:cs="Arial" w:eastAsia="Arial" w:hAnsi="Arial"/>
                <w:sz w:val="14"/>
                <w:szCs w:val="14"/>
                <w:b w:val="1"/>
                <w:bCs w:val="1"/>
                <w:color w:val="auto"/>
                <w:w w:val="92"/>
              </w:rPr>
              <w:t>Redemptions)</w:t>
            </w:r>
          </w:p>
        </w:tc>
        <w:tc>
          <w:tcPr>
            <w:tcW w:w="140" w:type="dxa"/>
            <w:vAlign w:val="bottom"/>
          </w:tcPr>
          <w:p>
            <w:pPr>
              <w:spacing w:after="0"/>
              <w:rPr>
                <w:sz w:val="14"/>
                <w:szCs w:val="14"/>
                <w:color w:val="auto"/>
              </w:rPr>
            </w:pPr>
          </w:p>
        </w:tc>
        <w:tc>
          <w:tcPr>
            <w:tcW w:w="11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89"/>
              </w:rPr>
              <w:t>Redemptions)</w:t>
            </w:r>
          </w:p>
        </w:tc>
        <w:tc>
          <w:tcPr>
            <w:tcW w:w="1120" w:type="dxa"/>
            <w:vAlign w:val="bottom"/>
          </w:tcPr>
          <w:p>
            <w:pPr>
              <w:jc w:val="center"/>
              <w:ind w:left="29"/>
              <w:spacing w:after="0"/>
              <w:rPr>
                <w:sz w:val="20"/>
                <w:szCs w:val="20"/>
                <w:color w:val="auto"/>
              </w:rPr>
            </w:pPr>
            <w:r>
              <w:rPr>
                <w:rFonts w:ascii="Arial" w:cs="Arial" w:eastAsia="Arial" w:hAnsi="Arial"/>
                <w:sz w:val="14"/>
                <w:szCs w:val="14"/>
                <w:b w:val="1"/>
                <w:bCs w:val="1"/>
                <w:color w:val="auto"/>
                <w:w w:val="92"/>
              </w:rPr>
              <w:t>Redemptions)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1"/>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Revenues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160"/>
              <w:spacing w:after="0" w:line="148" w:lineRule="exact"/>
              <w:rPr>
                <w:sz w:val="20"/>
                <w:szCs w:val="20"/>
                <w:color w:val="auto"/>
              </w:rPr>
            </w:pPr>
            <w:r>
              <w:rPr>
                <w:rFonts w:ascii="Arial" w:cs="Arial" w:eastAsia="Arial" w:hAnsi="Arial"/>
                <w:sz w:val="14"/>
                <w:szCs w:val="14"/>
                <w:color w:val="auto"/>
              </w:rPr>
              <w:t>Merchant card fees revenue</w:t>
            </w:r>
          </w:p>
        </w:tc>
        <w:tc>
          <w:tcPr>
            <w:tcW w:w="2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398,988</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398,988</w:t>
            </w:r>
          </w:p>
        </w:tc>
        <w:tc>
          <w:tcPr>
            <w:tcW w:w="112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line="148"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398,988</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Outsourced services revenue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23,308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23,308</w:t>
            </w: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23,308</w:t>
            </w:r>
          </w:p>
        </w:tc>
        <w:tc>
          <w:tcPr>
            <w:tcW w:w="0" w:type="dxa"/>
            <w:vAlign w:val="bottom"/>
          </w:tcPr>
          <w:p>
            <w:pPr>
              <w:spacing w:after="0"/>
              <w:rPr>
                <w:sz w:val="1"/>
                <w:szCs w:val="1"/>
                <w:color w:val="auto"/>
              </w:rPr>
            </w:pPr>
          </w:p>
        </w:tc>
      </w:tr>
      <w:tr>
        <w:trPr>
          <w:trHeight w:val="161"/>
        </w:trPr>
        <w:tc>
          <w:tcPr>
            <w:tcW w:w="3580" w:type="dxa"/>
            <w:vAlign w:val="bottom"/>
          </w:tcPr>
          <w:p>
            <w:pPr>
              <w:ind w:left="16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3,323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3,323</w:t>
            </w:r>
          </w:p>
        </w:tc>
        <w:tc>
          <w:tcPr>
            <w:tcW w:w="112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4"/>
                <w:szCs w:val="14"/>
                <w:color w:val="auto"/>
              </w:rPr>
              <w:t>3,323</w:t>
            </w:r>
          </w:p>
        </w:tc>
        <w:tc>
          <w:tcPr>
            <w:tcW w:w="0" w:type="dxa"/>
            <w:vAlign w:val="bottom"/>
          </w:tcPr>
          <w:p>
            <w:pPr>
              <w:spacing w:after="0"/>
              <w:rPr>
                <w:sz w:val="1"/>
                <w:szCs w:val="1"/>
                <w:color w:val="auto"/>
              </w:rPr>
            </w:pPr>
          </w:p>
        </w:tc>
      </w:tr>
      <w:tr>
        <w:trPr>
          <w:trHeight w:val="141"/>
        </w:trPr>
        <w:tc>
          <w:tcPr>
            <w:tcW w:w="358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revenue, net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425,619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425,619</w:t>
            </w: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425,619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80" w:type="dxa"/>
            <w:vAlign w:val="bottom"/>
          </w:tcPr>
          <w:p>
            <w:pPr>
              <w:spacing w:after="0" w:line="141" w:lineRule="exact"/>
              <w:rPr>
                <w:sz w:val="20"/>
                <w:szCs w:val="20"/>
                <w:color w:val="auto"/>
              </w:rPr>
            </w:pPr>
            <w:r>
              <w:rPr>
                <w:rFonts w:ascii="Arial" w:cs="Arial" w:eastAsia="Arial" w:hAnsi="Arial"/>
                <w:sz w:val="14"/>
                <w:szCs w:val="14"/>
                <w:b w:val="1"/>
                <w:bCs w:val="1"/>
                <w:color w:val="auto"/>
              </w:rPr>
              <w:t>Operating expenses (income)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Cost of merchant card fees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305,461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305,461</w:t>
            </w: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305,461</w:t>
            </w:r>
          </w:p>
        </w:tc>
        <w:tc>
          <w:tcPr>
            <w:tcW w:w="0" w:type="dxa"/>
            <w:vAlign w:val="bottom"/>
          </w:tcPr>
          <w:p>
            <w:pPr>
              <w:spacing w:after="0"/>
              <w:rPr>
                <w:sz w:val="1"/>
                <w:szCs w:val="1"/>
                <w:color w:val="auto"/>
              </w:rPr>
            </w:pPr>
          </w:p>
        </w:tc>
      </w:tr>
      <w:tr>
        <w:trPr>
          <w:trHeight w:val="148"/>
        </w:trPr>
        <w:tc>
          <w:tcPr>
            <w:tcW w:w="3580" w:type="dxa"/>
            <w:vAlign w:val="bottom"/>
          </w:tcPr>
          <w:p>
            <w:pPr>
              <w:ind w:left="160"/>
              <w:spacing w:after="0" w:line="148" w:lineRule="exact"/>
              <w:rPr>
                <w:sz w:val="20"/>
                <w:szCs w:val="20"/>
                <w:color w:val="auto"/>
              </w:rPr>
            </w:pPr>
            <w:r>
              <w:rPr>
                <w:rFonts w:ascii="Arial" w:cs="Arial" w:eastAsia="Arial" w:hAnsi="Arial"/>
                <w:sz w:val="14"/>
                <w:szCs w:val="14"/>
                <w:color w:val="auto"/>
              </w:rPr>
              <w:t>Other costs of services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15,743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15,743</w:t>
            </w:r>
          </w:p>
        </w:tc>
        <w:tc>
          <w:tcPr>
            <w:tcW w:w="1120" w:type="dxa"/>
            <w:vAlign w:val="bottom"/>
          </w:tcPr>
          <w:p>
            <w:pPr>
              <w:spacing w:after="0"/>
              <w:rPr>
                <w:sz w:val="12"/>
                <w:szCs w:val="12"/>
                <w:color w:val="auto"/>
              </w:rPr>
            </w:pPr>
          </w:p>
        </w:tc>
        <w:tc>
          <w:tcPr>
            <w:tcW w:w="22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15,743</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Salary and employee benefits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32,357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32,357</w:t>
            </w: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32,357</w:t>
            </w:r>
          </w:p>
        </w:tc>
        <w:tc>
          <w:tcPr>
            <w:tcW w:w="0" w:type="dxa"/>
            <w:vAlign w:val="bottom"/>
          </w:tcPr>
          <w:p>
            <w:pPr>
              <w:spacing w:after="0"/>
              <w:rPr>
                <w:sz w:val="1"/>
                <w:szCs w:val="1"/>
                <w:color w:val="auto"/>
              </w:rPr>
            </w:pPr>
          </w:p>
        </w:tc>
      </w:tr>
      <w:tr>
        <w:trPr>
          <w:trHeight w:val="148"/>
        </w:trPr>
        <w:tc>
          <w:tcPr>
            <w:tcW w:w="3580" w:type="dxa"/>
            <w:vAlign w:val="bottom"/>
          </w:tcPr>
          <w:p>
            <w:pPr>
              <w:ind w:left="160"/>
              <w:spacing w:after="0" w:line="148"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14,674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14,674</w:t>
            </w:r>
          </w:p>
        </w:tc>
        <w:tc>
          <w:tcPr>
            <w:tcW w:w="1120" w:type="dxa"/>
            <w:vAlign w:val="bottom"/>
          </w:tcPr>
          <w:p>
            <w:pPr>
              <w:spacing w:after="0"/>
              <w:rPr>
                <w:sz w:val="12"/>
                <w:szCs w:val="12"/>
                <w:color w:val="auto"/>
              </w:rPr>
            </w:pPr>
          </w:p>
        </w:tc>
        <w:tc>
          <w:tcPr>
            <w:tcW w:w="22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14,674</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Selling, general and administrative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9,088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9,088</w:t>
            </w: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9,088</w:t>
            </w:r>
          </w:p>
        </w:tc>
        <w:tc>
          <w:tcPr>
            <w:tcW w:w="0" w:type="dxa"/>
            <w:vAlign w:val="bottom"/>
          </w:tcPr>
          <w:p>
            <w:pPr>
              <w:spacing w:after="0"/>
              <w:rPr>
                <w:sz w:val="1"/>
                <w:szCs w:val="1"/>
                <w:color w:val="auto"/>
              </w:rPr>
            </w:pPr>
          </w:p>
        </w:tc>
      </w:tr>
      <w:tr>
        <w:trPr>
          <w:trHeight w:val="148"/>
        </w:trPr>
        <w:tc>
          <w:tcPr>
            <w:tcW w:w="3580" w:type="dxa"/>
            <w:vAlign w:val="bottom"/>
          </w:tcPr>
          <w:p>
            <w:pPr>
              <w:ind w:left="160"/>
              <w:spacing w:after="0" w:line="148" w:lineRule="exact"/>
              <w:rPr>
                <w:sz w:val="20"/>
                <w:szCs w:val="20"/>
                <w:color w:val="auto"/>
              </w:rPr>
            </w:pPr>
            <w:r>
              <w:rPr>
                <w:rFonts w:ascii="Arial" w:cs="Arial" w:eastAsia="Arial" w:hAnsi="Arial"/>
                <w:sz w:val="14"/>
                <w:szCs w:val="14"/>
                <w:color w:val="auto"/>
              </w:rPr>
              <w:t>Administration fee - related party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99"/>
              <w:spacing w:after="0" w:line="148" w:lineRule="exact"/>
              <w:rPr>
                <w:sz w:val="20"/>
                <w:szCs w:val="20"/>
                <w:color w:val="auto"/>
              </w:rPr>
            </w:pPr>
            <w:r>
              <w:rPr>
                <w:rFonts w:ascii="Arial" w:cs="Arial" w:eastAsia="Arial" w:hAnsi="Arial"/>
                <w:sz w:val="14"/>
                <w:szCs w:val="14"/>
                <w:color w:val="auto"/>
              </w:rPr>
              <w:t>120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120</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Operating costs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832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832</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48"/>
        </w:trPr>
        <w:tc>
          <w:tcPr>
            <w:tcW w:w="3580" w:type="dxa"/>
            <w:vAlign w:val="bottom"/>
          </w:tcPr>
          <w:p>
            <w:pPr>
              <w:ind w:left="160"/>
              <w:spacing w:after="0" w:line="148" w:lineRule="exact"/>
              <w:rPr>
                <w:sz w:val="20"/>
                <w:szCs w:val="20"/>
                <w:color w:val="auto"/>
              </w:rPr>
            </w:pPr>
            <w:r>
              <w:rPr>
                <w:rFonts w:ascii="Arial" w:cs="Arial" w:eastAsia="Arial" w:hAnsi="Arial"/>
                <w:sz w:val="14"/>
                <w:szCs w:val="14"/>
                <w:color w:val="auto"/>
              </w:rPr>
              <w:t>Change in fair value of contingent consideration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8" w:lineRule="exact"/>
              <w:rPr>
                <w:sz w:val="20"/>
                <w:szCs w:val="20"/>
                <w:color w:val="auto"/>
              </w:rPr>
            </w:pPr>
            <w:r>
              <w:rPr>
                <w:rFonts w:ascii="Arial" w:cs="Arial" w:eastAsia="Arial" w:hAnsi="Arial"/>
                <w:sz w:val="14"/>
                <w:szCs w:val="14"/>
                <w:color w:val="auto"/>
              </w:rPr>
              <w:t>(410)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88"/>
              <w:spacing w:after="0" w:line="148" w:lineRule="exact"/>
              <w:rPr>
                <w:sz w:val="20"/>
                <w:szCs w:val="20"/>
                <w:color w:val="auto"/>
              </w:rPr>
            </w:pPr>
            <w:r>
              <w:rPr>
                <w:rFonts w:ascii="Arial" w:cs="Arial" w:eastAsia="Arial" w:hAnsi="Arial"/>
                <w:sz w:val="14"/>
                <w:szCs w:val="14"/>
                <w:color w:val="auto"/>
              </w:rPr>
              <w:t>(410)</w:t>
            </w:r>
          </w:p>
        </w:tc>
        <w:tc>
          <w:tcPr>
            <w:tcW w:w="1120" w:type="dxa"/>
            <w:vAlign w:val="bottom"/>
          </w:tcPr>
          <w:p>
            <w:pPr>
              <w:spacing w:after="0"/>
              <w:rPr>
                <w:sz w:val="12"/>
                <w:szCs w:val="12"/>
                <w:color w:val="auto"/>
              </w:rPr>
            </w:pPr>
          </w:p>
        </w:tc>
        <w:tc>
          <w:tcPr>
            <w:tcW w:w="22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9"/>
              <w:spacing w:after="0" w:line="148"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61"/>
        </w:trPr>
        <w:tc>
          <w:tcPr>
            <w:tcW w:w="3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operating expenses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13,457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13,457</w:t>
            </w:r>
          </w:p>
        </w:tc>
        <w:tc>
          <w:tcPr>
            <w:tcW w:w="1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13,457</w:t>
            </w:r>
          </w:p>
        </w:tc>
        <w:tc>
          <w:tcPr>
            <w:tcW w:w="0" w:type="dxa"/>
            <w:vAlign w:val="bottom"/>
          </w:tcPr>
          <w:p>
            <w:pPr>
              <w:spacing w:after="0"/>
              <w:rPr>
                <w:sz w:val="1"/>
                <w:szCs w:val="1"/>
                <w:color w:val="auto"/>
              </w:rPr>
            </w:pPr>
          </w:p>
        </w:tc>
      </w:tr>
      <w:tr>
        <w:trPr>
          <w:trHeight w:val="141"/>
        </w:trPr>
        <w:tc>
          <w:tcPr>
            <w:tcW w:w="3580" w:type="dxa"/>
            <w:vAlign w:val="bottom"/>
            <w:tcBorders>
              <w:bottom w:val="single" w:sz="8" w:color="CCEEFF"/>
            </w:tcBorders>
          </w:tcPr>
          <w:p>
            <w:pPr>
              <w:ind w:left="340"/>
              <w:spacing w:after="0" w:line="141" w:lineRule="exact"/>
              <w:rPr>
                <w:sz w:val="20"/>
                <w:szCs w:val="20"/>
                <w:color w:val="auto"/>
              </w:rPr>
            </w:pPr>
            <w:r>
              <w:rPr>
                <w:rFonts w:ascii="Arial" w:cs="Arial" w:eastAsia="Arial" w:hAnsi="Arial"/>
                <w:sz w:val="14"/>
                <w:szCs w:val="14"/>
                <w:b w:val="1"/>
                <w:bCs w:val="1"/>
                <w:color w:val="auto"/>
              </w:rPr>
              <w:t>Total operating expenses (income)</w:t>
            </w: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952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390,370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391,322</w:t>
            </w:r>
          </w:p>
        </w:tc>
        <w:tc>
          <w:tcPr>
            <w:tcW w:w="2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391,322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(Loss) income from operations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(952</w:t>
            </w:r>
          </w:p>
        </w:tc>
        <w:tc>
          <w:tcPr>
            <w:tcW w:w="140" w:type="dxa"/>
            <w:vAlign w:val="bottom"/>
            <w:shd w:val="clear" w:color="auto" w:fill="CCEEFF"/>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35,249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34,297</w:t>
            </w:r>
          </w:p>
        </w:tc>
        <w:tc>
          <w:tcPr>
            <w:tcW w:w="22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34,297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80" w:type="dxa"/>
            <w:vAlign w:val="bottom"/>
          </w:tcPr>
          <w:p>
            <w:pPr>
              <w:spacing w:after="0" w:line="141" w:lineRule="exact"/>
              <w:rPr>
                <w:sz w:val="20"/>
                <w:szCs w:val="20"/>
                <w:color w:val="auto"/>
              </w:rPr>
            </w:pPr>
            <w:r>
              <w:rPr>
                <w:rFonts w:ascii="Arial" w:cs="Arial" w:eastAsia="Arial" w:hAnsi="Arial"/>
                <w:sz w:val="14"/>
                <w:szCs w:val="14"/>
                <w:b w:val="1"/>
                <w:bCs w:val="1"/>
                <w:color w:val="auto"/>
              </w:rPr>
              <w:t>Other (expense) 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Interest and other income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560"/>
              <w:spacing w:after="0" w:line="148" w:lineRule="exact"/>
              <w:rPr>
                <w:sz w:val="20"/>
                <w:szCs w:val="20"/>
                <w:color w:val="auto"/>
              </w:rPr>
            </w:pPr>
            <w:r>
              <w:rPr>
                <w:rFonts w:ascii="Arial" w:cs="Arial" w:eastAsia="Arial" w:hAnsi="Arial"/>
                <w:sz w:val="14"/>
                <w:szCs w:val="14"/>
                <w:color w:val="auto"/>
                <w:w w:val="96"/>
              </w:rPr>
              <w:t xml:space="preserve">(399) </w:t>
            </w:r>
            <w:r>
              <w:rPr>
                <w:rFonts w:ascii="Arial" w:cs="Arial" w:eastAsia="Arial" w:hAnsi="Arial"/>
                <w:sz w:val="14"/>
                <w:szCs w:val="14"/>
                <w:b w:val="1"/>
                <w:bCs w:val="1"/>
                <w:color w:val="auto"/>
                <w:w w:val="96"/>
              </w:rPr>
              <w:t>(AA)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637</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8"/>
        </w:trPr>
        <w:tc>
          <w:tcPr>
            <w:tcW w:w="3580" w:type="dxa"/>
            <w:vAlign w:val="bottom"/>
          </w:tcPr>
          <w:p>
            <w:pPr>
              <w:ind w:left="160"/>
              <w:spacing w:after="0" w:line="148" w:lineRule="exact"/>
              <w:rPr>
                <w:sz w:val="20"/>
                <w:szCs w:val="20"/>
                <w:color w:val="auto"/>
              </w:rPr>
            </w:pPr>
            <w:r>
              <w:rPr>
                <w:rFonts w:ascii="Arial" w:cs="Arial" w:eastAsia="Arial" w:hAnsi="Arial"/>
                <w:sz w:val="14"/>
                <w:szCs w:val="14"/>
                <w:color w:val="auto"/>
              </w:rPr>
              <w:t>Interest and other expense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8" w:lineRule="exact"/>
              <w:rPr>
                <w:sz w:val="20"/>
                <w:szCs w:val="20"/>
                <w:color w:val="auto"/>
              </w:rPr>
            </w:pPr>
            <w:r>
              <w:rPr>
                <w:rFonts w:ascii="Arial" w:cs="Arial" w:eastAsia="Arial" w:hAnsi="Arial"/>
                <w:sz w:val="14"/>
                <w:szCs w:val="14"/>
                <w:color w:val="auto"/>
              </w:rPr>
              <w:t>(31,159)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88"/>
              <w:spacing w:after="0" w:line="148" w:lineRule="exact"/>
              <w:rPr>
                <w:sz w:val="20"/>
                <w:szCs w:val="20"/>
                <w:color w:val="auto"/>
              </w:rPr>
            </w:pPr>
            <w:r>
              <w:rPr>
                <w:rFonts w:ascii="Arial" w:cs="Arial" w:eastAsia="Arial" w:hAnsi="Arial"/>
                <w:sz w:val="14"/>
                <w:szCs w:val="14"/>
                <w:color w:val="auto"/>
              </w:rPr>
              <w:t>(31,159)</w:t>
            </w:r>
          </w:p>
        </w:tc>
        <w:tc>
          <w:tcPr>
            <w:tcW w:w="1120" w:type="dxa"/>
            <w:vAlign w:val="bottom"/>
          </w:tcPr>
          <w:p>
            <w:pPr>
              <w:spacing w:after="0"/>
              <w:rPr>
                <w:sz w:val="12"/>
                <w:szCs w:val="12"/>
                <w:color w:val="auto"/>
              </w:rPr>
            </w:pPr>
          </w:p>
        </w:tc>
        <w:tc>
          <w:tcPr>
            <w:tcW w:w="22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9"/>
              <w:spacing w:after="0" w:line="148" w:lineRule="exact"/>
              <w:rPr>
                <w:sz w:val="20"/>
                <w:szCs w:val="20"/>
                <w:color w:val="auto"/>
              </w:rPr>
            </w:pPr>
            <w:r>
              <w:rPr>
                <w:rFonts w:ascii="Arial" w:cs="Arial" w:eastAsia="Arial" w:hAnsi="Arial"/>
                <w:sz w:val="14"/>
                <w:szCs w:val="14"/>
                <w:color w:val="auto"/>
              </w:rPr>
              <w:t>(31,159)</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Equity in loss of unconsolidated entities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8" w:lineRule="exact"/>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8"/>
              <w:spacing w:after="0" w:line="148" w:lineRule="exact"/>
              <w:rPr>
                <w:sz w:val="20"/>
                <w:szCs w:val="20"/>
                <w:color w:val="auto"/>
              </w:rPr>
            </w:pPr>
            <w:r>
              <w:rPr>
                <w:rFonts w:ascii="Arial" w:cs="Arial" w:eastAsia="Arial" w:hAnsi="Arial"/>
                <w:sz w:val="14"/>
                <w:szCs w:val="14"/>
                <w:color w:val="auto"/>
              </w:rPr>
              <w:t>(133)</w:t>
            </w: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9"/>
              <w:spacing w:after="0" w:line="148"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1"/>
        </w:trPr>
        <w:tc>
          <w:tcPr>
            <w:tcW w:w="3580" w:type="dxa"/>
            <w:vAlign w:val="bottom"/>
          </w:tcPr>
          <w:p>
            <w:pPr>
              <w:ind w:left="160"/>
              <w:spacing w:after="0"/>
              <w:rPr>
                <w:sz w:val="20"/>
                <w:szCs w:val="20"/>
                <w:color w:val="auto"/>
              </w:rPr>
            </w:pPr>
            <w:r>
              <w:rPr>
                <w:rFonts w:ascii="Arial" w:cs="Arial" w:eastAsia="Arial" w:hAnsi="Arial"/>
                <w:sz w:val="14"/>
                <w:szCs w:val="14"/>
                <w:color w:val="auto"/>
              </w:rPr>
              <w:t>Settlement 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428</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41"/>
        </w:trPr>
        <w:tc>
          <w:tcPr>
            <w:tcW w:w="358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other (expense) income</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827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(30,655</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(399</w:t>
            </w:r>
          </w:p>
        </w:tc>
        <w:tc>
          <w:tcPr>
            <w:tcW w:w="4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(30,227</w:t>
            </w:r>
          </w:p>
        </w:tc>
        <w:tc>
          <w:tcPr>
            <w:tcW w:w="220" w:type="dxa"/>
            <w:vAlign w:val="bottom"/>
            <w:tcBorders>
              <w:top w:val="single" w:sz="8" w:color="CCEEFF"/>
            </w:tcBorders>
            <w:shd w:val="clear" w:color="auto" w:fill="CCEEFF"/>
          </w:tcPr>
          <w:p>
            <w:pPr>
              <w:jc w:val="right"/>
              <w:ind w:right="88"/>
              <w:spacing w:after="0" w:line="141" w:lineRule="exact"/>
              <w:rPr>
                <w:sz w:val="20"/>
                <w:szCs w:val="20"/>
                <w:color w:val="auto"/>
              </w:rPr>
            </w:pPr>
            <w:r>
              <w:rPr>
                <w:rFonts w:ascii="Arial" w:cs="Arial" w:eastAsia="Arial" w:hAnsi="Arial"/>
                <w:sz w:val="14"/>
                <w:szCs w:val="14"/>
                <w:b w:val="1"/>
                <w:bCs w:val="1"/>
                <w:color w:val="auto"/>
                <w:w w:val="84"/>
              </w:rPr>
              <w:t>)</w:t>
            </w:r>
          </w:p>
        </w:tc>
        <w:tc>
          <w:tcPr>
            <w:tcW w:w="11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(30,227</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41"/>
        </w:trPr>
        <w:tc>
          <w:tcPr>
            <w:tcW w:w="35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(Loss) income before taxes</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(125</w:t>
            </w:r>
          </w:p>
        </w:tc>
        <w:tc>
          <w:tcPr>
            <w:tcW w:w="140" w:type="dxa"/>
            <w:vAlign w:val="bottom"/>
            <w:tcBorders>
              <w:bottom w:val="single" w:sz="8" w:color="CCEEFF"/>
            </w:tcBorders>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4,594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(399</w:t>
            </w:r>
          </w:p>
        </w:tc>
        <w:tc>
          <w:tcPr>
            <w:tcW w:w="40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4,070</w:t>
            </w: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4,070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8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rPr>
              <w:t>Income tax (expense) benefit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(1,530</w:t>
            </w:r>
          </w:p>
        </w:tc>
        <w:tc>
          <w:tcPr>
            <w:tcW w:w="4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99"/>
              </w:rPr>
              <w:t xml:space="preserve">) </w:t>
            </w:r>
            <w:r>
              <w:rPr>
                <w:rFonts w:ascii="Arial" w:cs="Arial" w:eastAsia="Arial" w:hAnsi="Arial"/>
                <w:sz w:val="14"/>
                <w:szCs w:val="14"/>
                <w:b w:val="1"/>
                <w:bCs w:val="1"/>
                <w:color w:val="auto"/>
                <w:w w:val="99"/>
              </w:rPr>
              <w:t>(BB)</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(1,530</w:t>
            </w:r>
          </w:p>
        </w:tc>
        <w:tc>
          <w:tcPr>
            <w:tcW w:w="220" w:type="dxa"/>
            <w:vAlign w:val="bottom"/>
            <w:shd w:val="clear" w:color="auto" w:fill="CCEEFF"/>
          </w:tcPr>
          <w:p>
            <w:pPr>
              <w:jc w:val="right"/>
              <w:ind w:right="88"/>
              <w:spacing w:after="0" w:line="141" w:lineRule="exact"/>
              <w:rPr>
                <w:sz w:val="20"/>
                <w:szCs w:val="20"/>
                <w:color w:val="auto"/>
              </w:rPr>
            </w:pPr>
            <w:r>
              <w:rPr>
                <w:rFonts w:ascii="Arial" w:cs="Arial" w:eastAsia="Arial" w:hAnsi="Arial"/>
                <w:sz w:val="14"/>
                <w:szCs w:val="14"/>
                <w:color w:val="auto"/>
                <w:w w:val="84"/>
              </w:rPr>
              <w:t>)</w:t>
            </w: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(1,530</w:t>
            </w:r>
          </w:p>
        </w:tc>
        <w:tc>
          <w:tcPr>
            <w:tcW w:w="10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5"/>
        </w:trPr>
        <w:tc>
          <w:tcPr>
            <w:tcW w:w="358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b w:val="1"/>
                <w:bCs w:val="1"/>
                <w:color w:val="auto"/>
              </w:rPr>
              <w:t>Net (loss) income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(125</w:t>
            </w:r>
          </w:p>
        </w:tc>
        <w:tc>
          <w:tcPr>
            <w:tcW w:w="140" w:type="dxa"/>
            <w:vAlign w:val="bottom"/>
            <w:tcBorders>
              <w:bottom w:val="single" w:sz="8" w:color="CCEEFF"/>
            </w:tcBorders>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4,594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(1,929</w:t>
            </w:r>
          </w:p>
        </w:tc>
        <w:tc>
          <w:tcPr>
            <w:tcW w:w="4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2,540</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2,540</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Scenario 1: GS Warrant Outstanding</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8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rPr>
              <w:t>Net (loss) income per shares of common stock – basic</w:t>
            </w:r>
          </w:p>
        </w:tc>
        <w:tc>
          <w:tcPr>
            <w:tcW w:w="2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9"/>
              <w:spacing w:after="0" w:line="141" w:lineRule="exact"/>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8"/>
              <w:spacing w:after="0" w:line="141" w:lineRule="exact"/>
              <w:rPr>
                <w:sz w:val="20"/>
                <w:szCs w:val="20"/>
                <w:color w:val="auto"/>
              </w:rPr>
            </w:pPr>
            <w:r>
              <w:rPr>
                <w:rFonts w:ascii="Arial" w:cs="Arial" w:eastAsia="Arial" w:hAnsi="Arial"/>
                <w:sz w:val="14"/>
                <w:szCs w:val="14"/>
                <w:color w:val="auto"/>
              </w:rPr>
              <w:t>0.04</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59"/>
              <w:spacing w:after="0" w:line="141"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29"/>
        </w:trPr>
        <w:tc>
          <w:tcPr>
            <w:tcW w:w="3580" w:type="dxa"/>
            <w:vAlign w:val="bottom"/>
          </w:tcPr>
          <w:p>
            <w:pPr>
              <w:ind w:left="160"/>
              <w:spacing w:after="0" w:line="129" w:lineRule="exact"/>
              <w:rPr>
                <w:sz w:val="20"/>
                <w:szCs w:val="20"/>
                <w:color w:val="auto"/>
              </w:rPr>
            </w:pPr>
            <w:r>
              <w:rPr>
                <w:rFonts w:ascii="Arial" w:cs="Arial" w:eastAsia="Arial" w:hAnsi="Arial"/>
                <w:sz w:val="14"/>
                <w:szCs w:val="14"/>
                <w:color w:val="auto"/>
                <w:w w:val="95"/>
              </w:rPr>
              <w:t>Weighted average shares of common stock outstanding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6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2,330,884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65,514,157</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4"/>
                <w:szCs w:val="14"/>
                <w:color w:val="auto"/>
              </w:rPr>
              <w:t>62,132,126</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w w:val="98"/>
              </w:rPr>
              <w:t>Net (loss) income per shares of common stock – diluted</w:t>
            </w:r>
          </w:p>
        </w:tc>
        <w:tc>
          <w:tcPr>
            <w:tcW w:w="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0.04</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29"/>
        </w:trPr>
        <w:tc>
          <w:tcPr>
            <w:tcW w:w="3580" w:type="dxa"/>
            <w:vAlign w:val="bottom"/>
          </w:tcPr>
          <w:p>
            <w:pPr>
              <w:ind w:left="160"/>
              <w:spacing w:after="0" w:line="129" w:lineRule="exact"/>
              <w:rPr>
                <w:sz w:val="20"/>
                <w:szCs w:val="20"/>
                <w:color w:val="auto"/>
              </w:rPr>
            </w:pPr>
            <w:r>
              <w:rPr>
                <w:rFonts w:ascii="Arial" w:cs="Arial" w:eastAsia="Arial" w:hAnsi="Arial"/>
                <w:sz w:val="14"/>
                <w:szCs w:val="14"/>
                <w:color w:val="auto"/>
                <w:w w:val="95"/>
              </w:rPr>
              <w:t>Weighted average shares of common stock outstanding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6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2,330,884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66,747,225</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4"/>
                <w:szCs w:val="14"/>
                <w:color w:val="auto"/>
              </w:rPr>
              <w:t>63,365,194</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Scenario 2: GS Warrant Exercised</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580" w:type="dxa"/>
            <w:vAlign w:val="bottom"/>
            <w:shd w:val="clear" w:color="auto" w:fill="CCEEFF"/>
          </w:tcPr>
          <w:p>
            <w:pPr>
              <w:ind w:left="160"/>
              <w:spacing w:after="0" w:line="123" w:lineRule="exact"/>
              <w:rPr>
                <w:sz w:val="20"/>
                <w:szCs w:val="20"/>
                <w:color w:val="auto"/>
              </w:rPr>
            </w:pPr>
            <w:r>
              <w:rPr>
                <w:rFonts w:ascii="Arial" w:cs="Arial" w:eastAsia="Arial" w:hAnsi="Arial"/>
                <w:sz w:val="14"/>
                <w:szCs w:val="14"/>
                <w:color w:val="auto"/>
                <w:w w:val="93"/>
              </w:rPr>
              <w:t>Net (loss) income per shares of common stock – basic and</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0.04</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29"/>
        </w:trPr>
        <w:tc>
          <w:tcPr>
            <w:tcW w:w="3580" w:type="dxa"/>
            <w:vAlign w:val="bottom"/>
          </w:tcPr>
          <w:p>
            <w:pPr>
              <w:ind w:left="160"/>
              <w:spacing w:after="0" w:line="129" w:lineRule="exact"/>
              <w:rPr>
                <w:sz w:val="20"/>
                <w:szCs w:val="20"/>
                <w:color w:val="auto"/>
              </w:rPr>
            </w:pPr>
            <w:r>
              <w:rPr>
                <w:rFonts w:ascii="Arial" w:cs="Arial" w:eastAsia="Arial" w:hAnsi="Arial"/>
                <w:sz w:val="14"/>
                <w:szCs w:val="14"/>
                <w:color w:val="auto"/>
                <w:w w:val="95"/>
              </w:rPr>
              <w:t>Weighted average shares of common stock outstanding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580" w:type="dxa"/>
            <w:vAlign w:val="bottom"/>
          </w:tcPr>
          <w:p>
            <w:pPr>
              <w:ind w:left="160"/>
              <w:spacing w:after="0"/>
              <w:rPr>
                <w:sz w:val="20"/>
                <w:szCs w:val="20"/>
                <w:color w:val="auto"/>
              </w:rPr>
            </w:pPr>
            <w:r>
              <w:rPr>
                <w:rFonts w:ascii="Arial" w:cs="Arial" w:eastAsia="Arial" w:hAnsi="Arial"/>
                <w:sz w:val="14"/>
                <w:szCs w:val="14"/>
                <w:color w:val="auto"/>
              </w:rPr>
              <w:t>basic and diluted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2,330,884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66,747,225</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4"/>
                <w:szCs w:val="14"/>
                <w:color w:val="auto"/>
              </w:rPr>
              <w:t>63,365,194</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3"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7"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The Business Combination will be accounted for as a reverse merger, with no goodwill or other intangible assets recorded, in accordance with GAAP. Under this method of accounting, M I Acquisitions will be treated as the “acquired” company for financial reporting purposes. This determination was primarily based on Priority comprising the ongoing operations of the combined company, Priority’s senior management comprising the senior management of the combined company, and Priority’s stockholders having a majority of the voting power of the combined company. Accordingly, for accounting purposes, the Business Combination will be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193" w:lineRule="exact"/>
        <w:rPr>
          <w:sz w:val="20"/>
          <w:szCs w:val="20"/>
          <w:color w:val="auto"/>
        </w:rPr>
      </w:pPr>
    </w:p>
    <w:p>
      <w:pPr>
        <w:jc w:val="both"/>
        <w:ind w:firstLine="323"/>
        <w:spacing w:after="0" w:line="278" w:lineRule="auto"/>
        <w:rPr>
          <w:sz w:val="20"/>
          <w:szCs w:val="20"/>
          <w:color w:val="auto"/>
        </w:rPr>
      </w:pPr>
      <w:r>
        <w:rPr>
          <w:rFonts w:ascii="Arial" w:cs="Arial" w:eastAsia="Arial" w:hAnsi="Arial"/>
          <w:sz w:val="17"/>
          <w:szCs w:val="17"/>
          <w:color w:val="auto"/>
        </w:rPr>
        <w:t>The unaudited pro forma condensed combined balance sheet as of March 31, 2018 assumes that the Business Combination and the related proposed equity commitments occurred on March 31, 2018. The unaudited pro forma condensed combined statements of operations for the three months ended March 31, 2018 and the year ended December 31, 2017 present pro forma effect to the Business Combination and the related proposed equity commitments as if they had been completed on January 1, 2017. These periods are presented on the basis of Priority as the accounting acquirer.</w:t>
      </w:r>
    </w:p>
    <w:p>
      <w:pPr>
        <w:spacing w:after="0" w:line="170" w:lineRule="exact"/>
        <w:rPr>
          <w:sz w:val="20"/>
          <w:szCs w:val="20"/>
          <w:color w:val="auto"/>
        </w:rPr>
      </w:pPr>
    </w:p>
    <w:p>
      <w:pPr>
        <w:jc w:val="both"/>
        <w:ind w:right="20" w:firstLine="323"/>
        <w:spacing w:after="0" w:line="257" w:lineRule="auto"/>
        <w:rPr>
          <w:sz w:val="20"/>
          <w:szCs w:val="20"/>
          <w:color w:val="auto"/>
        </w:rPr>
      </w:pPr>
      <w:r>
        <w:rPr>
          <w:rFonts w:ascii="Arial" w:cs="Arial" w:eastAsia="Arial" w:hAnsi="Arial"/>
          <w:sz w:val="18"/>
          <w:szCs w:val="18"/>
          <w:color w:val="auto"/>
        </w:rPr>
        <w:t>The unaudited pro forma condensed combined balance sheet as of March 31, 2018 has been prepared using and should be read in conjunction with the following:</w:t>
      </w:r>
    </w:p>
    <w:p>
      <w:pPr>
        <w:spacing w:after="0" w:line="1" w:lineRule="exact"/>
        <w:rPr>
          <w:sz w:val="20"/>
          <w:szCs w:val="20"/>
          <w:color w:val="auto"/>
        </w:rPr>
      </w:pPr>
    </w:p>
    <w:p>
      <w:pPr>
        <w:ind w:left="660" w:right="20" w:hanging="330"/>
        <w:spacing w:after="0" w:line="249"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 I Acquisitions’ unaudited balance sheet as of March 31, 2018 and the related notes for the three months ended March 31, 2018, included elsewhere in this proxy statement;</w:t>
      </w:r>
    </w:p>
    <w:p>
      <w:pPr>
        <w:ind w:left="660" w:hanging="330"/>
        <w:spacing w:after="0" w:line="258"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Priority’s unaudited consolidated balance sheet as of March 31, 2018 and the related notes for the three months ended March 31, 2018, included elsewhere in this proxy statement.</w:t>
      </w:r>
    </w:p>
    <w:p>
      <w:pPr>
        <w:spacing w:after="0" w:line="186" w:lineRule="exact"/>
        <w:rPr>
          <w:sz w:val="20"/>
          <w:szCs w:val="20"/>
          <w:color w:val="auto"/>
        </w:rPr>
      </w:pPr>
    </w:p>
    <w:p>
      <w:pPr>
        <w:ind w:firstLine="323"/>
        <w:spacing w:after="0" w:line="257" w:lineRule="auto"/>
        <w:rPr>
          <w:sz w:val="20"/>
          <w:szCs w:val="20"/>
          <w:color w:val="auto"/>
        </w:rPr>
      </w:pPr>
      <w:r>
        <w:rPr>
          <w:rFonts w:ascii="Arial" w:cs="Arial" w:eastAsia="Arial" w:hAnsi="Arial"/>
          <w:sz w:val="18"/>
          <w:szCs w:val="18"/>
          <w:color w:val="auto"/>
        </w:rPr>
        <w:t>The unaudited pro forma condensed combined statement of operations for the three months ended March 31, 2018 has been prepared using and should be read in conjunction with the following:</w:t>
      </w:r>
    </w:p>
    <w:p>
      <w:pPr>
        <w:spacing w:after="0" w:line="1" w:lineRule="exact"/>
        <w:rPr>
          <w:sz w:val="20"/>
          <w:szCs w:val="20"/>
          <w:color w:val="auto"/>
        </w:rPr>
      </w:pPr>
    </w:p>
    <w:p>
      <w:pPr>
        <w:ind w:left="660" w:hanging="330"/>
        <w:spacing w:after="0" w:line="249"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 I Acquisitions’ unaudited statement of operations for the three months ended March 31, 2018 and the related notes, included elsewhere in this proxy statement; and</w:t>
      </w:r>
    </w:p>
    <w:p>
      <w:pPr>
        <w:ind w:left="660" w:hanging="330"/>
        <w:spacing w:after="0" w:line="258"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Priority’s unaudited statement of operations for the three months ended March 31, 2018 and the related notes, included elsewhere in this proxy statement.</w:t>
      </w:r>
    </w:p>
    <w:p>
      <w:pPr>
        <w:spacing w:after="0" w:line="186" w:lineRule="exact"/>
        <w:rPr>
          <w:sz w:val="20"/>
          <w:szCs w:val="20"/>
          <w:color w:val="auto"/>
        </w:rPr>
      </w:pPr>
    </w:p>
    <w:p>
      <w:pPr>
        <w:ind w:firstLine="323"/>
        <w:spacing w:after="0" w:line="25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2017 has been prepared using and should be read in conjunction with the following:</w:t>
      </w:r>
    </w:p>
    <w:p>
      <w:pPr>
        <w:spacing w:after="0" w:line="1" w:lineRule="exact"/>
        <w:rPr>
          <w:sz w:val="20"/>
          <w:szCs w:val="20"/>
          <w:color w:val="auto"/>
        </w:rPr>
      </w:pPr>
    </w:p>
    <w:p>
      <w:pPr>
        <w:ind w:left="660" w:right="20" w:hanging="330"/>
        <w:spacing w:after="0" w:line="249"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 I Acquisitions’ audited statement of operations for the year ended December 31, 2017 and the related notes, included elsewhere in this proxy statement; and</w:t>
      </w:r>
    </w:p>
    <w:p>
      <w:pPr>
        <w:ind w:left="660" w:hanging="330"/>
        <w:spacing w:after="0"/>
        <w:tabs>
          <w:tab w:leader="none" w:pos="6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Priority’s audited statement of operations for the year ended December 31, 2017 and the related notes, included elsewhere in this proxy statement.</w:t>
      </w:r>
    </w:p>
    <w:p>
      <w:pPr>
        <w:spacing w:after="0" w:line="232"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2"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does not give effect to any compensation expense related to the additional earn-out of 9.8 million shares that may be associated with the Business Combination as the combined company is currently evaluating the valuation of the earn-out and other terms to determine the accounting treatment following the consummation of the Business Combination. Given the short period of time between the Founders Share Agreement and the issuance of the proxy, it is not practicable to disclose the impact to the pro formas related to these potential shares.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6" w:name="page127"/>
    <w:bookmarkEnd w:id="126"/>
    <w:p>
      <w:pPr>
        <w:jc w:val="both"/>
        <w:ind w:firstLine="323"/>
        <w:spacing w:after="0" w:line="253" w:lineRule="auto"/>
        <w:rPr>
          <w:sz w:val="20"/>
          <w:szCs w:val="20"/>
          <w:color w:val="auto"/>
        </w:rPr>
      </w:pPr>
      <w:r>
        <w:rPr>
          <w:rFonts w:ascii="Arial" w:cs="Arial" w:eastAsia="Arial" w:hAnsi="Arial"/>
          <w:sz w:val="18"/>
          <w:szCs w:val="18"/>
          <w:color w:val="auto"/>
        </w:rPr>
        <w:t>The pro forma adjustments reflecting the consummation of the Business Combination and the completion of related proposed equity commitments are based on certain currently available information and certain assumptions and methodologies that M I Acquisitions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 I Acquisitions believes that its assumptions and methodologies provide a reasonable basis for presenting all of the significant effects of the Business Combination and related proposed equity commitments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90"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 They should be read in conjunction with the historical financial statements and notes thereto of M I Acquisitions and Priority.</w:t>
      </w:r>
    </w:p>
    <w:p>
      <w:pPr>
        <w:spacing w:after="0" w:line="181"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227"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Upon consummation of the Business Combination, M I Acquisitions will perform a comprehensive review of Priority’s accounting policies. As a result of the review, management may identify differences between the accounting policies of Priority which, when conformed, could have a material impact on the financial statements of the combined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87"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Financial Information</w:t>
      </w:r>
    </w:p>
    <w:p>
      <w:pPr>
        <w:spacing w:after="0" w:line="227"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Business Combination and has been prepared for informational purposes only.</w:t>
      </w:r>
    </w:p>
    <w:p>
      <w:pPr>
        <w:spacing w:after="0" w:line="171" w:lineRule="exact"/>
        <w:rPr>
          <w:sz w:val="20"/>
          <w:szCs w:val="20"/>
          <w:color w:val="auto"/>
        </w:rPr>
      </w:pPr>
    </w:p>
    <w:p>
      <w:pPr>
        <w:jc w:val="both"/>
        <w:ind w:firstLine="323"/>
        <w:spacing w:after="0" w:line="278" w:lineRule="auto"/>
        <w:rPr>
          <w:sz w:val="20"/>
          <w:szCs w:val="20"/>
          <w:color w:val="auto"/>
        </w:rPr>
      </w:pPr>
      <w:r>
        <w:rPr>
          <w:rFonts w:ascii="Arial" w:cs="Arial" w:eastAsia="Arial" w:hAnsi="Arial"/>
          <w:sz w:val="17"/>
          <w:szCs w:val="17"/>
          <w:color w:val="auto"/>
        </w:rPr>
        <w:t>The historical financial statements have been adjusted in the unaudited pro forma condensed combined financial information to give pro forma effect to events that are (1) directly attributable to the Business Combination, (2) factually supportable, and (3) with respect to the statements of operations, expected to have a continuing impact on the results of the combined company. Priority and M I Acquisitions have not had any historical relationship prior to the Business Combination. Accordingly, no pro forma adjustments were required to eliminate activities between the companies.</w:t>
      </w:r>
    </w:p>
    <w:p>
      <w:pPr>
        <w:spacing w:after="0" w:line="170"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pro forma combined consolidated provision for income taxes does not necessarily reflect the amounts that would have resulted had the combined company filed consolidated income tax returns during the periods presented.</w:t>
      </w:r>
    </w:p>
    <w:p>
      <w:pPr>
        <w:spacing w:after="0" w:line="171" w:lineRule="exact"/>
        <w:rPr>
          <w:sz w:val="20"/>
          <w:szCs w:val="20"/>
          <w:color w:val="auto"/>
        </w:rPr>
      </w:pPr>
    </w:p>
    <w:p>
      <w:pPr>
        <w:jc w:val="both"/>
        <w:ind w:firstLine="323"/>
        <w:spacing w:after="0" w:line="306" w:lineRule="auto"/>
        <w:rPr>
          <w:sz w:val="20"/>
          <w:szCs w:val="20"/>
          <w:color w:val="auto"/>
        </w:rPr>
      </w:pPr>
      <w:r>
        <w:rPr>
          <w:rFonts w:ascii="Arial" w:cs="Arial" w:eastAsia="Arial" w:hAnsi="Arial"/>
          <w:sz w:val="17"/>
          <w:szCs w:val="17"/>
          <w:color w:val="auto"/>
        </w:rPr>
        <w:t>The pro forma basic and diluted earnings per share amounts presented in the unaudited pro forma condensed combined consolidated statements of operations are based upon the number of Priority’s shares outstanding, assuming the Business Combination occurred on January 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Balance Sheet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adjustments included in the unaudited pro forma condensed combined balance sheet as of March 31, 2018 are as follows:</w:t>
      </w:r>
    </w:p>
    <w:p>
      <w:pPr>
        <w:spacing w:after="0" w:line="223" w:lineRule="exact"/>
        <w:rPr>
          <w:sz w:val="20"/>
          <w:szCs w:val="20"/>
          <w:color w:val="auto"/>
        </w:rPr>
      </w:pPr>
    </w:p>
    <w:p>
      <w:pPr>
        <w:ind w:left="660" w:hanging="330"/>
        <w:spacing w:after="0" w:line="275"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Reflects the reclassification of $55.4 million of cash and cash equivalents held in the M I Acquisitions trust account that becomes available following the Business Combination.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7" w:name="page128"/>
    <w:bookmarkEnd w:id="127"/>
    <w:p>
      <w:pPr>
        <w:ind w:left="330" w:hanging="330"/>
        <w:spacing w:after="0" w:line="340" w:lineRule="auto"/>
        <w:tabs>
          <w:tab w:leader="none" w:pos="33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Reflects adjustments of $14.4 million (of which $2.1 million relates to the purchase of M I Founder shares and units by Priority pursuant to the Founders Share Agreement) to cash and accumulated deficit for transaction costs expected to be incurred in relation to the Business Combination.</w:t>
      </w:r>
    </w:p>
    <w:p>
      <w:pPr>
        <w:spacing w:after="0" w:line="123" w:lineRule="exact"/>
        <w:rPr>
          <w:rFonts w:ascii="Arial" w:cs="Arial" w:eastAsia="Arial" w:hAnsi="Arial"/>
          <w:sz w:val="16"/>
          <w:szCs w:val="16"/>
          <w:color w:val="auto"/>
        </w:rPr>
      </w:pPr>
    </w:p>
    <w:p>
      <w:pPr>
        <w:ind w:left="330" w:hanging="330"/>
        <w:spacing w:after="0"/>
        <w:tabs>
          <w:tab w:leader="none" w:pos="33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Reflects the settlement of $1.1 million of deferred underwriters’ fees incurred during the M I IPO due upon completion of the Business Combination.</w:t>
      </w:r>
    </w:p>
    <w:p>
      <w:pPr>
        <w:spacing w:after="0" w:line="246" w:lineRule="exact"/>
        <w:rPr>
          <w:rFonts w:ascii="Arial" w:cs="Arial" w:eastAsia="Arial" w:hAnsi="Arial"/>
          <w:sz w:val="16"/>
          <w:szCs w:val="16"/>
          <w:color w:val="auto"/>
        </w:rPr>
      </w:pPr>
    </w:p>
    <w:p>
      <w:pPr>
        <w:ind w:left="330" w:hanging="330"/>
        <w:spacing w:after="0"/>
        <w:tabs>
          <w:tab w:leader="none" w:pos="33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Reflects the settlement of $0.03 million of promissory notes issued July 1, 2015 by M I and payable upon close of the Business Combination.</w:t>
      </w:r>
    </w:p>
    <w:p>
      <w:pPr>
        <w:spacing w:after="0" w:line="234" w:lineRule="exact"/>
        <w:rPr>
          <w:rFonts w:ascii="Arial" w:cs="Arial" w:eastAsia="Arial" w:hAnsi="Arial"/>
          <w:sz w:val="17"/>
          <w:szCs w:val="17"/>
          <w:color w:val="auto"/>
        </w:rPr>
      </w:pPr>
    </w:p>
    <w:p>
      <w:pPr>
        <w:jc w:val="both"/>
        <w:ind w:left="330" w:hanging="330"/>
        <w:spacing w:after="0" w:line="262" w:lineRule="auto"/>
        <w:tabs>
          <w:tab w:leader="none" w:pos="33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Reflects the settlement of $0.1 million of promissory notes issued March 13, 2018 by M I to its sponsors in order to extend the period of time to complete the Business Combination from March 19, 2018 to April 19, 2018 and is payable within five business days after the close of the Business Combination.</w:t>
      </w:r>
    </w:p>
    <w:p>
      <w:pPr>
        <w:spacing w:after="0" w:line="182" w:lineRule="exact"/>
        <w:rPr>
          <w:rFonts w:ascii="Arial" w:cs="Arial" w:eastAsia="Arial" w:hAnsi="Arial"/>
          <w:sz w:val="18"/>
          <w:szCs w:val="18"/>
          <w:color w:val="auto"/>
        </w:rPr>
      </w:pPr>
    </w:p>
    <w:p>
      <w:pPr>
        <w:ind w:left="330" w:hanging="330"/>
        <w:spacing w:after="0"/>
        <w:tabs>
          <w:tab w:leader="none" w:pos="33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Reflects the reclassification of $48.7 million of common stock subject to possible redemption to permanent equity assuming no redemptions.</w:t>
      </w:r>
    </w:p>
    <w:p>
      <w:pPr>
        <w:spacing w:after="0" w:line="234" w:lineRule="exact"/>
        <w:rPr>
          <w:rFonts w:ascii="Arial" w:cs="Arial" w:eastAsia="Arial" w:hAnsi="Arial"/>
          <w:sz w:val="17"/>
          <w:szCs w:val="17"/>
          <w:color w:val="auto"/>
        </w:rPr>
      </w:pPr>
    </w:p>
    <w:p>
      <w:pPr>
        <w:ind w:left="330" w:hanging="330"/>
        <w:spacing w:after="0"/>
        <w:tabs>
          <w:tab w:leader="none" w:pos="33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Represents the re-capitalization of common stock of Priority.</w:t>
      </w:r>
    </w:p>
    <w:p>
      <w:pPr>
        <w:spacing w:after="0" w:line="223" w:lineRule="exact"/>
        <w:rPr>
          <w:rFonts w:ascii="Arial" w:cs="Arial" w:eastAsia="Arial" w:hAnsi="Arial"/>
          <w:sz w:val="18"/>
          <w:szCs w:val="18"/>
          <w:color w:val="auto"/>
        </w:rPr>
      </w:pPr>
    </w:p>
    <w:p>
      <w:pPr>
        <w:ind w:left="330" w:hanging="330"/>
        <w:spacing w:after="0"/>
        <w:tabs>
          <w:tab w:leader="none" w:pos="33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Elimination of M I Acquisitions’ accumulated deficit.</w:t>
      </w:r>
    </w:p>
    <w:p>
      <w:pPr>
        <w:spacing w:after="0" w:line="223" w:lineRule="exact"/>
        <w:rPr>
          <w:rFonts w:ascii="Arial" w:cs="Arial" w:eastAsia="Arial" w:hAnsi="Arial"/>
          <w:sz w:val="18"/>
          <w:szCs w:val="18"/>
          <w:color w:val="auto"/>
        </w:rPr>
      </w:pPr>
    </w:p>
    <w:p>
      <w:pPr>
        <w:ind w:left="330" w:hanging="330"/>
        <w:spacing w:after="0"/>
        <w:tabs>
          <w:tab w:leader="none" w:pos="33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Under the minimum and maximum redemption for Scenario 1: GS Warrant Outstanding, Priority will be issued 58.7 million shares whereas under</w:t>
      </w:r>
    </w:p>
    <w:p>
      <w:pPr>
        <w:spacing w:after="0" w:line="45" w:lineRule="exact"/>
        <w:rPr>
          <w:rFonts w:ascii="Arial" w:cs="Arial" w:eastAsia="Arial" w:hAnsi="Arial"/>
          <w:sz w:val="16"/>
          <w:szCs w:val="16"/>
          <w:color w:val="auto"/>
        </w:rPr>
      </w:pPr>
    </w:p>
    <w:p>
      <w:pPr>
        <w:jc w:val="both"/>
        <w:ind w:left="330"/>
        <w:spacing w:after="0" w:line="287" w:lineRule="auto"/>
        <w:rPr>
          <w:rFonts w:ascii="Arial" w:cs="Arial" w:eastAsia="Arial" w:hAnsi="Arial"/>
          <w:sz w:val="16"/>
          <w:szCs w:val="16"/>
          <w:color w:val="auto"/>
        </w:rPr>
      </w:pPr>
      <w:r>
        <w:rPr>
          <w:rFonts w:ascii="Arial" w:cs="Arial" w:eastAsia="Arial" w:hAnsi="Arial"/>
          <w:sz w:val="16"/>
          <w:szCs w:val="16"/>
          <w:color w:val="auto"/>
        </w:rPr>
        <w:t>Scenario 2: GS Warrant Exercised, Priority will be issued 59.9 million shares. As such, the only impact to the Pro Forma Balance Sheet as of March 31, 2018 will be within Total Stockholders' equity (deficit) section. The remainder of the Pro Forma Balance Sheet will be the exact same. Under Scenario 1, the amount reclassified between Common Stock - Par and Additional Paid in Capital for the recapitalization will be $59 thousand (58.7 million Consideration Shares multiplied by $0.001 par value per share) whereas under Scenario 2, it will be $60 thousand (59.9 million Consideration Shares multiplied by $0.001 par value per share). As the adjustment is a reclass within equity under each scenario, Total Stockholders' equity (deficit) will not change. As such, the pro forma balance sheet for Scenario 2 would be the same as above except for the presentation of the Total Stockholders' equity (deficit) section. Refer to the below for the presentation of the Total Stockholders' equity (deficit) section under Scenario 2:</w:t>
      </w:r>
    </w:p>
    <w:p>
      <w:pPr>
        <w:spacing w:after="0" w:line="171" w:lineRule="exact"/>
        <w:rPr>
          <w:sz w:val="20"/>
          <w:szCs w:val="20"/>
          <w:color w:val="auto"/>
        </w:rPr>
      </w:pPr>
    </w:p>
    <w:tbl>
      <w:tblPr>
        <w:tblLayout w:type="fixed"/>
        <w:tblInd w:w="33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center"/>
              <w:ind w:left="228"/>
              <w:spacing w:after="0"/>
              <w:rPr>
                <w:sz w:val="20"/>
                <w:szCs w:val="20"/>
                <w:color w:val="auto"/>
              </w:rPr>
            </w:pPr>
            <w:r>
              <w:rPr>
                <w:rFonts w:ascii="Arial" w:cs="Arial" w:eastAsia="Arial" w:hAnsi="Arial"/>
                <w:sz w:val="14"/>
                <w:szCs w:val="14"/>
                <w:b w:val="1"/>
                <w:bCs w:val="1"/>
                <w:color w:val="auto"/>
                <w:w w:val="93"/>
              </w:rPr>
              <w:t>Scenario 2: GS Warrant Exercised</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0" w:type="dxa"/>
            <w:vAlign w:val="bottom"/>
            <w:gridSpan w:val="3"/>
          </w:tcPr>
          <w:p>
            <w:pPr>
              <w:jc w:val="center"/>
              <w:ind w:right="499"/>
              <w:spacing w:after="0" w:line="119" w:lineRule="exact"/>
              <w:rPr>
                <w:sz w:val="20"/>
                <w:szCs w:val="20"/>
                <w:color w:val="auto"/>
              </w:rPr>
            </w:pPr>
            <w:r>
              <w:rPr>
                <w:rFonts w:ascii="Arial" w:cs="Arial" w:eastAsia="Arial" w:hAnsi="Arial"/>
                <w:sz w:val="13"/>
                <w:szCs w:val="13"/>
                <w:b w:val="1"/>
                <w:bCs w:val="1"/>
                <w:color w:val="auto"/>
              </w:rPr>
              <w:t>As of March 31,</w:t>
            </w: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08"/>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139"/>
              <w:spacing w:after="0" w:line="132" w:lineRule="exact"/>
              <w:rPr>
                <w:sz w:val="20"/>
                <w:szCs w:val="20"/>
                <w:color w:val="auto"/>
              </w:rPr>
            </w:pPr>
            <w:r>
              <w:rPr>
                <w:rFonts w:ascii="Arial" w:cs="Arial" w:eastAsia="Arial" w:hAnsi="Arial"/>
                <w:sz w:val="14"/>
                <w:szCs w:val="14"/>
                <w:b w:val="1"/>
                <w:bCs w:val="1"/>
                <w:color w:val="auto"/>
                <w:w w:val="97"/>
              </w:rPr>
              <w:t>Pro Forma</w:t>
            </w:r>
          </w:p>
        </w:tc>
        <w:tc>
          <w:tcPr>
            <w:tcW w:w="1060" w:type="dxa"/>
            <w:vAlign w:val="bottom"/>
            <w:gridSpan w:val="2"/>
          </w:tcPr>
          <w:p>
            <w:pPr>
              <w:jc w:val="center"/>
              <w:ind w:right="111"/>
              <w:spacing w:after="0" w:line="132" w:lineRule="exact"/>
              <w:rPr>
                <w:sz w:val="20"/>
                <w:szCs w:val="20"/>
                <w:color w:val="auto"/>
              </w:rPr>
            </w:pPr>
            <w:r>
              <w:rPr>
                <w:rFonts w:ascii="Arial" w:cs="Arial" w:eastAsia="Arial" w:hAnsi="Arial"/>
                <w:sz w:val="14"/>
                <w:szCs w:val="14"/>
                <w:b w:val="1"/>
                <w:bCs w:val="1"/>
                <w:color w:val="auto"/>
                <w:w w:val="97"/>
              </w:rPr>
              <w:t>Pro Forma</w:t>
            </w:r>
          </w:p>
        </w:tc>
        <w:tc>
          <w:tcPr>
            <w:tcW w:w="1400" w:type="dxa"/>
            <w:vAlign w:val="bottom"/>
            <w:gridSpan w:val="2"/>
          </w:tcPr>
          <w:p>
            <w:pPr>
              <w:jc w:val="center"/>
              <w:ind w:right="139"/>
              <w:spacing w:after="0" w:line="132" w:lineRule="exact"/>
              <w:rPr>
                <w:sz w:val="20"/>
                <w:szCs w:val="20"/>
                <w:color w:val="auto"/>
              </w:rPr>
            </w:pPr>
            <w:r>
              <w:rPr>
                <w:rFonts w:ascii="Arial" w:cs="Arial" w:eastAsia="Arial" w:hAnsi="Arial"/>
                <w:sz w:val="14"/>
                <w:szCs w:val="14"/>
                <w:b w:val="1"/>
                <w:bCs w:val="1"/>
                <w:color w:val="auto"/>
                <w:w w:val="94"/>
              </w:rPr>
              <w:t>Additional Pro</w:t>
            </w:r>
          </w:p>
        </w:tc>
        <w:tc>
          <w:tcPr>
            <w:tcW w:w="1440" w:type="dxa"/>
            <w:vAlign w:val="bottom"/>
            <w:gridSpan w:val="2"/>
            <w:vMerge w:val="restart"/>
          </w:tcPr>
          <w:p>
            <w:pPr>
              <w:jc w:val="center"/>
              <w:ind w:right="59"/>
              <w:spacing w:after="0"/>
              <w:rPr>
                <w:sz w:val="20"/>
                <w:szCs w:val="20"/>
                <w:color w:val="auto"/>
              </w:rPr>
            </w:pPr>
            <w:r>
              <w:rPr>
                <w:rFonts w:ascii="Arial" w:cs="Arial" w:eastAsia="Arial" w:hAnsi="Arial"/>
                <w:sz w:val="14"/>
                <w:szCs w:val="14"/>
                <w:b w:val="1"/>
                <w:bCs w:val="1"/>
                <w:color w:val="auto"/>
                <w:w w:val="94"/>
              </w:rPr>
              <w:t>Pro Forma Combined</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1"/>
              </w:rPr>
              <w:t>Adjustments</w:t>
            </w:r>
          </w:p>
        </w:tc>
        <w:tc>
          <w:tcPr>
            <w:tcW w:w="1060" w:type="dxa"/>
            <w:vAlign w:val="bottom"/>
            <w:gridSpan w:val="2"/>
          </w:tcPr>
          <w:p>
            <w:pPr>
              <w:jc w:val="center"/>
              <w:ind w:right="111"/>
              <w:spacing w:after="0"/>
              <w:rPr>
                <w:sz w:val="20"/>
                <w:szCs w:val="20"/>
                <w:color w:val="auto"/>
              </w:rPr>
            </w:pPr>
            <w:r>
              <w:rPr>
                <w:rFonts w:ascii="Arial" w:cs="Arial" w:eastAsia="Arial" w:hAnsi="Arial"/>
                <w:sz w:val="14"/>
                <w:szCs w:val="14"/>
                <w:b w:val="1"/>
                <w:bCs w:val="1"/>
                <w:color w:val="auto"/>
                <w:w w:val="93"/>
              </w:rPr>
              <w:t>Combined</w:t>
            </w:r>
          </w:p>
        </w:tc>
        <w:tc>
          <w:tcPr>
            <w:tcW w:w="14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2"/>
              </w:rPr>
              <w:t>Forma Adjustments</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10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 March 31, 2018</w:t>
            </w:r>
          </w:p>
        </w:tc>
        <w:tc>
          <w:tcPr>
            <w:tcW w:w="102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88"/>
              </w:rPr>
              <w:t>(Assuming</w:t>
            </w:r>
          </w:p>
        </w:tc>
        <w:tc>
          <w:tcPr>
            <w:tcW w:w="1060" w:type="dxa"/>
            <w:vAlign w:val="bottom"/>
            <w:gridSpan w:val="2"/>
          </w:tcPr>
          <w:p>
            <w:pPr>
              <w:jc w:val="center"/>
              <w:ind w:right="111"/>
              <w:spacing w:after="0"/>
              <w:rPr>
                <w:sz w:val="20"/>
                <w:szCs w:val="20"/>
                <w:color w:val="auto"/>
              </w:rPr>
            </w:pPr>
            <w:r>
              <w:rPr>
                <w:rFonts w:ascii="Arial" w:cs="Arial" w:eastAsia="Arial" w:hAnsi="Arial"/>
                <w:sz w:val="14"/>
                <w:szCs w:val="14"/>
                <w:b w:val="1"/>
                <w:bCs w:val="1"/>
                <w:color w:val="auto"/>
                <w:w w:val="88"/>
              </w:rPr>
              <w:t>(Assuming</w:t>
            </w:r>
          </w:p>
        </w:tc>
        <w:tc>
          <w:tcPr>
            <w:tcW w:w="14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1"/>
              </w:rPr>
              <w:t>(Assuming</w:t>
            </w:r>
          </w:p>
        </w:tc>
        <w:tc>
          <w:tcPr>
            <w:tcW w:w="144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32"/>
        </w:trPr>
        <w:tc>
          <w:tcPr>
            <w:tcW w:w="34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4"/>
                <w:szCs w:val="14"/>
                <w:b w:val="1"/>
                <w:bCs w:val="1"/>
                <w:color w:val="auto"/>
                <w:w w:val="97"/>
              </w:rPr>
              <w:t>Priority</w:t>
            </w:r>
          </w:p>
        </w:tc>
        <w:tc>
          <w:tcPr>
            <w:tcW w:w="160" w:type="dxa"/>
            <w:vAlign w:val="bottom"/>
          </w:tcPr>
          <w:p>
            <w:pPr>
              <w:spacing w:after="0"/>
              <w:rPr>
                <w:sz w:val="11"/>
                <w:szCs w:val="11"/>
                <w:color w:val="auto"/>
              </w:rPr>
            </w:pPr>
          </w:p>
        </w:tc>
        <w:tc>
          <w:tcPr>
            <w:tcW w:w="1020" w:type="dxa"/>
            <w:vAlign w:val="bottom"/>
            <w:gridSpan w:val="2"/>
          </w:tcPr>
          <w:p>
            <w:pPr>
              <w:jc w:val="center"/>
              <w:ind w:right="139"/>
              <w:spacing w:after="0" w:line="132" w:lineRule="exact"/>
              <w:rPr>
                <w:sz w:val="20"/>
                <w:szCs w:val="20"/>
                <w:color w:val="auto"/>
              </w:rPr>
            </w:pPr>
            <w:r>
              <w:rPr>
                <w:rFonts w:ascii="Arial" w:cs="Arial" w:eastAsia="Arial" w:hAnsi="Arial"/>
                <w:sz w:val="14"/>
                <w:szCs w:val="14"/>
                <w:b w:val="1"/>
                <w:bCs w:val="1"/>
                <w:color w:val="auto"/>
                <w:w w:val="97"/>
              </w:rPr>
              <w:t>Minimum</w:t>
            </w:r>
          </w:p>
        </w:tc>
        <w:tc>
          <w:tcPr>
            <w:tcW w:w="1060" w:type="dxa"/>
            <w:vAlign w:val="bottom"/>
            <w:gridSpan w:val="2"/>
          </w:tcPr>
          <w:p>
            <w:pPr>
              <w:jc w:val="center"/>
              <w:ind w:right="111"/>
              <w:spacing w:after="0" w:line="132" w:lineRule="exact"/>
              <w:rPr>
                <w:sz w:val="20"/>
                <w:szCs w:val="20"/>
                <w:color w:val="auto"/>
              </w:rPr>
            </w:pPr>
            <w:r>
              <w:rPr>
                <w:rFonts w:ascii="Arial" w:cs="Arial" w:eastAsia="Arial" w:hAnsi="Arial"/>
                <w:sz w:val="14"/>
                <w:szCs w:val="14"/>
                <w:b w:val="1"/>
                <w:bCs w:val="1"/>
                <w:color w:val="auto"/>
                <w:w w:val="97"/>
              </w:rPr>
              <w:t>Minimum</w:t>
            </w:r>
          </w:p>
        </w:tc>
        <w:tc>
          <w:tcPr>
            <w:tcW w:w="1400" w:type="dxa"/>
            <w:vAlign w:val="bottom"/>
            <w:gridSpan w:val="2"/>
          </w:tcPr>
          <w:p>
            <w:pPr>
              <w:jc w:val="center"/>
              <w:ind w:right="159"/>
              <w:spacing w:after="0" w:line="132" w:lineRule="exact"/>
              <w:rPr>
                <w:sz w:val="20"/>
                <w:szCs w:val="20"/>
                <w:color w:val="auto"/>
              </w:rPr>
            </w:pPr>
            <w:r>
              <w:rPr>
                <w:rFonts w:ascii="Arial" w:cs="Arial" w:eastAsia="Arial" w:hAnsi="Arial"/>
                <w:sz w:val="14"/>
                <w:szCs w:val="14"/>
                <w:b w:val="1"/>
                <w:bCs w:val="1"/>
                <w:color w:val="auto"/>
                <w:w w:val="99"/>
              </w:rPr>
              <w:t>Maximum</w:t>
            </w:r>
          </w:p>
        </w:tc>
        <w:tc>
          <w:tcPr>
            <w:tcW w:w="1440" w:type="dxa"/>
            <w:vAlign w:val="bottom"/>
            <w:gridSpan w:val="2"/>
          </w:tcPr>
          <w:p>
            <w:pPr>
              <w:jc w:val="center"/>
              <w:ind w:right="39"/>
              <w:spacing w:after="0" w:line="132"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M I (Historical)</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(Historical)</w:t>
            </w:r>
          </w:p>
        </w:tc>
        <w:tc>
          <w:tcPr>
            <w:tcW w:w="102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89"/>
              </w:rPr>
              <w:t>Redemptions)</w:t>
            </w:r>
          </w:p>
        </w:tc>
        <w:tc>
          <w:tcPr>
            <w:tcW w:w="1060" w:type="dxa"/>
            <w:vAlign w:val="bottom"/>
            <w:gridSpan w:val="2"/>
          </w:tcPr>
          <w:p>
            <w:pPr>
              <w:jc w:val="center"/>
              <w:ind w:right="111"/>
              <w:spacing w:after="0"/>
              <w:rPr>
                <w:sz w:val="20"/>
                <w:szCs w:val="20"/>
                <w:color w:val="auto"/>
              </w:rPr>
            </w:pPr>
            <w:r>
              <w:rPr>
                <w:rFonts w:ascii="Arial" w:cs="Arial" w:eastAsia="Arial" w:hAnsi="Arial"/>
                <w:sz w:val="14"/>
                <w:szCs w:val="14"/>
                <w:b w:val="1"/>
                <w:bCs w:val="1"/>
                <w:color w:val="auto"/>
                <w:w w:val="89"/>
              </w:rPr>
              <w:t>Redemptions)</w:t>
            </w:r>
          </w:p>
        </w:tc>
        <w:tc>
          <w:tcPr>
            <w:tcW w:w="14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2"/>
              </w:rPr>
              <w:t>Redemptions)</w:t>
            </w:r>
          </w:p>
        </w:tc>
        <w:tc>
          <w:tcPr>
            <w:tcW w:w="144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1"/>
        </w:trPr>
        <w:tc>
          <w:tcPr>
            <w:tcW w:w="34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Stockholders' equity (deficit)</w:t>
            </w: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ind w:left="160"/>
              <w:spacing w:after="0" w:line="148" w:lineRule="exact"/>
              <w:rPr>
                <w:sz w:val="20"/>
                <w:szCs w:val="20"/>
                <w:color w:val="auto"/>
              </w:rPr>
            </w:pPr>
            <w:r>
              <w:rPr>
                <w:rFonts w:ascii="Arial" w:cs="Arial" w:eastAsia="Arial" w:hAnsi="Arial"/>
                <w:sz w:val="14"/>
                <w:szCs w:val="14"/>
                <w:color w:val="auto"/>
              </w:rPr>
              <w:t>Preferred stock</w:t>
            </w:r>
          </w:p>
        </w:tc>
        <w:tc>
          <w:tcPr>
            <w:tcW w:w="114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119"/>
              <w:spacing w:after="0" w:line="14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31"/>
              <w:spacing w:after="0" w:line="148"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39"/>
              <w:spacing w:after="0" w:line="148"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2</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19"/>
              <w:spacing w:after="0" w:line="148" w:lineRule="exact"/>
              <w:rPr>
                <w:sz w:val="20"/>
                <w:szCs w:val="20"/>
                <w:color w:val="auto"/>
              </w:rPr>
            </w:pPr>
            <w:r>
              <w:rPr>
                <w:rFonts w:ascii="Arial" w:cs="Arial" w:eastAsia="Arial" w:hAnsi="Arial"/>
                <w:sz w:val="14"/>
                <w:szCs w:val="14"/>
                <w:color w:val="auto"/>
              </w:rPr>
              <w:t>5</w:t>
            </w:r>
          </w:p>
        </w:tc>
        <w:tc>
          <w:tcPr>
            <w:tcW w:w="1060" w:type="dxa"/>
            <w:vAlign w:val="bottom"/>
            <w:gridSpan w:val="2"/>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67</w:t>
            </w:r>
          </w:p>
        </w:tc>
        <w:tc>
          <w:tcPr>
            <w:tcW w:w="14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(3)</w:t>
            </w:r>
          </w:p>
        </w:tc>
        <w:tc>
          <w:tcPr>
            <w:tcW w:w="144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19"/>
              <w:spacing w:after="0" w:line="148" w:lineRule="exact"/>
              <w:rPr>
                <w:sz w:val="20"/>
                <w:szCs w:val="20"/>
                <w:color w:val="auto"/>
              </w:rPr>
            </w:pPr>
            <w:r>
              <w:rPr>
                <w:rFonts w:ascii="Arial" w:cs="Arial" w:eastAsia="Arial" w:hAnsi="Arial"/>
                <w:sz w:val="14"/>
                <w:szCs w:val="14"/>
                <w:color w:val="auto"/>
              </w:rPr>
              <w:t>60</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Additional paid-in capital</w:t>
            </w: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5,387</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19"/>
              <w:spacing w:after="0" w:line="148" w:lineRule="exact"/>
              <w:rPr>
                <w:sz w:val="20"/>
                <w:szCs w:val="20"/>
                <w:color w:val="auto"/>
              </w:rPr>
            </w:pPr>
            <w:r>
              <w:rPr>
                <w:rFonts w:ascii="Arial" w:cs="Arial" w:eastAsia="Arial" w:hAnsi="Arial"/>
                <w:sz w:val="14"/>
                <w:szCs w:val="14"/>
                <w:color w:val="auto"/>
              </w:rPr>
              <w:t>48,662</w:t>
            </w:r>
          </w:p>
        </w:tc>
        <w:tc>
          <w:tcPr>
            <w:tcW w:w="1060" w:type="dxa"/>
            <w:vAlign w:val="bottom"/>
            <w:gridSpan w:val="2"/>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53,600</w:t>
            </w:r>
          </w:p>
        </w:tc>
        <w:tc>
          <w:tcPr>
            <w:tcW w:w="14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(35,381)</w:t>
            </w:r>
          </w:p>
        </w:tc>
        <w:tc>
          <w:tcPr>
            <w:tcW w:w="144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18,219</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(60)</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(389)</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ind w:left="160"/>
              <w:spacing w:after="0" w:line="148" w:lineRule="exact"/>
              <w:rPr>
                <w:sz w:val="20"/>
                <w:szCs w:val="20"/>
                <w:color w:val="auto"/>
              </w:rPr>
            </w:pPr>
            <w:r>
              <w:rPr>
                <w:rFonts w:ascii="Arial" w:cs="Arial" w:eastAsia="Arial" w:hAnsi="Arial"/>
                <w:sz w:val="14"/>
                <w:szCs w:val="14"/>
                <w:color w:val="auto"/>
              </w:rPr>
              <w:t>Accumulated deficit</w:t>
            </w:r>
          </w:p>
        </w:tc>
        <w:tc>
          <w:tcPr>
            <w:tcW w:w="11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(389)</w:t>
            </w: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119"/>
              <w:spacing w:after="0" w:line="148" w:lineRule="exact"/>
              <w:rPr>
                <w:sz w:val="20"/>
                <w:szCs w:val="20"/>
                <w:color w:val="auto"/>
              </w:rPr>
            </w:pPr>
            <w:r>
              <w:rPr>
                <w:rFonts w:ascii="Arial" w:cs="Arial" w:eastAsia="Arial" w:hAnsi="Arial"/>
                <w:sz w:val="14"/>
                <w:szCs w:val="14"/>
                <w:color w:val="auto"/>
              </w:rPr>
              <w:t>389</w:t>
            </w:r>
          </w:p>
        </w:tc>
        <w:tc>
          <w:tcPr>
            <w:tcW w:w="1060" w:type="dxa"/>
            <w:vAlign w:val="bottom"/>
            <w:gridSpan w:val="2"/>
          </w:tcPr>
          <w:p>
            <w:pPr>
              <w:jc w:val="right"/>
              <w:ind w:right="71"/>
              <w:spacing w:after="0" w:line="148" w:lineRule="exact"/>
              <w:rPr>
                <w:sz w:val="20"/>
                <w:szCs w:val="20"/>
                <w:color w:val="auto"/>
              </w:rPr>
            </w:pPr>
            <w:r>
              <w:rPr>
                <w:rFonts w:ascii="Arial" w:cs="Arial" w:eastAsia="Arial" w:hAnsi="Arial"/>
                <w:sz w:val="14"/>
                <w:szCs w:val="14"/>
                <w:color w:val="auto"/>
              </w:rPr>
              <w:t>(175,763)</w:t>
            </w:r>
          </w:p>
        </w:tc>
        <w:tc>
          <w:tcPr>
            <w:tcW w:w="1400" w:type="dxa"/>
            <w:vAlign w:val="bottom"/>
            <w:gridSpan w:val="2"/>
          </w:tcPr>
          <w:p>
            <w:pPr>
              <w:jc w:val="right"/>
              <w:ind w:right="139"/>
              <w:spacing w:after="0" w:line="148"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9"/>
              <w:spacing w:after="0" w:line="148" w:lineRule="exact"/>
              <w:rPr>
                <w:sz w:val="20"/>
                <w:szCs w:val="20"/>
                <w:color w:val="auto"/>
              </w:rPr>
            </w:pPr>
            <w:r>
              <w:rPr>
                <w:rFonts w:ascii="Arial" w:cs="Arial" w:eastAsia="Arial" w:hAnsi="Arial"/>
                <w:sz w:val="14"/>
                <w:szCs w:val="14"/>
                <w:color w:val="auto"/>
              </w:rPr>
              <w:t>(175,763)</w:t>
            </w: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(12,241)</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(2,116)</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(162,071)</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19"/>
              <w:spacing w:after="0"/>
              <w:rPr>
                <w:sz w:val="20"/>
                <w:szCs w:val="20"/>
                <w:color w:val="auto"/>
              </w:rPr>
            </w:pPr>
            <w:r>
              <w:rPr>
                <w:rFonts w:ascii="Arial" w:cs="Arial" w:eastAsia="Arial" w:hAnsi="Arial"/>
                <w:sz w:val="14"/>
                <w:szCs w:val="14"/>
                <w:color w:val="auto"/>
              </w:rPr>
              <w:t>665</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80" w:type="dxa"/>
            <w:vAlign w:val="bottom"/>
            <w:tcBorders>
              <w:top w:val="single" w:sz="8" w:color="CCEEFF"/>
            </w:tcBorders>
            <w:shd w:val="clear" w:color="auto" w:fill="CCEEFF"/>
          </w:tcPr>
          <w:p>
            <w:pPr>
              <w:ind w:left="320"/>
              <w:spacing w:after="0" w:line="141" w:lineRule="exact"/>
              <w:rPr>
                <w:sz w:val="20"/>
                <w:szCs w:val="20"/>
                <w:color w:val="auto"/>
              </w:rPr>
            </w:pPr>
            <w:r>
              <w:rPr>
                <w:rFonts w:ascii="Arial" w:cs="Arial" w:eastAsia="Arial" w:hAnsi="Arial"/>
                <w:sz w:val="14"/>
                <w:szCs w:val="14"/>
                <w:b w:val="1"/>
                <w:bCs w:val="1"/>
                <w:color w:val="auto"/>
              </w:rPr>
              <w:t>Total stockholders' equity (deficit)</w:t>
            </w:r>
          </w:p>
        </w:tc>
        <w:tc>
          <w:tcPr>
            <w:tcW w:w="9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5,000</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(127,096</w:t>
            </w:r>
          </w:p>
        </w:tc>
        <w:tc>
          <w:tcPr>
            <w:tcW w:w="16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(122,096</w:t>
            </w:r>
          </w:p>
        </w:tc>
        <w:tc>
          <w:tcPr>
            <w:tcW w:w="200" w:type="dxa"/>
            <w:vAlign w:val="bottom"/>
            <w:tcBorders>
              <w:top w:val="single" w:sz="8" w:color="CCEEFF"/>
            </w:tcBorders>
            <w:shd w:val="clear" w:color="auto" w:fill="CCEEFF"/>
          </w:tcPr>
          <w:p>
            <w:pPr>
              <w:jc w:val="right"/>
              <w:ind w:right="71"/>
              <w:spacing w:after="0" w:line="141" w:lineRule="exact"/>
              <w:rPr>
                <w:sz w:val="20"/>
                <w:szCs w:val="20"/>
                <w:color w:val="auto"/>
              </w:rPr>
            </w:pPr>
            <w:r>
              <w:rPr>
                <w:rFonts w:ascii="Arial" w:cs="Arial" w:eastAsia="Arial" w:hAnsi="Arial"/>
                <w:sz w:val="14"/>
                <w:szCs w:val="14"/>
                <w:b w:val="1"/>
                <w:bCs w:val="1"/>
                <w:color w:val="auto"/>
                <w:w w:val="84"/>
              </w:rPr>
              <w:t>)</w:t>
            </w:r>
          </w:p>
        </w:tc>
        <w:tc>
          <w:tcPr>
            <w:tcW w:w="12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(35,384</w:t>
            </w:r>
          </w:p>
        </w:tc>
        <w:tc>
          <w:tcPr>
            <w:tcW w:w="18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13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(157,480</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29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13970</wp:posOffset>
            </wp:positionV>
            <wp:extent cx="7247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90"/>
          </w:cols>
          <w:pgMar w:left="570" w:top="905" w:right="239" w:bottom="1440" w:gutter="0" w:footer="0" w:header="0"/>
        </w:sectPr>
      </w:pPr>
    </w:p>
    <w:bookmarkStart w:id="128" w:name="page129"/>
    <w:bookmarkEnd w:id="128"/>
    <w:p>
      <w:pPr>
        <w:jc w:val="both"/>
        <w:ind w:left="660" w:hanging="330"/>
        <w:spacing w:after="0" w:line="254"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Reflects the accrued income taxes that results from the step-up, for tax purposes, of certain assets of Priority and to record the liability for taxes payable using an effective tax rate of 38% as of December 31, 2017 offset by income tax benefit using a 19% effective tax rate as of March 31, 2018. The tax impacts of the Business Combination were estimated on the applicable law in effect on March 31, 2018, inclusive of the effects of the Tax Cuts and Jobs Act (“Tax Act”) which was signed into law on December 22, 2017. The Tax Act requires companies, to recognize the effects of changes in tax laws and rates on deferred tax assets and liabilities and the retroactive effects of changes in tax laws in the period in which the new legislation is enacted.</w:t>
      </w:r>
    </w:p>
    <w:p>
      <w:pPr>
        <w:spacing w:after="0" w:line="191" w:lineRule="exact"/>
        <w:rPr>
          <w:rFonts w:ascii="Arial" w:cs="Arial" w:eastAsia="Arial" w:hAnsi="Arial"/>
          <w:sz w:val="18"/>
          <w:szCs w:val="18"/>
          <w:color w:val="auto"/>
        </w:rPr>
      </w:pPr>
    </w:p>
    <w:p>
      <w:pPr>
        <w:jc w:val="both"/>
        <w:ind w:left="660" w:hanging="330"/>
        <w:spacing w:after="0" w:line="300" w:lineRule="auto"/>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Reflects the withdrawal of funds from the trust account to fund the redemption of 3.4 million shares of common stock at $10.43 per share (3,392,544 shares multiplied by $10.43 per share equals to $35.4 million). The amount of $10.43 per share utilized in the above computation is derived from $55,383,870 in trust account per the pro forma condensed combined balance sheet divided by 5,310,109 M I Acquisitions public shares per the capitalization table herein. Depending on the close date of the Business Combination, this amount may vary as defined by the Purchase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Statements of Operations</w:t>
      </w:r>
    </w:p>
    <w:p>
      <w:pPr>
        <w:spacing w:after="0" w:line="223"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The pro forma adjustments included in the unaudited pro forma condensed combined statements of operations for the three months ended March 31, 2018 and year ended December 31, 2017 are as follows:</w:t>
      </w:r>
    </w:p>
    <w:p>
      <w:pPr>
        <w:spacing w:after="0" w:line="171" w:lineRule="exact"/>
        <w:rPr>
          <w:sz w:val="20"/>
          <w:szCs w:val="20"/>
          <w:color w:val="auto"/>
        </w:rPr>
      </w:pPr>
    </w:p>
    <w:p>
      <w:pPr>
        <w:ind w:left="760" w:hanging="430"/>
        <w:spacing w:after="0"/>
        <w:tabs>
          <w:tab w:leader="none" w:pos="7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Elimination of interest income on the trust account</w:t>
      </w:r>
    </w:p>
    <w:p>
      <w:pPr>
        <w:spacing w:after="0" w:line="223" w:lineRule="exact"/>
        <w:rPr>
          <w:rFonts w:ascii="Arial" w:cs="Arial" w:eastAsia="Arial" w:hAnsi="Arial"/>
          <w:sz w:val="18"/>
          <w:szCs w:val="18"/>
          <w:color w:val="auto"/>
        </w:rPr>
      </w:pPr>
    </w:p>
    <w:p>
      <w:pPr>
        <w:jc w:val="both"/>
        <w:ind w:firstLine="330"/>
        <w:spacing w:after="0" w:line="258" w:lineRule="auto"/>
        <w:tabs>
          <w:tab w:leader="none" w:pos="73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Reflects an income tax benefit at 19% effective rate on the combined pro forma net loss for the three months ended March 31, 2018 and provision on the combined pro forma income at 38% effective tax rate for the year ended December 31, 2017. The tax impacts of the Business Combination were estimated based on the applicable law in effect on March 31, 2018 and December 31, 2017, respectively, inclusive of the effects of the Tax Act which was signed into law on December 22, 2017.</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8"/>
          <w:szCs w:val="18"/>
          <w:color w:val="auto"/>
        </w:rPr>
        <w:t>Represents the net earnings per share calculated using the historical weighted average Priority Holdings, LLC units and the issuance of additional shares in connection with the Business Combination, assuming the shares were outstanding since January 1, 2017. As the Business Combination and related proposed equity transactions are being reflected as if they had occurred at the beginning of the periods presented, the calculation of weighted average shares outstanding for basic and diluted net income (loss) per share assumes that the shares issuable relating to the Business Combination have been outstanding for the entire periods presented. If the maximum number of shares are redeemed, this calculation is retroactively adjusted to eliminate such shares for the entire periods.</w:t>
      </w:r>
    </w:p>
    <w:p>
      <w:pPr>
        <w:spacing w:after="0" w:line="191" w:lineRule="exact"/>
        <w:rPr>
          <w:sz w:val="20"/>
          <w:szCs w:val="20"/>
          <w:color w:val="auto"/>
        </w:rPr>
      </w:pPr>
    </w:p>
    <w:p>
      <w:pPr>
        <w:jc w:val="both"/>
        <w:ind w:firstLine="490"/>
        <w:spacing w:after="0" w:line="275" w:lineRule="auto"/>
        <w:rPr>
          <w:sz w:val="20"/>
          <w:szCs w:val="20"/>
          <w:color w:val="auto"/>
        </w:rPr>
      </w:pPr>
      <w:r>
        <w:rPr>
          <w:rFonts w:ascii="Arial" w:cs="Arial" w:eastAsia="Arial" w:hAnsi="Arial"/>
          <w:sz w:val="18"/>
          <w:szCs w:val="18"/>
          <w:color w:val="auto"/>
        </w:rPr>
        <w:t>The unaudited pro forma condensed combined financial information has been prepared assuming four alternative levels of redemption into cash of M I Acquisitions common stock for the three months ended March 31, 2018 and for the year ended December 31,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9" w:name="page130"/>
    <w:bookmarkEnd w:id="129"/>
    <w:p>
      <w:pPr>
        <w:ind w:left="5800"/>
        <w:spacing w:after="0"/>
        <w:rPr>
          <w:sz w:val="20"/>
          <w:szCs w:val="20"/>
          <w:color w:val="auto"/>
        </w:rPr>
      </w:pPr>
      <w:r>
        <w:rPr>
          <w:rFonts w:ascii="Arial" w:cs="Arial" w:eastAsia="Arial" w:hAnsi="Arial"/>
          <w:sz w:val="14"/>
          <w:szCs w:val="14"/>
          <w:b w:val="1"/>
          <w:bCs w:val="1"/>
          <w:color w:val="auto"/>
        </w:rPr>
        <w:t>Scenario 1: GS Warrant Outstanding</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-101600</wp:posOffset>
            </wp:positionV>
            <wp:extent cx="18440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20"/>
        <w:spacing w:after="0" w:line="331" w:lineRule="auto"/>
        <w:rPr>
          <w:sz w:val="20"/>
          <w:szCs w:val="20"/>
          <w:color w:val="auto"/>
        </w:rPr>
      </w:pPr>
      <w:r>
        <w:rPr>
          <w:rFonts w:ascii="Arial" w:cs="Arial" w:eastAsia="Arial" w:hAnsi="Arial"/>
          <w:sz w:val="14"/>
          <w:szCs w:val="14"/>
          <w:b w:val="1"/>
          <w:bCs w:val="1"/>
          <w:color w:val="auto"/>
        </w:rPr>
        <w:t>Scenario 2: GS Warrant Exercised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-144780</wp:posOffset>
            </wp:positionV>
            <wp:extent cx="16217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217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380" w:space="400"/>
            <w:col w:w="2640"/>
          </w:cols>
          <w:pgMar w:left="240" w:top="919" w:right="239" w:bottom="0" w:gutter="0" w:footer="0" w:header="0"/>
        </w:sectPr>
      </w:pPr>
    </w:p>
    <w:tbl>
      <w:tblPr>
        <w:tblLayout w:type="fixed"/>
        <w:tblInd w:w="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ind w:left="20"/>
              <w:spacing w:after="0" w:line="168" w:lineRule="exact"/>
              <w:rPr>
                <w:sz w:val="20"/>
                <w:szCs w:val="20"/>
                <w:color w:val="auto"/>
              </w:rPr>
            </w:pPr>
            <w:r>
              <w:rPr>
                <w:rFonts w:ascii="Arial" w:cs="Arial" w:eastAsia="Arial" w:hAnsi="Arial"/>
                <w:sz w:val="16"/>
                <w:szCs w:val="16"/>
                <w:b w:val="1"/>
                <w:bCs w:val="1"/>
                <w:color w:val="auto"/>
              </w:rPr>
              <w:t>Pro Forma</w:t>
            </w:r>
          </w:p>
        </w:tc>
        <w:tc>
          <w:tcPr>
            <w:tcW w:w="100" w:type="dxa"/>
            <w:vAlign w:val="bottom"/>
            <w:gridSpan w:val="2"/>
          </w:tcPr>
          <w:p>
            <w:pPr>
              <w:spacing w:after="0"/>
              <w:rPr>
                <w:sz w:val="14"/>
                <w:szCs w:val="14"/>
                <w:color w:val="auto"/>
              </w:rPr>
            </w:pPr>
          </w:p>
        </w:tc>
      </w:tr>
      <w:tr>
        <w:trPr>
          <w:trHeight w:val="202"/>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Pro Forma</w:t>
            </w:r>
          </w:p>
        </w:tc>
        <w:tc>
          <w:tcPr>
            <w:tcW w:w="1720" w:type="dxa"/>
            <w:vAlign w:val="bottom"/>
            <w:gridSpan w:val="5"/>
          </w:tcPr>
          <w:p>
            <w:pPr>
              <w:spacing w:after="0"/>
              <w:rPr>
                <w:sz w:val="20"/>
                <w:szCs w:val="20"/>
                <w:color w:val="auto"/>
              </w:rPr>
            </w:pPr>
            <w:r>
              <w:rPr>
                <w:rFonts w:ascii="Arial" w:cs="Arial" w:eastAsia="Arial" w:hAnsi="Arial"/>
                <w:sz w:val="16"/>
                <w:szCs w:val="16"/>
                <w:b w:val="1"/>
                <w:bCs w:val="1"/>
                <w:color w:val="auto"/>
              </w:rPr>
              <w:t>Pro Forma Combined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Pro Forma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rPr>
              <w:t>Combined</w:t>
            </w:r>
          </w:p>
        </w:tc>
      </w:tr>
      <w:tr>
        <w:trPr>
          <w:trHeight w:val="202"/>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9"/>
              </w:rPr>
              <w:t>(Assuming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rPr>
              <w:t>(Assuming</w:t>
            </w:r>
          </w:p>
        </w:tc>
      </w:tr>
      <w:tr>
        <w:trPr>
          <w:trHeight w:val="210"/>
        </w:trPr>
        <w:tc>
          <w:tcPr>
            <w:tcW w:w="4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(Assuming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4"/>
              </w:rPr>
              <w:t>Maximum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(Assuming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Maximum</w:t>
            </w:r>
          </w:p>
        </w:tc>
      </w:tr>
      <w:tr>
        <w:trPr>
          <w:trHeight w:val="218"/>
        </w:trPr>
        <w:tc>
          <w:tcPr>
            <w:tcW w:w="4900" w:type="dxa"/>
            <w:vAlign w:val="bottom"/>
          </w:tcPr>
          <w:p>
            <w:pPr>
              <w:spacing w:after="0"/>
              <w:rPr>
                <w:sz w:val="18"/>
                <w:szCs w:val="18"/>
                <w:color w:val="auto"/>
              </w:rPr>
            </w:pPr>
          </w:p>
        </w:tc>
        <w:tc>
          <w:tcPr>
            <w:tcW w:w="2140" w:type="dxa"/>
            <w:vAlign w:val="bottom"/>
            <w:gridSpan w:val="6"/>
          </w:tcPr>
          <w:p>
            <w:pPr>
              <w:ind w:left="740"/>
              <w:spacing w:after="0"/>
              <w:rPr>
                <w:sz w:val="20"/>
                <w:szCs w:val="20"/>
                <w:color w:val="auto"/>
              </w:rPr>
            </w:pPr>
            <w:r>
              <w:rPr>
                <w:rFonts w:ascii="Arial" w:cs="Arial" w:eastAsia="Arial" w:hAnsi="Arial"/>
                <w:sz w:val="16"/>
                <w:szCs w:val="16"/>
                <w:b w:val="1"/>
                <w:bCs w:val="1"/>
                <w:color w:val="auto"/>
              </w:rPr>
              <w:t>No Redemptions)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Redemptions)</w:t>
            </w:r>
          </w:p>
        </w:tc>
        <w:tc>
          <w:tcPr>
            <w:tcW w:w="1420" w:type="dxa"/>
            <w:vAlign w:val="bottom"/>
            <w:gridSpan w:val="5"/>
          </w:tcPr>
          <w:p>
            <w:pPr>
              <w:spacing w:after="0"/>
              <w:rPr>
                <w:sz w:val="20"/>
                <w:szCs w:val="20"/>
                <w:color w:val="auto"/>
              </w:rPr>
            </w:pPr>
            <w:r>
              <w:rPr>
                <w:rFonts w:ascii="Arial" w:cs="Arial" w:eastAsia="Arial" w:hAnsi="Arial"/>
                <w:sz w:val="16"/>
                <w:szCs w:val="16"/>
                <w:b w:val="1"/>
                <w:bCs w:val="1"/>
                <w:color w:val="auto"/>
              </w:rPr>
              <w:t>No Redemptions)</w:t>
            </w:r>
          </w:p>
        </w:tc>
        <w:tc>
          <w:tcPr>
            <w:tcW w:w="8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Arial" w:cs="Arial" w:eastAsia="Arial" w:hAnsi="Arial"/>
                <w:sz w:val="16"/>
                <w:szCs w:val="16"/>
                <w:b w:val="1"/>
                <w:bCs w:val="1"/>
                <w:color w:val="auto"/>
              </w:rPr>
              <w:t>Redemptions)</w:t>
            </w:r>
          </w:p>
        </w:tc>
      </w:tr>
      <w:tr>
        <w:trPr>
          <w:trHeight w:val="198"/>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 Forma Basic Loss Per Share</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Pro Forma Net Income Attributable to Common Shareholders</w:t>
            </w:r>
          </w:p>
        </w:tc>
        <w:tc>
          <w:tcPr>
            <w:tcW w:w="840" w:type="dxa"/>
            <w:vAlign w:val="bottom"/>
            <w:gridSpan w:val="2"/>
          </w:tcPr>
          <w:p>
            <w:pPr>
              <w:ind w:left="74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(2,833)</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(2,833)</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(2,833)</w:t>
            </w:r>
          </w:p>
        </w:tc>
        <w:tc>
          <w:tcPr>
            <w:tcW w:w="14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(2,833)</w:t>
            </w: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 Weighted Average Shares Outstanding</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65,514,157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62,121,613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66,747,225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63,354,681</w:t>
            </w: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6"/>
                <w:szCs w:val="16"/>
                <w:b w:val="1"/>
                <w:bCs w:val="1"/>
                <w:color w:val="auto"/>
              </w:rPr>
              <w:t>Pro Forma Basic Loss Per Share</w:t>
            </w:r>
          </w:p>
        </w:tc>
        <w:tc>
          <w:tcPr>
            <w:tcW w:w="840" w:type="dxa"/>
            <w:vAlign w:val="bottom"/>
            <w:gridSpan w:val="2"/>
          </w:tcPr>
          <w:p>
            <w:pPr>
              <w:ind w:left="74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(0.04)</w:t>
            </w:r>
          </w:p>
        </w:tc>
      </w:tr>
      <w:tr>
        <w:trPr>
          <w:trHeight w:val="202"/>
        </w:trPr>
        <w:tc>
          <w:tcPr>
            <w:tcW w:w="4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6"/>
                <w:szCs w:val="16"/>
                <w:b w:val="1"/>
                <w:bCs w:val="1"/>
                <w:color w:val="auto"/>
              </w:rPr>
              <w:t>Pro Forma Diluted Loss Per Share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 Forma Net Income Attributable to Common Shareholders</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(2,833)</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(2,833)</w:t>
            </w: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Diluted Weighted Average Shares Outstanding</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66,747,225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63,354,681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66,747,225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63,354,681</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Diluted Loss Per Share</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(0.04)</w:t>
            </w:r>
          </w:p>
        </w:tc>
      </w:tr>
      <w:tr>
        <w:trPr>
          <w:trHeight w:val="202"/>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Weighted Average Shares - Basic</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MI Merger Consideration Shares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58,630,277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58,630,277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59,863,345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59,863,345</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MI Founder Shares Held by the Sellers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453,210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453,210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453,210</w:t>
            </w: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MI Private Placement Shares Held by the Sellers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421,107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421,107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421,107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421,107</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Founders Shares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699,454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699,454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699,454</w:t>
            </w:r>
          </w:p>
        </w:tc>
        <w:tc>
          <w:tcPr>
            <w:tcW w:w="80" w:type="dxa"/>
            <w:vAlign w:val="bottom"/>
            <w:shd w:val="clear" w:color="auto" w:fill="CCEEFF"/>
          </w:tcPr>
          <w:p>
            <w:pPr>
              <w:spacing w:after="0"/>
              <w:rPr>
                <w:sz w:val="17"/>
                <w:szCs w:val="17"/>
                <w:color w:val="auto"/>
              </w:rPr>
            </w:pPr>
          </w:p>
        </w:tc>
      </w:tr>
      <w:tr>
        <w:trPr>
          <w:trHeight w:val="212"/>
        </w:trPr>
        <w:tc>
          <w:tcPr>
            <w:tcW w:w="4900" w:type="dxa"/>
            <w:vAlign w:val="bottom"/>
          </w:tcPr>
          <w:p>
            <w:pPr>
              <w:ind w:left="160"/>
              <w:spacing w:after="0"/>
              <w:rPr>
                <w:sz w:val="20"/>
                <w:szCs w:val="20"/>
                <w:color w:val="auto"/>
              </w:rPr>
            </w:pPr>
            <w:r>
              <w:rPr>
                <w:rFonts w:ascii="Arial" w:cs="Arial" w:eastAsia="Arial" w:hAnsi="Arial"/>
                <w:sz w:val="16"/>
                <w:szCs w:val="16"/>
                <w:color w:val="auto"/>
              </w:rPr>
              <w:t>Shares Held by Current MI Shareholders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5,310,109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1,917,565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5,310,109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1,917,565</w:t>
            </w:r>
          </w:p>
        </w:tc>
        <w:tc>
          <w:tcPr>
            <w:tcW w:w="80" w:type="dxa"/>
            <w:vAlign w:val="bottom"/>
          </w:tcPr>
          <w:p>
            <w:pPr>
              <w:spacing w:after="0"/>
              <w:rPr>
                <w:sz w:val="18"/>
                <w:szCs w:val="18"/>
                <w:color w:val="auto"/>
              </w:rPr>
            </w:pPr>
          </w:p>
        </w:tc>
      </w:tr>
      <w:tr>
        <w:trPr>
          <w:trHeight w:val="209"/>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 Forma Weighted Average Shares - Basic</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65,514,157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62,121,613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66,747,225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63,354,681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5"/>
        </w:trPr>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Dilutive Shares - GS Warrant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1,233,068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1,233,068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r>
      <w:tr>
        <w:trPr>
          <w:trHeight w:val="206"/>
        </w:trPr>
        <w:tc>
          <w:tcPr>
            <w:tcW w:w="4900" w:type="dxa"/>
            <w:vAlign w:val="bottom"/>
          </w:tcPr>
          <w:p>
            <w:pPr>
              <w:spacing w:after="0"/>
              <w:rPr>
                <w:sz w:val="20"/>
                <w:szCs w:val="20"/>
                <w:color w:val="auto"/>
              </w:rPr>
            </w:pPr>
            <w:r>
              <w:rPr>
                <w:rFonts w:ascii="Arial" w:cs="Arial" w:eastAsia="Arial" w:hAnsi="Arial"/>
                <w:sz w:val="16"/>
                <w:szCs w:val="16"/>
                <w:b w:val="1"/>
                <w:bCs w:val="1"/>
                <w:color w:val="auto"/>
              </w:rPr>
              <w:t>Pro Forma Weighted Average Shares - Diluted</w:t>
            </w:r>
          </w:p>
        </w:tc>
        <w:tc>
          <w:tcPr>
            <w:tcW w:w="7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66,747,225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63,354,681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66,747,225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63,354,681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7"/>
        </w:trPr>
        <w:tc>
          <w:tcPr>
            <w:tcW w:w="4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2"/>
              </w:rPr>
              <w:t>Scenario 1: GS Warrant Outstanding</w:t>
            </w:r>
          </w:p>
        </w:tc>
        <w:tc>
          <w:tcPr>
            <w:tcW w:w="100" w:type="dxa"/>
            <w:vAlign w:val="bottom"/>
          </w:tcPr>
          <w:p>
            <w:pPr>
              <w:spacing w:after="0"/>
              <w:rPr>
                <w:sz w:val="24"/>
                <w:szCs w:val="24"/>
                <w:color w:val="auto"/>
              </w:rPr>
            </w:pPr>
          </w:p>
        </w:tc>
        <w:tc>
          <w:tcPr>
            <w:tcW w:w="2560" w:type="dxa"/>
            <w:vAlign w:val="bottom"/>
            <w:gridSpan w:val="9"/>
          </w:tcPr>
          <w:p>
            <w:pPr>
              <w:jc w:val="right"/>
              <w:ind w:right="140"/>
              <w:spacing w:after="0"/>
              <w:rPr>
                <w:sz w:val="20"/>
                <w:szCs w:val="20"/>
                <w:color w:val="auto"/>
              </w:rPr>
            </w:pPr>
            <w:r>
              <w:rPr>
                <w:rFonts w:ascii="Arial" w:cs="Arial" w:eastAsia="Arial" w:hAnsi="Arial"/>
                <w:sz w:val="16"/>
                <w:szCs w:val="16"/>
                <w:b w:val="1"/>
                <w:bCs w:val="1"/>
                <w:color w:val="auto"/>
                <w:w w:val="92"/>
              </w:rPr>
              <w:t>Scenario 2: GS Warrant Exercised</w:t>
            </w:r>
          </w:p>
        </w:tc>
      </w:tr>
      <w:tr>
        <w:trPr>
          <w:trHeight w:val="201"/>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0" w:type="dxa"/>
            <w:vAlign w:val="bottom"/>
            <w:tcBorders>
              <w:top w:val="single" w:sz="8" w:color="auto"/>
              <w:bottom w:val="single" w:sz="8" w:color="auto"/>
            </w:tcBorders>
            <w:gridSpan w:val="7"/>
          </w:tcPr>
          <w:p>
            <w:pPr>
              <w:jc w:val="center"/>
              <w:ind w:right="120"/>
              <w:spacing w:after="0"/>
              <w:rPr>
                <w:sz w:val="20"/>
                <w:szCs w:val="20"/>
                <w:color w:val="auto"/>
              </w:rPr>
            </w:pPr>
            <w:r>
              <w:rPr>
                <w:rFonts w:ascii="Arial" w:cs="Arial" w:eastAsia="Arial" w:hAnsi="Arial"/>
                <w:sz w:val="16"/>
                <w:szCs w:val="16"/>
                <w:b w:val="1"/>
                <w:bCs w:val="1"/>
                <w:color w:val="auto"/>
                <w:w w:val="90"/>
              </w:rPr>
              <w:t>Year ended December 31, 2017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w w:val="91"/>
              </w:rPr>
              <w:t>Year ended December 31, 2017</w:t>
            </w:r>
          </w:p>
        </w:tc>
        <w:tc>
          <w:tcPr>
            <w:tcW w:w="100" w:type="dxa"/>
            <w:vAlign w:val="bottom"/>
            <w:gridSpan w:val="2"/>
          </w:tcPr>
          <w:p>
            <w:pPr>
              <w:spacing w:after="0"/>
              <w:rPr>
                <w:sz w:val="17"/>
                <w:szCs w:val="17"/>
                <w:color w:val="auto"/>
              </w:rPr>
            </w:pPr>
          </w:p>
        </w:tc>
      </w:tr>
      <w:tr>
        <w:trPr>
          <w:trHeight w:val="181"/>
        </w:trPr>
        <w:tc>
          <w:tcPr>
            <w:tcW w:w="4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9"/>
              <w:spacing w:after="0" w:line="181" w:lineRule="exact"/>
              <w:rPr>
                <w:sz w:val="20"/>
                <w:szCs w:val="20"/>
                <w:color w:val="auto"/>
              </w:rPr>
            </w:pPr>
            <w:r>
              <w:rPr>
                <w:rFonts w:ascii="Arial" w:cs="Arial" w:eastAsia="Arial" w:hAnsi="Arial"/>
                <w:sz w:val="16"/>
                <w:szCs w:val="16"/>
                <w:b w:val="1"/>
                <w:bCs w:val="1"/>
                <w:color w:val="auto"/>
                <w:w w:val="94"/>
              </w:rPr>
              <w:t>Pro Forma</w:t>
            </w:r>
          </w:p>
        </w:tc>
        <w:tc>
          <w:tcPr>
            <w:tcW w:w="100" w:type="dxa"/>
            <w:vAlign w:val="bottom"/>
            <w:gridSpan w:val="2"/>
          </w:tcPr>
          <w:p>
            <w:pPr>
              <w:spacing w:after="0"/>
              <w:rPr>
                <w:sz w:val="15"/>
                <w:szCs w:val="15"/>
                <w:color w:val="auto"/>
              </w:rPr>
            </w:pPr>
          </w:p>
        </w:tc>
      </w:tr>
      <w:tr>
        <w:trPr>
          <w:trHeight w:val="202"/>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100"/>
              <w:spacing w:after="0"/>
              <w:rPr>
                <w:sz w:val="20"/>
                <w:szCs w:val="20"/>
                <w:color w:val="auto"/>
              </w:rPr>
            </w:pPr>
            <w:r>
              <w:rPr>
                <w:rFonts w:ascii="Arial" w:cs="Arial" w:eastAsia="Arial" w:hAnsi="Arial"/>
                <w:sz w:val="16"/>
                <w:szCs w:val="16"/>
                <w:b w:val="1"/>
                <w:bCs w:val="1"/>
                <w:color w:val="auto"/>
              </w:rPr>
              <w:t>Pro Forma</w:t>
            </w:r>
          </w:p>
        </w:tc>
        <w:tc>
          <w:tcPr>
            <w:tcW w:w="17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2"/>
              </w:rPr>
              <w:t>Pro Forma Combined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ind w:left="100"/>
              <w:spacing w:after="0"/>
              <w:rPr>
                <w:sz w:val="20"/>
                <w:szCs w:val="20"/>
                <w:color w:val="auto"/>
              </w:rPr>
            </w:pPr>
            <w:r>
              <w:rPr>
                <w:rFonts w:ascii="Arial" w:cs="Arial" w:eastAsia="Arial" w:hAnsi="Arial"/>
                <w:sz w:val="16"/>
                <w:szCs w:val="16"/>
                <w:b w:val="1"/>
                <w:bCs w:val="1"/>
                <w:color w:val="auto"/>
              </w:rPr>
              <w:t>Pro Forma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Combined</w:t>
            </w:r>
          </w:p>
        </w:tc>
      </w:tr>
      <w:tr>
        <w:trPr>
          <w:trHeight w:val="202"/>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120"/>
              <w:spacing w:after="0"/>
              <w:rPr>
                <w:sz w:val="20"/>
                <w:szCs w:val="20"/>
                <w:color w:val="auto"/>
              </w:rPr>
            </w:pPr>
            <w:r>
              <w:rPr>
                <w:rFonts w:ascii="Arial" w:cs="Arial" w:eastAsia="Arial" w:hAnsi="Arial"/>
                <w:sz w:val="16"/>
                <w:szCs w:val="16"/>
                <w:b w:val="1"/>
                <w:bCs w:val="1"/>
                <w:color w:val="auto"/>
              </w:rPr>
              <w:t>Combined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(Assuming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ind w:left="120"/>
              <w:spacing w:after="0"/>
              <w:rPr>
                <w:sz w:val="20"/>
                <w:szCs w:val="20"/>
                <w:color w:val="auto"/>
              </w:rPr>
            </w:pPr>
            <w:r>
              <w:rPr>
                <w:rFonts w:ascii="Arial" w:cs="Arial" w:eastAsia="Arial" w:hAnsi="Arial"/>
                <w:sz w:val="16"/>
                <w:szCs w:val="16"/>
                <w:b w:val="1"/>
                <w:bCs w:val="1"/>
                <w:color w:val="auto"/>
              </w:rPr>
              <w:t>Combined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7"/>
              </w:rPr>
              <w:t>(Assuming</w:t>
            </w:r>
          </w:p>
        </w:tc>
      </w:tr>
      <w:tr>
        <w:trPr>
          <w:trHeight w:val="210"/>
        </w:trPr>
        <w:tc>
          <w:tcPr>
            <w:tcW w:w="4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120"/>
              <w:spacing w:after="0"/>
              <w:rPr>
                <w:sz w:val="20"/>
                <w:szCs w:val="20"/>
                <w:color w:val="auto"/>
              </w:rPr>
            </w:pPr>
            <w:r>
              <w:rPr>
                <w:rFonts w:ascii="Arial" w:cs="Arial" w:eastAsia="Arial" w:hAnsi="Arial"/>
                <w:sz w:val="16"/>
                <w:szCs w:val="16"/>
                <w:b w:val="1"/>
                <w:bCs w:val="1"/>
                <w:color w:val="auto"/>
              </w:rPr>
              <w:t>(Assuming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Maximum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120"/>
              <w:spacing w:after="0"/>
              <w:rPr>
                <w:sz w:val="20"/>
                <w:szCs w:val="20"/>
                <w:color w:val="auto"/>
              </w:rPr>
            </w:pPr>
            <w:r>
              <w:rPr>
                <w:rFonts w:ascii="Arial" w:cs="Arial" w:eastAsia="Arial" w:hAnsi="Arial"/>
                <w:sz w:val="16"/>
                <w:szCs w:val="16"/>
                <w:b w:val="1"/>
                <w:bCs w:val="1"/>
                <w:color w:val="auto"/>
              </w:rPr>
              <w:t>(Assuming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7"/>
              </w:rPr>
              <w:t>Maximum</w:t>
            </w:r>
          </w:p>
        </w:tc>
      </w:tr>
      <w:tr>
        <w:trPr>
          <w:trHeight w:val="218"/>
        </w:trPr>
        <w:tc>
          <w:tcPr>
            <w:tcW w:w="4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Arial" w:cs="Arial" w:eastAsia="Arial" w:hAnsi="Arial"/>
                <w:sz w:val="16"/>
                <w:szCs w:val="16"/>
                <w:b w:val="1"/>
                <w:bCs w:val="1"/>
                <w:color w:val="auto"/>
                <w:w w:val="96"/>
              </w:rPr>
              <w:t>No Redemptions)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Redemptions)</w:t>
            </w:r>
          </w:p>
        </w:tc>
        <w:tc>
          <w:tcPr>
            <w:tcW w:w="1420" w:type="dxa"/>
            <w:vAlign w:val="bottom"/>
            <w:gridSpan w:val="5"/>
          </w:tcPr>
          <w:p>
            <w:pPr>
              <w:ind w:left="100"/>
              <w:spacing w:after="0"/>
              <w:rPr>
                <w:sz w:val="20"/>
                <w:szCs w:val="20"/>
                <w:color w:val="auto"/>
              </w:rPr>
            </w:pPr>
            <w:r>
              <w:rPr>
                <w:rFonts w:ascii="Arial" w:cs="Arial" w:eastAsia="Arial" w:hAnsi="Arial"/>
                <w:sz w:val="16"/>
                <w:szCs w:val="16"/>
                <w:b w:val="1"/>
                <w:bCs w:val="1"/>
                <w:color w:val="auto"/>
                <w:w w:val="98"/>
              </w:rPr>
              <w:t>No Redemptions)</w:t>
            </w:r>
          </w:p>
        </w:tc>
        <w:tc>
          <w:tcPr>
            <w:tcW w:w="80" w:type="dxa"/>
            <w:vAlign w:val="bottom"/>
          </w:tcPr>
          <w:p>
            <w:pPr>
              <w:spacing w:after="0"/>
              <w:rPr>
                <w:sz w:val="18"/>
                <w:szCs w:val="18"/>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Redemptions)</w:t>
            </w:r>
          </w:p>
        </w:tc>
      </w:tr>
      <w:tr>
        <w:trPr>
          <w:trHeight w:val="198"/>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Basic Earnings Per Share</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Pro Forma Net Income Attributable to Common Shareholders</w:t>
            </w:r>
          </w:p>
        </w:tc>
        <w:tc>
          <w:tcPr>
            <w:tcW w:w="940" w:type="dxa"/>
            <w:vAlign w:val="bottom"/>
            <w:gridSpan w:val="3"/>
          </w:tcPr>
          <w:p>
            <w:pPr>
              <w:ind w:left="840"/>
              <w:spacing w:after="0"/>
              <w:rPr>
                <w:sz w:val="20"/>
                <w:szCs w:val="20"/>
                <w:color w:val="auto"/>
              </w:rPr>
            </w:pPr>
            <w:r>
              <w:rPr>
                <w:rFonts w:ascii="Arial" w:cs="Arial" w:eastAsia="Arial" w:hAnsi="Arial"/>
                <w:sz w:val="16"/>
                <w:szCs w:val="16"/>
                <w:color w:val="auto"/>
                <w:w w:val="89"/>
              </w:rPr>
              <w:t>$</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2,540</w:t>
            </w:r>
          </w:p>
        </w:tc>
        <w:tc>
          <w:tcPr>
            <w:tcW w:w="2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2,540</w:t>
            </w:r>
          </w:p>
        </w:tc>
        <w:tc>
          <w:tcPr>
            <w:tcW w:w="12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2,540</w:t>
            </w:r>
          </w:p>
        </w:tc>
        <w:tc>
          <w:tcPr>
            <w:tcW w:w="14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2,540</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 Weighted Average Shares Outstanding</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65,514,157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62,132,126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63,365,194</w:t>
            </w: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6"/>
                <w:szCs w:val="16"/>
                <w:b w:val="1"/>
                <w:bCs w:val="1"/>
                <w:color w:val="auto"/>
              </w:rPr>
              <w:t>Pro Forma Basic Earnings Per Share</w:t>
            </w:r>
          </w:p>
        </w:tc>
        <w:tc>
          <w:tcPr>
            <w:tcW w:w="940" w:type="dxa"/>
            <w:vAlign w:val="bottom"/>
            <w:gridSpan w:val="3"/>
          </w:tcPr>
          <w:p>
            <w:pPr>
              <w:ind w:left="840"/>
              <w:spacing w:after="0"/>
              <w:rPr>
                <w:sz w:val="20"/>
                <w:szCs w:val="20"/>
                <w:color w:val="auto"/>
              </w:rPr>
            </w:pPr>
            <w:r>
              <w:rPr>
                <w:rFonts w:ascii="Arial" w:cs="Arial" w:eastAsia="Arial" w:hAnsi="Arial"/>
                <w:sz w:val="16"/>
                <w:szCs w:val="16"/>
                <w:color w:val="auto"/>
                <w:w w:val="89"/>
              </w:rPr>
              <w:t>$</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0.04</w:t>
            </w:r>
          </w:p>
        </w:tc>
        <w:tc>
          <w:tcPr>
            <w:tcW w:w="2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0.04</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6"/>
                <w:szCs w:val="16"/>
                <w:b w:val="1"/>
                <w:bCs w:val="1"/>
                <w:color w:val="auto"/>
              </w:rPr>
              <w:t>Pro Forma Diluted Earnings Per Share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 Forma Net Income Attributable to Common Shareholders</w:t>
            </w:r>
          </w:p>
        </w:tc>
        <w:tc>
          <w:tcPr>
            <w:tcW w:w="94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w w:val="89"/>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2,540</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2,540</w:t>
            </w: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Diluted Weighted Average Shares Outstanding</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66,747,225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63,365,194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66,747,225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63,365,194</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Diluted Earnings Per Share</w:t>
            </w:r>
          </w:p>
        </w:tc>
        <w:tc>
          <w:tcPr>
            <w:tcW w:w="94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w w:val="89"/>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0.04</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Weighted Average Shares - Basic</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M I Merger Consideration Shares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58,630,277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58,630,277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59,863,345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59,863,345</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MI Founder Shares Held by the Sellers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453,210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453,210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453,210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453,210</w:t>
            </w: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MI Private Placement Shares Held by the Sellers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421,107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421,107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421,107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421,107</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Founders Shares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699,454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699,454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699,454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699,454</w:t>
            </w:r>
          </w:p>
        </w:tc>
        <w:tc>
          <w:tcPr>
            <w:tcW w:w="80" w:type="dxa"/>
            <w:vAlign w:val="bottom"/>
            <w:shd w:val="clear" w:color="auto" w:fill="CCEEFF"/>
          </w:tcPr>
          <w:p>
            <w:pPr>
              <w:spacing w:after="0"/>
              <w:rPr>
                <w:sz w:val="17"/>
                <w:szCs w:val="17"/>
                <w:color w:val="auto"/>
              </w:rPr>
            </w:pPr>
          </w:p>
        </w:tc>
      </w:tr>
      <w:tr>
        <w:trPr>
          <w:trHeight w:val="212"/>
        </w:trPr>
        <w:tc>
          <w:tcPr>
            <w:tcW w:w="4900" w:type="dxa"/>
            <w:vAlign w:val="bottom"/>
          </w:tcPr>
          <w:p>
            <w:pPr>
              <w:ind w:left="160"/>
              <w:spacing w:after="0"/>
              <w:rPr>
                <w:sz w:val="20"/>
                <w:szCs w:val="20"/>
                <w:color w:val="auto"/>
              </w:rPr>
            </w:pPr>
            <w:r>
              <w:rPr>
                <w:rFonts w:ascii="Arial" w:cs="Arial" w:eastAsia="Arial" w:hAnsi="Arial"/>
                <w:sz w:val="16"/>
                <w:szCs w:val="16"/>
                <w:color w:val="auto"/>
              </w:rPr>
              <w:t>Shares Held by Current M I Shareholders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5,310,109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1,928,078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5,310,109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1,928,078</w:t>
            </w:r>
          </w:p>
        </w:tc>
        <w:tc>
          <w:tcPr>
            <w:tcW w:w="80" w:type="dxa"/>
            <w:vAlign w:val="bottom"/>
          </w:tcPr>
          <w:p>
            <w:pPr>
              <w:spacing w:after="0"/>
              <w:rPr>
                <w:sz w:val="18"/>
                <w:szCs w:val="18"/>
                <w:color w:val="auto"/>
              </w:rPr>
            </w:pPr>
          </w:p>
        </w:tc>
      </w:tr>
      <w:tr>
        <w:trPr>
          <w:trHeight w:val="209"/>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 Forma Weighted Average Shares - Basic</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65,514,157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62,132,126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66,747,225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63,365,194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5"/>
        </w:trPr>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Dilutive Shares - GS Warrant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1,233,068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1,233,068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r>
      <w:tr>
        <w:trPr>
          <w:trHeight w:val="206"/>
        </w:trPr>
        <w:tc>
          <w:tcPr>
            <w:tcW w:w="4900" w:type="dxa"/>
            <w:vAlign w:val="bottom"/>
          </w:tcPr>
          <w:p>
            <w:pPr>
              <w:spacing w:after="0"/>
              <w:rPr>
                <w:sz w:val="20"/>
                <w:szCs w:val="20"/>
                <w:color w:val="auto"/>
              </w:rPr>
            </w:pPr>
            <w:r>
              <w:rPr>
                <w:rFonts w:ascii="Arial" w:cs="Arial" w:eastAsia="Arial" w:hAnsi="Arial"/>
                <w:sz w:val="16"/>
                <w:szCs w:val="16"/>
                <w:b w:val="1"/>
                <w:bCs w:val="1"/>
                <w:color w:val="auto"/>
              </w:rPr>
              <w:t>Pro Forma Weighted Average Shares - Diluted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66,747,225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63,365,194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66,747,225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63,365,194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23"/>
        <w:spacing w:after="0" w:line="284" w:lineRule="auto"/>
        <w:rPr>
          <w:sz w:val="20"/>
          <w:szCs w:val="20"/>
          <w:color w:val="auto"/>
        </w:rPr>
      </w:pPr>
      <w:r>
        <w:rPr>
          <w:rFonts w:ascii="Arial" w:cs="Arial" w:eastAsia="Arial" w:hAnsi="Arial"/>
          <w:sz w:val="16"/>
          <w:szCs w:val="16"/>
          <w:color w:val="auto"/>
        </w:rPr>
        <w:t>M I Acquisitions currently has 5,731,216 Warrants sold during the IPO to purchase up to a total of 5,731,216 common shares. The Warrants are exercisable at $11.50 per share amounts which exceeds the current market price of common stock and the approximate per share redemption price. These warrants are considered anti-dilutive and excluded from the earnings per share calculation when the exercise price exceeds the average market value of the common stock price during the applicable period. M I Acquisitions sold to the IPO underwriters, Chardan Capital Markets, LLC,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offered in the IPO. M I Acquisitions has agreed to grant to the holders of the unit purchase option, demand and “piggy back” registration rights for periods of five and seven years, respectively, from September 13, 2016, including securities directly and indirectly issuable upon exercise of the unit purchase option. M I Acquisitions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 This unit purchase option is considered anti-dilutive and excluded from the earnings per share calculation when the exercise price exceeds the average market value of the common stock price during the applicable period. Pursuant to the Purchase Agreement, if the GS Warrant is still outstanding, at the Closing, M I Acquisitions shall issue a Replacement GS Warrant to Goldman Sachs in exchange for the cancellation of the current GS Warrant on substantially the same terms of the GS Warrant, which shall be exercisable for an aggregate number of shares of common stock, rounded to the nearest whole share, that Goldman Sachs would be entitled to receive at the closing of the Business Combination if the GS</w:t>
      </w:r>
    </w:p>
    <w:p>
      <w:pPr>
        <w:sectPr>
          <w:pgSz w:w="11900" w:h="16838" w:orient="portrait"/>
          <w:cols w:equalWidth="0" w:num="1">
            <w:col w:w="11420"/>
          </w:cols>
          <w:pgMar w:left="240" w:top="919" w:right="239" w:bottom="0" w:gutter="0" w:footer="0" w:header="0"/>
          <w:type w:val="continuous"/>
        </w:sectPr>
      </w:pPr>
    </w:p>
    <w:bookmarkStart w:id="130" w:name="page131"/>
    <w:bookmarkEnd w:id="130"/>
    <w:p>
      <w:pPr>
        <w:jc w:val="both"/>
        <w:spacing w:after="0" w:line="255" w:lineRule="auto"/>
        <w:rPr>
          <w:sz w:val="20"/>
          <w:szCs w:val="20"/>
          <w:color w:val="auto"/>
        </w:rPr>
      </w:pPr>
      <w:r>
        <w:rPr>
          <w:rFonts w:ascii="Arial" w:cs="Arial" w:eastAsia="Arial" w:hAnsi="Arial"/>
          <w:sz w:val="18"/>
          <w:szCs w:val="18"/>
          <w:color w:val="auto"/>
        </w:rPr>
        <w:t>Warrant had been exercised immediately prior to closing. If the existing warrant has been exercised, then Goldman Sachs shall be entitled to receive a portion of the Merger Consideration and no replacement warrant will be issued at the closing. If the GS Warrant is otherwise no longer outstanding but has not been exercised, then Goldman Sachs shall not be entitled to receive any Merger Consideration and no replacement warrant shall be issued. The GS Replacement Warrant is exercisable at any time and as the exercise price is zero and the stock price as of January 1, 2017 is $10.04, these warrants if exercised at the Closing date will be dilutive.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PRIORITY’S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section, unless otherwise noted “we”, “us” and the “Company” refer to Priority and its consolidated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Priority is a leading provider of merchant acquiring and commercial payment solutions, offering unique product capabilities to small and mid-sized businesses (“SMBs”), enterprises and distribution partners (Retail ISO’s, Financial Institutions, Wholesale ISO’s and ISV’s) in the United States. The Company was founded in 2005 with a mission to build a merchant inspired payments platform that would advance the goals of its SMB and enterprise clients and distribution partners. Since 2013, Priority has grown from the 38th largest U.S. merchant acquirer to become the 13th largest as of the end of 2017, measured by Visa and</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MasterCard purchase volume according to The Nilson Report. Priority is currently the 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largest non-bank merchant acquirer in the United States. In 2017, the Company processed over 439 million transactions and over $34 billion in bankcard payment volume across approximately 174,000 merchants. In the three months ended March 31, 2018, Priority processed over 110 million transactions and over $9 billion in bankcard payment volume across approximately the same number of merchants. Headquartered in Alpharetta, GA, Priority has approximately 480 employees and is led by an experienced group of payments executives.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Priority’s growth has been underpinned by three key strengths: (1) a cost-efficient, agile payment and business processing infrastructure, known internally as Vortex.Cloud and Vortex.OS, (2) two proprietary product platforms: the MX product suite targeting the consumer payments market and the CPX product suite targeting the Commercial payments market and (3) focused distribution engines dedicated to selling into business-to-consumer (“B2C”) and commercial payments (“B2B”) markets.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MX Product line, provides technology-enabled payment acceptance and business management capabilities to merchants, enterprises and its distribution partners (“Resellers”). The MX product line includes: Priority’s MX ISO/Agent and VIMAS reseller technology systems (collectively referred to as “MX Connect”) and MX Merchant products, which together provide resellers and merchant clients, a flexible and customizable set of business applications that help better manage critical business work functions and revenue performance using core payment processing as its leverage point. MX Connect provides Priority’s consumer payments reselling partners with automated tools that support low friction merchant on-boarding, underwriting and risk management, client service, and commission processing through a single mobile-enabled, web-based interface. The result is a smooth merchant activation onto Priority’s flagship consumer payments offering, MX Merchant, which provides core processing and business solutions to SMB clients. In addition to payment processing, the MX Merchant product line encompasses a variety of proprietary and third-party product applications (“Apps”) that merchants can adopt such as MX Insights, MX Storefront, MX Retail, MX Invoice, MX B2B and ACH.com, among others. This comprehensive suite of solutions enables merchants to identify key consumer trends in their business, quickly implement e-commerce or retail POS solutions, and even handle ACH payments. By empowering resellers to adopt a consultative selling approach and embedding its technology into the critical day-to-day workflows and operations of both merchants and resellers, Priority has established and maintained “sticky” relationships. Strong retention, coupled with consistent merchant boarding, have resulted in strong processing volume and revenue growth.</w:t>
      </w:r>
    </w:p>
    <w:p>
      <w:pPr>
        <w:spacing w:after="0" w:line="18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Commercial Payments Exchange (“CPX”) platform, like the MX Product line, provides a complete solution suite designed to monetize all types of B2B payments by maximizing automation for buyers and suppliers. CPX supports virtual card, purchase card, electronic fund transfer, ACH and check payments, intelligently routing each transaction via the optimal payment method. Underlying its MX and CPX platforms is the Company’s Vortex.Cloud and Vortex.OS enterprise infrastructure, a curated cloud and application programming interface (“API”) driven operating system built for scale and agility.</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Priority developed an entirely virtual computing infrastructure in 2012. This infrastructure, known as Vortex. Cloud, is a highly-available, redundant, and audited (PCI, HIPAA, NACHA, and SOC) computing platform that provides 99.999 uptime with centralized security and technical operations. All computational and IP assets of Priority’s operating companies are hosted and managed on Vortex.Cloud infrastructure. Upon Vortex.Cloud, Priority has constructed a uniform set of API’s, called Vortex.OS (operating system), that provide critical functionality to Priority’s payment divisions. The Vortex OS APIs provide electronic payments, security/crypto, data persistence, time series data (events), and artificial intelligence (AI). The MX and CPX product platforms leverage Vortex.OS and Vortex.Cloud for maximum scalability, high-availability, security, and access to advanced feature sets. The combined result is a purpose build infrastructure and product offering that produces solid organic growth and profit margin results. Furthermore, in addition to supporting a modern product stack, Vortex.Cloud and Vortex.OS enable the rapid inclusion of data and systems of acquisition targets for smooth consolidation to the Priority operating infrastructure and accelerate achievement of revenue and cost synergies.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32" w:name="page133"/>
    <w:bookmarkEnd w:id="132"/>
    <w:p>
      <w:pPr>
        <w:jc w:val="both"/>
        <w:spacing w:after="0" w:line="285" w:lineRule="auto"/>
        <w:rPr>
          <w:sz w:val="20"/>
          <w:szCs w:val="20"/>
          <w:color w:val="auto"/>
        </w:rPr>
      </w:pPr>
      <w:r>
        <w:rPr>
          <w:rFonts w:ascii="Arial" w:cs="Arial" w:eastAsia="Arial" w:hAnsi="Arial"/>
          <w:sz w:val="16"/>
          <w:szCs w:val="16"/>
          <w:color w:val="auto"/>
        </w:rPr>
        <w:t>Priority sells its B2C merchant acquiring solutions primarily to SMBs through a growing and diverse reseller network, including Independent Sales Organizations (“ISOs”), Financial Institutions (“FIs”), Independent Software Vendors (“ISVs”), Value-Added Resellers (“VARs”) and other referral partners. The Company maintains stable, long-term relationships with its resellers, bolstered by the integration of MX Connect, a powerful customer relationship management (“CRM”) and business operating system. MX Connect is used by Priority’s resellers and internal teams to manage their merchant base and accelerate the growth of their businesses through various value-added tools and resources which include marketing resources, automated onboarding, merchant underwriting, merchant activity monitoring and reporting. In addition, Priority offers ISVs and VARs a technology “agnostic” and feature rich API, providing developers with the ability to integrate electronic payment acceptance into their software and improve boarding efficiency for their merchant base. For the end user, MX Merchant provides a customizable, virtual terminal with proprietary business management tools and add-on applications (“apps”) that create an integrated merchant experience. MX Merchant’s add-on apps include invoicing, website builder, inventory management and customer engagement and data analytics focused on targeted marketing among others. These proprietary business management tools and add-on applications, coupled with its omni-channel payment solutions, enable Priority to achieve attrition rates that, Priority believes, are well below industry average. MX Merchant can be deployed on hardware from a variety of vendors and operated either as a standalone product or integrated with third-party software. Through MX Merchant, Priority is well-positioned to capitalize on the trend towards integrated payments solutions, new technology adoption, and value-added service utilization in the SMB market. Priority’s broad go-to-market strategy has resulted in a merchant base that is both industry and geographically diversified in the United States, resulting in low industry and merchant concentration.</w:t>
      </w:r>
    </w:p>
    <w:p>
      <w:pPr>
        <w:spacing w:after="0" w:line="3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Priority’s B2C offering, Priority has diversified its source of revenues through its growing presence in the B2B market. Priority works with enterprise clients and leading financial institutions seeking to automate their accounts payable processes. Priority provides curated managed services and a robust suite of integrated accounts payable automation solutions to industry leading financial institutions and card networks such as Citibank, MasterCard, Visa and American Express, among others. Unlike the consumer payments business which advocates a variable cost indirect sales strategy, Priority Commercial Payments supports a direct sales model that provides turnkey merchant development, product sales, and supplier enablement programs. CPX offers clients a seamless bridge for buyer to supplier (payor to provider) payments by integrating directly to “buyers” payment instruction file and parsing it for payment to their suppliers via virtual card, purchase card, ACH +, dynamic discounting, or check. Successful implementation of its accounts payable ("AP") automation solutions provides suppliers with the benefits of cash acceleration, buyers with valuable rebate/discount revenue, and Priority with stable sources of payment processing and other revenue. Considering that the commercial payments volume in the United States is over twice the size of consumer payments and substantially less penetrated for electronic payments, this market represents a high growth opportunity for Priority.</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 generates revenue primarily from fees charged for processing payment transactions, and to a lesser extent, from monthly subscription services and other solutions provided to merchants. Processing fees are generated from the ongoing sales of Priority’s merchants under multi-year merchant contracts, and thus are highly recurring in nature. Due to the nature of Priority’s strong reseller-centric distribution model and differentiated technology offering, Priority can drive efficient scale and operating leverage, generating robust margins and profitability.</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year ended December 31, 2017, Priority generated revenue of $425.6 million, net income of $4.6 million and Adjusted EBITDA of $58 million, compared to revenue of $344.1 million, net income of $20.2 million and Adjusted EBITDA of $46.7 million for the year ended December 31, 2016, an increase of 24%, a decrease of 77%, and an increase of 24% for revenue, net income and Adjusted EBITDA, respectively. For the three months ended March 31, 2018, Priority generated revenue of $115.6 million, a net loss of $3.2 million and Adjusted EBITDA of $15.8 million, compared to revenue of $93.1 million, net loss of $1.2 million and Adjusted EBITDA of $11.4 million for the three months ended March 31, 2017, an increase of 24.2%, 160.2% and 38.7% for revenue, net loss and Adjusted EBITDA, respectively. For a discussion of Adjusted EBITDA and a reconciliation of net income, the most directly comparable measure under GAAP, to Adjusted EBITDA, please see the section entitled “Management’s Discussion and Analysis of Financial Conditions and Results of Operations of Priority—Certain Non-GAAP Measures” elsewhere in this proxy statement.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Industry Overview</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B2C payment processing industry provides merchants with credit, debit, gift and loyalty card and other payment processing services, along with related value-added solutions and information services. The industry continues to grow, driven by wider merchant acceptance, increased consumer use of electronic payments and advances in payment technology. The proliferation of bankcards and use of other payment technologies has made the acceptance of electronic payments through multiple channels a virtual necessity for many businesses, regardless of size, to remain competitive. This increased use and acceptance of bankcards and the availability of more sophisticated products and services has resulted in a highly competitive and specialized industry.</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SMB merchants increasingly recognize the need for value-added services wrapped around omni-channel payment solutions that are tailored to their specific business needs.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Industry Trends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key trends Priority believes are impacting the merchant acquiring / payment processing industry:</w:t>
      </w:r>
    </w:p>
    <w:p>
      <w:pPr>
        <w:spacing w:after="0" w:line="223" w:lineRule="exact"/>
        <w:rPr>
          <w:sz w:val="20"/>
          <w:szCs w:val="20"/>
          <w:color w:val="auto"/>
        </w:rPr>
      </w:pPr>
    </w:p>
    <w:p>
      <w:pPr>
        <w:jc w:val="both"/>
        <w:ind w:left="660" w:hanging="330"/>
        <w:spacing w:after="0" w:line="255"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Trend Toward Electronic Transactions</w:t>
      </w:r>
      <w:r>
        <w:rPr>
          <w:rFonts w:ascii="Arial" w:cs="Arial" w:eastAsia="Arial" w:hAnsi="Arial"/>
          <w:sz w:val="18"/>
          <w:szCs w:val="18"/>
          <w:color w:val="auto"/>
        </w:rPr>
        <w:t>. Priority believes the continued shift from cash / paper payments toward electronic / card payments will drive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for merchant acquirers and processors as volume continues to grow correspondingly. According to The Nilson Report published in December 2017, card and electronic-based payments will make-up 83% of U.S. consumer payments (dollar volume) by 2021, compared to 64% and 75% in 2011 and 2016, respectively. Priority believes the continued migration from cash to card and overall market growth will continue to provide tailwinds to the electronic payments industry.</w:t>
      </w:r>
    </w:p>
    <w:p>
      <w:pPr>
        <w:spacing w:after="0" w:line="190" w:lineRule="exact"/>
        <w:rPr>
          <w:rFonts w:ascii="Arial" w:cs="Arial" w:eastAsia="Arial" w:hAnsi="Arial"/>
          <w:sz w:val="18"/>
          <w:szCs w:val="18"/>
          <w:color w:val="auto"/>
        </w:rPr>
      </w:pPr>
    </w:p>
    <w:p>
      <w:pPr>
        <w:jc w:val="both"/>
        <w:ind w:left="660" w:hanging="330"/>
        <w:spacing w:after="0" w:line="271" w:lineRule="auto"/>
        <w:tabs>
          <w:tab w:leader="none" w:pos="660"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 xml:space="preserve">Increasing Demand for Integrated Payments. </w:t>
      </w:r>
      <w:r>
        <w:rPr>
          <w:rFonts w:ascii="Arial" w:cs="Arial" w:eastAsia="Arial" w:hAnsi="Arial"/>
          <w:sz w:val="17"/>
          <w:szCs w:val="17"/>
          <w:color w:val="auto"/>
        </w:rPr>
        <w:t>Merchant acquirers are increasingly differentiating themselves from competitors via innovative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including integrated POS solutions (“integrated payments”). Integrated payments refer to the integration of payment processing with various software solutions and applications that are sold by VARs and ISVs. Integrated software tools help merchants manage their businesses, streamline processes, lower costs, increase accuracy, and drive growth for businesses. The broader solutions delivered as part of an integrated payments platform have become an increasingly important consideration point for many SMBs, whereas pricing was historically the key factor influencing the selection of a merchant acquirer. Merchant acquirers that partner with VARs and ISVs to integrate payments with software or own the software outright may benefit most from new revenue streams and higher merchant retention.</w:t>
      </w:r>
    </w:p>
    <w:p>
      <w:pPr>
        <w:spacing w:after="0" w:line="175" w:lineRule="exact"/>
        <w:rPr>
          <w:rFonts w:ascii="Arial" w:cs="Arial" w:eastAsia="Arial" w:hAnsi="Arial"/>
          <w:sz w:val="17"/>
          <w:szCs w:val="17"/>
          <w:color w:val="auto"/>
        </w:rPr>
      </w:pPr>
    </w:p>
    <w:p>
      <w:pPr>
        <w:jc w:val="both"/>
        <w:ind w:left="660" w:hanging="330"/>
        <w:spacing w:after="0" w:line="258"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 xml:space="preserve">Mobile Payments. </w:t>
      </w:r>
      <w:r>
        <w:rPr>
          <w:rFonts w:ascii="Arial" w:cs="Arial" w:eastAsia="Arial" w:hAnsi="Arial"/>
          <w:sz w:val="18"/>
          <w:szCs w:val="18"/>
          <w:color w:val="auto"/>
        </w:rPr>
        <w:t>Historically, ecommerce was conducted on a computer via a web browser; however, as mobile technologies continue to proliferate,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are making more purchases through mobile browsers and native mobile applications. Priority believes this shift represents a significant opportunity given the high growth rates of mobile payments volume, higher fees for card-not-present and cross-border processing and potential for the in-app economy to stimulate and/or alter consumer spending behavior.</w:t>
      </w:r>
    </w:p>
    <w:p>
      <w:pPr>
        <w:spacing w:after="0" w:line="185" w:lineRule="exact"/>
        <w:rPr>
          <w:rFonts w:ascii="Arial" w:cs="Arial" w:eastAsia="Arial" w:hAnsi="Arial"/>
          <w:sz w:val="18"/>
          <w:szCs w:val="18"/>
          <w:color w:val="auto"/>
        </w:rPr>
      </w:pPr>
    </w:p>
    <w:p>
      <w:pPr>
        <w:jc w:val="both"/>
        <w:ind w:left="660" w:hanging="330"/>
        <w:spacing w:after="0" w:line="310" w:lineRule="auto"/>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 xml:space="preserve">Migration to EMV. </w:t>
      </w:r>
      <w:r>
        <w:rPr>
          <w:rFonts w:ascii="Arial" w:cs="Arial" w:eastAsia="Arial" w:hAnsi="Arial"/>
          <w:sz w:val="16"/>
          <w:szCs w:val="16"/>
          <w:color w:val="auto"/>
        </w:rPr>
        <w:t>EMV, which stands for Europay, MasterCard and Visa, is the global payments standard that utilizes chip technology on cards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increase security. EMV technology employs dynamic authentication for each transaction, rendering any data copied from magnetic strip readers to produce counterfeit cards unusable. Demand for EMV ready terminals should remain resilient in the near term due to the following:</w:t>
      </w:r>
    </w:p>
    <w:p>
      <w:pPr>
        <w:spacing w:after="0" w:line="147" w:lineRule="exact"/>
        <w:rPr>
          <w:rFonts w:ascii="Arial" w:cs="Arial" w:eastAsia="Arial" w:hAnsi="Arial"/>
          <w:sz w:val="16"/>
          <w:szCs w:val="16"/>
          <w:color w:val="auto"/>
        </w:rPr>
      </w:pPr>
    </w:p>
    <w:p>
      <w:pPr>
        <w:ind w:left="980" w:hanging="327"/>
        <w:spacing w:after="0" w:line="275" w:lineRule="auto"/>
        <w:tabs>
          <w:tab w:leader="none" w:pos="9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United States was one of the last countries to adopt EMV technology, leaving a large group of merchants still transitioning to the EMV standards; and</w:t>
      </w:r>
    </w:p>
    <w:p>
      <w:pPr>
        <w:spacing w:after="0" w:line="170" w:lineRule="exact"/>
        <w:rPr>
          <w:rFonts w:ascii="Arial" w:cs="Arial" w:eastAsia="Arial" w:hAnsi="Arial"/>
          <w:sz w:val="18"/>
          <w:szCs w:val="18"/>
          <w:color w:val="auto"/>
        </w:rPr>
      </w:pPr>
    </w:p>
    <w:p>
      <w:pPr>
        <w:ind w:left="980" w:hanging="327"/>
        <w:spacing w:after="0" w:line="275" w:lineRule="auto"/>
        <w:tabs>
          <w:tab w:leader="none" w:pos="9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U.S. merchants are penalized for failing to comply with EMV standards by bearing the chargeback risk when presented with an EMV enabled card when the terminal is non-compliant.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4" w:name="page135"/>
    <w:bookmarkEnd w:id="134"/>
    <w:p>
      <w:pPr>
        <w:jc w:val="both"/>
        <w:ind w:right="20"/>
        <w:spacing w:after="0" w:line="275" w:lineRule="auto"/>
        <w:rPr>
          <w:sz w:val="20"/>
          <w:szCs w:val="20"/>
          <w:color w:val="auto"/>
        </w:rPr>
      </w:pPr>
      <w:r>
        <w:rPr>
          <w:rFonts w:ascii="Arial" w:cs="Arial" w:eastAsia="Arial" w:hAnsi="Arial"/>
          <w:sz w:val="18"/>
          <w:szCs w:val="18"/>
          <w:color w:val="auto"/>
        </w:rPr>
        <w:t>The large majority of Priority’s third-party products are EMV enabled, and Priority expects that most new hardware sales will be EMV enabled devices, although all hardware sales constitute only a small portion of the Priority’s total revenue.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B2B payments is the largest payment market in the United States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 Business Insider estimates that over 51% of B2B volume was paid via check in 2016, mainly due to the complex and cumbersome process associated with B2B payments, including invoicing, delayed payment terms and use of multiple banks.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Electronics Payments Overview</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payment processing and services industry provides the infrastructure and services necessary to enable the acceptance, processing, clearing and settlement of electronic payments predominantly consisting of credit card, debit card, ACH payments, gift cards and loyalty rewards programs. Characterized by recurring revenues, high operating leverage, and robust cash flow generation, the industry continues to benefit from the mass migration from cash and checks to electronic payments. According to The Nilson Report, purchase volume on credit, debit and prepaid cards in the United States was approximately $6.2 trillion in 2016 and is estimated to reach nearly $8.5 trillion by 2021, a CAGR of 6.6%.</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There are five key participants in the payment processing value chain: (i) card issuing banks, (ii) merchant acquirers, (iii) payment networks and (iv) merchant processors and (v) sponsor banks. Each of these participants performs key functions in the electronic payments process, while other entities, such as terminal manufacturers, gateway providers and independent sales organizations also play important functions within the value chain.</w:t>
      </w:r>
    </w:p>
    <w:p>
      <w:pPr>
        <w:spacing w:after="0" w:line="164" w:lineRule="exact"/>
        <w:rPr>
          <w:sz w:val="20"/>
          <w:szCs w:val="20"/>
          <w:color w:val="auto"/>
        </w:rPr>
      </w:pPr>
    </w:p>
    <w:p>
      <w:pPr>
        <w:jc w:val="both"/>
        <w:ind w:left="660" w:hanging="330"/>
        <w:spacing w:after="0" w:line="262"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Card Issuing Banks </w:t>
      </w:r>
      <w:r>
        <w:rPr>
          <w:rFonts w:ascii="Arial" w:cs="Arial" w:eastAsia="Arial" w:hAnsi="Arial"/>
          <w:sz w:val="18"/>
          <w:szCs w:val="18"/>
          <w:color w:val="auto"/>
        </w:rPr>
        <w:t>– Typically financial institutions that issue credit/debit cards to consumers (also underwrite the risk associated the cards),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(check for fraud and sufficient funds) transactions and transfer funds through the payment networks for settlement. Some card issuers do not have the ability to process transactions in-house, in which case the issuer may engage a card processor.</w:t>
      </w:r>
    </w:p>
    <w:p>
      <w:pPr>
        <w:spacing w:after="0" w:line="182"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Merchant Acquirers </w:t>
      </w:r>
      <w:r>
        <w:rPr>
          <w:rFonts w:ascii="Arial" w:cs="Arial" w:eastAsia="Arial" w:hAnsi="Arial"/>
          <w:sz w:val="18"/>
          <w:szCs w:val="18"/>
          <w:color w:val="auto"/>
        </w:rPr>
        <w:t>– Firms that sign up merchants to their platform through a variety of sales channels, enabling them to accept, process and settle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payments. Additionally, merchant acquirers provide other value-added services to help merchants run their businesses more efficiently, such as helping to select POS hardware and providing customer support and services.</w:t>
      </w:r>
    </w:p>
    <w:p>
      <w:pPr>
        <w:spacing w:after="0" w:line="18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Payment Networks </w:t>
      </w:r>
      <w:r>
        <w:rPr>
          <w:rFonts w:ascii="Arial" w:cs="Arial" w:eastAsia="Arial" w:hAnsi="Arial"/>
          <w:sz w:val="18"/>
          <w:szCs w:val="18"/>
          <w:color w:val="auto"/>
        </w:rPr>
        <w:t>– Card brand companies, such as MasterCard or Visa, that set rules and provide the rails to route transactions and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card issuers, merchant acquirers and payments processors in real-time over vast communication networks.</w:t>
      </w:r>
    </w:p>
    <w:p>
      <w:pPr>
        <w:spacing w:after="0" w:line="170"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Merchant Processors </w:t>
      </w:r>
      <w:r>
        <w:rPr>
          <w:rFonts w:ascii="Arial" w:cs="Arial" w:eastAsia="Arial" w:hAnsi="Arial"/>
          <w:sz w:val="18"/>
          <w:szCs w:val="18"/>
          <w:color w:val="auto"/>
        </w:rPr>
        <w:t>– Firms that provide the technology needed to allow for payment authorization, data transmission, data security and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Oftentimes the term merchant acquirer and processor are used synonymously; however, they perform two distinct functions (sometimes provided by the same entity).</w:t>
      </w:r>
    </w:p>
    <w:p>
      <w:pPr>
        <w:spacing w:after="0" w:line="182" w:lineRule="exact"/>
        <w:rPr>
          <w:rFonts w:ascii="Arial" w:cs="Arial" w:eastAsia="Arial" w:hAnsi="Arial"/>
          <w:sz w:val="18"/>
          <w:szCs w:val="18"/>
          <w:color w:val="auto"/>
        </w:rPr>
      </w:pPr>
    </w:p>
    <w:p>
      <w:pPr>
        <w:ind w:left="660" w:hanging="330"/>
        <w:spacing w:after="0" w:line="306" w:lineRule="auto"/>
        <w:tabs>
          <w:tab w:leader="none" w:pos="660" w:val="left"/>
        </w:tabs>
        <w:numPr>
          <w:ilvl w:val="0"/>
          <w:numId w:val="161"/>
        </w:numPr>
        <w:rPr>
          <w:rFonts w:ascii="Arial" w:cs="Arial" w:eastAsia="Arial" w:hAnsi="Arial"/>
          <w:sz w:val="17"/>
          <w:szCs w:val="17"/>
          <w:color w:val="auto"/>
        </w:rPr>
      </w:pPr>
      <w:r>
        <w:rPr>
          <w:rFonts w:ascii="Arial" w:cs="Arial" w:eastAsia="Arial" w:hAnsi="Arial"/>
          <w:sz w:val="17"/>
          <w:szCs w:val="17"/>
          <w:i w:val="1"/>
          <w:iCs w:val="1"/>
          <w:color w:val="auto"/>
        </w:rPr>
        <w:t xml:space="preserve">Sponsor Banks </w:t>
      </w:r>
      <w:r>
        <w:rPr>
          <w:rFonts w:ascii="Arial" w:cs="Arial" w:eastAsia="Arial" w:hAnsi="Arial"/>
          <w:sz w:val="17"/>
          <w:szCs w:val="17"/>
          <w:color w:val="auto"/>
        </w:rPr>
        <w:t>– Financial Institutions that are acquiring members of Visa and MasterCard and provide sponsorship access to acquirers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processors to the card networks. Sponsor banks provide merchants the ultimate access to the card networks for their processing activity.</w:t>
      </w:r>
    </w:p>
    <w:p>
      <w:pPr>
        <w:spacing w:after="0" w:line="147"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The industry also includes other third-party providers, including service, software and hardware companies that provide products and services designed to improve the experience for issuers, merchants and merchant acquirers. This category includes mobile payment enablers, terminal manufacturers, and ISV’s.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Each electronic payments transactions consists of two key steps: the front-end authorization and back end settlement.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5" w:name="page136"/>
    <w:bookmarkEnd w:id="135"/>
    <w:p>
      <w:pPr>
        <w:ind w:left="660" w:hanging="330"/>
        <w:spacing w:after="0" w:line="275"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Front End Authorization – The original request for payment authorization that occurs when the card is swiped or inserted at the POS or the data is entered into an online gateway.</w:t>
      </w:r>
    </w:p>
    <w:p>
      <w:pPr>
        <w:spacing w:after="0" w:line="170"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Back End Settlement – The settlement and clearing process consists of settling outstanding payables and receivables between the card issuing bank &amp; merchant bank. This process is facilitated by a back-end processor that utilizes the network’s platform to send outstanding payable information and funds between the two parties.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credit or debit card transaction carried out offline or through signature debit is a two-message process, with the front end occurring at the POS and the back end occurring later as a part of a batch processing system that clears all of the day’s payments from transaction occurring throughout the day. Credit and debit card transactions carried out with personal identification numbers (“PINs”) consist of a single message, whereby the authorization and clearing occurs immediately – the money is instantly debited from the cardholder’s checking account, although the settlement of funds (the transfer to the merchant’s account) may happen later as part of a batch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207000" cy="36703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07000" cy="367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Priority possesses certain attributes that differentiate it as a leading provider of merchant acquiring and commercial payment solutions in the United States. Its key competitive strengths include: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Purpose-Built Proprietary Technology</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Priority has strategically built its proprietary software to provide technology-enabled payment acceptance and business management solutions to merchants, enterprises and resellers. The MX product line is embedded into the critical day-to-day workflows and operations of both merchants and resellers, leading to highly “sticky” relationships and high retention. CPX provides a complete commercial solution suite that monetizes commercial payments and maximizes automation for buyers and suppliers. By integrating with Vortex.Cloud and Vortex.OS, MX and CPX can scale in a cost-effective and efficient manner, while enhancing features and functionality. Both product lines also support low friction merchant onboarding and an integrated value-added product offering for merchants, resellers and ISVs in the consumer and commercial payment space. Furthermore, in addition to supporting a modern user experience, Vortex.Cloud enables the rapid inclusion of data and systems of acquisition targets for smooth consolidation to the Priority operating infrastructure and accelerates achievement of revenue and of cost synergies.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i w:val="1"/>
          <w:iCs w:val="1"/>
          <w:color w:val="auto"/>
        </w:rPr>
        <w:t>Diverse Reseller Community</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Priority maintains strong reseller relationships with more than 800 ISOs, FIs, ISVs, VARs and other referral partners. MX Connect enables resellers to efficiently market merchant acquiring solutions to a broad base of merchants through this one-to-many distribution model. Resellers leverage MX Connect’s powerful CRM and business operating features to manage their internal sales teams and engage their merchant base through various value-added tools and resources, such as marketing resources, automated onboarding, merchant underwriting, merchant activity monitoring and reporting, to support the growth of their businesses. Priority believes that its ability to service its reseller partners through a comprehensive offering provides a competitive advantage that has allowed the company to build a large, diverse merchant base characterized by high retention. The strength of its technology offering is manifest in the fact that Priority maintains ownership of merchant contracts, with most reseller contracts including strong non-solicit and portability restrictions.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Suite of Payment Solutions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MX Merchant offers a comprehensive and differentiated suite of traditional and emerging payment products and services that enables SMBs to address their payment needs through one provider. Priority provides a payment processing platform that allows merchants to accept electronic payments (e.g. credit cards, debit cards, and ACH) at the point of sale (“POS”), online, and via mobile payment technologies. In addition, through MX Merchant, Priority delivers innovative business management products and add-on features (“apps”) that meet the needs of SMBs across different vertical markets. Through its MX Merchant platform, Priority believes it is well-positioned to capitalize on the trend towards integrated payments solutions, new technology adoption and value-add service utilization that is underway in the SMB market. Priority believes its solutions facilitate a superior merchant experience that results in increased customer lifetime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Highly Scalable Business Model with Operating Leverage</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thoughtful investments in its technology, Priority has developed robust and differentiated infrastructure that has enabled it to scale in a cost-efficient manner. Its purpose-built proprietary technology platforms, MX and CPX, each serve a unique purpose within consumer and commercial payments, enabling the company to realize significant operating leverage within each business segment. Furthermore, the agility of its Vortex.Cloud and Vortex.OS enterprise infrastructure enables Priority to quickly and cost efficiently consolidate acquisitions to drive revenue and cost synergies. Its operating efficiency supports a low capital expenditure environment to develop product enhancements that drive organic growth across its consumer and commercial payment ecosystems, and attract both reselling partners and enterprise clients looking for best-in-class solutions. By creating a cost-efficient environment that facilitates the combination of ongoing product innovation to drive organic growth and stable cash flow to fund acquisitions, Priority anticipates ongoing economies of scale and increased margins over time.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Team Led by Industry Veterans</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Priority’s executive management team has a record of execution in the merchant acquiring and technology-enabled payments industry. Its team has continued to develop and enhance the Company’s proprietary and innovative technology platforms that differentiate it with merchants and resellers in the industry. Since founding Priority, its leadership team has built strong, long-term relationships with reseller and enterprise partners by leveraging the MX and CPX product platforms to meet the needs of businesses in specific vertical markets. Priority invests to attract and retain executive leadership that align with the opportunities in the market and its strategic focus. Priority’s proven execution track record is reflected in substantial revenue growth and strong profitability.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Growth Strategies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Priority intends to continue to execute a multi-pronged growth strategy, with diverse organic initiatives supplemented by acquisitions. Growth strategies include: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Growth in its Consumer Reseller and Merchant Base</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Priority expects to grow through its existing reseller network and merchant base, capitalizing on the inherent growth of existing merchant volume and reseller merchant portfolios. By providing resellers with agile tools to manage their sales businesses and grow their merchant portfolio, Priority has established a solid base from which to generate new merchant adoption and retain existing merchants. By engaging in a consultative partnership approach, Priority maintains strong relationships with its reseller partners and continues to exhibit strong merchant adoption and volume growth trends. Through its resellers, Priority provides merchants with full-service acquiring solutions, as well as value-added services and tools to streamline their business processes and enables them to focus on driving same store sales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Its Network of Distribution Partners</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Priority has established and maintains a strong position within the reseller community, with approximately 800 partners. Priority intends to continue to expand its distribution network to reach new partners, particularly with ISVs and VARs to expand technology and integrated partnerships. The Company believes that its MX Connect technology offering enables it to attract, and retain, high quality resellers focused on growth.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Margin per Merchant with Complementary Products and Services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Priority intends to drive the adoption of its value-added services and tools with its merchant base. Currently, approximately 123,000 merchants, representing approximately 67% of Priority’s consumer processing volume, are considered integrated (i.e., MX Merchant, eCommerce or ISV). MX Merchant allows merchants to add proprietary Priority applications as well as other third-party applications from the MX Merchant Marketplace to build customized payment solutions that are tailored to a merchant’s business needs. As Priority continues to board new merchants and promote its MX Merchant solution, it can cross-sell these add-on applications. By increasing attachment rates, along with continued benefit from economies of scale, Priority expects to see improved margins per merchant. Merchants utilizing MX Merchant exhibit somewhat higher retention, contributing to Priority’s improving overall retention rates. Priority believes it is well-positioned to capitalize on the secular trend towards integrated payments solutions, new technology adoption and value-add service utilization in the SMB market.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Deploy Industry Specific Payment Technology</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 intends to continue to enhance and deploy its technology-enabled payment solutions in attractive industries. Through MX Merchant, Priority has developed proprietary apps and added third-party tools that address the specific needs of merchants in certain verticals, including retail, healthcare and hospitality. Priority continues to identify and evaluate new and attractive industries where it can deliver differentiated technology-enabled payment solutions that meet merchants’ industry-specific needs.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Electronic Payments Share of B2B Transactions with CPX</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has a growing presence in the commercial payments market where it provides curated managed services and AP automation solutions to industry leading financial institutions and card networks such as Citibank, MasterCard, Visa and American Express. Commercial payments is the largest and one of the fastest growing payments market in the United States by volume. Priority is well positioned to capitalize on the secular shift from check to electronic payments, which currently lags the consumer payments markets, by eliminating the friction between buyers and suppliers through its industry leading offering, and driving strong growth and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Accretive Acquisitions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Priority intends to selectively pursue strategic and tactical acquisitions that meet certain criteria, with a consistent long-term goal of maximizing stockholder value. The company actively seeks potential acquisition candidates that exhibit certain attractive attributes including, predictable and recurring revenue, scalable operating model, low capital intensity complementary technology offerings and strong cultural fit. Priority’s Vortex.Cloud operating infrastructure is purpose-built to rapidly and seamlessly consolidate complementary businesses into its ecosystem, optimizing revenue and cost synergies.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Technology Infrastructure and Product Solutions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Offering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Vortex.Cloud</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Vortex.Cloud is a highly-available, redundant, and audited (PCI, HIPAA, NACHA, and SOC) computing platform that provides 99.999 uptime with centralized security and technical operations. All computational and IP assets of Priority’s payment operating divisions are hosted and managed on Vortex.Cloud infrastructure. Vortex.Cloud enables the rapid inclusion of data and systems of acquisition targets for smooth consolidation to the Priority operating infrastructure and accelerates achievement of revenue and cost synergies.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Vortex.OS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Vortex.OS provides critical technological functionality to Priority’s payment operating divisions. The Vortex OS APIs include: electronic payments, security/crypto, data persistence, time series data (events), and artificial intelligence (AI). Priority’s purpose built payments engine facilitates industry leading organic growth and efficient consolidation of acquisitions resulting in strong profit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4344670" cy="4105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44670" cy="410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i w:val="1"/>
          <w:iCs w:val="1"/>
          <w:color w:val="auto"/>
        </w:rPr>
        <w:t>Reseller Tools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MX Connect</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Priority’s objective is to empower its resellers to grow their businesses and improve their merchant portfolios. To do so, Priority provides its resellers with a feature rich API architecture, powerful merchant relationship management tools, and thought leadership resources. MX Connect provides dynamic portfolio management giving resellers total control over their financial data along with convenient low friction merchant onboarding, automated underwriting, and robust portfolio reporting and compensation tracking.</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addition, Priority offers its resellers thought leadership resources to support their growth and educate their employees. Priority University (“PriorityU”) includes proprietary white papers on Apple Pay, EMV, regulations &amp; compliance, and other industry topics. PriorityU also includes a comprehensive set of marketing and training tools that re-sellers can leverage to train their employees and tactfully engage merchants. In addition to the written and video-based tools on its website, Priority maintains a live reseller support phone line to provide resellers with real time assistance.</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Finally, Priority offers its resellers Brand Licensing and Wholesale Development Programs which allow resellers to leverage the strength of the Priority brand for immediate and meaningful marketing impact.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Products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Priority’s core payment processing technology allows merchants to accept electronic payments via multiple integrated POS technologies. However, Priority’s payment processing platform goes beyond traditional electronic payments acceptance with a fully integrated platform called MX Merchant. Priority’s proprietary product maximizes the lifetime value of merchant relationships.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MX Merchant</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Priority’s flagship offering, MX Merchant, is a customizable payments platform that allows merchants to accept electronic payments and manage their business. Merchants can accept credit cards, debit cards, and cash using a virtual terminal, monitor payment activity in real-time, manage payment history and customer data, and create customizable reports and statements. MX Merchant is a proprietary software platform and virtual terminal that can be deployed on hardware from a variety of vendors and operated on a standalone basis or integrated with 3rd party software products.</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MX Merchant platform also allows customers to add applications (“apps”) from the MX Merchant Marketplace to build a payment platform customized to that merchant’s business, including:</w:t>
      </w:r>
    </w:p>
    <w:p>
      <w:pPr>
        <w:spacing w:after="0" w:line="171" w:lineRule="exact"/>
        <w:rPr>
          <w:sz w:val="20"/>
          <w:szCs w:val="20"/>
          <w:color w:val="auto"/>
        </w:rPr>
      </w:pPr>
    </w:p>
    <w:p>
      <w:pPr>
        <w:ind w:left="660" w:hanging="330"/>
        <w:spacing w:after="0"/>
        <w:tabs>
          <w:tab w:leader="none" w:pos="6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MX Invoice – Invoice and recurring billing app which speeds up the payment process and creates automatic, trustworthy, and easy to use invoices</w:t>
      </w:r>
    </w:p>
    <w:p>
      <w:pPr>
        <w:spacing w:after="0" w:line="246" w:lineRule="exact"/>
        <w:rPr>
          <w:rFonts w:ascii="Arial" w:cs="Arial" w:eastAsia="Arial" w:hAnsi="Arial"/>
          <w:sz w:val="16"/>
          <w:szCs w:val="16"/>
          <w:color w:val="auto"/>
        </w:rPr>
      </w:pPr>
    </w:p>
    <w:p>
      <w:pPr>
        <w:ind w:left="660" w:hanging="330"/>
        <w:spacing w:after="0" w:line="275"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MX Retail – Inventory and stock control app utilizing both MX Merchant and MX Retail apps to handle all point-of-sale needs, rewards program and inventory management with an iPhone application</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MX B2B – Ensures merchants receive lower rates for Level II / III processing by setting up user level permissions based on job function</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MX Insights – Customer engagement and data analytics tool focused on marketing campaigns with intelligent customer targeting through use of big data</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MX Storefront – Allows merchants to quickly and easily create a professional, comprehensive, entirely customizable website, complete with full payment integration</w:t>
      </w:r>
    </w:p>
    <w:p>
      <w:pPr>
        <w:spacing w:after="0" w:line="170"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MX Medical – Delivers patient payment estimates at the POS of a medical practice. The tool informs patients of their payment responsibility and presents the patient with a range of payment options. Once the patient leaves the medical practice, notifications and messaging are pushed to the patient’s mobile device alerting them to future payments.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0" w:name="page141"/>
    <w:bookmarkEnd w:id="140"/>
    <w:p>
      <w:pPr>
        <w:ind w:left="660" w:hanging="330"/>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ACH.com – Integrated ACH payment processing platform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Priority offers several third-party products and services to its merchants including:</w:t>
      </w:r>
    </w:p>
    <w:p>
      <w:pPr>
        <w:spacing w:after="0" w:line="223" w:lineRule="exact"/>
        <w:rPr>
          <w:sz w:val="20"/>
          <w:szCs w:val="20"/>
          <w:color w:val="auto"/>
        </w:rPr>
      </w:pPr>
    </w:p>
    <w:p>
      <w:pPr>
        <w:ind w:left="660" w:hanging="330"/>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ControlScan – On demand tools merchants can utilize to analyze, remediate, and validate PCI compliance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e-Tab – Provides a mobile restaurant / hospitality ordering and payment platform</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Terminals – Priority offers several EMV ready terminals and mobile card readers from manufacturers such as Ingenico, Verifone, and Magtek</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Merchant Financing – Priority is a reseller of several merchant financing solutions provided by American Express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Offering: Managed Services and CPX</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Priority provides curated managed services and AP automation solutions (CPX) on behalf of industry leading financial institutions and card networks such as Citibank, MasterCard, Visa and AMEX. Its turnkey merchant development, business process outsourcing and refined supplier enablement program, allow commercial partners to leverage Priority’s long-standing customer relationships. Established in 2008, Priority’s commercial payments offering has allowed Priority to profit from the large and growing commercial payments market. Priority CPX offers solutions to key pain points such as scalability of expanding supplier onboarding while decreasing costs through automation. Successful implementation of its AP automation strategies provides vendors with the benefits of cash acceleration, buyers with valuable rebate/discount revenue, and Priority with stable sources of merchant acquiring, credit card interchange and discount fee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Managed Services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Priority provides business process outsourcing services to American Express that offer Amex’s merchants access to several programs, including AMEX Buyer Initiated Payments (“BIP”) and AMEX Merchant Financing loans. Acting as an outsourced sales force, Priority utilizes approximately 190 employees to originate BIP or Merchant Financing loans for AMEX, earning a fee for each origination. Additionally, AMEX compensates Priority for personnel fees incurred for the employees who sell these outsourced services. Priority does not take any credit risk associated with the aforementioned programs.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u w:val="single" w:color="auto"/>
          <w:color w:val="auto"/>
        </w:rPr>
        <w:t>CPX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5403215" cy="32861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03215" cy="328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Priority CPX is a turnkey commercial payments platform that automates the AP payment process between buyers and suppliers to maximize financial rebates and ensure timely, automated payment of vendor payments.</w:t>
      </w:r>
    </w:p>
    <w:p>
      <w:pPr>
        <w:spacing w:after="0" w:line="171" w:lineRule="exact"/>
        <w:rPr>
          <w:sz w:val="20"/>
          <w:szCs w:val="20"/>
          <w:color w:val="auto"/>
        </w:rPr>
      </w:pPr>
    </w:p>
    <w:p>
      <w:pPr>
        <w:ind w:left="660" w:hanging="330"/>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CPX Access - Interactive portals connecting Buyers and Suppliers to promote the payment and data exchange between partners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CPX Gateway - Seamless integration with ERP systems that produce a single payment file for the entire CPX solutions suite</w:t>
      </w:r>
    </w:p>
    <w:p>
      <w:pPr>
        <w:spacing w:after="0" w:line="223" w:lineRule="exact"/>
        <w:rPr>
          <w:rFonts w:ascii="Arial" w:cs="Arial" w:eastAsia="Arial" w:hAnsi="Arial"/>
          <w:sz w:val="18"/>
          <w:szCs w:val="18"/>
          <w:color w:val="auto"/>
        </w:rPr>
      </w:pPr>
    </w:p>
    <w:p>
      <w:pPr>
        <w:ind w:left="660" w:right="20" w:hanging="330"/>
        <w:spacing w:after="0" w:line="275"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CPX Commercial Acceptance - Optimize payment programs with a full suite of targeted solutions and powerful outreach campaign management and automated electronic quick-start application</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CPX Payments - Leveraging a complete suite of traditional and transitional payment solutions to completely automate AP files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Priority reaches its consumer payment merchants through three primary sales channels: 1) Retail ISOs/Agents and Financial Institutions (Community Banks),</w:t>
      </w:r>
    </w:p>
    <w:p>
      <w:pPr>
        <w:spacing w:after="0" w:line="46" w:lineRule="exact"/>
        <w:rPr>
          <w:sz w:val="20"/>
          <w:szCs w:val="20"/>
          <w:color w:val="auto"/>
        </w:rPr>
      </w:pPr>
    </w:p>
    <w:p>
      <w:pPr>
        <w:ind w:firstLine="8"/>
        <w:spacing w:after="0" w:line="258" w:lineRule="auto"/>
        <w:tabs>
          <w:tab w:leader="none" w:pos="22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Wholesale ISOs, and 3) Independent Software Vendors and Value-Added Resellers. MX Connect allows resellers to engage merchants for processing services and a host of value added features designed to enhance their customer relationship.</w:t>
      </w:r>
    </w:p>
    <w:p>
      <w:pPr>
        <w:spacing w:after="0" w:line="185" w:lineRule="exact"/>
        <w:rPr>
          <w:rFonts w:ascii="Arial" w:cs="Arial" w:eastAsia="Arial" w:hAnsi="Arial"/>
          <w:sz w:val="18"/>
          <w:szCs w:val="18"/>
          <w:color w:val="auto"/>
        </w:rPr>
      </w:pPr>
    </w:p>
    <w:p>
      <w:pPr>
        <w:jc w:val="both"/>
        <w:ind w:left="660" w:hanging="330"/>
        <w:spacing w:after="0" w:line="272" w:lineRule="auto"/>
        <w:tabs>
          <w:tab w:leader="none" w:pos="66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Retail ISOs/Agents and Financial Institutions (Community Banks) – A non-risk bearing independent company of sales agents, individual sales agent, or financial institution that operates as a sales force on behalf of Priority. Retail resellers are not employed by Priority but rather are independently contracted to acquire merchants to utilize Priority’s payment processing and product offerings. While the reseller serves as the merchant’s key contact, the processing contract is between Priority and the merchant and agreements with resellers include non-solicitation rights. Priority manages the transaction risk on behalf of retail resellers. Merchants utilize Priority’s diverse product suite to manage their business, increasing Priority’s ability to retain the merchant if the ISO were to leave Priority.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2" w:name="page143"/>
    <w:bookmarkEnd w:id="142"/>
    <w:p>
      <w:pPr>
        <w:jc w:val="both"/>
        <w:ind w:left="660" w:hanging="330"/>
        <w:spacing w:after="0" w:line="254"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Wholesale ISO – A risk bearing independent company of sales agents that operates as a sales force on behalf of Priority. Wholesale ISOs are not employed by Priority but rather are independently contracted to acquire merchants to utilize Priority’s payment processing and product offerings. While the ISO serves as the merchant’s key contact, the processing contract is between Priority and the merchant, and agreements with ISOs include non-solicitation rights. Wholesale ISOs are responsible and bear all transaction risk on their merchant portfolios. Priority underwrites all such merchants even though wholesale ISOs bear the risk. Merchants utilize Priority’s diverse product suite to manage their business, increasing Priority’s ability to retain the merchant if the ISO were to leave Priority.</w:t>
      </w:r>
    </w:p>
    <w:p>
      <w:pPr>
        <w:spacing w:after="0" w:line="191"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ISVs and VARs - ISVs develop and sell business management software solutions while VARs sell third- party software solutions to merchants as part of a bundled package that includes the computer systems which operates the software. Priority partners with ISVs &amp; VARs that can integrate Priority’s capabilities into a variety of software applications (e.g. medical billing software). These integrated payment solutions create an extremely “sticky” customer relationship.</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Priority Commercial Payments obtains its “buyer” clients through direct sales initiative and referral and business partnerships with integrated software partners, the card networks (MasterCard, Visa, American Express) and large US banking institutions. Priority supports a direct vendor sales model that provides turnkey merchant development, product sales, and supplier enablement programs. By establishing a seamless bridge for buyer-to-supplier (payor-to-provider) payments that is integrated directly to “buyers” payment instruction file to facilitate payments to their vendors via all payment types (virtual card, purchase card, ACH +, dynamic discounting), Priority has established itself as an emerging force in Commercial payments.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Priority’s market strategy has resulted in a merchant base that Priority believes is diversified across both industries and geographies resulting in, what Priority believes, is more stable average profitability per merchant. No single reseller relationship contributes more than 10% of total bankcard processing volume. The top 10 consumer payment reseller relationships represent 35% of total bankcard processing volume as of March 31, 2018, and 90% of these relationships have grown over the past 3 years. On a standalone basis the Priority CPX product would represent the 52nd largest merchant acquirer in the US and among its fastest growing.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Disaster Recovery and Back-up Systems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normal business operations, Priority stores information relating to its merchants and their transactions. Because this information is considered sensitive in nature, Priority maintains a high level of security to attempt to protect it. Priority computational systems are continually updated and audited to the latest security standards as defined by PCI DSS, SOC, and HIPAA audits. As such, Priority has a dedicated team responsible for security incident response. This team develops, maintains, tests and verifies its incident response plan. The primary function of this team is to react and respond to intrusions, denial of service, data leakage, malware, vandalism, and many other events that could potentially jeopardize data availability, integrity, and confidentiality. This team is responsible for investigating and reporting on all malicious activity in and around Priority’s information systems. In addition to handling security incidents, the incident response team continually educates themselves and Priority on information security matters.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High-availability and disaster recovery are provided through a combination of redundant hardware and software running at two geographically distinct datacenters. Each datacenter deployment is an exact mirror of the other and each can handle all technical, payment, and business operations for all product lines independently of the other. If one site or service becomes impaired, the traffic is redirected to the other automatically. Business Continuity Planning drills are run each quarter to test fail-over and recovery as well as staff operations and readiness.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Processors and Sponsor Banks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Priority partners with various vendors in the payments value chain to process payments for its merchant clients, most notably processors and sponsor banks, which sit between Priority (the merchant acquirer) and the card networks. Processing is a scale driven business in which many acquirers outsource the processing function to a small number of large processors. In these partnerships, Priority serves as a merchant acquirer and enters into processing agreements with payment processors, such as First Data or TSYS, to serve as Priority’s front-end and back-end transaction processor for which they are paid processing fees. These processors in turn have agreements with card networks such as Visa and MasterCard, through which the transaction information is routed in exchange for network fees.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3" w:name="page144"/>
    <w:bookmarkEnd w:id="143"/>
    <w:p>
      <w:pPr>
        <w:jc w:val="both"/>
        <w:spacing w:after="0" w:line="254" w:lineRule="auto"/>
        <w:rPr>
          <w:sz w:val="20"/>
          <w:szCs w:val="20"/>
          <w:color w:val="auto"/>
        </w:rPr>
      </w:pPr>
      <w:r>
        <w:rPr>
          <w:rFonts w:ascii="Arial" w:cs="Arial" w:eastAsia="Arial" w:hAnsi="Arial"/>
          <w:sz w:val="18"/>
          <w:szCs w:val="18"/>
          <w:color w:val="auto"/>
        </w:rPr>
        <w:t>To provide processing services, acquirers such as Priority must be registered with the card networks (e.g. Visa and MasterCard). To register with a card network in the United States, acquirers must maintain relationships with banks willing to sponsor the acquirer’s adherence to the rules and standards of the card networks, or a Sponsor Bank. Priority maintains Sponsor Bank relationships with Citizens Bank, Wells Fargo, and Synovus Bank. For ACH payments, the Company’s ACH network (ACH.com) is sponsored by Atlantic Capital Bank, BB&amp;T Bank and MB Financial Bank. Sponsor Bank relationships enable Priority to route transactions under the Sponsor Bank’s control and identification number (referred to as a BIN for Visa and ICA for MasterCard) across the card networks (or ACH network) to authorize and clear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Priority’s thoughtful merchant and reseller underwriting policies combined with its forward-looking transaction management capabilities have enabled the company to maintain low credit loss performance. Priority’s risk management strategies are informed by a team with decades of experience managing merchant acquiring risk operations that are augmented by its modern systems designed to manage risk at the transaction level.</w:t>
      </w:r>
    </w:p>
    <w:p>
      <w:pPr>
        <w:spacing w:after="0" w:line="16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Initial Underwriting</w:t>
      </w:r>
      <w:r>
        <w:rPr>
          <w:rFonts w:ascii="Arial" w:cs="Arial" w:eastAsia="Arial" w:hAnsi="Arial"/>
          <w:sz w:val="16"/>
          <w:szCs w:val="16"/>
          <w:color w:val="auto"/>
        </w:rPr>
        <w:t>- Central to Priority’s risk management process is its front line underwriting policies that vet all resellers and merchants prior 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contracting with Priority. Priority’s automated risk systems pull credit bureau reports, corporate ownership details, as well as AML, OFAC and FinCEN information from a variety of integrated data bases. This information is put into the hands of a tenured team of underwriters who conduct any necessary industry checks, financial performance analysis or owner back ground checks, consistent with Priority’s policies Based upon these results the underwriting department rejects or approves and sets appropriate merchant and reseller reserve requirements which are held by Priority’s bank sponsors on its behalf. Resellers are subject to quarterly and/or annual assessments for financial strength compliance with Priority policies and adjustments to reserve levels.</w:t>
      </w:r>
    </w:p>
    <w:p>
      <w:pPr>
        <w:spacing w:after="0" w:line="16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results of Priority’s initial merchant underwriting inform the transaction level risk limits for volume, average ticket, transaction types and authorization codes among other items that are captured by the company’s CYRIS risk module—a proprietary risk system that monitors and reports transaction risk activity to Priority’s risk team. This transaction 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Real-Time Risk Monitoring</w:t>
      </w:r>
      <w:r>
        <w:rPr>
          <w:rFonts w:ascii="Arial" w:cs="Arial" w:eastAsia="Arial" w:hAnsi="Arial"/>
          <w:sz w:val="18"/>
          <w:szCs w:val="18"/>
          <w:color w:val="auto"/>
        </w:rPr>
        <w:t>- Merchant transactions are monitored on a transactional basis to proactively enforce risk controls. Priority’s risk systems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automated evaluation of merchant transaction activity against initial underwriting settings. Transactions that are outside underwriting parameters are queued for further investigation. Also, resellers whose merchant portfolio represents a concentration of investigated merchants are evaluated for risk action (i.e., increased reserves or contract termination).</w:t>
      </w:r>
    </w:p>
    <w:p>
      <w:pPr>
        <w:spacing w:after="0" w:line="18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i w:val="1"/>
          <w:iCs w:val="1"/>
          <w:color w:val="auto"/>
        </w:rPr>
        <w:t>Risk Audit</w:t>
      </w:r>
      <w:r>
        <w:rPr>
          <w:rFonts w:ascii="Arial" w:cs="Arial" w:eastAsia="Arial" w:hAnsi="Arial"/>
          <w:sz w:val="16"/>
          <w:szCs w:val="16"/>
          <w:color w:val="auto"/>
        </w:rPr>
        <w:t>- Transactions flagged by Priority’s risk monitoring systems or that demonstrate suspicious activity traits that have been flagged for review can</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funds being held and other risk mitigation actions. These can include non- authorization of the transaction, debit of reserves or even termination of processing agreement. Merchants are periodically reviewed to assess any risk adjustments based upon their overall financial health and compliance with Network standards. Merchant transaction activity is investigated for instances of business activity changes or credit impairment (and improvement).</w:t>
      </w:r>
    </w:p>
    <w:p>
      <w:pPr>
        <w:spacing w:after="0" w:line="15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i w:val="1"/>
          <w:iCs w:val="1"/>
          <w:color w:val="auto"/>
        </w:rPr>
        <w:t>Loss Mitigation</w:t>
      </w:r>
      <w:r>
        <w:rPr>
          <w:rFonts w:ascii="Arial" w:cs="Arial" w:eastAsia="Arial" w:hAnsi="Arial"/>
          <w:sz w:val="17"/>
          <w:szCs w:val="17"/>
          <w:color w:val="auto"/>
        </w:rPr>
        <w:t>- In instances where particular transactions and/or individual merchants are flagged for fraud, where transaction activity is resulting in</w:t>
      </w:r>
      <w:r>
        <w:rPr>
          <w:rFonts w:ascii="Arial" w:cs="Arial" w:eastAsia="Arial" w:hAnsi="Arial"/>
          <w:sz w:val="17"/>
          <w:szCs w:val="17"/>
          <w:i w:val="1"/>
          <w:iCs w:val="1"/>
          <w:color w:val="auto"/>
        </w:rPr>
        <w:t xml:space="preserve"> </w:t>
      </w:r>
      <w:r>
        <w:rPr>
          <w:rFonts w:ascii="Arial" w:cs="Arial" w:eastAsia="Arial" w:hAnsi="Arial"/>
          <w:sz w:val="17"/>
          <w:szCs w:val="17"/>
          <w:color w:val="auto"/>
        </w:rPr>
        <w:t>excessive charge-backs, several loss mitigation actions may be taken. These include charge-back dispute resolution, merchant and reseller funds (reserves or processed batches) withheld, inclusion on Network Match List to notify the industry of a “bad actor”, and even legal action.</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Priority ensures that its Risk and Underwriting activities are coordinated with its bank sponsors (Wells Fargo, Citizens Bank and Synovus) and authorization and settlement partners (First Data and TSYS).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June 19, 2015, Priority entered into a definitive agreement to purchase substantially all merchant acquiring related assets, except those identified as excluded, of American Credit Card Processing Corp., American Credit Card Processing Corp. II, American Credit Card Processing Corp. III and their affiliates (collectively, “ACCPC”). The total purchase price consideration was approximately $27.6 million, consisting of cash paid and a contingent earnout payment.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4" w:name="page145"/>
    <w:bookmarkEnd w:id="144"/>
    <w:p>
      <w:pPr>
        <w:jc w:val="both"/>
        <w:ind w:right="20"/>
        <w:spacing w:after="0" w:line="275" w:lineRule="auto"/>
        <w:rPr>
          <w:sz w:val="20"/>
          <w:szCs w:val="20"/>
          <w:color w:val="auto"/>
        </w:rPr>
      </w:pPr>
      <w:r>
        <w:rPr>
          <w:rFonts w:ascii="Arial" w:cs="Arial" w:eastAsia="Arial" w:hAnsi="Arial"/>
          <w:sz w:val="18"/>
          <w:szCs w:val="18"/>
          <w:color w:val="auto"/>
        </w:rPr>
        <w:t>For more information regarding its acquisitions, see Note 2 to Priority’s annual consolidated financial statements included elsewhere in this proxy statement/prospectus.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acquiring industry is highly competitive, with several large processors accounting for the majority of processing volume; when excluding banks, Priority ranks 6th among U.S. merchant acquiring as of 2017, according to the Nilson Report. When comparing top non-bank U.S. merchant acquirers by volume, Worldpay holds the leadership position followed by Global Payments, First Data and TSYS. While the scale of these companies is large, Priority believes there is still ample opportunity for companies like Priority to continue to grow given the vast amount of growth in MasterCard/Visa purchasing volume which increased in 2017 given the utility of card-based payments by U.S. consumers.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concentration at the top of the industry partly reflects consolidation; however, Priority believes that consolidation has also resulted in many large processors having multiple, inflexible legacy IT systems that are not well equipped to adjust to changing market requirements. Priority believes that the large merchant acquirers whose innovation has been hindered by these redundant, legacy systems risk losing market share to acquirers with more agile and dynamic IT systems, such as Priority.</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Pricing has historically been the key factor influencing the selection of a merchant acquirer. However, providers with more advanced tech-enabled services (primarily online and integrated offerings) have an advantage over providers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price, partnerships with financial institutions, servicing capability, data security and functionality. Leading acquirers are expected to continue to add additional services to expand cross- selling opportunities, primarily in omni-channel payment solutions, POS software, payments security, customer loyalty and other payments-related offerings.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largest opportunity for acquirers to expand is within the small to medium-sized merchant market. According to First Annapolis, there are approximately 7.2 million small to mid-sized merchants generating over $800 billion in credit/debit dollar volume annually, which equates to approximately $6 billion in acquirer net revenue. Volume per merchant is lower for acquirers with high penetration rates amongst small businesses; however, this is largely offset by the aggregate processing fee potential and market size.</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According to the SMB group, a markets insight firm for small and medium-sized businesses, the majority of small (approximately 67%) and medium-sized businesses (approximately 81%) recognize the upside tech-enabled solutions provide to daily operations and long-term growth potential. As small businesses increasingly demand integrated solutions tailored to specific business functions or industries merchant processors are adopting payment enabled software offerings that combine payments with core business operating software. By subsisting within SMB’s critical business software processors are able to improve economic results through better merchant retention and often higher processing margins. Through its MX Merchant platform, Priority is well-positioned to capitalize on the trend towards integrated solutions, new technology adoption and value added-service utilization in the SMB market.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Payment Network Rules</w:t>
      </w:r>
    </w:p>
    <w:p>
      <w:pPr>
        <w:spacing w:after="0" w:line="227"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Priority operates in an increasingly complex legal and regulatory environment. Priority is subject to a variety of federal, state and local laws and regulations and the rules and standards of the payment networks that are utilized to provide its electronic payment services, as more fully described below.</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i w:val="1"/>
          <w:iCs w:val="1"/>
          <w:color w:val="auto"/>
        </w:rPr>
        <w:t>Dodd-Frank Act</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Dodd-Frank Wall Street Reform and Consumer Protection Act of 2010 (the “Dodd-Frank Act”), which was signed into law in the United States in 2010, resulted in significant structural and other changes to the regulation of the financial services industry. The Dodd-Frank Act directed the Board of Governors of the Federal Reserve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 billion or more are capped at $0.21 per transaction and an ad valorem component of 5 basis points to reflect a portion of the issuer’s fraud losses plus, for qualifying issuers, an additional $0.01 per transaction in debit interchange for fraud prevention costs. The cap on interchange fees has not had a material direct effect on its results of operations.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the Dodd-Frank Act limits the ability of payment card networks to impose certain restrictions because it allows merchants to: (i) set minimum dollar amounts (not to exceed $10) for the acceptance of a credit card (and allows federal governmental entities and institutions of higher education to set maximum amounts for the acceptance of credit cards) and (ii) provide discounts or incentives to encourage consumers to pay with cash, checks, debit cards or credit cards.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rules also contain prohibitions on network exclusivity and merchant routing restrictions that require a card issuer to enable at least two unaffiliated networks on each debit card, prohibit card networks from entering into exclusivity arrangements and restrict the ability of issuers or networks to mandate transaction routing requirements. The prohibition on network exclusivity has not significantly affected its ability to pass on network fees and other costs to its customers, nor does Priority expect it to in the future.</w:t>
      </w:r>
    </w:p>
    <w:p>
      <w:pPr>
        <w:spacing w:after="0" w:line="18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Dodd-Frank Act also created the Financial Stability Oversight Council (the “FSOC”), which was established to, among other things, identify risks to the stability of the United States financial system. The FSOC has the authority to require supervision and regulation of nonbank financial companies that the FSOC determines pose a systemic risk to the United States financial system. Accordingly, Priority may be subject to additional systemic risk-related oversight.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Network Rules and Standards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merchant acquirer, Priority is subject to the rules of Visa, MasterCard, American Express, Discover and other payment networks. In order to provide services, several of its subsidiaries are either registered as service providers for member institutions with MasterCard, Visa and other networks or are direct members of MasterCard, Visa and other networks. Accordingly, Priority is subject to card association and network rules that could subject it to a variety of fines or penalties that may be levied by the card networks for certain acts or omissions.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Furthermore, payment networks establish their own rules and standards that allocate responsibilities among the payment networks and their participants. These rules and standards, including the PCI DSS, govern a variety of areas including how consumers and merchants may use their cards,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example of a standard is EMV, which is mandated by Visa, MasterCard, American Express and Discover. This mandate sets new requirements and technical standards, including requiring integrated POS systems to be capable of accepting the more secure “chip” cards that utilize the EMV standard and set new rules for data handling and security. Processors and merchants that do not comply with the mandate or do not use systems that are EMV compliant risk fines and liability for fraud-related losses. Priority has invested significant resources to ensure its systems’ compliance with the mandate, and to assist its merchants in becoming compliant by the applicable deadlines.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6" w:name="page147"/>
    <w:bookmarkEnd w:id="146"/>
    <w:p>
      <w:pPr>
        <w:jc w:val="both"/>
        <w:spacing w:after="0" w:line="288" w:lineRule="auto"/>
        <w:rPr>
          <w:sz w:val="20"/>
          <w:szCs w:val="20"/>
          <w:color w:val="auto"/>
        </w:rPr>
      </w:pPr>
      <w:r>
        <w:rPr>
          <w:rFonts w:ascii="Arial" w:cs="Arial" w:eastAsia="Arial" w:hAnsi="Arial"/>
          <w:sz w:val="16"/>
          <w:szCs w:val="16"/>
          <w:color w:val="auto"/>
        </w:rPr>
        <w:t>To provide its electronic payments services, Priority must be registered either indirectly or directly as service providers with the payment networks that it utilizes. Because Priority is not a bank, Priority is not eligible for membership in certain payment networks, including Visa and MasterCard, it is therefore unable to directly access these networks. The operating regulations of certain payment networks, including Visa and MasterCard, require Priority to be sponsored by a member bank as a service provider. Priority is registered with certain payment networks, including Visa and MasterCard, through Wells Fargo, Citizens Bank and Synovus Bank. The agreements with its bank sponsors give them substantial discretion in approving certain aspects of its business practices including its solicitation, application and qualification procedures for merchants and the terms of its agreements with merchants. Priority is registered directly as service providers with Discover, American Express and certain other networks. Priority is also subject to network operating rules promulgated by NACHA —the Electronic Payments Associations relating to payment transaction processed by it using the Automated Clearing House Network. For ACH payments, Priority’s ACH network (ACH.com) is sponsored by Atlantic Capital Bank, BB&amp;T Bank and MB Financial Bank.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Laws and Regulations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FFIEC is an interagency body comprised of federal bank and credit union regulators such as the Federal Reserve Board, the Federal Deposit Insurance Corporation, the National Credit Union Administration, the Office of the Comptroller of the Currency and the Bureau of Consumer Financial Protection. The FFIEC examines large data processors in order to identify and mitigate risks associated with systemically significant service providers, including specifically the risks they may pose to the banking industry.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Information Security Laws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Priority provides services that may be subject to various state, federal and foreign privacy laws and regulations. These laws and regulations include the federal Gramm-Leach-Bliley Act of 1999, which applies to a broad range of financial institutions and to companies that provide services to financial institutions in the United States, including its gaming business. Priority is also subject to a variety of foreign data protection and privacy laws, including, without limitation, Directive 95/46/EC, as implemented in each member state of the European Union and its successor, the General Data Protection Regulation, which becomes effective in May 2018. Among other things, these foreign and domestic laws, and their implementing regulations, in certain cases restrict the collection, processing, storage, use and disclosure of personal information, require notice to individuals of privacy practices, and provide individuals with certain rights to prevent use and disclosure of protected information. These laws also impose requirements for safeguarding and removal or elimination of personal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Anti-Money Laundering and Counter-Terrorism Regulation</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United States federal anti-money laundering laws and regulations, including the Bank Secrecy Act of 1970, as amended by the USA PATRIOT Act of 2001 (collectively, the “BSA”), and the “BSA” implementing regulations administered by the Financial Crimes Enforcement Network (“FinCEN”), a bureau of the United States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its clients are financial institutions that are directly subject to U.S. federal anti-money laundering laws and regulations, Priority has developed an anti-money laundering compliance program to best assist its clients in meeting such legal and regulatory requirements.</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Priority is subject to certain economic and trade sanctions programs that are administered by the Office of Foreign Assets Control (“OFAC”) of the United States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Priority has developed and continue to enhance compliance programs and policies to monitor and address such legal and regulatory requirements and developments, and continue to enhance such programs and policies to ensure that its customers do not engage in prohibited transactions with designated countries, individuals or entities.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i w:val="1"/>
          <w:iCs w:val="1"/>
          <w:color w:val="auto"/>
        </w:rPr>
        <w:t>Debt Collection and Credit Reporting Laws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Portions of its business may be subject to the Fair Debt Collection Practices Act, the Fair Credit Reporting Act and similar state laws. These debt collection laws are designed to eliminate abusive, deceptive and unfair debt collection practices and may require licensing at the state level. The Fair Credit Reporting Act regulates the use and reporting of consumer credit information and also imposes disclosure requirements on entities that take adverse action based on information obtained from credit reporting agencies. Priority has procedures in place to comply with the requirements of these laws.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Unfair or Deceptive Acts or Practices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Priority and many of its merchants are subject to Section 5 of the Federal Trade Commission Act prohibiting unfair or deceptive acts or practices, or UDAP. In addition, the UDAP and other laws, rules and or regulations, including the Telemarketing Sales Act, may directly impact the activities of certain of its merchants, and in some cases may subject Priority, as the merchant’s payment processor or provider of certain services, to investigations, fees, fines and disgorgement of funds if Priority was deemed to have aided and abetted or otherwise provided the means and instrumentalities to facilitate the illegal or improper activities of the merchant through its services. Various federal and state regulatory enforcement agencies including the Federal Trade Commission and the states attorneys general have authority to take action against non-banks that engage in UDAP or violate other laws, rules and regulations and to the extent it is processing payments or providing services for a merchant that may be in violation of laws, rules and regulations, Priority may be subject to enforcement actions and as a result may incur losses and liabilities that may impact its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Regulatory Requirements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number of Priority clients are financial institutions that are directly subject to various regulations and compliance obligations issued by the CFPB, the Office of the Comptroller of the Currency and other agencies responsible for regulating financial institutions. While these regulatory requirements and compliance obligations do not apply directly to Priority, many of these requirements materially affect the services it provides to its clients. The banking agencies, including the Office of the Comptroller of the Currency,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Accommodating these requirements applicable to Priority’s clients imposes additional costs and risks in connection with its financial institution relationships. Priority expects to expend resources on an ongoing basis in an effort to assist its clients in responding to any regulatory inquiries on behalf of merchants and resellers.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Regulations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Priority is considered by the Federal Financial Institutions Examination Council to be a technology service provider (“TSP”) based on the services Priority provides to financial institutions. As a TSP, Priority is subject to audits by an interagency group consisting of the Federal Reserve System, FDIC, and the Office of the Comptroller of the Currency.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i w:val="1"/>
          <w:iCs w:val="1"/>
          <w:color w:val="auto"/>
        </w:rPr>
        <w:t>Telephone Consumer Protection Act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Priority is subject to the Federal Telephone Consumer Protection Act and various state laws to the extent it places telephone calls and short message service (“SMS”) messages to clients and consumers. The Telephone Consumer Protection Act regulates certain telephone calls and SMS messages placed using automatic telephone dialing systems or artificial or prerecorded voices.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Priority is subject to U.S. federal and state unclaimed or abandoned property (escheat) laws which require it to turn over to certain government authorities the property of others it holds that has been unclaimed for a specified period of time such as account balances that are due to a distribution partner or merchant following discontinuation of its relationship with it. 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foregoing is not an exhaustive list of the laws, rules and regulations to which Priority is subject to and the regulatory framework governing its business is changing continuously.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has developed a payments platform that includes many instances of proprietary software, code sets, work flows and algorithms. It is its practice to enter into confidentiality, non-disclosure, and invention assignment agreements with its employees and contractors, and into confidentiality and non-disclosure agreements with other third parties, to limit access to, and disclosure and use of, its confidential information and proprietary technology. In addition to these contractual measures, Priority also relies on a combination of trademarks, copyrights, registered domain names, and patent rights to help protect the Priority brand and its other intellectual property.</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2018, Priority has 27 active trademarks that pertain to company, product names, and logos. Priority may file patent applications as it innovates through research and development efforts, and to pursue additional patent protection to the extent it deems it beneficial and cost-effective. Priority also owns a number of domain names necessary for business operations and brand protection.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March 31, 2018, Priority employed 514 employees. None of its employees is represented by a labor union and Priority has experienced no work stoppages. Priority considers its employee relations to be good.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Priority maintains several offices across the United States, all of which it leases.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Its office locations include:</w:t>
      </w:r>
    </w:p>
    <w:p>
      <w:pPr>
        <w:spacing w:after="0" w:line="223" w:lineRule="exact"/>
        <w:rPr>
          <w:sz w:val="20"/>
          <w:szCs w:val="20"/>
          <w:color w:val="auto"/>
        </w:rPr>
      </w:pPr>
    </w:p>
    <w:p>
      <w:pPr>
        <w:ind w:left="660" w:hanging="330"/>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Corporate headquarters in Alpharetta, Georgia with approximately 95,000 leased square feet;</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Data management in Atlanta, Georgia with approximately 130 leased square feet; and Data Management in Austin, Texas with approximately 260 leased square feet</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Telesales office in its Alpharetta, Georgia location with approximately 33,000 leased square feet which is part of its Corporate headquarters total leased space.</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Priority leases several small facilities for sales and operations. Its current facilities meet its employee base and can accommodate its currently contemplated growth. Priority believes that it will be able to obtain suitable additional facilities on commercially reasonable term to meet any needs.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Legal Proceedings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Priority is involved in certain other legal proceedings and claims, which arise in the ordinary course of business. In the opinion of Priority,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Priority should determine that an unfavorable outcome is probable on a claim and that the amount of probable loss that it will incur on that claim is reasonably estimable, it will record an accrued expense for the claim in question. If and when Priority records such an accrual, it could be material and could adversely impact its results of operations, financial condition, and cash flows.</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Priority, or his service as Executive Chairman of the combined company subsequent to the Business Combination. During such time that the SEC bar remains in effect, the combined company will be required to monitor if any future offerings of its stock might be considered an offering of “penny stock” which would be prohibited under the bar.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information regarding the current executive officers of Priority: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tcPr>
          <w:p>
            <w:pPr>
              <w:ind w:left="740"/>
              <w:spacing w:after="0"/>
              <w:rPr>
                <w:sz w:val="20"/>
                <w:szCs w:val="20"/>
                <w:color w:val="auto"/>
              </w:rPr>
            </w:pPr>
            <w:r>
              <w:rPr>
                <w:rFonts w:ascii="Arial" w:cs="Arial" w:eastAsia="Arial" w:hAnsi="Arial"/>
                <w:sz w:val="18"/>
                <w:szCs w:val="18"/>
                <w:b w:val="1"/>
                <w:bCs w:val="1"/>
                <w:color w:val="auto"/>
              </w:rPr>
              <w:t>Age</w:t>
            </w:r>
          </w:p>
        </w:tc>
        <w:tc>
          <w:tcPr>
            <w:tcW w:w="3600" w:type="dxa"/>
            <w:vAlign w:val="bottom"/>
          </w:tcPr>
          <w:p>
            <w:pPr>
              <w:ind w:left="420"/>
              <w:spacing w:after="0"/>
              <w:rPr>
                <w:sz w:val="20"/>
                <w:szCs w:val="20"/>
                <w:color w:val="auto"/>
              </w:rPr>
            </w:pPr>
            <w:r>
              <w:rPr>
                <w:rFonts w:ascii="Arial" w:cs="Arial" w:eastAsia="Arial" w:hAnsi="Arial"/>
                <w:sz w:val="18"/>
                <w:szCs w:val="18"/>
                <w:b w:val="1"/>
                <w:bCs w:val="1"/>
                <w:color w:val="auto"/>
              </w:rPr>
              <w:t>Position</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Thomas Priore</w:t>
            </w:r>
          </w:p>
        </w:tc>
        <w:tc>
          <w:tcPr>
            <w:tcW w:w="1460" w:type="dxa"/>
            <w:vAlign w:val="bottom"/>
          </w:tcPr>
          <w:p>
            <w:pPr>
              <w:ind w:left="740"/>
              <w:spacing w:after="0"/>
              <w:rPr>
                <w:sz w:val="20"/>
                <w:szCs w:val="20"/>
                <w:color w:val="auto"/>
              </w:rPr>
            </w:pPr>
            <w:r>
              <w:rPr>
                <w:rFonts w:ascii="Arial" w:cs="Arial" w:eastAsia="Arial" w:hAnsi="Arial"/>
                <w:sz w:val="18"/>
                <w:szCs w:val="18"/>
                <w:color w:val="auto"/>
              </w:rPr>
              <w:t>49</w:t>
            </w:r>
          </w:p>
        </w:tc>
        <w:tc>
          <w:tcPr>
            <w:tcW w:w="3600" w:type="dxa"/>
            <w:vAlign w:val="bottom"/>
          </w:tcPr>
          <w:p>
            <w:pPr>
              <w:ind w:left="460"/>
              <w:spacing w:after="0"/>
              <w:rPr>
                <w:sz w:val="20"/>
                <w:szCs w:val="20"/>
                <w:color w:val="auto"/>
              </w:rPr>
            </w:pPr>
            <w:r>
              <w:rPr>
                <w:rFonts w:ascii="Arial" w:cs="Arial" w:eastAsia="Arial" w:hAnsi="Arial"/>
                <w:sz w:val="18"/>
                <w:szCs w:val="18"/>
                <w:color w:val="auto"/>
              </w:rPr>
              <w:t>Executive Chairman</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John Priore</w:t>
            </w:r>
          </w:p>
        </w:tc>
        <w:tc>
          <w:tcPr>
            <w:tcW w:w="1460" w:type="dxa"/>
            <w:vAlign w:val="bottom"/>
          </w:tcPr>
          <w:p>
            <w:pPr>
              <w:ind w:left="740"/>
              <w:spacing w:after="0"/>
              <w:rPr>
                <w:sz w:val="20"/>
                <w:szCs w:val="20"/>
                <w:color w:val="auto"/>
              </w:rPr>
            </w:pPr>
            <w:r>
              <w:rPr>
                <w:rFonts w:ascii="Arial" w:cs="Arial" w:eastAsia="Arial" w:hAnsi="Arial"/>
                <w:sz w:val="18"/>
                <w:szCs w:val="18"/>
                <w:color w:val="auto"/>
              </w:rPr>
              <w:t>54</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and Chief Executive Officer</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Bruce Mattox</w:t>
            </w:r>
          </w:p>
        </w:tc>
        <w:tc>
          <w:tcPr>
            <w:tcW w:w="1460" w:type="dxa"/>
            <w:vAlign w:val="bottom"/>
          </w:tcPr>
          <w:p>
            <w:pPr>
              <w:ind w:left="740"/>
              <w:spacing w:after="0"/>
              <w:rPr>
                <w:sz w:val="20"/>
                <w:szCs w:val="20"/>
                <w:color w:val="auto"/>
              </w:rPr>
            </w:pPr>
            <w:r>
              <w:rPr>
                <w:rFonts w:ascii="Arial" w:cs="Arial" w:eastAsia="Arial" w:hAnsi="Arial"/>
                <w:sz w:val="18"/>
                <w:szCs w:val="18"/>
                <w:color w:val="auto"/>
              </w:rPr>
              <w:t>61</w:t>
            </w:r>
          </w:p>
        </w:tc>
        <w:tc>
          <w:tcPr>
            <w:tcW w:w="3600" w:type="dxa"/>
            <w:vAlign w:val="bottom"/>
          </w:tcPr>
          <w:p>
            <w:pPr>
              <w:ind w:left="460"/>
              <w:spacing w:after="0"/>
              <w:rPr>
                <w:sz w:val="20"/>
                <w:szCs w:val="20"/>
                <w:color w:val="auto"/>
              </w:rPr>
            </w:pPr>
            <w:r>
              <w:rPr>
                <w:rFonts w:ascii="Arial" w:cs="Arial" w:eastAsia="Arial" w:hAnsi="Arial"/>
                <w:sz w:val="18"/>
                <w:szCs w:val="18"/>
                <w:color w:val="auto"/>
              </w:rPr>
              <w:t>Chief Financial Officer</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Sean Kiewiet</w:t>
            </w:r>
          </w:p>
        </w:tc>
        <w:tc>
          <w:tcPr>
            <w:tcW w:w="1460" w:type="dxa"/>
            <w:vAlign w:val="bottom"/>
          </w:tcPr>
          <w:p>
            <w:pPr>
              <w:ind w:left="740"/>
              <w:spacing w:after="0"/>
              <w:rPr>
                <w:sz w:val="20"/>
                <w:szCs w:val="20"/>
                <w:color w:val="auto"/>
              </w:rPr>
            </w:pPr>
            <w:r>
              <w:rPr>
                <w:rFonts w:ascii="Arial" w:cs="Arial" w:eastAsia="Arial" w:hAnsi="Arial"/>
                <w:sz w:val="18"/>
                <w:szCs w:val="18"/>
                <w:color w:val="auto"/>
              </w:rPr>
              <w:t>45</w:t>
            </w:r>
          </w:p>
        </w:tc>
        <w:tc>
          <w:tcPr>
            <w:tcW w:w="3600" w:type="dxa"/>
            <w:vAlign w:val="bottom"/>
          </w:tcPr>
          <w:p>
            <w:pPr>
              <w:ind w:left="460"/>
              <w:spacing w:after="0"/>
              <w:rPr>
                <w:sz w:val="20"/>
                <w:szCs w:val="20"/>
                <w:color w:val="auto"/>
              </w:rPr>
            </w:pPr>
            <w:r>
              <w:rPr>
                <w:rFonts w:ascii="Arial" w:cs="Arial" w:eastAsia="Arial" w:hAnsi="Arial"/>
                <w:sz w:val="18"/>
                <w:szCs w:val="18"/>
                <w:color w:val="auto"/>
              </w:rPr>
              <w:t>Chief Technology Officer</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Cindy O’Neill</w:t>
            </w:r>
          </w:p>
        </w:tc>
        <w:tc>
          <w:tcPr>
            <w:tcW w:w="1460" w:type="dxa"/>
            <w:vAlign w:val="bottom"/>
          </w:tcPr>
          <w:p>
            <w:pPr>
              <w:ind w:left="740"/>
              <w:spacing w:after="0"/>
              <w:rPr>
                <w:sz w:val="20"/>
                <w:szCs w:val="20"/>
                <w:color w:val="auto"/>
              </w:rPr>
            </w:pPr>
            <w:r>
              <w:rPr>
                <w:rFonts w:ascii="Arial" w:cs="Arial" w:eastAsia="Arial" w:hAnsi="Arial"/>
                <w:sz w:val="18"/>
                <w:szCs w:val="18"/>
                <w:color w:val="auto"/>
              </w:rPr>
              <w:t>49</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of Commercial Payments</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David McMiller</w:t>
            </w:r>
          </w:p>
        </w:tc>
        <w:tc>
          <w:tcPr>
            <w:tcW w:w="1460" w:type="dxa"/>
            <w:vAlign w:val="bottom"/>
          </w:tcPr>
          <w:p>
            <w:pPr>
              <w:ind w:left="740"/>
              <w:spacing w:after="0"/>
              <w:rPr>
                <w:sz w:val="20"/>
                <w:szCs w:val="20"/>
                <w:color w:val="auto"/>
              </w:rPr>
            </w:pPr>
            <w:r>
              <w:rPr>
                <w:rFonts w:ascii="Arial" w:cs="Arial" w:eastAsia="Arial" w:hAnsi="Arial"/>
                <w:sz w:val="18"/>
                <w:szCs w:val="18"/>
                <w:color w:val="auto"/>
              </w:rPr>
              <w:t>62</w:t>
            </w:r>
          </w:p>
        </w:tc>
        <w:tc>
          <w:tcPr>
            <w:tcW w:w="3600" w:type="dxa"/>
            <w:vAlign w:val="bottom"/>
          </w:tcPr>
          <w:p>
            <w:pPr>
              <w:ind w:left="460"/>
              <w:spacing w:after="0"/>
              <w:rPr>
                <w:sz w:val="20"/>
                <w:szCs w:val="20"/>
                <w:color w:val="auto"/>
              </w:rPr>
            </w:pPr>
            <w:r>
              <w:rPr>
                <w:rFonts w:ascii="Arial" w:cs="Arial" w:eastAsia="Arial" w:hAnsi="Arial"/>
                <w:sz w:val="18"/>
                <w:szCs w:val="18"/>
                <w:color w:val="auto"/>
                <w:w w:val="89"/>
              </w:rPr>
              <w:t>President of Commercial Business Services</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Afshin Yazdian</w:t>
            </w:r>
          </w:p>
        </w:tc>
        <w:tc>
          <w:tcPr>
            <w:tcW w:w="1460" w:type="dxa"/>
            <w:vAlign w:val="bottom"/>
          </w:tcPr>
          <w:p>
            <w:pPr>
              <w:ind w:left="740"/>
              <w:spacing w:after="0"/>
              <w:rPr>
                <w:sz w:val="20"/>
                <w:szCs w:val="20"/>
                <w:color w:val="auto"/>
              </w:rPr>
            </w:pPr>
            <w:r>
              <w:rPr>
                <w:rFonts w:ascii="Arial" w:cs="Arial" w:eastAsia="Arial" w:hAnsi="Arial"/>
                <w:sz w:val="18"/>
                <w:szCs w:val="18"/>
                <w:color w:val="auto"/>
              </w:rPr>
              <w:t>45</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of Core Acquiring</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Chris Prince</w:t>
            </w:r>
          </w:p>
        </w:tc>
        <w:tc>
          <w:tcPr>
            <w:tcW w:w="1460" w:type="dxa"/>
            <w:vAlign w:val="bottom"/>
          </w:tcPr>
          <w:p>
            <w:pPr>
              <w:ind w:left="740"/>
              <w:spacing w:after="0"/>
              <w:rPr>
                <w:sz w:val="20"/>
                <w:szCs w:val="20"/>
                <w:color w:val="auto"/>
              </w:rPr>
            </w:pPr>
            <w:r>
              <w:rPr>
                <w:rFonts w:ascii="Arial" w:cs="Arial" w:eastAsia="Arial" w:hAnsi="Arial"/>
                <w:sz w:val="18"/>
                <w:szCs w:val="18"/>
                <w:color w:val="auto"/>
              </w:rPr>
              <w:t>44</w:t>
            </w:r>
          </w:p>
        </w:tc>
        <w:tc>
          <w:tcPr>
            <w:tcW w:w="3600" w:type="dxa"/>
            <w:vAlign w:val="bottom"/>
          </w:tcPr>
          <w:p>
            <w:pPr>
              <w:ind w:left="460"/>
              <w:spacing w:after="0"/>
              <w:rPr>
                <w:sz w:val="20"/>
                <w:szCs w:val="20"/>
                <w:color w:val="auto"/>
              </w:rPr>
            </w:pPr>
            <w:r>
              <w:rPr>
                <w:rFonts w:ascii="Arial" w:cs="Arial" w:eastAsia="Arial" w:hAnsi="Arial"/>
                <w:sz w:val="18"/>
                <w:szCs w:val="18"/>
                <w:color w:val="auto"/>
              </w:rPr>
              <w:t>General Counsel</w:t>
            </w:r>
          </w:p>
        </w:tc>
      </w:tr>
    </w:tbl>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Thomas Priore </w:t>
      </w:r>
      <w:r>
        <w:rPr>
          <w:rFonts w:ascii="Arial" w:cs="Arial" w:eastAsia="Arial" w:hAnsi="Arial"/>
          <w:sz w:val="16"/>
          <w:szCs w:val="16"/>
          <w:color w:val="auto"/>
        </w:rPr>
        <w:t>has served as Executive Chairman and founding member of Priority since August 2005. Under Mr. Priore’s strategic direction, Priority has</w:t>
      </w:r>
      <w:r>
        <w:rPr>
          <w:rFonts w:ascii="Arial" w:cs="Arial" w:eastAsia="Arial" w:hAnsi="Arial"/>
          <w:sz w:val="16"/>
          <w:szCs w:val="16"/>
          <w:b w:val="1"/>
          <w:bCs w:val="1"/>
          <w:color w:val="auto"/>
        </w:rPr>
        <w:t xml:space="preserve"> </w:t>
      </w:r>
      <w:r>
        <w:rPr>
          <w:rFonts w:ascii="Arial" w:cs="Arial" w:eastAsia="Arial" w:hAnsi="Arial"/>
          <w:sz w:val="16"/>
          <w:szCs w:val="16"/>
          <w:color w:val="auto"/>
        </w:rPr>
        <w:t>emerged from a start-up organization to become the 13th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Chief Executive Officer.</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John Priore </w:t>
      </w:r>
      <w:r>
        <w:rPr>
          <w:rFonts w:ascii="Arial" w:cs="Arial" w:eastAsia="Arial" w:hAnsi="Arial"/>
          <w:sz w:val="18"/>
          <w:szCs w:val="18"/>
          <w:color w:val="auto"/>
        </w:rPr>
        <w:t>is the co-founder of Priority and has served as Chief Executive Officer of Priority since August 2005. He has over twenty-five years of</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the payments industry. Prior to founding Priority, he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His commitment to the industry has helped propel Priority to be a leader in payments technology. John Priore is the brother of Thomas Priore, Priority’s Executive Chairman.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0" w:name="page151"/>
    <w:bookmarkEnd w:id="150"/>
    <w:p>
      <w:pPr>
        <w:jc w:val="both"/>
        <w:spacing w:after="0" w:line="275" w:lineRule="auto"/>
        <w:rPr>
          <w:sz w:val="20"/>
          <w:szCs w:val="20"/>
          <w:color w:val="auto"/>
        </w:rPr>
      </w:pPr>
      <w:r>
        <w:rPr>
          <w:rFonts w:ascii="Arial" w:cs="Arial" w:eastAsia="Arial" w:hAnsi="Arial"/>
          <w:sz w:val="17"/>
          <w:szCs w:val="17"/>
          <w:b w:val="1"/>
          <w:bCs w:val="1"/>
          <w:color w:val="auto"/>
        </w:rPr>
        <w:t xml:space="preserve">Bruce Mattox </w:t>
      </w:r>
      <w:r>
        <w:rPr>
          <w:rFonts w:ascii="Arial" w:cs="Arial" w:eastAsia="Arial" w:hAnsi="Arial"/>
          <w:sz w:val="17"/>
          <w:szCs w:val="17"/>
          <w:color w:val="auto"/>
        </w:rPr>
        <w:t>has served as Chief Financial Officer of Priority since April 2011. Mr. Mattox has over 30 years of experience in the payments industry and is a</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Public Accountant. Prior to joining Priority, Mr. Mattox was a Senior Finance Manager with General Electric Corporation in the Consumer Finance Division and has also held the position of Vice President &amp; Divisional Controller for Wachovia Bank of Georgia. He is certified in Six Sigma Process Management and a member of various CPA associations. Mr. Mattox leverages his experience to keep up with today’s business environment, helping Priority realize the opportunities associated with business mergers, acquisitions, product initiatives and fiscal guidance.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Sean Kiewiet </w:t>
      </w:r>
      <w:r>
        <w:rPr>
          <w:rFonts w:ascii="Arial" w:cs="Arial" w:eastAsia="Arial" w:hAnsi="Arial"/>
          <w:sz w:val="18"/>
          <w:szCs w:val="18"/>
          <w:color w:val="auto"/>
        </w:rPr>
        <w:t>co-founded Priority after serving as the Director of Technology for Cornerstone Payment Systems. He has served as Chief Technology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of Priority since August 2005. Mr. Kiewiet previously worked in software development and architecture for Hypercom and Syntellect. His technology development background drives his vision for Priority to develop high-performing teams that deliberately target technologies at areas where the industry has been complacent and customers have been under-served.</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Cindy O’Neill </w:t>
      </w:r>
      <w:r>
        <w:rPr>
          <w:rFonts w:ascii="Arial" w:cs="Arial" w:eastAsia="Arial" w:hAnsi="Arial"/>
          <w:sz w:val="18"/>
          <w:szCs w:val="18"/>
          <w:color w:val="auto"/>
        </w:rPr>
        <w:t>has served as Priority’s President of Commercial Payments since March 2017. From July 2016 to March 2017 she worked as a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providing consulting services to Priority starting in November 2016. Ms. O’Neill previously served as the Executive Vice President and General Manager at Electronic Funds Source from June 2015 to July 2016, leading the growth of its Commercial Payments business through its 2016 sale to Wright Express. From February 2015 to June 2015, she served as Managing Director, Group Head of Cash Management Product, at Bank of the West. From June 2010 to February 2015, she served as the Head of Global Product Management and Region Head of U.S. Commercial Business at Visa. Prior to assuming those positions, she spent 17 years in treasury management, holding leadership positions at Wells Fargo (February 2007 to June 2010) and Bank of America (October 1994 to February 2007).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David McMiller </w:t>
      </w:r>
      <w:r>
        <w:rPr>
          <w:rFonts w:ascii="Arial" w:cs="Arial" w:eastAsia="Arial" w:hAnsi="Arial"/>
          <w:sz w:val="18"/>
          <w:szCs w:val="18"/>
          <w:color w:val="auto"/>
        </w:rPr>
        <w:t>has served as Priority’s President of Commercial Business Services since January 2015. He previously served as VP of Association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 at Priority since October 2008. He brings over thirty-five years of executive development experience after serving as the Executive Vice President for NOVA and development roles for Uptons and Kohl’s.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color w:val="auto"/>
        </w:rPr>
        <w:t xml:space="preserve">Afshin Yazdian </w:t>
      </w:r>
      <w:r>
        <w:rPr>
          <w:rFonts w:ascii="Arial" w:cs="Arial" w:eastAsia="Arial" w:hAnsi="Arial"/>
          <w:sz w:val="16"/>
          <w:szCs w:val="16"/>
          <w:color w:val="auto"/>
        </w:rPr>
        <w:t>has served as Priority’s President of Core Acquiring since May 2014. He was previously President &amp; CEO of Cynergy Data from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2013 to May 2014 and joined Priority through the merger with Cynergy Data. Prior to that, Mr. Yazdian served as President of TouchSuite from April 2012 to October 2013 and EVP &amp; General Counsel of iPayment, Inc. from its founding in January 2001 to December 2011. Mr. Yazdian brings over sixteen years of payments experience to Priority’s management team, with a background in acquisition and integration strategies and operations.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Chris Prince </w:t>
      </w:r>
      <w:r>
        <w:rPr>
          <w:rFonts w:ascii="Arial" w:cs="Arial" w:eastAsia="Arial" w:hAnsi="Arial"/>
          <w:sz w:val="18"/>
          <w:szCs w:val="18"/>
          <w:color w:val="auto"/>
        </w:rPr>
        <w:t>has served as Priority’s General Counsel since August 2010. Prior to joining Priority, Mr. Prince was Counsel at the international law firm of</w:t>
      </w:r>
      <w:r>
        <w:rPr>
          <w:rFonts w:ascii="Arial" w:cs="Arial" w:eastAsia="Arial" w:hAnsi="Arial"/>
          <w:sz w:val="18"/>
          <w:szCs w:val="18"/>
          <w:b w:val="1"/>
          <w:bCs w:val="1"/>
          <w:color w:val="auto"/>
        </w:rPr>
        <w:t xml:space="preserve"> </w:t>
      </w:r>
      <w:r>
        <w:rPr>
          <w:rFonts w:ascii="Arial" w:cs="Arial" w:eastAsia="Arial" w:hAnsi="Arial"/>
          <w:sz w:val="18"/>
          <w:szCs w:val="18"/>
          <w:color w:val="auto"/>
        </w:rPr>
        <w:t>King &amp; Spalding, where he was a member of the Corporate, Technology and Global Transactions practice groups, focusing on M&amp;A, joint venture and strategic alliances for domestic and international licensing of intellectual property and technology.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 has opted to comply with the executive compensation disclosure rules applicable to “emerging growth companies,” as such term is under the rules promulgated under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 The NEOs for Priority’s fiscal year ended December 31, 2017 were:</w:t>
      </w:r>
    </w:p>
    <w:p>
      <w:pPr>
        <w:spacing w:after="0" w:line="185" w:lineRule="exact"/>
        <w:rPr>
          <w:sz w:val="20"/>
          <w:szCs w:val="20"/>
          <w:color w:val="auto"/>
        </w:rPr>
      </w:pPr>
    </w:p>
    <w:p>
      <w:pPr>
        <w:ind w:left="660" w:hanging="330"/>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Thomas Priore, its Executive Chairman,</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John Priore, its President and Chief Executive Officer,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Afshin Yazdian, its President of Core Acquiring.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i w:val="1"/>
          <w:iCs w:val="1"/>
          <w:color w:val="auto"/>
        </w:rPr>
        <w:t>Summary Compensation Table</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presents summary information regarding the total compensation for Priority’s fiscal year ended December 31, 2017 for the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Nonequity</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Incentive Plan</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4"/>
              </w:rPr>
              <w:t>Compensation</w:t>
            </w: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tcPr>
          <w:p>
            <w:pPr>
              <w:spacing w:after="0"/>
              <w:rPr>
                <w:sz w:val="18"/>
                <w:szCs w:val="18"/>
                <w:color w:val="auto"/>
              </w:rPr>
            </w:pPr>
          </w:p>
        </w:tc>
      </w:tr>
      <w:tr>
        <w:trPr>
          <w:trHeight w:val="215"/>
        </w:trPr>
        <w:tc>
          <w:tcPr>
            <w:tcW w:w="1860" w:type="dxa"/>
            <w:vAlign w:val="bottom"/>
          </w:tcPr>
          <w:p>
            <w:pPr>
              <w:spacing w:after="0"/>
              <w:rPr>
                <w:sz w:val="20"/>
                <w:szCs w:val="20"/>
                <w:color w:val="auto"/>
              </w:rPr>
            </w:pPr>
            <w:r>
              <w:rPr>
                <w:rFonts w:ascii="Arial" w:cs="Arial" w:eastAsia="Arial" w:hAnsi="Arial"/>
                <w:sz w:val="18"/>
                <w:szCs w:val="18"/>
                <w:b w:val="1"/>
                <w:bCs w:val="1"/>
                <w:color w:val="auto"/>
              </w:rPr>
              <w:t>Name and Principal</w:t>
            </w:r>
          </w:p>
        </w:tc>
        <w:tc>
          <w:tcPr>
            <w:tcW w:w="94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Salary</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Bonus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Compensation</w:t>
            </w:r>
          </w:p>
        </w:tc>
        <w:tc>
          <w:tcPr>
            <w:tcW w:w="82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Year</w:t>
            </w: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w:t>
            </w:r>
          </w:p>
        </w:tc>
      </w:tr>
      <w:tr>
        <w:trPr>
          <w:trHeight w:val="430"/>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5"/>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Thomas Priore</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2017</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$ 500,000</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250,000</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750,000</w:t>
            </w:r>
          </w:p>
        </w:tc>
      </w:tr>
      <w:tr>
        <w:trPr>
          <w:trHeight w:val="215"/>
        </w:trPr>
        <w:tc>
          <w:tcPr>
            <w:tcW w:w="1860" w:type="dxa"/>
            <w:vAlign w:val="bottom"/>
          </w:tcPr>
          <w:p>
            <w:pPr>
              <w:spacing w:after="0"/>
              <w:rPr>
                <w:sz w:val="20"/>
                <w:szCs w:val="20"/>
                <w:color w:val="auto"/>
              </w:rPr>
            </w:pPr>
            <w:r>
              <w:rPr>
                <w:rFonts w:ascii="Arial" w:cs="Arial" w:eastAsia="Arial" w:hAnsi="Arial"/>
                <w:sz w:val="18"/>
                <w:szCs w:val="18"/>
                <w:i w:val="1"/>
                <w:iCs w:val="1"/>
                <w:color w:val="auto"/>
              </w:rPr>
              <w:t>Executive Chairman</w:t>
            </w: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1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1860" w:type="dxa"/>
            <w:vAlign w:val="bottom"/>
          </w:tcPr>
          <w:p>
            <w:pPr>
              <w:spacing w:after="0"/>
              <w:rPr>
                <w:sz w:val="20"/>
                <w:szCs w:val="20"/>
                <w:color w:val="auto"/>
              </w:rPr>
            </w:pPr>
            <w:r>
              <w:rPr>
                <w:rFonts w:ascii="Arial" w:cs="Arial" w:eastAsia="Arial" w:hAnsi="Arial"/>
                <w:sz w:val="18"/>
                <w:szCs w:val="18"/>
                <w:color w:val="auto"/>
              </w:rPr>
              <w:t>John Priore</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467,200</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365,000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20,533(1)</w:t>
            </w:r>
          </w:p>
        </w:tc>
        <w:tc>
          <w:tcPr>
            <w:tcW w:w="820" w:type="dxa"/>
            <w:vAlign w:val="bottom"/>
          </w:tcPr>
          <w:p>
            <w:pPr>
              <w:ind w:left="140"/>
              <w:spacing w:after="0"/>
              <w:rPr>
                <w:sz w:val="20"/>
                <w:szCs w:val="20"/>
                <w:color w:val="auto"/>
              </w:rPr>
            </w:pPr>
            <w:r>
              <w:rPr>
                <w:rFonts w:ascii="Arial" w:cs="Arial" w:eastAsia="Arial" w:hAnsi="Arial"/>
                <w:sz w:val="18"/>
                <w:szCs w:val="18"/>
                <w:color w:val="auto"/>
              </w:rPr>
              <w:t>852,733</w:t>
            </w:r>
          </w:p>
        </w:tc>
      </w:tr>
      <w:tr>
        <w:trPr>
          <w:trHeight w:val="215"/>
        </w:trPr>
        <w:tc>
          <w:tcPr>
            <w:tcW w:w="1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 CEO</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Afshin Yazdian</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2017</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381,923</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20,730(2)</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652,653</w:t>
            </w:r>
          </w:p>
        </w:tc>
      </w:tr>
      <w:tr>
        <w:trPr>
          <w:trHeight w:val="201"/>
        </w:trPr>
        <w:tc>
          <w:tcPr>
            <w:tcW w:w="1860" w:type="dxa"/>
            <w:vAlign w:val="bottom"/>
          </w:tcPr>
          <w:p>
            <w:pPr>
              <w:spacing w:after="0" w:line="201" w:lineRule="exact"/>
              <w:rPr>
                <w:sz w:val="20"/>
                <w:szCs w:val="20"/>
                <w:color w:val="auto"/>
              </w:rPr>
            </w:pPr>
            <w:r>
              <w:rPr>
                <w:rFonts w:ascii="Arial" w:cs="Arial" w:eastAsia="Arial" w:hAnsi="Arial"/>
                <w:sz w:val="18"/>
                <w:szCs w:val="18"/>
                <w:i w:val="1"/>
                <w:iCs w:val="1"/>
                <w:color w:val="auto"/>
              </w:rPr>
              <w:t>President of Core</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1860" w:type="dxa"/>
            <w:vAlign w:val="bottom"/>
          </w:tcPr>
          <w:p>
            <w:pPr>
              <w:ind w:left="180"/>
              <w:spacing w:after="0"/>
              <w:rPr>
                <w:sz w:val="20"/>
                <w:szCs w:val="20"/>
                <w:color w:val="auto"/>
              </w:rPr>
            </w:pPr>
            <w:r>
              <w:rPr>
                <w:rFonts w:ascii="Arial" w:cs="Arial" w:eastAsia="Arial" w:hAnsi="Arial"/>
                <w:sz w:val="18"/>
                <w:szCs w:val="18"/>
                <w:i w:val="1"/>
                <w:iCs w:val="1"/>
                <w:color w:val="auto"/>
              </w:rPr>
              <w:t>Acquiring</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8097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09750" cy="8255"/>
                    </a:xfrm>
                    <a:prstGeom prst="rect">
                      <a:avLst/>
                    </a:prstGeom>
                    <a:noFill/>
                  </pic:spPr>
                </pic:pic>
              </a:graphicData>
            </a:graphic>
          </wp:anchor>
        </w:drawing>
      </w:r>
    </w:p>
    <w:p>
      <w:pPr>
        <w:spacing w:after="0" w:line="221" w:lineRule="exact"/>
        <w:rPr>
          <w:sz w:val="20"/>
          <w:szCs w:val="20"/>
          <w:color w:val="auto"/>
        </w:rPr>
      </w:pPr>
    </w:p>
    <w:p>
      <w:pPr>
        <w:ind w:left="340" w:hanging="332"/>
        <w:spacing w:after="0" w:line="275" w:lineRule="auto"/>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Reflects (i) Priority’s payment of Mr. John Priore’s health insurance premiums in the amount of $9,933 and (ii) a 401(k) plan matching contribution in the amount of $10,600.</w:t>
      </w:r>
    </w:p>
    <w:p>
      <w:pPr>
        <w:spacing w:after="0" w:line="170" w:lineRule="exact"/>
        <w:rPr>
          <w:rFonts w:ascii="Arial" w:cs="Arial" w:eastAsia="Arial" w:hAnsi="Arial"/>
          <w:sz w:val="18"/>
          <w:szCs w:val="18"/>
          <w:color w:val="auto"/>
        </w:rPr>
      </w:pPr>
    </w:p>
    <w:p>
      <w:pPr>
        <w:ind w:left="340" w:hanging="332"/>
        <w:spacing w:after="0" w:line="275" w:lineRule="auto"/>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Reflects (i) Priority’s payment of Mr. Yazdian’s health insurance premiums in the amount of $10,130 and (ii) a 401(k) plan matching contribution in the amount of $10,600.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Narrative Disclosure to Summary Compensation Table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Thomas Priore</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Thomas Priore is party to a director agreement among the Employers and Priority, dated May 21, 2014 (which we refer to as the “Director Agreement”). Mr. Thomas Priore is not employed by the Employers and serves as Executive Chairman of Priority as an independent contractor. He is eligible to receive a monthly fee in the amount of $41,666.67 and a discretionary annual fee in an amount up to $250,000. Payment of the monthly fee is subject to applicable restrictions under the debt and equity financing agreements of the Employers. In the event any such restrictions prohibit payment of the monthly fee such amount will accrue interest at a rate of 6% per annum until such amount is permitted to be paid. The Director Agreement may be terminated at any time by mutual written agreement of the parties or by any party for cause in the event the other party materially breaches its duties and obligations or is in default of any obligation. Upon any termination of the Director Agreement, Mr. Thomas Priore will remain eligible to continue to receive the monthly fee and the annual fee for so long as he and his affiliates own at least 10% of the outstanding common equity interests of Priority on a fully diluted basis.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John Priore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Mr. John Priore is party to an employment agreement among Priority Payment Systems Holdings LLC and Pipeline Cynergy Holdings, LLC (together referred to as the “Employers”), and Priority, dated May 21, 2014 (which we refer to as the “Priore Employment Agreement”). The Priore Employment Agreement does not provide for a specific term of employment.</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Priore Employment Agreement, Mr. John Priore receives an annual base salary (currently $467,200 per year) and is eligible for an annual bonus. Mr. John Priore’s annual bonus has a target payment of at least 70% of his base salary based on the achievement of performance criteria, which may be increased to 100% of his base salary at the discretion of the board of directors of Priority if such performance criteria are achieved. For 2017, the performance criteria for Mr. John’s Priore’s annual bonus was achievement of a total company recurring operating margin greater than or equal to $56,265,000. The actual amount achieved was $59,206,617, resulting in a bonus in the amount of $327,040, and the board of directors of Priority exercised its discretion to increase the total amount of Mr. John Priore’s 2017 annual bonus to $365,000.</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7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2" w:name="page153"/>
    <w:bookmarkEnd w:id="152"/>
    <w:p>
      <w:pPr>
        <w:jc w:val="both"/>
        <w:spacing w:after="0" w:line="262" w:lineRule="auto"/>
        <w:rPr>
          <w:sz w:val="20"/>
          <w:szCs w:val="20"/>
          <w:color w:val="auto"/>
        </w:rPr>
      </w:pPr>
      <w:r>
        <w:rPr>
          <w:rFonts w:ascii="Arial" w:cs="Arial" w:eastAsia="Arial" w:hAnsi="Arial"/>
          <w:sz w:val="18"/>
          <w:szCs w:val="18"/>
          <w:color w:val="auto"/>
        </w:rPr>
        <w:t>The Priore Employment Agreement provides that in the event of his termination of employment by the Employers without Cause or if he resigns for Good Reason, then subject to his execution of a release and compliance with restrictive covenants set forth in the Priore Employment Agreement, he will be entitled to:</w:t>
      </w:r>
    </w:p>
    <w:p>
      <w:pPr>
        <w:spacing w:after="0" w:line="182" w:lineRule="exact"/>
        <w:rPr>
          <w:sz w:val="20"/>
          <w:szCs w:val="20"/>
          <w:color w:val="auto"/>
        </w:rPr>
      </w:pPr>
    </w:p>
    <w:p>
      <w:pPr>
        <w:ind w:left="660" w:right="20" w:hanging="330"/>
        <w:spacing w:after="0" w:line="275"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severance payments equal to the sum of 24 months of his base salary plus 35% of his base salary (increased to 75% if such termination occurs within 6 months prior to a change in control of Priority), payable for a period of 24 months;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and dental coverage for a period of 24 months.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Priore Employment Agreement, “Cause” generally means Mr. John Priore’s:</w:t>
      </w:r>
    </w:p>
    <w:p>
      <w:pPr>
        <w:spacing w:after="0" w:line="223" w:lineRule="exact"/>
        <w:rPr>
          <w:sz w:val="20"/>
          <w:szCs w:val="20"/>
          <w:color w:val="auto"/>
        </w:rPr>
      </w:pPr>
    </w:p>
    <w:p>
      <w:pPr>
        <w:ind w:left="660" w:hanging="330"/>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material breach of the Priore Employment Agreement;</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fraud;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gross negligence, willful misconduct, or material dishonesty;</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failure to follow the reasonable direction of any individual or board to which he reports; or</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final conviction of a felony or crime involving moral turpitude.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Priore Employment Agreement, “Good Reason” generally means:</w:t>
      </w:r>
    </w:p>
    <w:p>
      <w:pPr>
        <w:spacing w:after="0" w:line="223" w:lineRule="exact"/>
        <w:rPr>
          <w:sz w:val="20"/>
          <w:szCs w:val="20"/>
          <w:color w:val="auto"/>
        </w:rPr>
      </w:pPr>
    </w:p>
    <w:p>
      <w:pPr>
        <w:ind w:left="660" w:hanging="330"/>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material reduction in his then current authority, title, duties, or responsibilities;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material reduction in his then current base salary or benefits that he was entitled to on May 21, 2014;</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requirement that he report to any person or entity other than the board of directors of Priority;</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material breach of the Priore Employment Agreement by the Employers;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material change in geographic location at which he must perform services for the Employers;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Employers, with the actual knowledge of the Board, provide processing services with respect to adult entertainment merchant accounts; or</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successor’s failure to assume the Priore Employment Agreement in writing.</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Afshin Yazdian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Mr. Yazdian is party to an employment agreement among the Employers and Priority, dated May 21, 2014 (which we refer to as the “Yazdian Employment Agreement”). The Yazdian Employment Agreement provides for a term that will expire on October 16, 2018, and thereafter automatically renew for additional one-year periods unless either party provides written notice at least 90 days prior to the end of the then term.</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 xml:space="preserve">Pursuant to the Yazdian Employment Agreement, </w:t>
      </w:r>
      <w:r>
        <w:rPr>
          <w:rFonts w:ascii="Arial" w:cs="Arial" w:eastAsia="Arial" w:hAnsi="Arial"/>
          <w:sz w:val="17"/>
          <w:szCs w:val="17"/>
          <w:color w:val="auto"/>
        </w:rPr>
        <w:t>Mr. Yazdian receives an annual base salary (currently $410,010 per year) and the Employers pay</w:t>
      </w:r>
      <w:r>
        <w:rPr>
          <w:rFonts w:ascii="Arial" w:cs="Arial" w:eastAsia="Arial" w:hAnsi="Arial"/>
          <w:sz w:val="22"/>
          <w:szCs w:val="22"/>
          <w:color w:val="auto"/>
        </w:rPr>
        <w:t xml:space="preserve"> </w:t>
      </w:r>
      <w:r>
        <w:rPr>
          <w:rFonts w:ascii="Arial" w:cs="Arial" w:eastAsia="Arial" w:hAnsi="Arial"/>
          <w:sz w:val="17"/>
          <w:szCs w:val="17"/>
          <w:color w:val="auto"/>
        </w:rPr>
        <w:t>100% of all insurance premiums for Mr. Yazdian, his spouse and eligible children under the Employers’ employee benefit plans. Mr Yazdian is eligible to receive an annual bonus targeted at 50% of his base salary based on the achievement of performance criteria, which may be increased up to a maximum of 65% of his base salary at the discretion of the board of directors of Priority if such performance criteria are achieved. For 2017, the performance criteria for Mr. Yazdian’s annual bonus was achievement of a core acquiring recurring operating margin greater than or equal to $51,893,293. The actual amount achieved was $56,927,930, resulting in a bonus in the amount of $204,995, and the board of directors of Priority exercised its discretion to increase the total amount of Mr. Yazdian’s 2017 annual bonus to $250,000.</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Yazdian Employment Agreement, in the event of his termination of employment by the Employers without Cause or due to a notice by the Employers of non-renewal of the Yazdian Employment Agreement, or by Mr. Yazdian for Good Reason, subject to his execution of a release, he will be entitled to:</w:t>
      </w:r>
    </w:p>
    <w:p>
      <w:pPr>
        <w:spacing w:after="0" w:line="182" w:lineRule="exact"/>
        <w:rPr>
          <w:sz w:val="20"/>
          <w:szCs w:val="20"/>
          <w:color w:val="auto"/>
        </w:rPr>
      </w:pPr>
    </w:p>
    <w:p>
      <w:pPr>
        <w:ind w:left="660" w:hanging="330"/>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severance payments equal to 12 months of his base salary payable for a period of 12 months;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pro-rata portion of any earned but unpaid annual bonus for the year of termination;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coverage for a period of 12 months.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the event of a termination of Mr. Yazdian’s employment due to his death or disability, subject to his execution of a release, Mr. Yazdian will be entitled to a pro-rata portion of any earned but unpaid annual bonus for the year of termination.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154"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For the purposes of the Yazdian Employment Agreement, “Cause” generally means Mr. Yazdian’s:</w:t>
      </w:r>
    </w:p>
    <w:p>
      <w:pPr>
        <w:spacing w:after="0" w:line="223" w:lineRule="exact"/>
        <w:rPr>
          <w:sz w:val="20"/>
          <w:szCs w:val="20"/>
          <w:color w:val="auto"/>
        </w:rPr>
      </w:pPr>
    </w:p>
    <w:p>
      <w:pPr>
        <w:ind w:left="660" w:hanging="330"/>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commission of or being charged with the commission of a felony, or any crime involving theft, fraud, dishonesty or moral turpitude;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gross negligence or any intentional act of fraud or misconduct;</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material breach of the Yazdian Employment Agreement, or any other agreement with the Employers;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breach of fiduciary duties owed to the Employers; or</w:t>
      </w:r>
    </w:p>
    <w:p>
      <w:pPr>
        <w:spacing w:after="0" w:line="223" w:lineRule="exact"/>
        <w:rPr>
          <w:rFonts w:ascii="Arial" w:cs="Arial" w:eastAsia="Arial" w:hAnsi="Arial"/>
          <w:sz w:val="18"/>
          <w:szCs w:val="18"/>
          <w:color w:val="auto"/>
        </w:rPr>
      </w:pPr>
    </w:p>
    <w:p>
      <w:pPr>
        <w:ind w:right="960" w:firstLine="330"/>
        <w:spacing w:after="0" w:line="498" w:lineRule="auto"/>
        <w:tabs>
          <w:tab w:leader="none" w:pos="64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willful and continued disregard of the lawful and reasonable directives of the board of directors of Priority clearly communicated to him. For the purposes of the Yazdian Employment Agreement, “Good Reason” generally means:</w:t>
      </w:r>
    </w:p>
    <w:p>
      <w:pPr>
        <w:spacing w:after="0" w:line="1" w:lineRule="exact"/>
        <w:rPr>
          <w:rFonts w:ascii="Arial" w:cs="Arial" w:eastAsia="Arial" w:hAnsi="Arial"/>
          <w:sz w:val="18"/>
          <w:szCs w:val="18"/>
          <w:color w:val="auto"/>
        </w:rPr>
      </w:pPr>
    </w:p>
    <w:p>
      <w:pPr>
        <w:ind w:left="660" w:hanging="330"/>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reduction in his base salary, or 50% bonus target below those existing on May 21, 2014;</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change in his title or reporting responsibilities such that he no longer reports to the board of directors of Priority or the chief executive officer of the Employers;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 requirement that he relocate outside of the Nashville, Tennessee metropolitan area or such other location reasonably determined by Mr. Yazdian;</w:t>
      </w:r>
    </w:p>
    <w:p>
      <w:pPr>
        <w:spacing w:after="0" w:line="246" w:lineRule="exact"/>
        <w:rPr>
          <w:rFonts w:ascii="Arial" w:cs="Arial" w:eastAsia="Arial" w:hAnsi="Arial"/>
          <w:sz w:val="16"/>
          <w:szCs w:val="16"/>
          <w:color w:val="auto"/>
        </w:rPr>
      </w:pPr>
    </w:p>
    <w:p>
      <w:pPr>
        <w:ind w:left="660" w:hanging="330"/>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material breach of the Yazdian Employment Agreement by the Employers; or</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successor’s failure to assume and agree to perform the obligations in the Yazdian Employment Agreement.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401(k) Plan</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Priority maintains a tax-qualified 401(k) defined contribution plan available to substantially all of our employees. The 401(k) plan is available on the same terms to all of its U.S. employees, including Messrs. John Priore and Yazdian. Mr. Thomas Priore serves Priority as an independent contractor and is therefore not eligible to participate in the 401(k) plan. Each participant may elect to make a voluntary contribution of an amount between 0% to 100% of his or her base salary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gridSpan w:val="2"/>
          </w:tcPr>
          <w:p>
            <w:pPr>
              <w:ind w:left="600"/>
              <w:spacing w:after="0"/>
              <w:rPr>
                <w:sz w:val="20"/>
                <w:szCs w:val="20"/>
                <w:color w:val="auto"/>
              </w:rPr>
            </w:pPr>
            <w:r>
              <w:rPr>
                <w:rFonts w:ascii="Arial" w:cs="Arial" w:eastAsia="Arial" w:hAnsi="Arial"/>
                <w:sz w:val="14"/>
                <w:szCs w:val="14"/>
                <w:b w:val="1"/>
                <w:bCs w:val="1"/>
                <w:color w:val="auto"/>
              </w:rPr>
              <w:t>Option Awards</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gridSpan w:val="2"/>
          </w:tcPr>
          <w:p>
            <w:pPr>
              <w:ind w:left="42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center"/>
              <w:ind w:right="7"/>
              <w:spacing w:after="0" w:line="148" w:lineRule="exact"/>
              <w:rPr>
                <w:sz w:val="20"/>
                <w:szCs w:val="20"/>
                <w:color w:val="auto"/>
              </w:rPr>
            </w:pPr>
            <w:r>
              <w:rPr>
                <w:rFonts w:ascii="Arial" w:cs="Arial" w:eastAsia="Arial" w:hAnsi="Arial"/>
                <w:sz w:val="14"/>
                <w:szCs w:val="14"/>
                <w:b w:val="1"/>
                <w:bCs w:val="1"/>
                <w:color w:val="auto"/>
                <w:w w:val="98"/>
              </w:rPr>
              <w:t>Equity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Incentive</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920" w:type="dxa"/>
            <w:vAlign w:val="bottom"/>
            <w:vMerge w:val="continue"/>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 Securities</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Plan Awards: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Unearned</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Securities</w:t>
            </w:r>
          </w:p>
        </w:tc>
        <w:tc>
          <w:tcPr>
            <w:tcW w:w="1080" w:type="dxa"/>
            <w:vAlign w:val="bottom"/>
            <w:vMerge w:val="continue"/>
          </w:tcPr>
          <w:p>
            <w:pPr>
              <w:spacing w:after="0"/>
              <w:rPr>
                <w:sz w:val="12"/>
                <w:szCs w:val="12"/>
                <w:color w:val="auto"/>
              </w:rPr>
            </w:pPr>
          </w:p>
        </w:tc>
        <w:tc>
          <w:tcPr>
            <w:tcW w:w="1060" w:type="dxa"/>
            <w:vAlign w:val="bottom"/>
          </w:tcPr>
          <w:p>
            <w:pPr>
              <w:jc w:val="center"/>
              <w:ind w:right="7"/>
              <w:spacing w:after="0" w:line="148" w:lineRule="exact"/>
              <w:rPr>
                <w:sz w:val="20"/>
                <w:szCs w:val="20"/>
                <w:color w:val="auto"/>
              </w:rPr>
            </w:pPr>
            <w:r>
              <w:rPr>
                <w:rFonts w:ascii="Arial" w:cs="Arial" w:eastAsia="Arial" w:hAnsi="Arial"/>
                <w:sz w:val="14"/>
                <w:szCs w:val="14"/>
                <w:b w:val="1"/>
                <w:bCs w:val="1"/>
                <w:color w:val="auto"/>
                <w:w w:val="89"/>
              </w:rPr>
              <w:t># Securities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 Shares</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Value #</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Shares,</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tcPr>
          <w:p>
            <w:pPr>
              <w:jc w:val="center"/>
              <w:ind w:right="7"/>
              <w:spacing w:after="0" w:line="148"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Share or</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Units or</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Underlying</w:t>
            </w: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Unexercised</w:t>
            </w:r>
          </w:p>
        </w:tc>
        <w:tc>
          <w:tcPr>
            <w:tcW w:w="1060" w:type="dxa"/>
            <w:vAlign w:val="bottom"/>
          </w:tcPr>
          <w:p>
            <w:pPr>
              <w:jc w:val="center"/>
              <w:ind w:right="7"/>
              <w:spacing w:after="0" w:line="148" w:lineRule="exact"/>
              <w:rPr>
                <w:sz w:val="20"/>
                <w:szCs w:val="20"/>
                <w:color w:val="auto"/>
              </w:rPr>
            </w:pPr>
            <w:r>
              <w:rPr>
                <w:rFonts w:ascii="Arial" w:cs="Arial" w:eastAsia="Arial" w:hAnsi="Arial"/>
                <w:sz w:val="14"/>
                <w:szCs w:val="14"/>
                <w:b w:val="1"/>
                <w:bCs w:val="1"/>
                <w:color w:val="auto"/>
                <w:w w:val="88"/>
              </w:rPr>
              <w:t>Unexercised</w:t>
            </w: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or Units</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Units of</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7"/>
              </w:rPr>
              <w:t>other</w:t>
            </w:r>
          </w:p>
        </w:tc>
        <w:tc>
          <w:tcPr>
            <w:tcW w:w="0" w:type="dxa"/>
            <w:vAlign w:val="bottom"/>
          </w:tcPr>
          <w:p>
            <w:pPr>
              <w:spacing w:after="0"/>
              <w:rPr>
                <w:sz w:val="1"/>
                <w:szCs w:val="1"/>
                <w:color w:val="auto"/>
              </w:rPr>
            </w:pPr>
          </w:p>
        </w:tc>
      </w:tr>
      <w:tr>
        <w:trPr>
          <w:trHeight w:val="148"/>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24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tcPr>
          <w:p>
            <w:pPr>
              <w:ind w:left="60"/>
              <w:spacing w:after="0" w:line="148" w:lineRule="exact"/>
              <w:rPr>
                <w:sz w:val="20"/>
                <w:szCs w:val="20"/>
                <w:color w:val="auto"/>
              </w:rPr>
            </w:pPr>
            <w:r>
              <w:rPr>
                <w:rFonts w:ascii="Arial" w:cs="Arial" w:eastAsia="Arial" w:hAnsi="Arial"/>
                <w:sz w:val="14"/>
                <w:szCs w:val="14"/>
                <w:b w:val="1"/>
                <w:bCs w:val="1"/>
                <w:color w:val="auto"/>
                <w:w w:val="98"/>
              </w:rPr>
              <w:t>Unexercised</w:t>
            </w: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Options (#)</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Unearned</w:t>
            </w:r>
          </w:p>
        </w:tc>
        <w:tc>
          <w:tcPr>
            <w:tcW w:w="86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of Stock</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Stock that</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Rights that</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Rights that</w:t>
            </w:r>
          </w:p>
        </w:tc>
        <w:tc>
          <w:tcPr>
            <w:tcW w:w="0" w:type="dxa"/>
            <w:vAlign w:val="bottom"/>
          </w:tcPr>
          <w:p>
            <w:pPr>
              <w:spacing w:after="0"/>
              <w:rPr>
                <w:sz w:val="1"/>
                <w:szCs w:val="1"/>
                <w:color w:val="auto"/>
              </w:rPr>
            </w:pPr>
          </w:p>
        </w:tc>
      </w:tr>
      <w:tr>
        <w:trPr>
          <w:trHeight w:val="148"/>
        </w:trPr>
        <w:tc>
          <w:tcPr>
            <w:tcW w:w="172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90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Options (#)</w:t>
            </w: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Unexercisable</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Options</w:t>
            </w:r>
          </w:p>
        </w:tc>
        <w:tc>
          <w:tcPr>
            <w:tcW w:w="8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Expiration</w:t>
            </w: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that have</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have not</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have not</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86"/>
        </w:trPr>
        <w:tc>
          <w:tcPr>
            <w:tcW w:w="172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1240" w:type="dxa"/>
            <w:vAlign w:val="bottom"/>
          </w:tcPr>
          <w:p>
            <w:pPr>
              <w:jc w:val="center"/>
              <w:ind w:left="308"/>
              <w:spacing w:after="0"/>
              <w:rPr>
                <w:sz w:val="20"/>
                <w:szCs w:val="20"/>
                <w:color w:val="auto"/>
              </w:rPr>
            </w:pPr>
            <w:r>
              <w:rPr>
                <w:rFonts w:ascii="Arial" w:cs="Arial" w:eastAsia="Arial" w:hAnsi="Arial"/>
                <w:sz w:val="14"/>
                <w:szCs w:val="14"/>
                <w:b w:val="1"/>
                <w:bCs w:val="1"/>
                <w:color w:val="auto"/>
                <w:w w:val="97"/>
              </w:rPr>
              <w:t>Grant Date</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Price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w w:val="96"/>
              </w:rPr>
              <w:t>not vested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Afshin Yazdian</w:t>
            </w:r>
          </w:p>
        </w:tc>
        <w:tc>
          <w:tcPr>
            <w:tcW w:w="124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3"/>
              </w:rPr>
              <w:t>9/21/2016</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46,906</w:t>
            </w:r>
          </w:p>
        </w:tc>
        <w:tc>
          <w:tcPr>
            <w:tcW w:w="1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8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N/A</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18097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0975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ind w:firstLine="8"/>
        <w:spacing w:after="0" w:line="271" w:lineRule="auto"/>
        <w:tabs>
          <w:tab w:leader="none" w:pos="25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Reflects unvested Class B Common Units (which we refer to as the “Class B Units”) in PIEH, which are subject to terms of the Limited Liability Company Agreement of PIEH. The Class B Units were initially granted by Priority, and were contributed to, and the obligations thereunder were assumed by, PIEH on July 30, 2017. Priority believes that, despite the fact that the Class B Units reflect profits interest in PIEH that do not require the payment of an exercise price, they are most similar economically to stock options, and as such, they are properly classified as “options” under the definition provided in Item 402(a)(6)(i) of Regulation S-K as an instrument with an “option-like feature.” Mr. Yazdian will become vested in 50% of the unvested Class B Units on each of May 21, 2018 and May 21, 2019, subject to his continued service through such dates. Mr. Yazdian will become vested in any unvested Class B Units upon a change in control of Priority, subject to his continued service through such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Other than the compensation received by Mr. Thomas Priore as described above, no director of Priority received compensation for his or her services to Priority for the year ended December 31,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7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PRIORITY</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You should read the following management’s discussion and analysis together with “Summary Historical Financial Information of Priority”, “Unaudited Pro Forma Condensed Combined Financial Information”, Priority’s audited consolidated financial statements, unaudited interim condensed consolidated financial statements and the related notes thereto included elsewhere in this proxy statement. This discussion contains forward-looking statements about Priority’s business, operations and industry that involve risks and uncertainties, such as statements regarding Priority’s plans, objectives, expectations and intentions. Priority’s future results and financial condition may differ materially from those currently anticipated by Priority as a result of the factors described in the sections entitled “Risk Factors” and “Cautionary Note Regarding Forward-Looking Statements.” Throughout this section, unless otherwise noted “Priority” and the “Company” refer to Priority. Certain amounts in this section may not foot due to rounding.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Priority is a leading provider of merchant acquiring and commercial payment solutions, offering unique product capabilities to SMBs, enterprises and distribution partners in the United States. Priority was founded in 2005 with a mission to build a merchant inspired payments platform that would advance the goals of its SMB and enterprise clients and business partners. Priority has grown from the 38th largest U.S. merchant acquirer to become the 13th largest as of</w:t>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end of 2017, measured by Visa and MasterCard purchase volume according to The Nilson Report. Priority is currently the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largest non-bank merchant acquirer in the United States. In 2017, Priority processed over 439 million transactions and over $34 billion in payment volume across approximately 174 thousand merchants. For the three months ended March 31, 2018, Priority processed over 110 million transactions and over $9 billion in payment volume. Headquartered in Alpharetta, GA, Priority has 514 employees and is led by an experienced group of payments executives. Priority provides services through two reportable segments, Consumer Payments and Commercial Payments and Managed Services.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Priority’s Consumer Payments business provides full-service merchant acquiring and payment processing solutions mainly to SMBs. Priority’s technology platform, MX Merchant, provides end users with a customizable, virtual terminal with proprietary business management tools and add-on applications (“apps”) that create an integrated merchant experience. MX Merchant’s add-on apps include invoicing, customer engagement and data analytics focused on targeted marketing, website builder, and inventory management, and customer engagement and data analytics focused on targeted marketing, among others. MX Merchant can be deployed on hardware from a variety of vendors and operated either as a standalone product or integrated with third-party software. Consumer Payments partners with a diverse reseller community, including ISOs and other agents, financial institutions, ISVs, value-added resellers and other referral partners and, through its MX Connect platform, provides these resellers and internal teams with value-added tools and resources to manage their merchant base and accelerate the growth of their businesses, including through marketing resources, automated onboarding, merchant underwriting, merchant activity monitoring and reporting. Priority offers ISVs and value-added resellers a technology “agnostic” and feature rich API, providing developers with the ability to integrate electronic payment acceptance into their software and improve boarding efficiency for their merchant base. Priority, through resellers and acquisition of merchant portfolios, becomes a party to arrangements with merchants and sponsoring banks pursuant to which merchant card transactions are processed. Pursuant to each arrangement, with respect to each card transaction, the sponsoring bank receives payment from card associations (e.g., Visa, MasterCard) and pays the transaction fee due to Priority for the suite of processing and related services it provides to merchants, net of interchange fees due to the issuing bank, card association fees and assessments and processing and related fees due to payment processers (e.g., First Data, Total System Services), with the remainder going to the merchant. Priority’s transaction fees are based primarily on the number and a percentage of the dollar volume of payment transactions processed by a merchant customer and, to a lesser extent, from monthly subscription costs. Priority’s Consumer Payments segment accounted for approximately 94.1%, 93.8% and 94.5% of its total revenue and approximately 94.6%, 89.7% and 94.7% of its income from operations in 2017, 2016 and 2015, respectively. For the three months ended March 31, 2018 and 2017, Priority’s Consumer Payments segment accounted for approximately 94.3% and 93.6% of its total revenue, respectively. All of Priority’s shared corporate services expenses, including executive compensation and technology support services, have been allocated to Priority’s Consumer Payments segment for all periods discussed in this proxy statement.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Priority’s Commercial Payments and Managed Services business provides curated managed services and a robust suite of integrated AP automation solutions to industry leading financial institutions and card networks, such as Citibank, MasterCard, Visa and American Express, among others. Commercial Payments and Managed Services supports a direct sales model that provides turnkey merchant development, product sales and supplier enablement programs. Through Priority’s Commercial Payments Exchange (“CPX”) platform, Commercial Payments and Managed Services offers clients a seamless bridge for buyer to supplier (payor to provider) payments by integrating directly to “buyer” payment instruction files and parsing them for payment to their suppliers via virtual card, purchase card, ACH +, dynamic discounting, or check. Commercial Payments and Managed Services revenue is generated primarily through outsourced arrangements provided by Priority’s in-house sales force to financial institution customers on a cost-plus fee basis. As partner to these financial institutions, Priority originates merchant financing arrangements, including AMEX Buyer Initiated Payments BIP and AMEX merchant financing loans, with the financial institution’s merchant customers. Revenue is recognized to the extent of billable rates times hours worked, plus material and other reimbursable costs incurred. In addition, through Priority’s CPX platform, Commercial Payments and Managed Services generates revenue from interchange fees based on a variable percentage of dollars transacted at on-boarded merchant locations, as well as subscription fees. CPX was only recently rolled out to customers yet represents a high growth opportunity for Priority considering that the commercial payments volume in the United States is over twice the size of consumer payments and substantially less penetrated for electronic payments. Priority’s Commercial Payments and Managed Services segment accounted for 5.9%, 6.2% and 5.5% of its total revenue and approximately 5.4%, 10.3% and 5.3% of its income from operations in 2017, 2016 and 2015, respectively. For the three months ended March 31, 2018 and 2017, Priority’s Commercial Payments and Managed Services segment accounted for 5.7% and 6.4% of its total revenue,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Priority’s Results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comparability of Priority’s results for the periods discussed in this proxy statement has been impacted and may, for future periods, be further impacted by the following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 and Upsizing</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January 3, 2017, Priority restructured its long-term debt by extinguishing then-existing debt with Goldman Sachs of $88.7 million and acquiring new debt of $280 million, consisting of an $80 million subordinated secured term loan with Goldman Sachs (the “Subordinated Term Loan”) and a syndicated senior secured $200 credit facility with SunTrust Bank (as administrative agent) (the “Senior Secured Credit Facility”). Priority also entered into a $25 million revolver with SunTrust (the “Revolver”), which remained undrawn as of March 31, 2018 and December 31, 2017, respectively. As a result of the increase in debt, Priority recognized $23.8 million of interest expense in 2017 compared to $4.1 million in 2016. In addition, in 2017 Priority recognized $1.8 million in other expense attributable to a write-off of unamortized deferred financing fees and original issue discount (OID) associated with the debt extinguishment.</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Approximately $200 million of the additional debt proceeds were used to redeem then-outstanding Priority Class A Common units from one of Priority’s investors. In addition, in connection with the debt restructuring, Priority cancelled an outstanding Goldman Sachs warrant to purchase 1.0% of Priority’s outstanding Class A Common units and issued a new warrant to Goldman Sachs to purchase 1.8% of Priority’s outstanding Class A Common units. The warrant has a term of 7 years, an exercise price of $0 and may be exercised at any time prior to termination date. The warrant, which must be settled with a number of Class A Common units that is variable, is accounted for as a liability, adjusted for changes in fair value in each reporting period until the earlier of its exercise or expiration. The fair value of the warrant was $8.7 million at December 31, 2017, reflecting a $4.3 million increase in fair value from December 31, 2016, which has been recorded as interest and other expense.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Priority recorded $31.2 million in interest and other expense in 2017 compared to $6.0 million in 2016 and $5.5 million in 2015.</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Priority redeemed 411,585 Class A Common units for $31.0 million on January 17, 2018, 445,410 Class A Common Units for $39.0 million on January 19, 2018 and redeemed an additional 96,999 Class A Common Units for $4.2 million on February 23, 2018. As a result of these redemptions, Priority is 100% owned by PIH.</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11, 2018, Priority upsized its Senior Secured Credit Facility to $267.5 million, resulting in an additional $67.5 million in debt and the 1.8% warrant was amended to provide Goldman Sachs with warrants to purchase 2.2% of the Company’s outstanding Class A Common units. The warrants have a term of 7 years, an exercise price of $0 and may be exercised at any time prior to expiration date. The additional debt proceeds were used for redemption of Class A Common units held by certain investors. As of March 31, 2018, the warrants had a fair value of $12.2 million. See “—Liquidity and Capital Resources—Long-term Debt” below and Note 6 to Priority’s unaudited interim condensed consolidated financial statements included elsewhere in this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Merchant Portfolios, Residuals and Business Acquisitions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Priority, in the ordinary course of business, acquires new merchant relationships through contracts and relationships with ISOs and other resellers, as well as residual rights to commissions payable to such resellers.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in June 2015, Priority agreed to purchase substantially all merchant acquiring related assets of American Credit Card Processing Corp. and certain subsidiaries and affiliates (collectively, “ACCPC”) for approximately $27.6 million, including a contingent earnout payment. The acquisition was debt financed and contributed approximately $4 million in revenue in 2015, following the date of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Priority has in the past experienced, and expects to continue to experience, seasonal fluctuations in revenues as a result of consumer spending patterns and recognition of non-transaction based fees. Historically, Priority’s fiscal year revenues have typically been strongest in the fourth quarter, which includes the winter holiday season and increased sales of winter heating products by Priority’s energy and fuel merchants, and lowest in the first quarter. Some variability may result from seasonal events (such as retail sales events) and the number of processing days in a month or quarter. Operating expenses, other than cost of services (which trend in the direction of revenues), do not typically fluctuate seasonally.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Business Combination</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Priority’s results of operations for all periods discussed in this proxy statement reflect Priority’s status as a limited liability company for tax purposes and as such Priority’s income and losses have historically flowed through to Priority’s members and no provisions for federal income taxes were provided in Priority’s consolidated financial statements. Upon the consummation of the Business Combination, the combined company will be a C Corporation for tax purposes, resulting in the combined company recording income tax expense for post-closing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Priority’s Business and Results of Operations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number of factors impact Priority’s business, results of operations and financial condition including:</w:t>
      </w:r>
    </w:p>
    <w:p>
      <w:pPr>
        <w:spacing w:after="0" w:line="223" w:lineRule="exact"/>
        <w:rPr>
          <w:sz w:val="20"/>
          <w:szCs w:val="20"/>
          <w:color w:val="auto"/>
        </w:rPr>
      </w:pPr>
    </w:p>
    <w:p>
      <w:pPr>
        <w:ind w:left="1080" w:hanging="320"/>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dollar amount and number of transactions that are processed by Priority’s merchants and merchant mix;</w:t>
      </w:r>
    </w:p>
    <w:p>
      <w:pPr>
        <w:spacing w:after="0" w:line="223" w:lineRule="exact"/>
        <w:rPr>
          <w:rFonts w:ascii="Arial" w:cs="Arial" w:eastAsia="Arial" w:hAnsi="Arial"/>
          <w:sz w:val="18"/>
          <w:szCs w:val="18"/>
          <w:color w:val="auto"/>
        </w:rPr>
      </w:pPr>
    </w:p>
    <w:p>
      <w:pPr>
        <w:ind w:left="1080" w:hanging="320"/>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consolidation in Priority’s industry;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8" w:name="page159"/>
    <w:bookmarkEnd w:id="158"/>
    <w:p>
      <w:pPr>
        <w:ind w:left="1080" w:hanging="320"/>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consolidation among Priority’s resellers, which may result in price compression;</w:t>
      </w:r>
    </w:p>
    <w:p>
      <w:pPr>
        <w:spacing w:after="0" w:line="223" w:lineRule="exact"/>
        <w:rPr>
          <w:rFonts w:ascii="Arial" w:cs="Arial" w:eastAsia="Arial" w:hAnsi="Arial"/>
          <w:sz w:val="18"/>
          <w:szCs w:val="18"/>
          <w:color w:val="auto"/>
        </w:rPr>
      </w:pPr>
    </w:p>
    <w:p>
      <w:pPr>
        <w:ind w:left="1080" w:hanging="320"/>
        <w:spacing w:after="0"/>
        <w:tabs>
          <w:tab w:leader="none" w:pos="10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Priority’s ability to acquire new merchant customers and retain distribution partners and merchant customers on reasonable terms;</w:t>
      </w:r>
    </w:p>
    <w:p>
      <w:pPr>
        <w:spacing w:after="0" w:line="234" w:lineRule="exact"/>
        <w:rPr>
          <w:rFonts w:ascii="Arial" w:cs="Arial" w:eastAsia="Arial" w:hAnsi="Arial"/>
          <w:sz w:val="17"/>
          <w:szCs w:val="17"/>
          <w:color w:val="auto"/>
        </w:rPr>
      </w:pPr>
    </w:p>
    <w:p>
      <w:pPr>
        <w:ind w:left="1080" w:hanging="320"/>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emergence of new payment technologies and types and the resulting demand for Priority’s products and services;</w:t>
      </w:r>
    </w:p>
    <w:p>
      <w:pPr>
        <w:spacing w:after="0" w:line="223" w:lineRule="exact"/>
        <w:rPr>
          <w:rFonts w:ascii="Arial" w:cs="Arial" w:eastAsia="Arial" w:hAnsi="Arial"/>
          <w:sz w:val="18"/>
          <w:szCs w:val="18"/>
          <w:color w:val="auto"/>
        </w:rPr>
      </w:pPr>
    </w:p>
    <w:p>
      <w:pPr>
        <w:ind w:left="1080" w:hanging="320"/>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Priority’s ability to integrate and capitalize on recent acquisitions and identify and complete future acquisitions; and</w:t>
      </w:r>
    </w:p>
    <w:p>
      <w:pPr>
        <w:spacing w:after="0" w:line="223" w:lineRule="exact"/>
        <w:rPr>
          <w:rFonts w:ascii="Arial" w:cs="Arial" w:eastAsia="Arial" w:hAnsi="Arial"/>
          <w:sz w:val="18"/>
          <w:szCs w:val="18"/>
          <w:color w:val="auto"/>
        </w:rPr>
      </w:pPr>
    </w:p>
    <w:p>
      <w:pPr>
        <w:ind w:left="1080" w:hanging="320"/>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general economic conditions and consumer spending trends.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Priority’s results are driven primarily by the dollar volume and number of bankcard transactions processed by its merchant customers. Priority’s total bankcard processing dollar volume for the years ended December 31, 2017, 2016 and 2015 was $34.7 billion, $30.4 billion and $27.2 billion, respectively, representing a compound annual growth rate of approximately 13.0% over the period. Priority’s total number of bankcard transactions for the years ended December 31, 2017, 2016 and 2015 was 439.2 million, 398.6 million and 357.1 million, respectively. Priority’s total bankcard processing dollar volume in the three months ended March 31, 2018 and 2017 was $9.1 billion and $8.1 billion, respectively, and its total number of bankcard transactions in the same periods was 110.4 million and 102.3 million, respectively. Bankcard dollar volumes and numbers of transactions are driven primarily by the number of active merchants, number of bankcard transactions processed per merchant and sale amount per transaction. Priority had approximately 174 thousand merchants as of December 31, 2017.</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grows the number of merchants primarily through the various reseller distribution channels described above in the section entitled “Sales and Distribution,” mainly ISOs and agents, as well as through acquisitions of merchant portfolios and complementary businesses. Priority periodically reviews its merchant portfolio for inactive merchants, which Priority may close from time to time. Priority generally considers merchants to be “inactive” if they have not processed a transaction in three months and are not considered seasonal merchants. In addition, Priority routinely closes merchant accounts deemed to be a credit risk.</w:t>
      </w:r>
    </w:p>
    <w:p>
      <w:pPr>
        <w:spacing w:after="0" w:line="19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Priority’s payment processing revenue is recurring in nature, as Priority typically enters into multi-year service contracts with its merchants. Merchant attrition is expected in the merchant acquiring industry in the ordinary course of business. Priority experiences attrition as a result of several factors, including business closures, transfers of merchants’ accounts to Priority’s competitors and account closures that Priority initiates due to heightened credit risk.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Revenues and 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Merchant card fees revenue.</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Merchant card fees revenue consists mainly of fees for processing electronic payments, including credit, debit and electronic benefit transaction card processing (authorized and captured through third-party networks integrated into Priority’s solutions). The fees are generally based on a variable percentage of the dollar amount of each transaction and, in some cases, additional fees for each transaction. In addition, merchant customers may also be charged miscellaneous fees, including statement fees, annual fees, monthly minimum fees, fees for handling chargebacks, gateway fees, and fees for other miscellaneous services. Merchant card fees revenue is attributable primarily to Priority’s Consumer Payments segment.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Outsourced services revenue</w:t>
      </w:r>
      <w:r>
        <w:rPr>
          <w:rFonts w:ascii="Arial" w:cs="Arial" w:eastAsia="Arial" w:hAnsi="Arial"/>
          <w:sz w:val="18"/>
          <w:szCs w:val="18"/>
          <w:color w:val="auto"/>
        </w:rPr>
        <w: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Outsourced services revenue consists mainly of cost-plus fees related to the B2B services, merchant financing and buyer initiated payment programs sold on behalf of certain enterprise customers, originated through Priority’s in-house sales force, including incentives for meeting sales targets. Outsourced services revenue are attributable primarily to Priority’s Commercial Payments and Managed Services segment.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9" w:name="page160"/>
    <w:bookmarkEnd w:id="159"/>
    <w:p>
      <w:pPr>
        <w:ind w:left="340"/>
        <w:spacing w:after="0"/>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Other revenue is comprised of fees for products and services not specifically described above, mainly revenue from the sale of equipment (primarily point of sale terminals) and processing of ACH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Costs of merchant card fees</w:t>
      </w:r>
      <w:r>
        <w:rPr>
          <w:rFonts w:ascii="Arial" w:cs="Arial" w:eastAsia="Arial" w:hAnsi="Arial"/>
          <w:sz w:val="18"/>
          <w:szCs w:val="18"/>
          <w:color w:val="auto"/>
        </w:rPr>
        <w:t>.</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Costs of merchant card fees is comprised mainly of residual payments to agents and ISOs and processing fees paid to third parties attributable to merchant acquisition and providing transaction processing and related services to Priority’s merchants.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costs of services</w:t>
      </w:r>
      <w:r>
        <w:rPr>
          <w:rFonts w:ascii="Arial" w:cs="Arial" w:eastAsia="Arial" w:hAnsi="Arial"/>
          <w:sz w:val="18"/>
          <w:szCs w:val="18"/>
          <w:color w:val="auto"/>
        </w:rPr>
        <w: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Other costs of services consist of salaries directly related to outsourced services revenue, the cost of equipment (point of sale terminals) sold and third-party fees and commissions related to Priority’s ACH processing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Salary and employee benefits</w:t>
      </w:r>
      <w:r>
        <w:rPr>
          <w:rFonts w:ascii="Arial" w:cs="Arial" w:eastAsia="Arial" w:hAnsi="Arial"/>
          <w:sz w:val="18"/>
          <w:szCs w:val="18"/>
          <w:color w:val="auto"/>
        </w:rPr>
        <w: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Salary and employee benefits includes expenses for salaries, wages, commissions and bonuses, as well as expenses related to unit-based compensation rewards using the estimated grant date fair value. Priority amortizes unit-based compensation for awards granted on a straight line basis over the requisite service (vesting) period.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and amortization consists primarily of amortization of intangible assets, mainly including merchant portfolios, customer relationships and internally developed technology (software), and to a lesser extent depreciation on Priority’s investments in property, equipment and software, mainly computer software. Merchant portfolios are amortized over their estimated useful lives, which had a weighted average of 7.2 years at December 31, 2017, using either a straight-line or an accelerated method that most accurately reflects the pattern in which the economic benefits of the respective asset is consumed. Customer relationships and internally developed technology are amortized on a straight-line basis over their estimated useful lives, which had weighted averages of 14.9 and 6 years, respectively, at December 31, 2017. Property, equipment and software depreciation expense is recognized on a straight-line basis over the estimated useful life of the asset, which ranged between 2 and 10 years at December 31, 2017.</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(SG&amp;A)</w:t>
      </w:r>
      <w:r>
        <w:rPr>
          <w:rFonts w:ascii="Arial" w:cs="Arial" w:eastAsia="Arial" w:hAnsi="Arial"/>
          <w:sz w:val="18"/>
          <w:szCs w:val="18"/>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include mainly professional services, advertising and rent.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operating expenses</w:t>
      </w:r>
      <w:r>
        <w:rPr>
          <w:rFonts w:ascii="Arial" w:cs="Arial" w:eastAsia="Arial" w:hAnsi="Arial"/>
          <w:sz w:val="18"/>
          <w:szCs w:val="18"/>
          <w:color w:val="auto"/>
        </w:rPr>
        <w: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A1A1A"/>
        </w:rPr>
        <w:t>Other operating expenses consist of additional operating costs not covered above, including office supplies, software licenses, utilities, state and local franchise and sales taxes, litigation settlements, executive travel and insurance, among others.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Interest and other income consists mainly of interest received pursuant to notes receivable from independent sales agents. See Note 5 to Priority’s audited consolidated financial statements.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0" w:name="page161"/>
    <w:bookmarkEnd w:id="160"/>
    <w:p>
      <w:pPr>
        <w:ind w:left="340"/>
        <w:spacing w:after="0"/>
        <w:rPr>
          <w:sz w:val="20"/>
          <w:szCs w:val="20"/>
          <w:color w:val="auto"/>
        </w:rPr>
      </w:pPr>
      <w:r>
        <w:rPr>
          <w:rFonts w:ascii="Arial" w:cs="Arial" w:eastAsia="Arial" w:hAnsi="Arial"/>
          <w:sz w:val="18"/>
          <w:szCs w:val="18"/>
          <w:i w:val="1"/>
          <w:iCs w:val="1"/>
          <w:color w:val="auto"/>
        </w:rPr>
        <w:t>Interest and other expense.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and other expense consists mainly of interest on outstanding debt, changes in fair value of the outstanding Goldman Sachs warrant, amortization of deferred financing fees and original issue discounts and, particularly in 2017, certain expenses related to debt extinguishment, including the write-off of unamortized deferred financing fees and original issue discount relating to the extinguished debt.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Measures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regularly review the following key non-GAAP measures to evaluate our business and trends, measure our performance, prepare financial projections and make strategic decisions.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and Earnout Adjusted EBITDA</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Included in this presentation are discussions and reconciliations of net income in accordance with GAAP and earnings before interest, income tax and depreciation and amortization (“EBITDA”), as well as EBITDA adjusted for certain non-cash, non-recurring and non-core expenses (“Adjusted EBITDA”). Adjusted EBITDA excludes non-cash and certain other expense, litigation settlement costs, certain legal services costs, professional and consulting fees and expenses, severance, separation and employee settlements, share-based compensation and one-time transaction-related expenses and adjustments. Each of these adjustments was selected because management uses these non-GAAP measure in discussing and analyzing its results of operations and because Priority believes the non-GAAP measure provides investors with further information to illustrate the underlying financial and business trends relating to its results of operations and comparability between current and prior periods.</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Priority uses the non-GAAP measures to establish and monitor budgets and operational goals and to evaluate the performance of the business. In addition, Priority’s financial covenants under its debt agreements and the earnout incentive plan related to the Business Combination are based on a measure similar to Adjusted EBITDA (“Earnout Adjusted EBITDA”). The calculations of Earnout Adjusted EBITDA under Priority’s debt agreements and the earnout incentive plan include adjustments for, among other things, pro forma effects related to acquired merchant portfolios and residual streams, run rate adjustments for certain contracted savings on an annualized basis and certain operating expenses such as corporate income taxes, which are not included as adjustments to Adjusted EBITDA reported in this proxy statement. 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or Earnout Adjusted EBITDA, to analyze Priority’s performance would have material limitations because their calculation is based on the subjective determination of management regarding the nature and classification of events and circumstances that investors may find significant. Priority compensates for these limitations by presenting both the GAAP and non-GAAP measures of its results. Although other companies report measures entitled EBITDA and Adjusted EBITDA or similar in nature, numerous methods may exist for calculating a company’s EBITDA, Adjusted EBITDA or similar measures. As a result, the method used by Priority’s management to calculate EBITDA, Adjusted EBITDA and Earnout Adjusted EBITDA may differ from the methods used by other companies to calculate their non-GAAP measures.</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reconciliations of EBITDA, Adjusted EBITDA and Earnout Adjusted EBITDA to net income (loss), the most directly comparable financial measure calculated and presented in accordance with GAAP, are shown in the table below.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3"/>
        </w:trPr>
        <w:tc>
          <w:tcPr>
            <w:tcW w:w="4980" w:type="dxa"/>
            <w:vAlign w:val="bottom"/>
          </w:tcPr>
          <w:p>
            <w:pPr>
              <w:spacing w:after="0"/>
              <w:rPr>
                <w:sz w:val="20"/>
                <w:szCs w:val="20"/>
                <w:color w:val="auto"/>
              </w:rPr>
            </w:pPr>
          </w:p>
        </w:tc>
        <w:tc>
          <w:tcPr>
            <w:tcW w:w="2900" w:type="dxa"/>
            <w:vAlign w:val="bottom"/>
            <w:gridSpan w:val="7"/>
          </w:tcPr>
          <w:p>
            <w:pPr>
              <w:ind w:left="220"/>
              <w:spacing w:after="0"/>
              <w:rPr>
                <w:sz w:val="20"/>
                <w:szCs w:val="20"/>
                <w:color w:val="auto"/>
              </w:rPr>
            </w:pPr>
            <w:r>
              <w:rPr>
                <w:rFonts w:ascii="Arial" w:cs="Arial" w:eastAsia="Arial" w:hAnsi="Arial"/>
                <w:sz w:val="18"/>
                <w:szCs w:val="18"/>
                <w:b w:val="1"/>
                <w:bCs w:val="1"/>
                <w:color w:val="auto"/>
                <w:w w:val="99"/>
              </w:rPr>
              <w:t>Three Months Ended March 31,</w:t>
            </w:r>
          </w:p>
        </w:tc>
        <w:tc>
          <w:tcPr>
            <w:tcW w:w="200" w:type="dxa"/>
            <w:vAlign w:val="bottom"/>
          </w:tcPr>
          <w:p>
            <w:pPr>
              <w:spacing w:after="0"/>
              <w:rPr>
                <w:sz w:val="20"/>
                <w:szCs w:val="20"/>
                <w:color w:val="auto"/>
              </w:rPr>
            </w:pPr>
          </w:p>
        </w:tc>
        <w:tc>
          <w:tcPr>
            <w:tcW w:w="2520" w:type="dxa"/>
            <w:vAlign w:val="bottom"/>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8"/>
                <w:szCs w:val="18"/>
                <w:b w:val="1"/>
                <w:bCs w:val="1"/>
                <w:i w:val="1"/>
                <w:iCs w:val="1"/>
                <w:color w:val="auto"/>
                <w:w w:val="90"/>
              </w:rPr>
              <w:t>(dollars in thousands)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4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(3,177)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(1,221)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4,594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20,186</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9,267</w:t>
            </w:r>
          </w:p>
        </w:tc>
      </w:tr>
      <w:tr>
        <w:trPr>
          <w:trHeight w:val="215"/>
        </w:trPr>
        <w:tc>
          <w:tcPr>
            <w:tcW w:w="4980" w:type="dxa"/>
            <w:vAlign w:val="bottom"/>
          </w:tcPr>
          <w:p>
            <w:pPr>
              <w:ind w:left="180"/>
              <w:spacing w:after="0"/>
              <w:rPr>
                <w:sz w:val="20"/>
                <w:szCs w:val="20"/>
                <w:color w:val="auto"/>
              </w:rPr>
            </w:pPr>
            <w:r>
              <w:rPr>
                <w:rFonts w:ascii="Arial" w:cs="Arial" w:eastAsia="Arial" w:hAnsi="Arial"/>
                <w:sz w:val="18"/>
                <w:szCs w:val="18"/>
                <w:color w:val="auto"/>
              </w:rPr>
              <w:t>Adjusted for: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 (1)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Add: Depreciation and amortization</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3,644</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14,733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15,633</w:t>
            </w:r>
          </w:p>
        </w:tc>
      </w:tr>
      <w:tr>
        <w:trPr>
          <w:trHeight w:val="209"/>
        </w:trPr>
        <w:tc>
          <w:tcPr>
            <w:tcW w:w="4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EBITDA (non-GAAP)</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9,993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980" w:type="dxa"/>
            <w:vAlign w:val="bottom"/>
          </w:tcPr>
          <w:p>
            <w:pPr>
              <w:ind w:left="180"/>
              <w:spacing w:after="0"/>
              <w:rPr>
                <w:sz w:val="20"/>
                <w:szCs w:val="20"/>
                <w:color w:val="auto"/>
              </w:rPr>
            </w:pPr>
            <w:r>
              <w:rPr>
                <w:rFonts w:ascii="Arial" w:cs="Arial" w:eastAsia="Arial" w:hAnsi="Arial"/>
                <w:sz w:val="18"/>
                <w:szCs w:val="18"/>
                <w:color w:val="auto"/>
              </w:rPr>
              <w:t>Further adjusted for: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Non-cash and certain other expense(2)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r>
      <w:tr>
        <w:trPr>
          <w:trHeight w:val="215"/>
        </w:trPr>
        <w:tc>
          <w:tcPr>
            <w:tcW w:w="4980" w:type="dxa"/>
            <w:vAlign w:val="bottom"/>
          </w:tcPr>
          <w:p>
            <w:pPr>
              <w:ind w:left="180"/>
              <w:spacing w:after="0"/>
              <w:rPr>
                <w:sz w:val="20"/>
                <w:szCs w:val="20"/>
                <w:color w:val="auto"/>
              </w:rPr>
            </w:pPr>
            <w:r>
              <w:rPr>
                <w:rFonts w:ascii="Arial" w:cs="Arial" w:eastAsia="Arial" w:hAnsi="Arial"/>
                <w:sz w:val="18"/>
                <w:szCs w:val="18"/>
                <w:color w:val="auto"/>
              </w:rPr>
              <w:t>Add: Litigation settlement costs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Certain legal services(3)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r>
      <w:tr>
        <w:trPr>
          <w:trHeight w:val="215"/>
        </w:trPr>
        <w:tc>
          <w:tcPr>
            <w:tcW w:w="4980" w:type="dxa"/>
            <w:vAlign w:val="bottom"/>
          </w:tcPr>
          <w:p>
            <w:pPr>
              <w:ind w:left="180"/>
              <w:spacing w:after="0"/>
              <w:rPr>
                <w:sz w:val="20"/>
                <w:szCs w:val="20"/>
                <w:color w:val="auto"/>
              </w:rPr>
            </w:pPr>
            <w:r>
              <w:rPr>
                <w:rFonts w:ascii="Arial" w:cs="Arial" w:eastAsia="Arial" w:hAnsi="Arial"/>
                <w:sz w:val="18"/>
                <w:szCs w:val="18"/>
                <w:color w:val="auto"/>
              </w:rPr>
              <w:t>Add: Professional and consulting fees and expenses(4)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2,051</w:t>
            </w:r>
          </w:p>
        </w:tc>
      </w:tr>
      <w:tr>
        <w:trPr>
          <w:trHeight w:val="21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Severance, separation and employee settlements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r>
      <w:tr>
        <w:trPr>
          <w:trHeight w:val="215"/>
        </w:trPr>
        <w:tc>
          <w:tcPr>
            <w:tcW w:w="4980" w:type="dxa"/>
            <w:vAlign w:val="bottom"/>
          </w:tcPr>
          <w:p>
            <w:pPr>
              <w:ind w:left="180"/>
              <w:spacing w:after="0"/>
              <w:rPr>
                <w:sz w:val="20"/>
                <w:szCs w:val="20"/>
                <w:color w:val="auto"/>
              </w:rPr>
            </w:pPr>
            <w:r>
              <w:rPr>
                <w:rFonts w:ascii="Arial" w:cs="Arial" w:eastAsia="Arial" w:hAnsi="Arial"/>
                <w:sz w:val="18"/>
                <w:szCs w:val="18"/>
                <w:color w:val="auto"/>
              </w:rPr>
              <w:t>Add: Share-based compensation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Add: One-time transaction-related expenses and adjustments(5)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r>
      <w:tr>
        <w:trPr>
          <w:trHeight w:val="275"/>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Adjusted EBITDA (non-GAAP)</w:t>
            </w:r>
          </w:p>
        </w:tc>
        <w:tc>
          <w:tcPr>
            <w:tcW w:w="22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CCEEFF"/>
            </w:tcBorders>
          </w:tcPr>
          <w:p>
            <w:pPr>
              <w:spacing w:after="0"/>
              <w:rPr>
                <w:sz w:val="23"/>
                <w:szCs w:val="23"/>
                <w:color w:val="auto"/>
              </w:rPr>
            </w:pPr>
          </w:p>
        </w:tc>
        <w:tc>
          <w:tcPr>
            <w:tcW w:w="8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15,813</w:t>
            </w:r>
          </w:p>
        </w:tc>
        <w:tc>
          <w:tcPr>
            <w:tcW w:w="24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CCEEFF"/>
            </w:tcBorders>
          </w:tcPr>
          <w:p>
            <w:pPr>
              <w:spacing w:after="0"/>
              <w:rPr>
                <w:sz w:val="23"/>
                <w:szCs w:val="23"/>
                <w:color w:val="auto"/>
              </w:rPr>
            </w:pPr>
          </w:p>
        </w:tc>
        <w:tc>
          <w:tcPr>
            <w:tcW w:w="9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11,403</w:t>
            </w:r>
          </w:p>
        </w:tc>
        <w:tc>
          <w:tcPr>
            <w:tcW w:w="22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CCEEFF"/>
            </w:tcBorders>
          </w:tcPr>
          <w:p>
            <w:pPr>
              <w:spacing w:after="0"/>
              <w:rPr>
                <w:sz w:val="23"/>
                <w:szCs w:val="23"/>
                <w:color w:val="auto"/>
              </w:rPr>
            </w:pPr>
          </w:p>
        </w:tc>
        <w:tc>
          <w:tcPr>
            <w:tcW w:w="7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58,033</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46,735</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36,518</w:t>
            </w:r>
          </w:p>
        </w:tc>
        <w:tc>
          <w:tcPr>
            <w:tcW w:w="100" w:type="dxa"/>
            <w:vAlign w:val="bottom"/>
            <w:tcBorders>
              <w:bottom w:val="single" w:sz="8" w:color="CCEEFF"/>
            </w:tcBorders>
          </w:tcPr>
          <w:p>
            <w:pPr>
              <w:spacing w:after="0"/>
              <w:rPr>
                <w:sz w:val="23"/>
                <w:szCs w:val="23"/>
                <w:color w:val="auto"/>
              </w:rPr>
            </w:pPr>
          </w:p>
        </w:tc>
      </w:tr>
      <w:tr>
        <w:trPr>
          <w:trHeight w:val="195"/>
        </w:trPr>
        <w:tc>
          <w:tcPr>
            <w:tcW w:w="498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Further adjusted for:</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4980" w:type="dxa"/>
            <w:vAlign w:val="bottom"/>
          </w:tcPr>
          <w:p>
            <w:pPr>
              <w:ind w:left="180"/>
              <w:spacing w:after="0"/>
              <w:rPr>
                <w:sz w:val="20"/>
                <w:szCs w:val="20"/>
                <w:color w:val="auto"/>
              </w:rPr>
            </w:pPr>
            <w:r>
              <w:rPr>
                <w:rFonts w:ascii="Arial" w:cs="Arial" w:eastAsia="Arial" w:hAnsi="Arial"/>
                <w:sz w:val="18"/>
                <w:szCs w:val="18"/>
                <w:color w:val="auto"/>
              </w:rPr>
              <w:t>Add: Pro forma impacts for acquisitions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Contracted revenue and savings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Add: Corporate income tax expense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Earnout Adjusted EBITDA (non-GAAP)(6)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16,277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900" w:hanging="328"/>
        <w:spacing w:after="0" w:line="275"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Interest expense, net does not include expense related to the change in the fair value of the warrants. This item is included as add-backs to Adjusted EBITDA under the caption “Non-cash and certain other expense,” below.</w:t>
      </w:r>
    </w:p>
    <w:p>
      <w:pPr>
        <w:spacing w:after="0" w:line="170" w:lineRule="exact"/>
        <w:rPr>
          <w:rFonts w:ascii="Arial" w:cs="Arial" w:eastAsia="Arial" w:hAnsi="Arial"/>
          <w:sz w:val="18"/>
          <w:szCs w:val="18"/>
          <w:color w:val="auto"/>
        </w:rPr>
      </w:pPr>
    </w:p>
    <w:p>
      <w:pPr>
        <w:ind w:left="900" w:hanging="328"/>
        <w:spacing w:after="0" w:line="275"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Primarily non-cash fair value and other adjustments, including for warrants, equity in loss of unconsolidated entities and earnout obligations and, to a lesser extent, certain non-recurring transaction and integration-related costs</w:t>
      </w:r>
    </w:p>
    <w:p>
      <w:pPr>
        <w:spacing w:after="0" w:line="170" w:lineRule="exact"/>
        <w:rPr>
          <w:rFonts w:ascii="Arial" w:cs="Arial" w:eastAsia="Arial" w:hAnsi="Arial"/>
          <w:sz w:val="18"/>
          <w:szCs w:val="18"/>
          <w:color w:val="auto"/>
        </w:rPr>
      </w:pPr>
    </w:p>
    <w:p>
      <w:pPr>
        <w:ind w:left="900" w:hanging="328"/>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Legal expenses related to business and asset acquisition activity and settlement negotiation and other litigation expenses.</w:t>
      </w:r>
    </w:p>
    <w:p>
      <w:pPr>
        <w:spacing w:after="0" w:line="223" w:lineRule="exact"/>
        <w:rPr>
          <w:rFonts w:ascii="Arial" w:cs="Arial" w:eastAsia="Arial" w:hAnsi="Arial"/>
          <w:sz w:val="18"/>
          <w:szCs w:val="18"/>
          <w:color w:val="auto"/>
        </w:rPr>
      </w:pPr>
    </w:p>
    <w:p>
      <w:pPr>
        <w:ind w:left="900" w:hanging="328"/>
        <w:spacing w:after="0" w:line="275"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Primarily transaction-related, capital markets, accounting advisory, IT consulting and sponsor management fees and expenses, as well as a consulting arrangement with a non-independent director.</w:t>
      </w:r>
    </w:p>
    <w:p>
      <w:pPr>
        <w:spacing w:after="0" w:line="170" w:lineRule="exact"/>
        <w:rPr>
          <w:rFonts w:ascii="Arial" w:cs="Arial" w:eastAsia="Arial" w:hAnsi="Arial"/>
          <w:sz w:val="18"/>
          <w:szCs w:val="18"/>
          <w:color w:val="auto"/>
        </w:rPr>
      </w:pPr>
    </w:p>
    <w:p>
      <w:pPr>
        <w:ind w:left="900" w:right="420" w:hanging="328"/>
        <w:spacing w:after="0" w:line="275"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Primarily items related to write-offs of pre-acquisition receivables, settlement of pre-acquisition payables, settlement of a minimum payment shortfall related to a contract assumed in an acquisition and contract termination fees.</w:t>
      </w:r>
    </w:p>
    <w:p>
      <w:pPr>
        <w:spacing w:after="0" w:line="170" w:lineRule="exact"/>
        <w:rPr>
          <w:rFonts w:ascii="Arial" w:cs="Arial" w:eastAsia="Arial" w:hAnsi="Arial"/>
          <w:sz w:val="18"/>
          <w:szCs w:val="18"/>
          <w:color w:val="auto"/>
        </w:rPr>
      </w:pPr>
    </w:p>
    <w:p>
      <w:pPr>
        <w:ind w:left="900" w:right="200" w:hanging="328"/>
        <w:spacing w:after="0" w:line="275"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Presented only for the three-month periods ended March 31, 2018 and 2017 and the year ended December 31, 2017, reflecting definition in debt agreements entered into in connection with the January 2017 debt restructuring.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section includes a brief summary of Priority’s results of operations for the periods presented followed by a detailed discussion of Priority’s results for (i) the three months ended March 31, 2018 compared to the three months ended March 31, 2017, (ii) the year ended December 31, 2017 compared to the year ended December 31, 2016, and (iii) the year ended December 31, 2016 compared to the year ended December 31, 2015. Priority has derived this data from Priority’s unaudited interim condensed consolidated financial statements and audited consolidated financial statements included elsewhere in this proxy statement.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0"/>
        </w:trPr>
        <w:tc>
          <w:tcPr>
            <w:tcW w:w="6500" w:type="dxa"/>
            <w:vAlign w:val="bottom"/>
            <w:gridSpan w:val="3"/>
          </w:tcPr>
          <w:p>
            <w:pPr>
              <w:spacing w:after="0"/>
              <w:rPr>
                <w:sz w:val="20"/>
                <w:szCs w:val="20"/>
                <w:color w:val="auto"/>
              </w:rPr>
            </w:pPr>
            <w:r>
              <w:rPr>
                <w:rFonts w:ascii="Arial" w:cs="Arial" w:eastAsia="Arial" w:hAnsi="Arial"/>
                <w:sz w:val="18"/>
                <w:szCs w:val="18"/>
                <w:i w:val="1"/>
                <w:iCs w:val="1"/>
                <w:color w:val="auto"/>
                <w:w w:val="91"/>
              </w:rPr>
              <w:t>Three Months Ended March 31, 2018 Compared to Three Months Ended March 31, 2017</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43"/>
        </w:trPr>
        <w:tc>
          <w:tcPr>
            <w:tcW w:w="5020" w:type="dxa"/>
            <w:vAlign w:val="bottom"/>
          </w:tcPr>
          <w:p>
            <w:pPr>
              <w:spacing w:after="0"/>
              <w:rPr>
                <w:sz w:val="24"/>
                <w:szCs w:val="24"/>
                <w:color w:val="auto"/>
              </w:rPr>
            </w:pPr>
          </w:p>
        </w:tc>
        <w:tc>
          <w:tcPr>
            <w:tcW w:w="3880" w:type="dxa"/>
            <w:vAlign w:val="bottom"/>
            <w:gridSpan w:val="8"/>
          </w:tcPr>
          <w:p>
            <w:pPr>
              <w:jc w:val="right"/>
              <w:ind w:right="62"/>
              <w:spacing w:after="0"/>
              <w:rPr>
                <w:sz w:val="20"/>
                <w:szCs w:val="20"/>
                <w:color w:val="auto"/>
              </w:rPr>
            </w:pPr>
            <w:r>
              <w:rPr>
                <w:rFonts w:ascii="Arial" w:cs="Arial" w:eastAsia="Arial" w:hAnsi="Arial"/>
                <w:sz w:val="18"/>
                <w:szCs w:val="18"/>
                <w:b w:val="1"/>
                <w:bCs w:val="1"/>
                <w:color w:val="auto"/>
              </w:rPr>
              <w:t>Three Months Ended March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5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w w:val="90"/>
              </w:rPr>
              <w:t>Change</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5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gridSpan w:val="9"/>
          </w:tcPr>
          <w:p>
            <w:pPr>
              <w:jc w:val="right"/>
              <w:ind w:right="190"/>
              <w:spacing w:after="0"/>
              <w:rPr>
                <w:sz w:val="20"/>
                <w:szCs w:val="20"/>
                <w:color w:val="auto"/>
              </w:rPr>
            </w:pPr>
            <w:r>
              <w:rPr>
                <w:rFonts w:ascii="Arial" w:cs="Arial" w:eastAsia="Arial" w:hAnsi="Arial"/>
                <w:sz w:val="18"/>
                <w:szCs w:val="18"/>
                <w:b w:val="1"/>
                <w:bCs w:val="1"/>
                <w:color w:val="auto"/>
                <w:w w:val="86"/>
              </w:rPr>
              <w:t>(</w:t>
            </w:r>
            <w:r>
              <w:rPr>
                <w:rFonts w:ascii="Arial" w:cs="Arial" w:eastAsia="Arial" w:hAnsi="Arial"/>
                <w:sz w:val="18"/>
                <w:szCs w:val="18"/>
                <w:b w:val="1"/>
                <w:bCs w:val="1"/>
                <w:i w:val="1"/>
                <w:iCs w:val="1"/>
                <w:color w:val="auto"/>
                <w:w w:val="86"/>
              </w:rPr>
              <w:t>dollars in thousands, except percentages</w:t>
            </w:r>
            <w:r>
              <w:rPr>
                <w:rFonts w:ascii="Arial" w:cs="Arial" w:eastAsia="Arial" w:hAnsi="Arial"/>
                <w:sz w:val="18"/>
                <w:szCs w:val="18"/>
                <w:b w:val="1"/>
                <w:bCs w:val="1"/>
                <w:color w:val="auto"/>
                <w:w w:val="86"/>
              </w:rPr>
              <w:t>)</w:t>
            </w: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5020" w:type="dxa"/>
            <w:vAlign w:val="bottom"/>
          </w:tcPr>
          <w:p>
            <w:pPr>
              <w:ind w:left="160"/>
              <w:spacing w:after="0"/>
              <w:rPr>
                <w:sz w:val="20"/>
                <w:szCs w:val="20"/>
                <w:color w:val="auto"/>
              </w:rPr>
            </w:pPr>
            <w:r>
              <w:rPr>
                <w:rFonts w:ascii="Arial" w:cs="Arial" w:eastAsia="Arial" w:hAnsi="Arial"/>
                <w:sz w:val="18"/>
                <w:szCs w:val="18"/>
                <w:color w:val="auto"/>
              </w:rPr>
              <w:t>Merchant card fees revenue</w:t>
            </w:r>
          </w:p>
        </w:tc>
        <w:tc>
          <w:tcPr>
            <w:tcW w:w="14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108,010</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
              <w:spacing w:after="0"/>
              <w:rPr>
                <w:sz w:val="20"/>
                <w:szCs w:val="20"/>
                <w:color w:val="auto"/>
              </w:rPr>
            </w:pPr>
            <w:r>
              <w:rPr>
                <w:rFonts w:ascii="Arial" w:cs="Arial" w:eastAsia="Arial" w:hAnsi="Arial"/>
                <w:sz w:val="18"/>
                <w:szCs w:val="18"/>
                <w:color w:val="auto"/>
              </w:rPr>
              <w:t>86,797</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21,213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r>
        <w:trPr>
          <w:trHeight w:val="215"/>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Outsourced services revenue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5,566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435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29"/>
        </w:trPr>
        <w:tc>
          <w:tcPr>
            <w:tcW w:w="502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2"/>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856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117.4%</w:t>
            </w:r>
          </w:p>
        </w:tc>
      </w:tr>
      <w:tr>
        <w:trPr>
          <w:trHeight w:val="209"/>
        </w:trPr>
        <w:tc>
          <w:tcPr>
            <w:tcW w:w="50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w:t>
            </w:r>
          </w:p>
        </w:tc>
        <w:tc>
          <w:tcPr>
            <w:tcW w:w="1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115,596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r>
      <w:tr>
        <w:trPr>
          <w:trHeight w:val="215"/>
        </w:trPr>
        <w:tc>
          <w:tcPr>
            <w:tcW w:w="50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of merchant card fees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82,813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66,461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16,352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r>
      <w:tr>
        <w:trPr>
          <w:trHeight w:val="215"/>
        </w:trPr>
        <w:tc>
          <w:tcPr>
            <w:tcW w:w="5020" w:type="dxa"/>
            <w:vAlign w:val="bottom"/>
          </w:tcPr>
          <w:p>
            <w:pPr>
              <w:ind w:left="160"/>
              <w:spacing w:after="0"/>
              <w:rPr>
                <w:sz w:val="20"/>
                <w:szCs w:val="20"/>
                <w:color w:val="auto"/>
              </w:rPr>
            </w:pPr>
            <w:r>
              <w:rPr>
                <w:rFonts w:ascii="Arial" w:cs="Arial" w:eastAsia="Arial" w:hAnsi="Arial"/>
                <w:sz w:val="18"/>
                <w:szCs w:val="18"/>
                <w:color w:val="auto"/>
              </w:rPr>
              <w:t>Other costs of services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4,376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2"/>
              <w:spacing w:after="0"/>
              <w:rPr>
                <w:sz w:val="20"/>
                <w:szCs w:val="20"/>
                <w:color w:val="auto"/>
              </w:rPr>
            </w:pPr>
            <w:r>
              <w:rPr>
                <w:rFonts w:ascii="Arial" w:cs="Arial" w:eastAsia="Arial" w:hAnsi="Arial"/>
                <w:sz w:val="18"/>
                <w:szCs w:val="18"/>
                <w:color w:val="auto"/>
              </w:rPr>
              <w:t>3,658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718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r>
      <w:tr>
        <w:trPr>
          <w:trHeight w:val="215"/>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employee benefits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8,972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8,124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848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15"/>
        </w:trPr>
        <w:tc>
          <w:tcPr>
            <w:tcW w:w="50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2"/>
              <w:spacing w:after="0"/>
              <w:rPr>
                <w:sz w:val="20"/>
                <w:szCs w:val="20"/>
                <w:color w:val="auto"/>
              </w:rPr>
            </w:pPr>
            <w:r>
              <w:rPr>
                <w:rFonts w:ascii="Arial" w:cs="Arial" w:eastAsia="Arial" w:hAnsi="Arial"/>
                <w:sz w:val="18"/>
                <w:szCs w:val="18"/>
                <w:color w:val="auto"/>
              </w:rPr>
              <w:t>3,644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123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5"/>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5,219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2,244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2,975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132.6%</w:t>
            </w:r>
          </w:p>
        </w:tc>
      </w:tr>
      <w:tr>
        <w:trPr>
          <w:trHeight w:val="215"/>
        </w:trPr>
        <w:tc>
          <w:tcPr>
            <w:tcW w:w="502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410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2,807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(236)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9"/>
        </w:trPr>
        <w:tc>
          <w:tcPr>
            <w:tcW w:w="50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1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107,718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86,528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21,190</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24.5%</w:t>
            </w:r>
          </w:p>
        </w:tc>
      </w:tr>
      <w:tr>
        <w:trPr>
          <w:trHeight w:val="209"/>
        </w:trPr>
        <w:tc>
          <w:tcPr>
            <w:tcW w:w="50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Income from operations</w:t>
            </w:r>
          </w:p>
        </w:tc>
        <w:tc>
          <w:tcPr>
            <w:tcW w:w="1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r>
        <w:trPr>
          <w:trHeight w:val="209"/>
        </w:trPr>
        <w:tc>
          <w:tcPr>
            <w:tcW w:w="502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w:t>
            </w:r>
          </w:p>
        </w:tc>
      </w:tr>
      <w:tr>
        <w:trPr>
          <w:trHeight w:val="215"/>
        </w:trPr>
        <w:tc>
          <w:tcPr>
            <w:tcW w:w="5020" w:type="dxa"/>
            <w:vAlign w:val="bottom"/>
          </w:tcPr>
          <w:p>
            <w:pPr>
              <w:ind w:left="160"/>
              <w:spacing w:after="0"/>
              <w:rPr>
                <w:sz w:val="20"/>
                <w:szCs w:val="20"/>
                <w:color w:val="auto"/>
              </w:rPr>
            </w:pPr>
            <w:r>
              <w:rPr>
                <w:rFonts w:ascii="Arial" w:cs="Arial" w:eastAsia="Arial" w:hAnsi="Arial"/>
                <w:sz w:val="18"/>
                <w:szCs w:val="18"/>
                <w:color w:val="auto"/>
              </w:rPr>
              <w:t>Interest and other expense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
              <w:spacing w:after="0"/>
              <w:rPr>
                <w:sz w:val="20"/>
                <w:szCs w:val="20"/>
                <w:color w:val="auto"/>
              </w:rPr>
            </w:pPr>
            <w:r>
              <w:rPr>
                <w:rFonts w:ascii="Arial" w:cs="Arial" w:eastAsia="Arial" w:hAnsi="Arial"/>
                <w:sz w:val="18"/>
                <w:szCs w:val="18"/>
                <w:color w:val="auto"/>
              </w:rPr>
              <w:t>(11,192)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(7,945)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8"/>
                <w:szCs w:val="18"/>
                <w:color w:val="auto"/>
              </w:rPr>
              <w:t>(3,247)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r>
      <w:tr>
        <w:trPr>
          <w:trHeight w:val="229"/>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income (loss) of unconsolidated entities</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(307.7)%</w:t>
            </w:r>
          </w:p>
        </w:tc>
      </w:tr>
      <w:tr>
        <w:trPr>
          <w:trHeight w:val="209"/>
        </w:trPr>
        <w:tc>
          <w:tcPr>
            <w:tcW w:w="50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expenses</w:t>
            </w:r>
          </w:p>
        </w:tc>
        <w:tc>
          <w:tcPr>
            <w:tcW w:w="1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(11,055</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(7,785</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22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42.0%</w:t>
            </w:r>
          </w:p>
        </w:tc>
      </w:tr>
      <w:tr>
        <w:trPr>
          <w:trHeight w:val="222"/>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w:t>
            </w:r>
          </w:p>
        </w:tc>
      </w:tr>
      <w:tr>
        <w:trPr>
          <w:trHeight w:val="20"/>
        </w:trPr>
        <w:tc>
          <w:tcPr>
            <w:tcW w:w="5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Priority’s segment income statement data and selected performance measures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0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March 31,</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2"/>
        </w:trPr>
        <w:tc>
          <w:tcPr>
            <w:tcW w:w="4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 Change</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4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80" w:type="dxa"/>
            <w:vAlign w:val="bottom"/>
            <w:tcBorders>
              <w:top w:val="single" w:sz="8" w:color="auto"/>
            </w:tcBorders>
            <w:gridSpan w:val="8"/>
          </w:tcPr>
          <w:p>
            <w:pPr>
              <w:jc w:val="right"/>
              <w:spacing w:after="0"/>
              <w:rPr>
                <w:sz w:val="20"/>
                <w:szCs w:val="20"/>
                <w:color w:val="auto"/>
              </w:rPr>
            </w:pPr>
            <w:r>
              <w:rPr>
                <w:rFonts w:ascii="Arial" w:cs="Arial" w:eastAsia="Arial" w:hAnsi="Arial"/>
                <w:sz w:val="18"/>
                <w:szCs w:val="18"/>
                <w:b w:val="1"/>
                <w:bCs w:val="1"/>
                <w:i w:val="1"/>
                <w:iCs w:val="1"/>
                <w:color w:val="auto"/>
                <w:w w:val="85"/>
              </w:rPr>
              <w:t>(in thousands of dollars, except transaction volume and percentages)</w:t>
            </w:r>
          </w:p>
        </w:tc>
        <w:tc>
          <w:tcPr>
            <w:tcW w:w="160" w:type="dxa"/>
            <w:vAlign w:val="bottom"/>
          </w:tcPr>
          <w:p>
            <w:pPr>
              <w:spacing w:after="0"/>
              <w:rPr>
                <w:sz w:val="18"/>
                <w:szCs w:val="18"/>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Payments: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482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14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108,981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87,137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21,844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15"/>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7,962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1,945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r>
      <w:tr>
        <w:trPr>
          <w:trHeight w:val="215"/>
        </w:trPr>
        <w:tc>
          <w:tcPr>
            <w:tcW w:w="4820" w:type="dxa"/>
            <w:vAlign w:val="bottom"/>
          </w:tcPr>
          <w:p>
            <w:pPr>
              <w:ind w:left="160"/>
              <w:spacing w:after="0"/>
              <w:rPr>
                <w:sz w:val="20"/>
                <w:szCs w:val="20"/>
                <w:color w:val="auto"/>
              </w:rPr>
            </w:pPr>
            <w:r>
              <w:rPr>
                <w:rFonts w:ascii="Arial" w:cs="Arial" w:eastAsia="Arial" w:hAnsi="Arial"/>
                <w:sz w:val="18"/>
                <w:szCs w:val="18"/>
                <w:color w:val="auto"/>
              </w:rPr>
              <w:t>Segment operating margin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Key Indicators: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482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value(1)</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9,084,227</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8,072,008</w:t>
            </w: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1,012,219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15"/>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volume(1)</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110,405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102,276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8,129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r>
      <w:tr>
        <w:trPr>
          <w:trHeight w:val="215"/>
        </w:trPr>
        <w:tc>
          <w:tcPr>
            <w:tcW w:w="4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Commercial Payments and Managed Services: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482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14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6,615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660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15"/>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 (loss)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r>
    </w:tbl>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n.m.= not meaningful.</w:t>
      </w:r>
    </w:p>
    <w:p>
      <w:pPr>
        <w:spacing w:after="0" w:line="223" w:lineRule="exact"/>
        <w:rPr>
          <w:sz w:val="20"/>
          <w:szCs w:val="20"/>
          <w:color w:val="auto"/>
        </w:rPr>
      </w:pPr>
    </w:p>
    <w:p>
      <w:pPr>
        <w:ind w:left="600" w:hanging="324"/>
        <w:spacing w:after="0" w:line="275" w:lineRule="auto"/>
        <w:tabs>
          <w:tab w:leader="none" w:pos="6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Bankcard processing dollar values and transaction volumes presented in this table exclude data attributable to Priority’s Commercial Payments and Managed Services segment, related mainly to the Priority CPX business.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3" w:name="page164"/>
    <w:bookmarkEnd w:id="163"/>
    <w:p>
      <w:pPr>
        <w:ind w:left="440"/>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2018, consolidated revenue increased by $22.5 million, or 24.2%, compared to prior year, to $115.6 million. This increase was driven primarily by a $21.8 million, or 25.1%, increase in revenue from Priority’s Consumer Payments segment as revenue increased to $109.0 million. Commercial Payments and Managed Services segment increased by $0.7 million, or 11.1%.</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increase in Consumer Payments revenue was attributable primarily to a 12.5% increase in merchant bankcard processing dollar value and a 7.9% increase in the number of merchant bankcard transactions, attributable mainly to higher consumer spending trends continuing into 2018, positive net boarding of new active merchants over the trailing twelve month period, including the onboarding of a sizeable merchant portfolio in July 2017, and merchant mix. The increase in merchant processing dollar value was also impacted by a small increase in average transaction dollar value. A small increase in average transaction processing fees, attributable to merchant mix, also contributed to revenue growth.</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Commercial Payments and Managed Services revenue was attributable primarily to an increase in headcount in our in-house sales force dedicated to selling merchant financing products on behalf of our financial institution partners (for which we record revenue on a cost-plus basis, as described above).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Operating expenses increased $21.2 million, or 24.5%, from $86.5 million for the three months ended March 31, 2017 to $107.7 million for the three months ended March 31, 2018. This increase was driven primarily by a $16.4 million, or 24.6%, increase in costs of merchant card fees, attributable to growth in processing volume discussed above. Selling, general and administrative expenses increased by $3.0 million, or 132.6%, primarily related to increased legal, accounting and consulting fees due to IPO transaction costs and growth in business volume. Salary and employee benefits increased $0.8 million, or 10.4%, as headcount increased from 470 to 514, and other costs of services increased by $0.7 million, or 19.6%.</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from operations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from operations increased $1.3 million, or 20.0%, from $6.6 million for the three months ended March 31, 2017 to $7.9 million for the three months ended March 31, 2018, for the reasons described above. Consumer Payments contributed $8.0 million in segment operating income for the three months ended March 31, 2018, a $2.0 million, or 32.3%, increase from $6.0 million for the three months ended March 31, 2017 due to the increase in processing volume discussed above and a 1.4 percentage point improvement in segment operating margin due mainly to merchant mix. Commercial Payments and Managed Services contributed $0.1 million in segment operating loss for the three months ended March 31, 2018 compared to $0.5 million in segment operating income for the three months ended March 31, 2017. The decrease in Commercial Payments and Managed Services operating income was principally the result of continued ramp up of the CPX platform.</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income (expenses)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(expenses) increased $3.3 million, or 42.0%, from $7.8 million for the three months ended March 31, 2017 to $11.1 million for the three months ended March 31, 2018. This increase was primarily due to the change in fair value of warrants of $3.5 million, a $3.4 million increase from the three months ended March 31, 2017, and an increase in interest expense of $0.9 million. These increases were partially offset by a $1.0 million and $0.1 million decrease in debt modification costs and amortization of deferred financing costs, respectively, from $1.8 million and $0.3 million, respectively, for the three months ended March 31, 2017.</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4" w:name="page165"/>
    <w:bookmarkEnd w:id="164"/>
    <w:p>
      <w:pPr>
        <w:ind w:left="440"/>
        <w:spacing w:after="0"/>
        <w:rPr>
          <w:sz w:val="20"/>
          <w:szCs w:val="20"/>
          <w:color w:val="auto"/>
        </w:rPr>
      </w:pPr>
      <w:r>
        <w:rPr>
          <w:rFonts w:ascii="Arial" w:cs="Arial" w:eastAsia="Arial" w:hAnsi="Arial"/>
          <w:sz w:val="18"/>
          <w:szCs w:val="18"/>
          <w:i w:val="1"/>
          <w:iCs w:val="1"/>
          <w:color w:val="auto"/>
        </w:rPr>
        <w:t>Net loss</w:t>
      </w:r>
    </w:p>
    <w:p>
      <w:pPr>
        <w:spacing w:after="0" w:line="22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Net loss increased $2.0 million from $1.2 million for the three months ended March 31, 2017 to $3.2 million for the three months ended March 31, 2018, due mainly to the increase in other expense discussed above, partially offset by a $1.3 million increase in income from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Compared to Year Ended December 31, 2016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Priority’s consolidated income statement data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5"/>
          </w:tcPr>
          <w:p>
            <w:pPr>
              <w:jc w:val="right"/>
              <w:ind w:right="182"/>
              <w:spacing w:after="0"/>
              <w:rPr>
                <w:sz w:val="20"/>
                <w:szCs w:val="20"/>
                <w:color w:val="auto"/>
              </w:rPr>
            </w:pPr>
            <w:r>
              <w:rPr>
                <w:rFonts w:ascii="Arial" w:cs="Arial" w:eastAsia="Arial" w:hAnsi="Arial"/>
                <w:sz w:val="18"/>
                <w:szCs w:val="18"/>
                <w:b w:val="1"/>
                <w:bCs w:val="1"/>
                <w:color w:val="auto"/>
                <w:w w:val="89"/>
              </w:rPr>
              <w:t>Year Ended December 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2"/>
        </w:trPr>
        <w:tc>
          <w:tcPr>
            <w:tcW w:w="5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w w:val="90"/>
              </w:rPr>
              <w:t>Change</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5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gridSpan w:val="10"/>
          </w:tcPr>
          <w:p>
            <w:pPr>
              <w:jc w:val="right"/>
              <w:ind w:right="6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percentages</w:t>
            </w: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5"/>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5080" w:type="dxa"/>
            <w:vAlign w:val="bottom"/>
          </w:tcPr>
          <w:p>
            <w:pPr>
              <w:ind w:left="160"/>
              <w:spacing w:after="0"/>
              <w:rPr>
                <w:sz w:val="20"/>
                <w:szCs w:val="20"/>
                <w:color w:val="auto"/>
              </w:rPr>
            </w:pPr>
            <w:r>
              <w:rPr>
                <w:rFonts w:ascii="Arial" w:cs="Arial" w:eastAsia="Arial" w:hAnsi="Arial"/>
                <w:sz w:val="18"/>
                <w:szCs w:val="18"/>
                <w:color w:val="auto"/>
              </w:rPr>
              <w:t>Merchant card fees revenue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398,988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321,091</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2"/>
              <w:spacing w:after="0"/>
              <w:rPr>
                <w:sz w:val="20"/>
                <w:szCs w:val="20"/>
                <w:color w:val="auto"/>
              </w:rPr>
            </w:pPr>
            <w:r>
              <w:rPr>
                <w:rFonts w:ascii="Arial" w:cs="Arial" w:eastAsia="Arial" w:hAnsi="Arial"/>
                <w:sz w:val="18"/>
                <w:szCs w:val="18"/>
                <w:color w:val="auto"/>
              </w:rPr>
              <w:t>77,897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r>
      <w:tr>
        <w:trPr>
          <w:trHeight w:val="215"/>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Outsourced services revenue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23,308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20,061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3,247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29"/>
        </w:trPr>
        <w:tc>
          <w:tcPr>
            <w:tcW w:w="508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3,323</w:t>
            </w:r>
          </w:p>
        </w:tc>
        <w:tc>
          <w:tcPr>
            <w:tcW w:w="20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2"/>
              <w:spacing w:after="0"/>
              <w:rPr>
                <w:sz w:val="20"/>
                <w:szCs w:val="20"/>
                <w:color w:val="auto"/>
              </w:rPr>
            </w:pPr>
            <w:r>
              <w:rPr>
                <w:rFonts w:ascii="Arial" w:cs="Arial" w:eastAsia="Arial" w:hAnsi="Arial"/>
                <w:sz w:val="18"/>
                <w:szCs w:val="18"/>
                <w:color w:val="auto"/>
              </w:rPr>
              <w:t>361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r>
      <w:tr>
        <w:trPr>
          <w:trHeight w:val="209"/>
        </w:trPr>
        <w:tc>
          <w:tcPr>
            <w:tcW w:w="50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w:t>
            </w: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81,505</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r>
      <w:tr>
        <w:trPr>
          <w:trHeight w:val="215"/>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of merchant card fees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305,461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243,049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62,412</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r>
      <w:tr>
        <w:trPr>
          <w:trHeight w:val="215"/>
        </w:trPr>
        <w:tc>
          <w:tcPr>
            <w:tcW w:w="5080" w:type="dxa"/>
            <w:vAlign w:val="bottom"/>
          </w:tcPr>
          <w:p>
            <w:pPr>
              <w:ind w:left="160"/>
              <w:spacing w:after="0"/>
              <w:rPr>
                <w:sz w:val="20"/>
                <w:szCs w:val="20"/>
                <w:color w:val="auto"/>
              </w:rPr>
            </w:pPr>
            <w:r>
              <w:rPr>
                <w:rFonts w:ascii="Arial" w:cs="Arial" w:eastAsia="Arial" w:hAnsi="Arial"/>
                <w:sz w:val="18"/>
                <w:szCs w:val="18"/>
                <w:color w:val="auto"/>
              </w:rPr>
              <w:t>Other costs of services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15,743</w:t>
            </w:r>
          </w:p>
        </w:tc>
        <w:tc>
          <w:tcPr>
            <w:tcW w:w="200" w:type="dxa"/>
            <w:vAlign w:val="bottom"/>
          </w:tcPr>
          <w:p>
            <w:pPr>
              <w:spacing w:after="0"/>
              <w:rPr>
                <w:sz w:val="18"/>
                <w:szCs w:val="18"/>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13,971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2"/>
              <w:spacing w:after="0"/>
              <w:rPr>
                <w:sz w:val="20"/>
                <w:szCs w:val="20"/>
                <w:color w:val="auto"/>
              </w:rPr>
            </w:pPr>
            <w:r>
              <w:rPr>
                <w:rFonts w:ascii="Arial" w:cs="Arial" w:eastAsia="Arial" w:hAnsi="Arial"/>
                <w:sz w:val="18"/>
                <w:szCs w:val="18"/>
                <w:color w:val="auto"/>
              </w:rPr>
              <w:t>1,772</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r>
      <w:tr>
        <w:trPr>
          <w:trHeight w:val="215"/>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employee benefits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32,357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32,330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5"/>
        </w:trPr>
        <w:tc>
          <w:tcPr>
            <w:tcW w:w="50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14,674</w:t>
            </w:r>
          </w:p>
        </w:tc>
        <w:tc>
          <w:tcPr>
            <w:tcW w:w="200" w:type="dxa"/>
            <w:vAlign w:val="bottom"/>
          </w:tcPr>
          <w:p>
            <w:pPr>
              <w:spacing w:after="0"/>
              <w:rPr>
                <w:sz w:val="18"/>
                <w:szCs w:val="18"/>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14,733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8"/>
                <w:szCs w:val="18"/>
                <w:color w:val="auto"/>
              </w:rPr>
              <w:t>(59)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15"/>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9,088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7,790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1,298</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r>
      <w:tr>
        <w:trPr>
          <w:trHeight w:val="215"/>
        </w:trPr>
        <w:tc>
          <w:tcPr>
            <w:tcW w:w="508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2"/>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940" w:type="dxa"/>
            <w:vAlign w:val="bottom"/>
            <w:gridSpan w:val="2"/>
          </w:tcPr>
          <w:p>
            <w:pPr>
              <w:jc w:val="right"/>
              <w:ind w:right="2"/>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2"/>
              <w:spacing w:after="0"/>
              <w:rPr>
                <w:sz w:val="20"/>
                <w:szCs w:val="20"/>
                <w:color w:val="auto"/>
              </w:rPr>
            </w:pPr>
            <w:r>
              <w:rPr>
                <w:rFonts w:ascii="Arial" w:cs="Arial" w:eastAsia="Arial" w:hAnsi="Arial"/>
                <w:sz w:val="18"/>
                <w:szCs w:val="18"/>
                <w:color w:val="auto"/>
              </w:rPr>
              <w:t>2,255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(84.6)%</w:t>
            </w:r>
          </w:p>
        </w:tc>
      </w:tr>
      <w:tr>
        <w:trPr>
          <w:trHeight w:val="229"/>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13,457</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9,066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4,391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w:t>
            </w:r>
          </w:p>
        </w:tc>
      </w:tr>
      <w:tr>
        <w:trPr>
          <w:trHeight w:val="209"/>
        </w:trPr>
        <w:tc>
          <w:tcPr>
            <w:tcW w:w="5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390.370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72,096</w:t>
            </w: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22.7%</w:t>
            </w:r>
          </w:p>
        </w:tc>
      </w:tr>
      <w:tr>
        <w:trPr>
          <w:trHeight w:val="209"/>
        </w:trPr>
        <w:tc>
          <w:tcPr>
            <w:tcW w:w="50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Income from operations</w:t>
            </w: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r>
      <w:tr>
        <w:trPr>
          <w:trHeight w:val="209"/>
        </w:trPr>
        <w:tc>
          <w:tcPr>
            <w:tcW w:w="508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149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15"/>
        </w:trPr>
        <w:tc>
          <w:tcPr>
            <w:tcW w:w="5080" w:type="dxa"/>
            <w:vAlign w:val="bottom"/>
          </w:tcPr>
          <w:p>
            <w:pPr>
              <w:ind w:left="160"/>
              <w:spacing w:after="0"/>
              <w:rPr>
                <w:sz w:val="20"/>
                <w:szCs w:val="20"/>
                <w:color w:val="auto"/>
              </w:rPr>
            </w:pPr>
            <w:r>
              <w:rPr>
                <w:rFonts w:ascii="Arial" w:cs="Arial" w:eastAsia="Arial" w:hAnsi="Arial"/>
                <w:sz w:val="18"/>
                <w:szCs w:val="18"/>
                <w:color w:val="auto"/>
              </w:rPr>
              <w:t>Interest and other expense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2"/>
              <w:spacing w:after="0"/>
              <w:rPr>
                <w:sz w:val="20"/>
                <w:szCs w:val="20"/>
                <w:color w:val="auto"/>
              </w:rPr>
            </w:pPr>
            <w:r>
              <w:rPr>
                <w:rFonts w:ascii="Arial" w:cs="Arial" w:eastAsia="Arial" w:hAnsi="Arial"/>
                <w:sz w:val="18"/>
                <w:szCs w:val="18"/>
                <w:color w:val="auto"/>
              </w:rPr>
              <w:t>(31,159)</w:t>
            </w:r>
          </w:p>
        </w:tc>
        <w:tc>
          <w:tcPr>
            <w:tcW w:w="200" w:type="dxa"/>
            <w:vAlign w:val="bottom"/>
          </w:tcPr>
          <w:p>
            <w:pPr>
              <w:spacing w:after="0"/>
              <w:rPr>
                <w:sz w:val="18"/>
                <w:szCs w:val="18"/>
                <w:color w:val="auto"/>
              </w:rPr>
            </w:pPr>
          </w:p>
        </w:tc>
        <w:tc>
          <w:tcPr>
            <w:tcW w:w="940" w:type="dxa"/>
            <w:vAlign w:val="bottom"/>
            <w:gridSpan w:val="2"/>
          </w:tcPr>
          <w:p>
            <w:pPr>
              <w:jc w:val="right"/>
              <w:ind w:right="2"/>
              <w:spacing w:after="0"/>
              <w:rPr>
                <w:sz w:val="20"/>
                <w:szCs w:val="20"/>
                <w:color w:val="auto"/>
              </w:rPr>
            </w:pPr>
            <w:r>
              <w:rPr>
                <w:rFonts w:ascii="Arial" w:cs="Arial" w:eastAsia="Arial" w:hAnsi="Arial"/>
                <w:sz w:val="18"/>
                <w:szCs w:val="18"/>
                <w:color w:val="auto"/>
              </w:rPr>
              <w:t>(5,980)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8"/>
                <w:szCs w:val="18"/>
                <w:color w:val="auto"/>
              </w:rPr>
              <w:t>(25,179)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421.1%</w:t>
            </w:r>
          </w:p>
        </w:tc>
      </w:tr>
      <w:tr>
        <w:trPr>
          <w:trHeight w:val="229"/>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 of unconsolidated entities</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09"/>
        </w:trPr>
        <w:tc>
          <w:tcPr>
            <w:tcW w:w="5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expenses</w:t>
            </w:r>
          </w:p>
        </w:tc>
        <w:tc>
          <w:tcPr>
            <w:tcW w:w="1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22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(25,001</w:t>
            </w:r>
          </w:p>
        </w:tc>
        <w:tc>
          <w:tcPr>
            <w:tcW w:w="18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442.2%</w:t>
            </w:r>
          </w:p>
        </w:tc>
      </w:tr>
      <w:tr>
        <w:trPr>
          <w:trHeight w:val="222"/>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0"/>
        </w:trPr>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Priority’s segment income statement data and selected performance measures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2"/>
              </w:rPr>
              <w:t>Year Ended December 31,</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2"/>
        </w:trPr>
        <w:tc>
          <w:tcPr>
            <w:tcW w:w="6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 Change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6040" w:type="dxa"/>
            <w:vAlign w:val="bottom"/>
          </w:tcPr>
          <w:p>
            <w:pPr>
              <w:spacing w:after="0"/>
              <w:rPr>
                <w:sz w:val="18"/>
                <w:szCs w:val="18"/>
                <w:color w:val="auto"/>
              </w:rPr>
            </w:pPr>
          </w:p>
        </w:tc>
        <w:tc>
          <w:tcPr>
            <w:tcW w:w="5160" w:type="dxa"/>
            <w:vAlign w:val="bottom"/>
            <w:tcBorders>
              <w:top w:val="single" w:sz="8" w:color="auto"/>
            </w:tcBorders>
            <w:gridSpan w:val="8"/>
          </w:tcPr>
          <w:p>
            <w:pPr>
              <w:jc w:val="right"/>
              <w:spacing w:after="0"/>
              <w:rPr>
                <w:sz w:val="20"/>
                <w:szCs w:val="20"/>
                <w:color w:val="auto"/>
              </w:rPr>
            </w:pPr>
            <w:r>
              <w:rPr>
                <w:rFonts w:ascii="Arial" w:cs="Arial" w:eastAsia="Arial" w:hAnsi="Arial"/>
                <w:sz w:val="18"/>
                <w:szCs w:val="18"/>
                <w:b w:val="1"/>
                <w:bCs w:val="1"/>
                <w:i w:val="1"/>
                <w:iCs w:val="1"/>
                <w:color w:val="auto"/>
                <w:w w:val="85"/>
              </w:rPr>
              <w:t>(in thousands of dollars, except transaction volume and percentages)</w:t>
            </w:r>
          </w:p>
        </w:tc>
        <w:tc>
          <w:tcPr>
            <w:tcW w:w="220" w:type="dxa"/>
            <w:vAlign w:val="bottom"/>
          </w:tcPr>
          <w:p>
            <w:pPr>
              <w:spacing w:after="0"/>
              <w:rPr>
                <w:sz w:val="18"/>
                <w:szCs w:val="18"/>
                <w:color w:val="auto"/>
              </w:rPr>
            </w:pPr>
          </w:p>
        </w:tc>
      </w:tr>
      <w:tr>
        <w:trPr>
          <w:trHeight w:val="215"/>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Payments: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604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400,320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322,666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77,654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r>
      <w:tr>
        <w:trPr>
          <w:trHeight w:val="215"/>
        </w:trPr>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33,363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10,175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r>
      <w:tr>
        <w:trPr>
          <w:trHeight w:val="215"/>
        </w:trPr>
        <w:tc>
          <w:tcPr>
            <w:tcW w:w="6040" w:type="dxa"/>
            <w:vAlign w:val="bottom"/>
          </w:tcPr>
          <w:p>
            <w:pPr>
              <w:ind w:left="160"/>
              <w:spacing w:after="0"/>
              <w:rPr>
                <w:sz w:val="20"/>
                <w:szCs w:val="20"/>
                <w:color w:val="auto"/>
              </w:rPr>
            </w:pPr>
            <w:r>
              <w:rPr>
                <w:rFonts w:ascii="Arial" w:cs="Arial" w:eastAsia="Arial" w:hAnsi="Arial"/>
                <w:sz w:val="18"/>
                <w:szCs w:val="18"/>
                <w:color w:val="auto"/>
              </w:rPr>
              <w:t>Segment operating margin</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Key Indicators: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604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value(1)</w:t>
            </w:r>
          </w:p>
        </w:tc>
        <w:tc>
          <w:tcPr>
            <w:tcW w:w="1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34,465,600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30,335,776</w:t>
            </w:r>
          </w:p>
        </w:tc>
        <w:tc>
          <w:tcPr>
            <w:tcW w:w="1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4,129,824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r>
      <w:tr>
        <w:trPr>
          <w:trHeight w:val="215"/>
        </w:trPr>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439,055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398,498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40,557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15"/>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Commercial Payments and Managed Services: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604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25,299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21,448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3,851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r>
      <w:tr>
        <w:trPr>
          <w:trHeight w:val="215"/>
        </w:trPr>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1,886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r>
    </w:tbl>
    <w:p>
      <w:pPr>
        <w:spacing w:after="0" w:line="201" w:lineRule="exact"/>
        <w:rPr>
          <w:sz w:val="20"/>
          <w:szCs w:val="20"/>
          <w:color w:val="auto"/>
        </w:rPr>
      </w:pPr>
    </w:p>
    <w:p>
      <w:pPr>
        <w:ind w:left="660" w:hanging="330"/>
        <w:spacing w:after="0" w:line="275"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Bankcard processing dollar values and transaction volumes presented in this table exclude data attributable to Priority’s Commercial Payments and Managed Services segment, related mainly to the Priority CPX business.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5" w:name="page166"/>
    <w:bookmarkEnd w:id="165"/>
    <w:p>
      <w:pPr>
        <w:ind w:left="440"/>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increased $81.5 million, or 23.7%, from $344.1 million in 2016 to $425.6 million in 2017. This increase was driven primarily by a $77.7 million, or 24.1%, increase in revenue from Priority’s Consumer Payments segment and a $3.9 million, or 18.0%, increase in revenue from Priority’s Commercial Payments and Managed Services segment.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Consumer Payments revenue was attributable primarily to a 13.6% increase in merchant bankcard processing dollar value and a 10.2% increase in the number of merchant bankcard transactions, attributable mainly to higher consumer spending trends in 2017, positive net boarding of new active merchants, including the onboarding of a sizeable merchant portfolio in July 2017, and merchant mix. The increase in merchant processing dollar value was also impacted by a small increase in average transaction dollar value. A small increase in average transaction processing fees, attributable to merchant mix, also contributed to revenue growth.</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Commercial Payments and Managed Services revenue was attributable primarily to an increase in headcount in our in-house sales force dedicated to selling merchant financing products on behalf of our financial institution partners (for which we record revenue on a cost-plus basis, as described above).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Operating expenses increased $72.1 million, or 22.7%, from $318.3 million in 2016 to $390.4 million in 2017. This increase was driven primarily by a $62.4 million, or 25.7%, increase in costs of merchant card fees, attributable to growth in processing volume discussed above, a $4.4 million, or 48.4%, increase in other operating expenses attributable mainly to 2017 litigation settlements and related expenses and higher state and local taxes, and a $1.8 million, or 12.7%, increase in other costs of services. Selling, general and administrative expenses increased $1.3 million as a result of growth in business volume.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from operations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from operations increased $9.4 million, or 36.4%, from $25.8 million in 2016 to $35.2 million in 2017, for the reasons described above. Consumer Payments contributed $33.4 million in segment operating income in 2017, a $10.2 million, or 43.9%, increase from $23.2 million in 2016 due the increase in processing volume discussed above and a 1.2 percentage point improvement in segment operating margin due mainly to merchant mix. Commercial Payments and Managed Services contributed $1.9 million in segment operating income in 2017, a $0.8 million, or 28.9%, decrease from $2.7 million in 2016. The decrease in Commercial Payments and Managed Services operating income was principally the result of ramp up in headcount ahead of the rollout of the CPX platform in September 2017.</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income (expense)</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Other expenses increased $25.0 million, or 442.2%, from $5.7 million in 2016 to $30.7 million in 2017, due primarily to a $25.2 million increase in interest and other expense attributable mainly to Priority’s increased debt following the January 2017 debt restructuring, including an increase in interest expense of $19.7 million, a $4.1 million increase in fair value of the Goldman Sachs warrant and a $1.8 million loss on debt extinguishment.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income</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Net income decreased $15.6 million, or 77.2%, from $20.2 million in 2016 to $4.6 million in 2017, due to the increase in interest and other expense that was offset partially by the increase in income from operations, as described above.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i w:val="1"/>
                <w:iCs w:val="1"/>
                <w:color w:val="auto"/>
              </w:rPr>
              <w:t>Year Ended December 31, 2016 Compared to Year Ended December 31, 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0"/>
        </w:trPr>
        <w:tc>
          <w:tcPr>
            <w:tcW w:w="7760" w:type="dxa"/>
            <w:vAlign w:val="bottom"/>
            <w:gridSpan w:val="5"/>
          </w:tcPr>
          <w:p>
            <w:pPr>
              <w:spacing w:after="0"/>
              <w:rPr>
                <w:sz w:val="20"/>
                <w:szCs w:val="20"/>
                <w:color w:val="auto"/>
              </w:rPr>
            </w:pPr>
            <w:r>
              <w:rPr>
                <w:rFonts w:ascii="Arial" w:cs="Arial" w:eastAsia="Arial" w:hAnsi="Arial"/>
                <w:sz w:val="18"/>
                <w:szCs w:val="18"/>
                <w:color w:val="auto"/>
                <w:w w:val="99"/>
              </w:rPr>
              <w:t>The following table shows Priority’s consolidated income statement data for the periods indicated: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3"/>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5"/>
          </w:tcPr>
          <w:p>
            <w:pPr>
              <w:jc w:val="right"/>
              <w:ind w:right="182"/>
              <w:spacing w:after="0"/>
              <w:rPr>
                <w:sz w:val="20"/>
                <w:szCs w:val="20"/>
                <w:color w:val="auto"/>
              </w:rPr>
            </w:pPr>
            <w:r>
              <w:rPr>
                <w:rFonts w:ascii="Arial" w:cs="Arial" w:eastAsia="Arial" w:hAnsi="Arial"/>
                <w:sz w:val="18"/>
                <w:szCs w:val="18"/>
                <w:b w:val="1"/>
                <w:bCs w:val="1"/>
                <w:color w:val="auto"/>
                <w:w w:val="89"/>
              </w:rPr>
              <w:t>Year Ended December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percentages)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w w:val="90"/>
              </w:rPr>
              <w:t>Change</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5"/>
        </w:trPr>
        <w:tc>
          <w:tcPr>
            <w:tcW w:w="6400" w:type="dxa"/>
            <w:vAlign w:val="bottom"/>
          </w:tcPr>
          <w:p>
            <w:pPr>
              <w:ind w:left="160"/>
              <w:spacing w:after="0"/>
              <w:rPr>
                <w:sz w:val="20"/>
                <w:szCs w:val="20"/>
                <w:color w:val="auto"/>
              </w:rPr>
            </w:pPr>
            <w:r>
              <w:rPr>
                <w:rFonts w:ascii="Arial" w:cs="Arial" w:eastAsia="Arial" w:hAnsi="Arial"/>
                <w:sz w:val="18"/>
                <w:szCs w:val="18"/>
                <w:color w:val="auto"/>
              </w:rPr>
              <w:t>Merchant card fees 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321,091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268,221</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52,870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r>
      <w:tr>
        <w:trPr>
          <w:trHeight w:val="215"/>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Outsourced services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20,061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14,815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5,246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r>
      <w:tr>
        <w:trPr>
          <w:trHeight w:val="229"/>
        </w:trPr>
        <w:tc>
          <w:tcPr>
            <w:tcW w:w="640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2,962</w:t>
            </w:r>
          </w:p>
        </w:tc>
        <w:tc>
          <w:tcPr>
            <w:tcW w:w="20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3,208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8"/>
                <w:szCs w:val="18"/>
                <w:color w:val="auto"/>
              </w:rPr>
              <w:t>(246)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09"/>
        </w:trPr>
        <w:tc>
          <w:tcPr>
            <w:tcW w:w="64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 net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344,114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r>
      <w:tr>
        <w:trPr>
          <w:trHeight w:val="215"/>
        </w:trPr>
        <w:tc>
          <w:tcPr>
            <w:tcW w:w="6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of merchant card fees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243,049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199,067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43,982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r>
      <w:tr>
        <w:trPr>
          <w:trHeight w:val="215"/>
        </w:trPr>
        <w:tc>
          <w:tcPr>
            <w:tcW w:w="6400" w:type="dxa"/>
            <w:vAlign w:val="bottom"/>
          </w:tcPr>
          <w:p>
            <w:pPr>
              <w:ind w:left="160"/>
              <w:spacing w:after="0"/>
              <w:rPr>
                <w:sz w:val="20"/>
                <w:szCs w:val="20"/>
                <w:color w:val="auto"/>
              </w:rPr>
            </w:pPr>
            <w:r>
              <w:rPr>
                <w:rFonts w:ascii="Arial" w:cs="Arial" w:eastAsia="Arial" w:hAnsi="Arial"/>
                <w:sz w:val="18"/>
                <w:szCs w:val="18"/>
                <w:color w:val="auto"/>
              </w:rPr>
              <w:t>Other costs of services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13,971</w:t>
            </w:r>
          </w:p>
        </w:tc>
        <w:tc>
          <w:tcPr>
            <w:tcW w:w="200" w:type="dxa"/>
            <w:vAlign w:val="bottom"/>
          </w:tcPr>
          <w:p>
            <w:pPr>
              <w:spacing w:after="0"/>
              <w:rPr>
                <w:sz w:val="18"/>
                <w:szCs w:val="18"/>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13,133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838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r>
      <w:tr>
        <w:trPr>
          <w:trHeight w:val="215"/>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employee benefits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32,330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27,258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5,072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r>
      <w:tr>
        <w:trPr>
          <w:trHeight w:val="215"/>
        </w:trPr>
        <w:tc>
          <w:tcPr>
            <w:tcW w:w="64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14,733</w:t>
            </w:r>
          </w:p>
        </w:tc>
        <w:tc>
          <w:tcPr>
            <w:tcW w:w="200" w:type="dxa"/>
            <w:vAlign w:val="bottom"/>
          </w:tcPr>
          <w:p>
            <w:pPr>
              <w:spacing w:after="0"/>
              <w:rPr>
                <w:sz w:val="18"/>
                <w:szCs w:val="18"/>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15,633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8"/>
                <w:szCs w:val="18"/>
                <w:color w:val="auto"/>
              </w:rPr>
              <w:t>(900)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7,790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7,294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496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15"/>
        </w:trPr>
        <w:tc>
          <w:tcPr>
            <w:tcW w:w="640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2"/>
              <w:spacing w:after="0"/>
              <w:rPr>
                <w:sz w:val="20"/>
                <w:szCs w:val="20"/>
                <w:color w:val="auto"/>
              </w:rPr>
            </w:pPr>
            <w:r>
              <w:rPr>
                <w:rFonts w:ascii="Arial" w:cs="Arial" w:eastAsia="Arial" w:hAnsi="Arial"/>
                <w:sz w:val="18"/>
                <w:szCs w:val="18"/>
                <w:color w:val="auto"/>
              </w:rPr>
              <w:t>(2,665)</w:t>
            </w:r>
          </w:p>
        </w:tc>
        <w:tc>
          <w:tcPr>
            <w:tcW w:w="200" w:type="dxa"/>
            <w:vAlign w:val="bottom"/>
          </w:tcPr>
          <w:p>
            <w:pPr>
              <w:spacing w:after="0"/>
              <w:rPr>
                <w:sz w:val="18"/>
                <w:szCs w:val="18"/>
                <w:color w:val="auto"/>
              </w:rPr>
            </w:pPr>
          </w:p>
        </w:tc>
        <w:tc>
          <w:tcPr>
            <w:tcW w:w="940" w:type="dxa"/>
            <w:vAlign w:val="bottom"/>
            <w:gridSpan w:val="2"/>
          </w:tcPr>
          <w:p>
            <w:pPr>
              <w:jc w:val="right"/>
              <w:ind w:right="2"/>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8"/>
                <w:szCs w:val="18"/>
                <w:color w:val="auto"/>
              </w:rPr>
              <w:t>(2,090)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363.5%</w:t>
            </w:r>
          </w:p>
        </w:tc>
      </w:tr>
      <w:tr>
        <w:trPr>
          <w:trHeight w:val="229"/>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9,066</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9,875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9"/>
        </w:trPr>
        <w:tc>
          <w:tcPr>
            <w:tcW w:w="64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318,274</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46,589</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17.1%</w:t>
            </w:r>
          </w:p>
        </w:tc>
      </w:tr>
      <w:tr>
        <w:trPr>
          <w:trHeight w:val="209"/>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r>
      <w:tr>
        <w:trPr>
          <w:trHeight w:val="209"/>
        </w:trPr>
        <w:tc>
          <w:tcPr>
            <w:tcW w:w="640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220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w:t>
            </w:r>
          </w:p>
        </w:tc>
      </w:tr>
      <w:tr>
        <w:trPr>
          <w:trHeight w:val="215"/>
        </w:trPr>
        <w:tc>
          <w:tcPr>
            <w:tcW w:w="6400" w:type="dxa"/>
            <w:vAlign w:val="bottom"/>
          </w:tcPr>
          <w:p>
            <w:pPr>
              <w:ind w:left="160"/>
              <w:spacing w:after="0"/>
              <w:rPr>
                <w:sz w:val="20"/>
                <w:szCs w:val="20"/>
                <w:color w:val="auto"/>
              </w:rPr>
            </w:pPr>
            <w:r>
              <w:rPr>
                <w:rFonts w:ascii="Arial" w:cs="Arial" w:eastAsia="Arial" w:hAnsi="Arial"/>
                <w:sz w:val="18"/>
                <w:szCs w:val="18"/>
                <w:color w:val="auto"/>
              </w:rPr>
              <w:t>Interest and other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2"/>
              <w:spacing w:after="0"/>
              <w:rPr>
                <w:sz w:val="20"/>
                <w:szCs w:val="20"/>
                <w:color w:val="auto"/>
              </w:rPr>
            </w:pPr>
            <w:r>
              <w:rPr>
                <w:rFonts w:ascii="Arial" w:cs="Arial" w:eastAsia="Arial" w:hAnsi="Arial"/>
                <w:sz w:val="18"/>
                <w:szCs w:val="18"/>
                <w:color w:val="auto"/>
              </w:rPr>
              <w:t>(5,980)</w:t>
            </w:r>
          </w:p>
        </w:tc>
        <w:tc>
          <w:tcPr>
            <w:tcW w:w="200" w:type="dxa"/>
            <w:vAlign w:val="bottom"/>
          </w:tcPr>
          <w:p>
            <w:pPr>
              <w:spacing w:after="0"/>
              <w:rPr>
                <w:sz w:val="18"/>
                <w:szCs w:val="18"/>
                <w:color w:val="auto"/>
              </w:rPr>
            </w:pPr>
          </w:p>
        </w:tc>
        <w:tc>
          <w:tcPr>
            <w:tcW w:w="940" w:type="dxa"/>
            <w:vAlign w:val="bottom"/>
            <w:gridSpan w:val="2"/>
          </w:tcPr>
          <w:p>
            <w:pPr>
              <w:jc w:val="right"/>
              <w:ind w:right="2"/>
              <w:spacing w:after="0"/>
              <w:rPr>
                <w:sz w:val="20"/>
                <w:szCs w:val="20"/>
                <w:color w:val="auto"/>
              </w:rPr>
            </w:pPr>
            <w:r>
              <w:rPr>
                <w:rFonts w:ascii="Arial" w:cs="Arial" w:eastAsia="Arial" w:hAnsi="Arial"/>
                <w:sz w:val="18"/>
                <w:szCs w:val="18"/>
                <w:color w:val="auto"/>
              </w:rPr>
              <w:t>(5,490)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8"/>
                <w:szCs w:val="18"/>
                <w:color w:val="auto"/>
              </w:rPr>
              <w:t>(490)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29"/>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 of unconsolidated entities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(92)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131.4%</w:t>
            </w:r>
          </w:p>
        </w:tc>
      </w:tr>
      <w:tr>
        <w:trPr>
          <w:trHeight w:val="209"/>
        </w:trPr>
        <w:tc>
          <w:tcPr>
            <w:tcW w:w="64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22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22"/>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w:t>
            </w: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Priority’s segment income statement data and selected performance measures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2"/>
              </w:rPr>
              <w:t>Year Ended December 31,</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2"/>
        </w:trPr>
        <w:tc>
          <w:tcPr>
            <w:tcW w:w="6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 Change</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6100" w:type="dxa"/>
            <w:vAlign w:val="bottom"/>
          </w:tcPr>
          <w:p>
            <w:pPr>
              <w:spacing w:after="0"/>
              <w:rPr>
                <w:sz w:val="18"/>
                <w:szCs w:val="18"/>
                <w:color w:val="auto"/>
              </w:rPr>
            </w:pPr>
          </w:p>
        </w:tc>
        <w:tc>
          <w:tcPr>
            <w:tcW w:w="5160" w:type="dxa"/>
            <w:vAlign w:val="bottom"/>
            <w:tcBorders>
              <w:top w:val="single" w:sz="8" w:color="auto"/>
            </w:tcBorders>
            <w:gridSpan w:val="8"/>
          </w:tcPr>
          <w:p>
            <w:pPr>
              <w:jc w:val="right"/>
              <w:spacing w:after="0"/>
              <w:rPr>
                <w:sz w:val="20"/>
                <w:szCs w:val="20"/>
                <w:color w:val="auto"/>
              </w:rPr>
            </w:pPr>
            <w:r>
              <w:rPr>
                <w:rFonts w:ascii="Arial" w:cs="Arial" w:eastAsia="Arial" w:hAnsi="Arial"/>
                <w:sz w:val="18"/>
                <w:szCs w:val="18"/>
                <w:b w:val="1"/>
                <w:bCs w:val="1"/>
                <w:i w:val="1"/>
                <w:iCs w:val="1"/>
                <w:color w:val="auto"/>
                <w:w w:val="85"/>
              </w:rPr>
              <w:t>(in thousands of dollars, except transaction volume and percentages)</w:t>
            </w:r>
          </w:p>
        </w:tc>
        <w:tc>
          <w:tcPr>
            <w:tcW w:w="160" w:type="dxa"/>
            <w:vAlign w:val="bottom"/>
          </w:tcPr>
          <w:p>
            <w:pPr>
              <w:spacing w:after="0"/>
              <w:rPr>
                <w:sz w:val="18"/>
                <w:szCs w:val="18"/>
                <w:color w:val="auto"/>
              </w:rPr>
            </w:pPr>
          </w:p>
        </w:tc>
      </w:tr>
      <w:tr>
        <w:trPr>
          <w:trHeight w:val="215"/>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Payments: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610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322,666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270,610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52,056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r>
      <w:tr>
        <w:trPr>
          <w:trHeight w:val="215"/>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23,188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9,398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r>
      <w:tr>
        <w:trPr>
          <w:trHeight w:val="215"/>
        </w:trPr>
        <w:tc>
          <w:tcPr>
            <w:tcW w:w="6100" w:type="dxa"/>
            <w:vAlign w:val="bottom"/>
          </w:tcPr>
          <w:p>
            <w:pPr>
              <w:ind w:left="160"/>
              <w:spacing w:after="0"/>
              <w:rPr>
                <w:sz w:val="20"/>
                <w:szCs w:val="20"/>
                <w:color w:val="auto"/>
              </w:rPr>
            </w:pPr>
            <w:r>
              <w:rPr>
                <w:rFonts w:ascii="Arial" w:cs="Arial" w:eastAsia="Arial" w:hAnsi="Arial"/>
                <w:sz w:val="18"/>
                <w:szCs w:val="18"/>
                <w:color w:val="auto"/>
              </w:rPr>
              <w:t>Segment operating margin</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Key Indicators: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610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value(1)</w:t>
            </w:r>
          </w:p>
        </w:tc>
        <w:tc>
          <w:tcPr>
            <w:tcW w:w="16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9"/>
              </w:rPr>
              <w:t>30,335,776</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27,109,700</w:t>
            </w:r>
          </w:p>
        </w:tc>
        <w:tc>
          <w:tcPr>
            <w:tcW w:w="16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3,226,076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r>
        <w:trPr>
          <w:trHeight w:val="215"/>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398,498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357,049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41,449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r>
      <w:tr>
        <w:trPr>
          <w:trHeight w:val="215"/>
        </w:trPr>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Commercial Payments and Managed Services: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610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21,448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5,814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r>
      <w:tr>
        <w:trPr>
          <w:trHeight w:val="215"/>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1,883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244.9%</w:t>
            </w:r>
          </w:p>
        </w:tc>
      </w:tr>
    </w:tbl>
    <w:p>
      <w:pPr>
        <w:spacing w:after="0" w:line="201" w:lineRule="exact"/>
        <w:rPr>
          <w:sz w:val="20"/>
          <w:szCs w:val="20"/>
          <w:color w:val="auto"/>
        </w:rPr>
      </w:pPr>
    </w:p>
    <w:p>
      <w:pPr>
        <w:ind w:left="660" w:right="220" w:hanging="330"/>
        <w:spacing w:after="0" w:line="275"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Bankcard processing dollar values and transaction volumes presented in this table exclude data attributable to Priority’s Commercial Payments and Managed Services segment, related mainly to the Priority CPX business.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7" w:name="page168"/>
    <w:bookmarkEnd w:id="167"/>
    <w:p>
      <w:pPr>
        <w:ind w:left="340"/>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increased $57.9 million, or 20.2%, from $286.2 million in 2015 to $344.1 million in 2016. This increase was driven primarily by a $52.1 million, or 19.2%, increase in revenue from Priority’s Consumer Payments segment and a $5.8 million, or 37.2%, increase in revenue from Priority’s Commercial Payments and Managed Services segment.</w:t>
      </w:r>
    </w:p>
    <w:p>
      <w:pPr>
        <w:spacing w:after="0" w:line="18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increase in Consumer Payments revenue was attributable primarily to an 11.9% increase in bankcard merchant processing dollar value and an 11.6% increase in the number of merchant bankcard transactions. Growth in the number of merchant customers and an improvement in merchant mix contributed to these increases. A slight increase in average processing fees, driven by merchant mix and value-added product initiatives, also contributed to the increase.</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increase in Commercial Payments and Managed Services revenue was attributable primarily to an increase in headcount in Priority’s in-house sales force dedicated to selling merchant financing products on behalf of our financial institution partners.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Operating expenses increased $46.6 million, or 17.1%, from $271.7 million in 2015 to $318.3 million in 2016. This increase was driven primarily by a $44.0 million, or 22.1%, increase in costs of merchant card fees attributable to the growth in processing volume discussed above and a $5.1 million, or 18.6%, increase in salary and employee benefits, attributable to growth in headcount driven by an increase in our-house sales force related to our Commercial Payments and Managed Services business and growth in overall business volume. Other operating expenses decreased by $0.8 million and other costs of services increased $0.8 million, while selling, general and administrative expenses remained relatively stable between periods.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Income from operations increased $11.3 million, or 77.5%, from $14.6 million in 2015 to $25.8 million in 2016, for the reasons described above, namely merchant count growth, merchant mix and increase in value-added services. Consumer Payments contributed $23.2 million in segment operating income in 2016, a $9.4 million, or 68.2%, increase from $13.8 million in 2015. Commercial Payments and Managed Services contributed $2.7 million in segment operating income in 2016, a $1.9 million, or 244.9%, increase from $0.8 million in 2015.</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Other expenses increased $0.4 million, or 6.8%, from $5.3 million in 2015 to $5.7 million in 2016, mainly due to an increase in interest expense that was partially offset by an increase in interest income.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Net income increased $10.9 million, or 117.8%, from $9.3 million in 2015 to $20.2 million in 2016, for the reasons described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and capital resource management is a process focused on providing the funding Priority needs to meet its short-term and long-term cash and working capital needs. Priority has used its funding sources to build its merchant portfolio, its technology solutions, and to make acquisitions with the expectation that these investments will generate cash flows sufficient to cover Priority’s working capital needs and other anticipated needs for capital. Priority anticipates that funds generated from operations and borrowings under Priority’s Revolver and long-term debt arrangements will be sufficient to meet our working capital requirements for at least the next twelve months.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8" w:name="page169"/>
    <w:bookmarkEnd w:id="168"/>
    <w:p>
      <w:pPr>
        <w:jc w:val="both"/>
        <w:ind w:right="20"/>
        <w:spacing w:after="0" w:line="275" w:lineRule="auto"/>
        <w:rPr>
          <w:sz w:val="20"/>
          <w:szCs w:val="20"/>
          <w:color w:val="auto"/>
        </w:rPr>
      </w:pPr>
      <w:r>
        <w:rPr>
          <w:rFonts w:ascii="Arial" w:cs="Arial" w:eastAsia="Arial" w:hAnsi="Arial"/>
          <w:sz w:val="18"/>
          <w:szCs w:val="18"/>
          <w:color w:val="auto"/>
        </w:rPr>
        <w:t>Priority’s principal uses of cash are to pay commissions to Priority’s distribution partners and internal sales staff, residual buyouts and distribution partner advances, operating expenses, interest expense, investments in Priority’s technology infrastructure and acquisitions.</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Priority’s working capital, defined as current assets less current liabilities, was $33.5 million at March 31, 2018 and $39.5 million and $49.4 million at December 31, 2017 and 2016, respectively. At March 31, 2018, Priority had cash totaling $18.3 million compared to $28.0 million at December 31, 2017 and $32.3 million at December 31, 2016. These balances do not include restricted cash, which reflects Priority-owned cash accounts holding reserves for potential losses and customer settlement funds, of $19.8 million at March 31, 2018 and $16.2 million and $9.4 million at December 31, 2017 and 2016,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narrative reflect Priority’s changes in cash flows for the comparative quarterly and annual periods.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r>
              <w:rPr>
                <w:rFonts w:ascii="Arial" w:cs="Arial" w:eastAsia="Arial" w:hAnsi="Arial"/>
                <w:sz w:val="18"/>
                <w:szCs w:val="18"/>
                <w:i w:val="1"/>
                <w:iCs w:val="1"/>
                <w:color w:val="auto"/>
              </w:rPr>
              <w:t>Three Months Ended March 31, 2018 Compared to Three Months Ended March 31, 2017</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3"/>
        </w:trPr>
        <w:tc>
          <w:tcPr>
            <w:tcW w:w="886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2"/>
        </w:trPr>
        <w:tc>
          <w:tcPr>
            <w:tcW w:w="88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27"/>
        </w:trPr>
        <w:tc>
          <w:tcPr>
            <w:tcW w:w="8860" w:type="dxa"/>
            <w:vAlign w:val="bottom"/>
          </w:tcPr>
          <w:p>
            <w:pPr>
              <w:spacing w:after="0"/>
              <w:rPr>
                <w:sz w:val="19"/>
                <w:szCs w:val="19"/>
                <w:color w:val="auto"/>
              </w:rPr>
            </w:pPr>
          </w:p>
        </w:tc>
        <w:tc>
          <w:tcPr>
            <w:tcW w:w="2460" w:type="dxa"/>
            <w:vAlign w:val="bottom"/>
            <w:gridSpan w:val="6"/>
          </w:tcPr>
          <w:p>
            <w:pPr>
              <w:ind w:left="80"/>
              <w:spacing w:after="0"/>
              <w:rPr>
                <w:sz w:val="20"/>
                <w:szCs w:val="20"/>
                <w:color w:val="auto"/>
              </w:rPr>
            </w:pPr>
            <w:r>
              <w:rPr>
                <w:rFonts w:ascii="Arial" w:cs="Arial" w:eastAsia="Arial" w:hAnsi="Arial"/>
                <w:sz w:val="18"/>
                <w:szCs w:val="18"/>
                <w:b w:val="1"/>
                <w:bCs w:val="1"/>
                <w:color w:val="auto"/>
                <w:w w:val="91"/>
              </w:rPr>
              <w:t>(dollar amounts in thousands)</w:t>
            </w:r>
          </w:p>
        </w:tc>
        <w:tc>
          <w:tcPr>
            <w:tcW w:w="100" w:type="dxa"/>
            <w:vAlign w:val="bottom"/>
          </w:tcPr>
          <w:p>
            <w:pPr>
              <w:spacing w:after="0"/>
              <w:rPr>
                <w:sz w:val="19"/>
                <w:szCs w:val="19"/>
                <w:color w:val="auto"/>
              </w:rPr>
            </w:pPr>
          </w:p>
        </w:tc>
      </w:tr>
      <w:tr>
        <w:trPr>
          <w:trHeight w:val="197"/>
        </w:trPr>
        <w:tc>
          <w:tcPr>
            <w:tcW w:w="8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2"/>
              <w:spacing w:after="0"/>
              <w:rPr>
                <w:sz w:val="20"/>
                <w:szCs w:val="20"/>
                <w:color w:val="auto"/>
              </w:rPr>
            </w:pPr>
            <w:r>
              <w:rPr>
                <w:rFonts w:ascii="Arial" w:cs="Arial" w:eastAsia="Arial" w:hAnsi="Arial"/>
                <w:sz w:val="18"/>
                <w:szCs w:val="18"/>
                <w:color w:val="auto"/>
              </w:rPr>
              <w:t>12,614</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4,781</w:t>
            </w:r>
          </w:p>
        </w:tc>
      </w:tr>
      <w:tr>
        <w:trPr>
          <w:trHeight w:val="215"/>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(6,324)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(3,363)</w:t>
            </w:r>
          </w:p>
        </w:tc>
      </w:tr>
      <w:tr>
        <w:trPr>
          <w:trHeight w:val="229"/>
        </w:trPr>
        <w:tc>
          <w:tcPr>
            <w:tcW w:w="88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1020" w:type="dxa"/>
            <w:vAlign w:val="bottom"/>
            <w:gridSpan w:val="2"/>
          </w:tcPr>
          <w:p>
            <w:pPr>
              <w:jc w:val="right"/>
              <w:ind w:right="22"/>
              <w:spacing w:after="0"/>
              <w:rPr>
                <w:sz w:val="20"/>
                <w:szCs w:val="20"/>
                <w:color w:val="auto"/>
              </w:rPr>
            </w:pPr>
            <w:r>
              <w:rPr>
                <w:rFonts w:ascii="Arial" w:cs="Arial" w:eastAsia="Arial" w:hAnsi="Arial"/>
                <w:sz w:val="18"/>
                <w:szCs w:val="18"/>
                <w:color w:val="auto"/>
              </w:rPr>
              <w:t>(12,320)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(17,476)</w:t>
            </w:r>
          </w:p>
        </w:tc>
      </w:tr>
      <w:tr>
        <w:trPr>
          <w:trHeight w:val="222"/>
        </w:trPr>
        <w:tc>
          <w:tcPr>
            <w:tcW w:w="8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decrease in cash and restricted cash</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6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Provided By Operating Activities</w:t>
      </w:r>
    </w:p>
    <w:p>
      <w:pPr>
        <w:spacing w:after="0" w:line="22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Net cash provided by operating activities was $12.6 million and $4.8 million for the three months ended March 31, 2018 and 2017, respectively. The $7.8 million, or 163.8%, increase was principally the result of changes in working capital, including a $3.2 million increase in settlement obligations resulting from a build-up of customer funds attributable to the growth of Priority’s ACH.com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Used In Investing Activities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cash used in investing activities was $6.3 million and $3.4 million for the three months ended March 31, 2018 and 2017, respectively. Cash flows used in investing activities reflects the purchases of property, equipment and software, which increased by $1.5 million, driven primarily by equipment purchases for MX Connect, CPX and additional servers to support the increase in volume and the rollout of new business lines. Additionally, cash flows used in other investing activities increased by $1.4 million from acquisitions of merchant portfolios.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Used In Financing Activities</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Net cash used in financing activities was $12.3 million and $17.5 million for the three months ended March 31, 2018 and 2017, respectively. Cash flows used in financing activities for the three months ended March 31, 2018 was primarily driven by the Class A Common Unit redemptions of $74.1 million, cash distributions to members of $4.0 million and repayments on debt and debt issuance cost of $1.3 million offset by proceeds from the issuance of long-term debt of $67.1 million. Cash flows used in financing activities for the three months ended March 31, 2017 was driven by redemptions of $200.0 million, repayment of long term debt $89.2 million, and debt issuance costs of $4.6 million, offset by the proceeds from the issuance of long term debt of $276.3 million.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0"/>
        </w:trPr>
        <w:tc>
          <w:tcPr>
            <w:tcW w:w="9060" w:type="dxa"/>
            <w:vAlign w:val="bottom"/>
            <w:gridSpan w:val="5"/>
          </w:tcPr>
          <w:p>
            <w:pPr>
              <w:spacing w:after="0"/>
              <w:rPr>
                <w:sz w:val="20"/>
                <w:szCs w:val="20"/>
                <w:color w:val="auto"/>
              </w:rPr>
            </w:pPr>
            <w:r>
              <w:rPr>
                <w:rFonts w:ascii="Arial" w:cs="Arial" w:eastAsia="Arial" w:hAnsi="Arial"/>
                <w:sz w:val="18"/>
                <w:szCs w:val="18"/>
                <w:i w:val="1"/>
                <w:iCs w:val="1"/>
                <w:color w:val="auto"/>
                <w:w w:val="97"/>
              </w:rPr>
              <w:t>Year Ended December 31, 2017 Compared to Year Ended December 31, 2016 and Year Ended December 31, 2015</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3"/>
        </w:trPr>
        <w:tc>
          <w:tcPr>
            <w:tcW w:w="5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19"/>
                <w:szCs w:val="19"/>
                <w:color w:val="auto"/>
              </w:rPr>
            </w:pPr>
          </w:p>
        </w:tc>
      </w:tr>
      <w:tr>
        <w:trPr>
          <w:trHeight w:val="227"/>
        </w:trPr>
        <w:tc>
          <w:tcPr>
            <w:tcW w:w="5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7"/>
          </w:tcPr>
          <w:p>
            <w:pPr>
              <w:jc w:val="right"/>
              <w:ind w:right="530"/>
              <w:spacing w:after="0"/>
              <w:rPr>
                <w:sz w:val="20"/>
                <w:szCs w:val="20"/>
                <w:color w:val="auto"/>
              </w:rPr>
            </w:pPr>
            <w:r>
              <w:rPr>
                <w:rFonts w:ascii="Arial" w:cs="Arial" w:eastAsia="Arial" w:hAnsi="Arial"/>
                <w:sz w:val="18"/>
                <w:szCs w:val="18"/>
                <w:b w:val="1"/>
                <w:bCs w:val="1"/>
                <w:color w:val="auto"/>
              </w:rPr>
              <w:t>(dollar amounts in thousands)</w:t>
            </w:r>
          </w:p>
        </w:tc>
        <w:tc>
          <w:tcPr>
            <w:tcW w:w="100" w:type="dxa"/>
            <w:vAlign w:val="bottom"/>
          </w:tcPr>
          <w:p>
            <w:pPr>
              <w:spacing w:after="0"/>
              <w:rPr>
                <w:sz w:val="19"/>
                <w:szCs w:val="19"/>
                <w:color w:val="auto"/>
              </w:rPr>
            </w:pPr>
          </w:p>
        </w:tc>
      </w:tr>
      <w:tr>
        <w:trPr>
          <w:trHeight w:val="197"/>
        </w:trPr>
        <w:tc>
          <w:tcPr>
            <w:tcW w:w="5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7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2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36,869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22,275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25,308</w:t>
            </w:r>
          </w:p>
        </w:tc>
      </w:tr>
      <w:tr>
        <w:trPr>
          <w:trHeight w:val="215"/>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(31,888)</w:t>
            </w: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(25,375)</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(10,548)</w:t>
            </w: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18,714</w:t>
            </w:r>
          </w:p>
        </w:tc>
      </w:tr>
      <w:tr>
        <w:trPr>
          <w:trHeight w:val="222"/>
        </w:trPr>
        <w:tc>
          <w:tcPr>
            <w:tcW w:w="5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(decrease) in cash and restricted cash</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Provided By Operating Activities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was $36.9 million in 2017, a $14.6 million, or 65.5%, increase from $22.3 million in 2016, which in turn decreased $3.0 million, or 12.0%, from $25.3 million in 2015. The $14.6 million increase from 2016 to 2017 was principally the result of the $9.4 million increase in income from operations as well as changes in working capital. The $3.0 million decrease from 2015 to 2016 was driven mainly by changes in working capital, as decreases in payables and settlement obligations in 2016 outpaced decreases in receivables and settlement assets, more than offsetting the $11.3 million increase in income from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Used In Investing Activities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Net cash used in investing activities was $9.0 million for 2017, $6.4 million for 2016 and $31.9 million for 2015. Cash flows used in investing activities in 2017 and 2016 reflect the purchases of property, plant, equipment and software, which increased by $2.5 million from 2016 to 2017, driven primarily by leasehold improvements related to an increase in office space to support the rollout of new business lines, and additions to merchant portfolios. Cash flows used in investing activities in 2015 reflect primarily the acquisition, net of cash acquired, of ACCPC,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Provided By (Used In) Financing Activities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was $25.4 million in 2017 and $10.5 million in 2016, compared to net cash from financing activities of $18.7 million in 2015. Cash flows used in financing activities in 2017 primarily reflect $203 million in membership unit redemptions and $90.7 million in repayments of the long-term debt, which more than offset new debt proceeds of $276.3 million. Cash flows used in financing activities in 2016 primarily include $10 million in member distributions. Cash flows provided by financing activities in 2015 primarily include debt proceeds of $22.7 million, partially offset by $3.7 million in member distributions.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March 31, 2018, Priority had outstanding long-term debt of $348.5 million (compared to $275.5 million at December 31, 2017), consisting of outstanding debt of $262.1 million under the Senior Secured Credit Facility (net of $2.7 million in current portion of long-term debt) and $86.3 million under the Subordinated Term Loan (including accrued payment-in-kind (“PIK”) interest through March 31, 2018). The Goldman Sachs warrant amended in connection with the 2018 debt upsizing, which had a fair value of $12.2 million as of March 31, 2018, is not included in long-term debt. Long-term debt increased by $73.0 million to $348.5 million as of March 31, 2018 from $275.5 million as of December 31, 2017 due to the January 11, 2018 debt upsizing, the proceeds of which were used to repurchase Class A Common Units, as described above, and the waiver of mandatory prepayment under the Senior Secured Credit Facility, as described below. Long-term debt increased by $186.8 million to $275.5 million as of December 31, 2017 2017 from $88.7 million as of December 31, 2016, due mainly to the January 3, 2017 debt restructuring, the proceeds of which were used to repay previously outstanding debt and repurchase Class A Common Units, as described above. Priority also has a $25 million revolving credit facility with SunTrust Bank, which was undrawn and fully available as of March 31, 2018 and December 31, 2017.</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0" w:name="page171"/>
    <w:bookmarkEnd w:id="170"/>
    <w:p>
      <w:pPr>
        <w:jc w:val="both"/>
        <w:spacing w:after="0" w:line="286" w:lineRule="auto"/>
        <w:rPr>
          <w:sz w:val="20"/>
          <w:szCs w:val="20"/>
          <w:color w:val="auto"/>
        </w:rPr>
      </w:pPr>
      <w:r>
        <w:rPr>
          <w:rFonts w:ascii="Arial" w:cs="Arial" w:eastAsia="Arial" w:hAnsi="Arial"/>
          <w:sz w:val="16"/>
          <w:szCs w:val="16"/>
          <w:color w:val="auto"/>
        </w:rPr>
        <w:t>Outstanding borrowings under the Senior Secured Credit Facility bear interest at the London Interbank Offered Rate (LIBOR) with a floor of 1.0%, plus an applicable margin. The margin stood at 5% as of March 31, 2018 (a reduction from 6% as of December 31, 2017 due to amendments made in connection with the January 2018 debt upsizing), and is secured by a pledge of substantially all of Priority’s assets, all of the capital stock of its subsidiaries, and 65% of the voting stock and all of the non-voting stock of Priority. The Subordinated Term Loan provides for cash and PIK interest components. Cash interest is payable at an annual rate of 5.0% while PIK interest resets on a quarterly basis based on Priority’s Total Net Leverage Ratio, as defined in the agreement, with a floor of 5.0%. The Subordinated Term Loan is secured by a subordinate pledge of substantially all of Priority’s assets. In 2017, the PIK interest added $5.1 million to the principal amount of the Subordinated Term Loan, the outstanding amount of which totaled $85.1 million as of December 31, 2017. The outstanding principal amounts under the Senior Secured Credit Facility and the Subordinated Term Loan mature in January 2023 and July 2023, respectively. See Note 9 to Priority’s audited consolidated financial statements included elsewhere in this proxy statement. The $25 million revolving credit facility expires in January 2022. The PIK interest payable on the Subordinated Term Loan decreased from 6.25% as of December 31, 2017 to 5.5% in January 2018 (which remained the applicable PIK rate as of March 31, 2018) due to Priority’s improved Total Net Leverage Ratio, as defined in the credit agreement.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Senior Secured Credit Facility and the Subordinated Term Loan contain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The financial covenants include requirements to maintain certain leverage and fixed charge coverage ratios.</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March 31, 2018, financial covenants under the Senior Secured Credit Facility required the Total Net Leverage Ratio, as defined in the agreement, not to exceed 7.00:1.00 and a First Lien Net Leverage Ratio, as defined in the agreement, not to exceed 4.25:1.00. The Net Leverage Ratios are determined using the outstanding debt balance and Earnout Adjusted EBITDA. For a reconciliation of Earnout Adjusted EBITDA to net income, see above under “—Certain Non-GAAP Measures”. Priority is required to make quarterly principal payments of $0.7 million under the Senior Secured Credit Facility as well as additional mandatory prepayments based on Excess Cash Flow, as defined in the credit agreement. At March 31, 2018, Priority was obligated to make a mandatory prepayment based on Excess Cash Flow of $5.6 million, but obtained a limited waiver and consent in April 2018, which waived the 2017 mandatory prepayment. See Note 14 to the unaudited interim condensed consolidated financial statements included elsewhere in the proxy statement. The Subordinated Term Loan contains financial covenants similar to the Senior Secured Credit Facility. As of March 31, 2018, Priority was in compliance with its financial covenants.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sets forth Priority’s contractual obligations and commitments for the periods indicated as of December 31, 2017 (without giving effect to the Business Combination and related transactions).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8"/>
                <w:szCs w:val="18"/>
                <w:b w:val="1"/>
                <w:bCs w:val="1"/>
                <w:color w:val="auto"/>
                <w:w w:val="91"/>
              </w:rPr>
              <w:t>Payments Due by Period (in thousands)</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40"/>
              <w:spacing w:after="0" w:line="190" w:lineRule="exact"/>
              <w:rPr>
                <w:sz w:val="20"/>
                <w:szCs w:val="20"/>
                <w:color w:val="auto"/>
              </w:rPr>
            </w:pPr>
            <w:r>
              <w:rPr>
                <w:rFonts w:ascii="Arial" w:cs="Arial" w:eastAsia="Arial" w:hAnsi="Arial"/>
                <w:sz w:val="18"/>
                <w:szCs w:val="18"/>
                <w:b w:val="1"/>
                <w:bCs w:val="1"/>
                <w:color w:val="auto"/>
                <w:w w:val="88"/>
              </w:rPr>
              <w:t>Less than</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0"/>
              <w:spacing w:after="0" w:line="190"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r>
      <w:tr>
        <w:trPr>
          <w:trHeight w:val="23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0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 year</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1 to 3 years</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3 to 5 Years</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5 years</w:t>
            </w:r>
          </w:p>
        </w:tc>
      </w:tr>
      <w:tr>
        <w:trPr>
          <w:trHeight w:val="209"/>
        </w:trPr>
        <w:tc>
          <w:tcPr>
            <w:tcW w:w="5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b w:val="1"/>
                <w:bCs w:val="1"/>
                <w:i w:val="1"/>
                <w:iCs w:val="1"/>
                <w:color w:val="auto"/>
              </w:rPr>
              <w:t>(dollars in thousands)</w:t>
            </w: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and other leases(a)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1,476</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w:t>
            </w:r>
          </w:p>
        </w:tc>
      </w:tr>
      <w:tr>
        <w:trPr>
          <w:trHeight w:val="215"/>
        </w:trPr>
        <w:tc>
          <w:tcPr>
            <w:tcW w:w="5220" w:type="dxa"/>
            <w:vAlign w:val="bottom"/>
            <w:gridSpan w:val="2"/>
          </w:tcPr>
          <w:p>
            <w:pPr>
              <w:spacing w:after="0"/>
              <w:rPr>
                <w:sz w:val="20"/>
                <w:szCs w:val="20"/>
                <w:color w:val="auto"/>
              </w:rPr>
            </w:pPr>
            <w:r>
              <w:rPr>
                <w:rFonts w:ascii="Arial" w:cs="Arial" w:eastAsia="Arial" w:hAnsi="Arial"/>
                <w:sz w:val="18"/>
                <w:szCs w:val="18"/>
                <w:color w:val="auto"/>
              </w:rPr>
              <w:t>Debt(b)</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283,118</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7,582(c)</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267,536</w:t>
            </w:r>
          </w:p>
        </w:tc>
      </w:tr>
      <w:tr>
        <w:trPr>
          <w:trHeight w:val="215"/>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debt(d)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114,138(e)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30,290</w:t>
            </w: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Processing minimums(f)</w:t>
            </w:r>
          </w:p>
        </w:tc>
        <w:tc>
          <w:tcPr>
            <w:tcW w:w="2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13,400</w:t>
            </w: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6,700</w:t>
            </w:r>
          </w:p>
        </w:tc>
        <w:tc>
          <w:tcPr>
            <w:tcW w:w="3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6,700</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420,683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660" w:hanging="424"/>
        <w:spacing w:after="0" w:line="275"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Priority has entered into, or assumed via acquisitions, several operating leases for office space in the states of Georgia, New York, Tennessee, Texas and Florida, as well as equipment leases.</w:t>
      </w:r>
    </w:p>
    <w:p>
      <w:pPr>
        <w:spacing w:after="0" w:line="170" w:lineRule="exact"/>
        <w:rPr>
          <w:rFonts w:ascii="Arial" w:cs="Arial" w:eastAsia="Arial" w:hAnsi="Arial"/>
          <w:sz w:val="18"/>
          <w:szCs w:val="18"/>
          <w:color w:val="auto"/>
        </w:rPr>
      </w:pPr>
    </w:p>
    <w:p>
      <w:pPr>
        <w:jc w:val="both"/>
        <w:ind w:left="660" w:hanging="424"/>
        <w:spacing w:after="0" w:line="285" w:lineRule="auto"/>
        <w:tabs>
          <w:tab w:leader="none" w:pos="6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Reflects contractual principal payments. As a result of the January 2018 debt upsizing, total outstanding long-term debt increased to $351.1 million. Does not include Goldman Sachs warrant amended in connection with the 2017 debt restructuring, which had a fair value of $8.7 million as of December 31, 2017 and is classified as a long-term liability. See “—Liquidity and Capital Resources—Long-term Debt” above.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1" w:name="page172"/>
    <w:bookmarkEnd w:id="171"/>
    <w:p>
      <w:pPr>
        <w:ind w:left="660" w:hanging="424"/>
        <w:spacing w:after="0" w:line="275"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Includes mandatory principal prepayment obligation of $5.6 million. This prepayment obligation was waived in April 2018 and reclassified to long-term debt as of March 31, 2018.</w:t>
      </w:r>
    </w:p>
    <w:p>
      <w:pPr>
        <w:spacing w:after="0" w:line="170" w:lineRule="exact"/>
        <w:rPr>
          <w:rFonts w:ascii="Arial" w:cs="Arial" w:eastAsia="Arial" w:hAnsi="Arial"/>
          <w:sz w:val="18"/>
          <w:szCs w:val="18"/>
          <w:color w:val="auto"/>
        </w:rPr>
      </w:pPr>
    </w:p>
    <w:p>
      <w:pPr>
        <w:jc w:val="both"/>
        <w:ind w:left="660" w:hanging="424"/>
        <w:spacing w:after="0" w:line="269" w:lineRule="auto"/>
        <w:tabs>
          <w:tab w:leader="none" w:pos="6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Reflects minimum interest payable under the Senior Secured Credit Facility and the Subordinated Term Loan. In connection with the January 2018 upsizing and as noted above, the interest payable on all outstanding indebtedness under the Senior Secured Credit Facility was reduced to LIBOR (with a floor of 1.0%) plus 5.0% per annum. Due to historical fluctuations in the LIBOR rate, Priority has assumed the LIBOR floor rate of 1.0% for purposes of calculating interest payable on the Senior Secured Credit Facility. The $25.0 million revolving credit facility, which was undrawn at March 31, 2018, is subject to a 0.50% fee on the unutilized amount of the facility, which is included as interest payable. The Subordinated Term Loan has two components of interest, the cash interest, which is based on a fixed 5.0% margin, and the PIK interest. The PIK interest varies between 5.0% and 6.25% per annum from period to period based on Priority’s leverage ratio calculated pursuant to the credit agreement. Priority has assumed the minimum rate of 5.0% for purposes of calculating the PIK interest payable accrual of $27.4 million over the remaining duration of the Subordinated Term Loan, which is payable on the maturity date of the Subordinated Term Loan.</w:t>
      </w:r>
    </w:p>
    <w:p>
      <w:pPr>
        <w:spacing w:after="0" w:line="179" w:lineRule="exact"/>
        <w:rPr>
          <w:rFonts w:ascii="Arial" w:cs="Arial" w:eastAsia="Arial" w:hAnsi="Arial"/>
          <w:sz w:val="17"/>
          <w:szCs w:val="17"/>
          <w:color w:val="auto"/>
        </w:rPr>
      </w:pPr>
    </w:p>
    <w:p>
      <w:pPr>
        <w:ind w:left="660" w:right="20" w:hanging="424"/>
        <w:spacing w:after="0" w:line="275"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a result of the January 2018 debt upsizing, Priority is committed to pay an additional approximately $18.5 million in interest over the remaining duration of the Senior Secured Credit Facility.</w:t>
      </w:r>
    </w:p>
    <w:p>
      <w:pPr>
        <w:spacing w:after="0" w:line="170" w:lineRule="exact"/>
        <w:rPr>
          <w:rFonts w:ascii="Arial" w:cs="Arial" w:eastAsia="Arial" w:hAnsi="Arial"/>
          <w:sz w:val="18"/>
          <w:szCs w:val="18"/>
          <w:color w:val="auto"/>
        </w:rPr>
      </w:pPr>
    </w:p>
    <w:p>
      <w:pPr>
        <w:ind w:left="660" w:hanging="424"/>
        <w:spacing w:after="0" w:line="275"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Reflects minimum annual spend commitments with third-party processor partners. In the event Priority fails to meet the minimum annual spend commitment, it is required to pay the difference between the minimum and the actual dollar amount spent in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7"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Priority has not entered into any transactions with third parties or unconsolidated entities whereby Priority has financial guarantees, subordinated retained interest, derivative instruments, or other contingent arrangements that expose us to material continuing risks, contingent liabilities or other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principles followed by Priority and the methods of applying these principles are in accordance with GAAP, which often require the judgment of management in the selection and application of certain accounting principles and methods. Priority consider the following accounting policies to be critical to understanding Priority’s audited consolidated financial statements because the application of these policies requires significant judgment on the part of management. The following accounting policies include estimates that require management’s subjective or complex judgments about the effects of matters that are inherently uncertain.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Develop Software for Internal Use</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Internal-use software development costs are capitalized once: (1) the preliminary project stage is completed, (2) management authorizes and commits to funding a specific software project, and (3) 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the years ended December 31, 2017 and 2016, Priority capitalized software development costs of $3.1 million and $3.1 million, respectively. As of December 31, 2017 and 2016, capitalized software development costs, net of accumulated amortization, totaled $6.7 million and $5.1 million, respectively, and was included in property and equipment, net on the consolidated balance sheets. Amortization expense for capitalized computer software costs for the years ended December 31, 2017, 2016 and 2015 was $1.6 million, $1.0 million and $0.8 million, respectively.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i w:val="1"/>
          <w:iCs w:val="1"/>
          <w:color w:val="auto"/>
        </w:rPr>
        <w:t>Goodwill</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Priority tests goodwill for impairment for each of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Priority performed its most recent annual goodwill impairment test as of November 30, 2017 using market data and discounted cash flow analyses. Based on this analysis, it was determined that the fair value exceeded the carrying value of each of its reporting units. Priority has concluded there have been no indicators impairment for the years ended December 31, 2017, 2016 and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prior to business combination) and customer relationships.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Portfolios</w:t>
      </w:r>
      <w:r>
        <w:rPr>
          <w:rFonts w:ascii="Arial" w:cs="Arial" w:eastAsia="Arial" w:hAnsi="Arial"/>
          <w:sz w:val="18"/>
          <w:szCs w:val="18"/>
          <w:color w:val="auto"/>
        </w:rPr>
        <w: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Merchant portfolios represent the value of the acquired merchant customer base at the time of acquisition. Priority amortizes the cost of its acquired merchant portfolios over their estimated useful lives, which range from one year to ten years, using either a straight-line or an accelerated method that most accurately reflects the pattern in which the economic benefits of the respective asset is consumed.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3 years to 25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Priority concluded there were no indications of impairment for the years ended December 31, 2017, 2016 and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Priority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Priority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Observable market based inputs or unobservable inputs that are corroborated by market data.</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3" w:name="page174"/>
    <w:bookmarkEnd w:id="173"/>
    <w:p>
      <w:pPr>
        <w:jc w:val="both"/>
        <w:spacing w:after="0" w:line="272" w:lineRule="auto"/>
        <w:rPr>
          <w:sz w:val="20"/>
          <w:szCs w:val="20"/>
          <w:color w:val="auto"/>
        </w:rPr>
      </w:pPr>
      <w:r>
        <w:rPr>
          <w:rFonts w:ascii="Arial" w:cs="Arial" w:eastAsia="Arial" w:hAnsi="Arial"/>
          <w:sz w:val="17"/>
          <w:szCs w:val="17"/>
          <w:color w:val="auto"/>
        </w:rPr>
        <w:t>The fair values of Priority’s warrant liability and contingent consideration (Preferred A Units Earnout), merchant portfolios, assets and liabilities acquired in mergers and business combinations and the implied fair value of Priority, are primarily based on Level 3 inputs and are generally estimated based upon independent appraisals that include discounted cash flow analyses based on Priority’s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Priority:</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The effective date of ASU 2014-09 is for annual reporting periods beginning after December 15, 2018. Priority has not yet selected a transition method and is currently evaluating the effect that the updated standard will have on Priority’s consolidated financial statements.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2016, the FASB issued ASU 2016-01, Financial Instruments—Overall (Subtopic 825-10): Recognition and Measurement of Financial Assets and Financial Liabilities. This guidance changes how entities account for equity investments that do not result in consolidation and are not 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Priority to adjust the carrying amount for impairment and observable price changes in orderly transactions for the identical or a similar investment of the same issuer. This guidance also changes certain disclosure requirements and other aspects of current US GAAP. ASU 20152016-01 will be effective for Priority for fiscal years beginning after December 15, 2018. Priority are currently evaluating the impact of the adoption of this standard on its consolidated financial statements.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Priority are currently evaluating the impact of Priority’s pending adoption on the consolidated financial statements.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March 2016, the FASB issued ASU 2016-09, Compensation—Stock Compensation (Topic 718): Improvements to Employee Share-Based Payment Accounting. The ASU is intended to simplify various aspects of accounting for share-based compensation arrangements, including the income tax consequences, classification of awards as either equity or liabilities, and classification on the statement of cash flows. For example, the new guidance requires all excess tax benefits and tax deficiencies related to share-based payments to be recognized in income tax expense, and for those excess tax benefits to be recognized regardless of whether it reduces current taxes payable. The ASU also allows an entity-wide accounting policy election to either estimate the number of awards that are expected to vest or account for forfeitures as they occur. For nonpublic entities, ASU 2016-09 will be effective for annual periods beginning after December 15, 2017. Early adoption is permitted, in any interim or annual period, with any adjustments reflected as of the beginning of the fiscal year of adoption. Priority are currently evaluating the impact of the adoption of this guidance on its consolidated financial condition, results of </w:t>
      </w:r>
      <w:r>
        <w:rPr>
          <w:rFonts w:ascii="Arial" w:cs="Arial" w:eastAsia="Arial" w:hAnsi="Arial"/>
          <w:sz w:val="18"/>
          <w:szCs w:val="18"/>
          <w:color w:val="222222"/>
        </w:rPr>
        <w:t>operations and cash flows.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4" w:name="page175"/>
    <w:bookmarkEnd w:id="174"/>
    <w:p>
      <w:pPr>
        <w:jc w:val="both"/>
        <w:spacing w:after="0" w:line="292"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amendments in this update change how companies measure and recognize credit impairment for many financial assets. The new expected credit loss model will require companies to immediately recognize an estimate of credit losses expected to occur over the remaining life of the financial assets (including trade receivables) that are in the scope of the update. The update also made amendments to the current impairment model for held-to-maturity and available-for-sale debt securities and certain guarantees. The guidance will become effective for fiscal years beginning after December 15, 2020. Early adoption is permitted for fiscal years beginning after December 15, 2019. The company is currently evaluating the effect of ASU 2016-13 on its consolidated financial statements.</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The update clarifies how cash receipts and cash payments in certain transactions are presented and classified in the statement of cash flows. The effective date of this update is for fiscal years, and interim periods within those fiscal years, beginning after December 15, 2018, with early adoption permitted. The update requires retrospective application to all periods presented but may be applied prospectively if retrospective application is impracticable. This guidance requires contingent cash payments to be classified as financing activities up to the amount of the initial contingent liability recognized, with any excess payments classified as operating activities. Priority is currently evaluating the impact of the adoption of this guidance on its statement of cash flows. 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Priority on January 1, 2018. Early application of the amendments in this update is allowed under certain circumstances. Priority are currently evaluating the impact of the adoption of this guidance on Priority’s consolidated financial condition, results of operations or cash flows.</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the Company after December 15, 2018. Early application of the amendments in this Update is allowed under certain circumstances. The Company is currently evaluating the impact of the adoption of this guidance on the Company’s consolidated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January 2017, the FASB issued ASU 2017-04, Intangibles – Goodwill and Other (Topic 35): Simplifying the Test for Goodwill Impairment, or ASU 2017-</w:t>
      </w:r>
    </w:p>
    <w:p>
      <w:pPr>
        <w:spacing w:after="0" w:line="46" w:lineRule="exact"/>
        <w:rPr>
          <w:sz w:val="20"/>
          <w:szCs w:val="20"/>
          <w:color w:val="auto"/>
        </w:rPr>
      </w:pPr>
    </w:p>
    <w:p>
      <w:pPr>
        <w:jc w:val="both"/>
        <w:ind w:firstLine="8"/>
        <w:spacing w:after="0" w:line="252" w:lineRule="auto"/>
        <w:tabs>
          <w:tab w:leader="none" w:pos="25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ASU 2017-04 simplifies the subsequent measurement of goodwill by eliminating “Step 2” from the goodwill impairment test. ASU 2017-04 is effective for nonpublic entities annual or interim goodwill impairment tests in fiscal years beginning after December 15, 2022. Early adoption is permitted for annual goodwill impairment tests performed on testing dates after January 1, 2017. Priority do not expect the adoption of this guidance to have a material impact on its consolidated financial statements.</w:t>
      </w:r>
    </w:p>
    <w:p>
      <w:pPr>
        <w:spacing w:after="0" w:line="19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5" w:name="page176"/>
    <w:bookmarkEnd w:id="175"/>
    <w:p>
      <w:pPr>
        <w:jc w:val="both"/>
        <w:ind w:left="980" w:hanging="5"/>
        <w:spacing w:after="0" w:line="278" w:lineRule="auto"/>
        <w:tabs>
          <w:tab w:leader="none" w:pos="143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169" w:lineRule="exact"/>
        <w:rPr>
          <w:rFonts w:ascii="Arial" w:cs="Arial" w:eastAsia="Arial" w:hAnsi="Arial"/>
          <w:sz w:val="17"/>
          <w:szCs w:val="17"/>
          <w:color w:val="auto"/>
        </w:rPr>
      </w:pPr>
    </w:p>
    <w:p>
      <w:pPr>
        <w:ind w:left="980" w:right="20" w:hanging="5"/>
        <w:spacing w:after="0" w:line="275" w:lineRule="auto"/>
        <w:tabs>
          <w:tab w:leader="none" w:pos="14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spacing w:after="0" w:line="170" w:lineRule="exact"/>
        <w:rPr>
          <w:rFonts w:ascii="Arial" w:cs="Arial" w:eastAsia="Arial" w:hAnsi="Arial"/>
          <w:sz w:val="18"/>
          <w:szCs w:val="18"/>
          <w:color w:val="auto"/>
        </w:rPr>
      </w:pPr>
    </w:p>
    <w:p>
      <w:pPr>
        <w:ind w:left="980" w:right="20" w:hanging="5"/>
        <w:spacing w:after="0" w:line="275" w:lineRule="auto"/>
        <w:tabs>
          <w:tab w:leader="none" w:pos="149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ASU is effective for Priority on January 1, 2018. Early adoption is permitted, Priority does not expect the adoption of this ASU to have a material impact on Priority’s financial position, results of operations or cash flows.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Priority will assess the impact of the ASU while assessing the impact from implementing ASC 606 and 842 to the consolidated financial statements,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Priority’s Senior Secured Credit Facility bears interest at a rate based on LIBOR plus a fixed margin. As of December 31, 2017, Priority had $198 million in outstanding borrowings under Priority’s Senior Secured Credit Facility. A hypothetical 1% increase in 2017 in the applicable LIBOR rate on Priority’s outstanding indebtedness under the Senior Secured Credit Facility would have increased cash interest expense on Priority’s indebtedness by approximately $1.8 million per annum, while a hypothetical 1% decrease in the applicable LIBOR rate would have decreased cash interest expense on Priority’s indebtedness by approximately $0.4 million per annum. The discrepancy between the hypothetical increase and decrease is attributable to the 1.0% LIBOR floor under the Senior Secured Credit Facility. The applicable LIBOR rate stood at 1.35% at December 31, 2017.</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March 31, 2018, Priority had $264.8 million in outstanding borrowings under Priority’s Senior Secured Credit Facility. A hypothetical 1% increase in the applicable LIBOR rate for the three months ended March 31, 2018 would have increased cash interest expense on Priority’s indebtedness by $0.6 million for the quarter, while a hypothetical 1% decrease in the applicable LIBOR rate would have decreased cash interest expense on Priority’s indebtedness by approximately $0.4 million for the quarter. The applicable LIBOR rate stood at 1.65% at March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Priority does not currently hedge against interest rate risk.</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18"/>
          <w:szCs w:val="18"/>
          <w:b w:val="1"/>
          <w:bCs w:val="1"/>
          <w:color w:val="auto"/>
        </w:rPr>
        <w:t>M I ACQUISITIONS’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was formed on April 23, 2015 for the purpose of entering into a merger, share exchange, asset acquisition, stock purchase, recapitalization, reorganization or other similar business combination, with one or more target businesses. Our efforts to identify a prospective target business are not limited to any particular industry or geographic region, although we initially focused our search on target businesses operating in the technology, media and telecommunications industries.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 I Acquisitions’ Amended and Restated Certificate of Incorporation also provides that its corporate existence will cease and it will liquidate the trust account (described below) and distribute the funds included therein to the holders of common stock sold in our initial public offering if it does not consummate a business combination by [__________],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Proceeds Held in Trust</w:t>
      </w:r>
    </w:p>
    <w:p>
      <w:pPr>
        <w:spacing w:after="0" w:line="227"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On September 19, 2016, we consummated our initial public offering of 5,000,000 units. Each Unit consists of one share of common stock, and one warrant to purchase one share of common stock at an exercise price of $11.50 per share. The Units were sold at an offering price of $10.00 per Unit, generating gross proceeds of $50,000,000. The Company granted the underwriters a 45-day option to purchase up to 750,000 additional Units to cover over-allotments, if any.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simultaneously with the consummation of the IPO, we consummated the private placement of 402,500 units at a price of $10.00 per private unit, generating total proceeds of $4,025,000. The private units are identical to the units sold in the initial public offering except that the warrants underlying the private units (i) will be exercisable on a cashless basis at the holder’s option and (ii) will not be redeemable by M I Acquisitions, in either case as long as they are held by the initial purchasers or any of their permitted transferees. The holders of private units agreed to certain restrictions on the private units, as described in the initial public offering registration statement. Additionally, the holders agreed not to transfer, assign or sell any of the private units or underlying securities (except in limited circumstances) until the completion of our initial business combination. The holders were granted certain demand and piggyback registration rights in connection with the Private Units. The Private Units were issued pursuant to Section 4(a)(2) of the Securities Act of 1933, as amended, as the transactions did not involve a public offering.</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 2018, a total of $[·] was in the trust account established for the benefit of our Public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Activities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26, 2018, M I Acquisitions and the Sellers entered into the Purchase Agreement, which was amended and restated on March 26, 2018 and April 17, 2018, pursuant to which M I Acquisitions will acquire all of the outstanding equity interests of Priority. Upon the consummation of the Business Combination, Priority will become a wholly-owned subsidiary of M I Acquisitions. In the event that the Business Combination is not consummated by [_________], 2018, M I Acquisitions’ corporate existence will cease and M I Acquisitions will distribute the proceeds held in the trust account to its Public Stockholders. See “The Purchase Agreement” for more information.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Redemption Rights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M I Acquisitions’ Amended and Restated Certificate of Incorporation, M I Acquisitions stockholders (except the Initial Stockholders and the officers and directors of M I Acquisitions) will be entitled to redeem their M I Acquisitions common stock for a pro rata share of the trust account (currently anticipated to be no less than approximately $[·] per common share for stockholders) net of taxes payable.</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Purchase Agreement, the Business Combination is conditioned upon, among other things, there being a minimum of $20 million of cash in our trust account after giving effect to the redemption of M I Acquisitions common stock that holders of M I Acquisitions common stock validly elected to redeem in connection with the Business Combination. Therefore, unless these conditions are waived by M I Acquisitions and Priority, the Purchase Agreement could terminate and the proposed Business Combination may not be consummated.</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Initial Stockholders do not have redemption rights with respect to any common stock owned by them, directly or indirectly (nor will they seek appraisal rights with respect to such common stock if appraisal rights would be available to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Redemption and Voting Rights Upon Consummation of the Business Combination</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 I Acquisitions’ Amended and Restated Certificate of Incorporation provides that any public stockholder that has redemption rights, together with any affiliate of his or any other person with whom he is acting in concert or as a “group” (as defined under Section 13 of Exchange Act), will be restricted from seeking redemption rights with respect to an aggregate of more than 20% of the common stock sold in the IPO (but only with respect to the amount over 20% of the common stock sold in the IPO). A group will be deemed to exist if (i) persons file or would be required to file a Schedule 13D or 13G indicating the presence of a group, or (ii) persons acknowledge to us, or otherwise make it known, that they are acting, or intend to act, as a group. We believe this restriction will discourage stockholders from accumulating large blocks of common stock in an attempt by such holders to use their redemption right as a means to force us or our management to purchase their common stock at a significant premium to the then current market price or on other undesirable terms. Absent this provision, a public stockholder holding more than 20% of the common stock sold in the IPO could seek redemption, regardless of the merits of the transaction, if such holder’s shares of common stock are not purchased by us or our management at a premium to the then current market price or on other undesirable terms. By limiting our stockholders’ ability to cause us to redeem the common stock sold in the IPO per stockholder or group, we believe we will limit the ability of a small group of stockholders to unreasonably attempt to block a transaction which is favored by our other Public Stockholders. However, this limitation also makes it easier for us to complete a business combination which is opposed by a significant number of Public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Automatic Dissolution and Subsequent Liquidation of Trust Account if No Business Combination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If we do not complete a business combination by [_____], 2018, we will (i) cease all operations except for the purpose of winding up, (ii) as promptly as</w:t>
      </w:r>
    </w:p>
    <w:p>
      <w:pPr>
        <w:spacing w:after="0" w:line="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extended the time to complete an initial business combination to April 19, 2018 by having deposited $132,753 into our trust account prior to such date, further extended the time to May 19, 2018 by having deposited an additional $132,753 into our trust account, and extended the time to complete a business combination a third time by having deposited an additional $132,753 into our trust account. The insiders received for the first deposit a non-interest bearing, unsecured promissory note equal to the amount of any such deposit that will not be repaid in the event that we are unable to close a business combination unless there are funds available outside the trust account to do so. Priority received for the second and third deposits a non-interest bearing, unsecured promissory note equal to the amount deposited that will not be repaid in the event that we are unable to close a business combination unless there are funds available outside the trust account to do so.</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On June 15, 2018, M I Acquisitions further extended the time to complete a business combination to [________], 2018, pursuant to a vote of its stockholders.</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organizational documents originally provided that the extension would take place no later than June 19, 2018. No additional consideration was paid for the extension to [________], 2018.</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78" w:name="page179"/>
    <w:bookmarkEnd w:id="178"/>
    <w:p>
      <w:pPr>
        <w:jc w:val="both"/>
        <w:ind w:right="20"/>
        <w:spacing w:after="0" w:line="275" w:lineRule="auto"/>
        <w:rPr>
          <w:sz w:val="20"/>
          <w:szCs w:val="20"/>
          <w:color w:val="auto"/>
        </w:rPr>
      </w:pPr>
      <w:r>
        <w:rPr>
          <w:rFonts w:ascii="Arial" w:cs="Arial" w:eastAsia="Arial" w:hAnsi="Arial"/>
          <w:sz w:val="18"/>
          <w:szCs w:val="18"/>
          <w:color w:val="auto"/>
        </w:rPr>
        <w:t>Upon liquidation, the warrants will expire and holders of warrants will receive nothing upon a liquidation with respect to such warrants, and the warrants will be worthless.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18th or 21st month from the closing of the IPO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special purpose acquisition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75"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We will seek to have all third parties (including any vendors or other entities we engage after the IPO) and any prospective target businesses enter into valid and enforceable agreements with us waiving any right, title, interest or claim of any kind they may have in or to any monies held in the trust account.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9" w:name="page180"/>
    <w:bookmarkEnd w:id="179"/>
    <w:p>
      <w:pPr>
        <w:jc w:val="both"/>
        <w:spacing w:after="0" w:line="266"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third-party that refused to execute a waiver would be the engagement of a third-party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 per public share, except as to any claims by a third-party who executed a valid and enforceable agreement with us waiving any right, title, interest or claim of any kind they may have in or to any monies held in the trust account and except as to any claims under our indemnity of the underwriters of the IPO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 obligations. The proceeds deposited in the trust account could, however, become subject to claims of our creditors that are in preference to the claims of Public Stockholders.</w:t>
      </w:r>
    </w:p>
    <w:p>
      <w:pPr>
        <w:spacing w:after="0" w:line="16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Facilities</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maintain our principal executive offices at 40 Wall Street, 58th Floor, New York, NY 10005. The cost for this space is included in a $10,000 per-month fee (“Administration Fee”) that we pay to Magna Management for office space, utilities and secretarial services pursuant to that Administrative Services Agreement between us and Magna Management (“Magna Administration Agreement”). The Magna Administration Agreement provides that commencing on the date that our securities were first listed on the Nasdaq Capital Market and until we consummate a “business combination,” such office space, as well as utilities and secretarial services, will be made available to us as may be required from time to time. The Business Combination will constitute a business combination for such purposes. We believe that the Administration Fee charged by Magna Management is at least as favorable as we could have obtained from an unaffiliated person. We consider our current office space, combined with the other office space otherwise available to our executive officers, adequate for our current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2017, we had no employees. We have three executive officers. These individuals are not employed by us and are not obligated to devote any specific number of hours to our matters and intend to devote only as much time as they deem necessary to our affairs. We do not intend to have any employees prior to the consummation of the Business Combination.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 OF M I ACQUISITIONS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our Financial Statements and footnotes thereto contained in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are not be limited to any particular industry or geographic region, although we initially focused our search on target businesses operating in the technology, media and telecommunications industries.</w:t>
      </w:r>
    </w:p>
    <w:p>
      <w:pPr>
        <w:spacing w:after="0" w:line="185"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On September 19, 2016, we consummated our initial public offering of 5,000,000 units. Each Unit consists of one share of common stock, and one warrant to purchase one share of common stock at an exercise price of $11.50 per share. The Units were sold at an offering price of $10.00 per Unit, generating gross proceeds of $50,000,000. The Company granted the underwriters a 45-day option to purchase up to 750,000 additional Units to cover over-allotments, if any.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simultaneously with the consummation of the IPO, we consummated the private placement of 402,500 units at a price of $10.00 per private unit, generating total proceeds of $4,025,000. The private units are identical to the units sold in the initial public offering except that the warrants underlying the private units (i) will be exercisable on a cashless basis at the holder’s option and (ii) will not be redeemable by M I Acquisitions, in either case as long as they are held by the initial purchasers or any of their permitted transferees. The holders of private units agreed to certain restrictions on the private units, as described in the initial public offering registration statement. Additionally, the holders agreed not to transfer, assign or sell any of the private units or underlying securities (except in limited circumstances) until the completion of our initial business combination. The holders were granted certain demand and piggyback registration rights in connection with the Private Units. The Private Units were issued pursuant to Section 4(a)(2) of the Securities Act of 1933, as amended, as the transactions did not involve a public offering.</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May 11, 2018, a total of $55,585,400.56 was held in the trust account established for the benefit of the Company’s public shareholders.</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Our management has broad discretion with respect to the specific application of the net proceeds of the initial public offering and the private placement, although substantially all of the net proceeds are intended to be applied generally towards consummating a business combination successfully.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entire activity from inception up to September 19, 2016 was related to our formation, the IPO and general and administrative activities. Since the IPO, our activity has been limited to general and administrative activities and the evaluation of business combination candidates, and we will not be generating any operating revenues until the closing and completion of our initial business combination. We expect to generate small amounts of non-operating income in the form of interest income on cash and cash equivalents. Interest income is not expected to be significant in view of current low interest rates on risk-free investments (treasury securities). We expect to incur increased expenses as a result of being a public company (for legal, financial reporting, accounting and auditing compliance), as well as for due diligence expenses.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2" w:name="page183"/>
    <w:bookmarkEnd w:id="182"/>
    <w:p>
      <w:pPr>
        <w:jc w:val="both"/>
        <w:spacing w:after="0" w:line="254" w:lineRule="auto"/>
        <w:rPr>
          <w:sz w:val="20"/>
          <w:szCs w:val="20"/>
          <w:color w:val="auto"/>
        </w:rPr>
      </w:pPr>
      <w:r>
        <w:rPr>
          <w:rFonts w:ascii="Arial" w:cs="Arial" w:eastAsia="Arial" w:hAnsi="Arial"/>
          <w:sz w:val="18"/>
          <w:szCs w:val="18"/>
          <w:color w:val="auto"/>
        </w:rPr>
        <w:t>For the three months ended March 31, 2018, we had a net loss of $146,750. During the three months ended March 31, 2018, we incurred $291,228 of general and administrative expenses and $30,000 of administrative fees paid to a related party. For the quarter ended March 31, 2018, these expenses were partially offset by other income totaling $174,478, which was comprised of interest income. For the three months ended March 31, 2017, we had a net loss of $188,845. During the three months ended March 31, 2017, we incurred $215,466 of general and administrative expenses and $30,000 of administrative fees paid to a related party. For the quarter ended March 31, 2017, these expenses were partially offset by other income totaling $56,621, which was comprised of interest income.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2017, we had a net loss of $124,854. During the year ended December 31, 2017, we incurred $831,721of general and administrative expenses and $120,000 of administrative fees paid to a related party. For the year ended December 31, 2017, these expenses were offset by other income totaling $826,867, which was comprised of interest income of $399,166 and settlement income of $427,701, which we received from an entity that decided that it no longer wished to engage in a transaction with us. The settlement income received was approximately the amount of the expenses we incurred pursuing that transaction.</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For the year ended December 31, 2016, we had a net loss of $107,995. During the year ended December 31, 2016, we incurred $137,529 of general and administrative expenses and $35,667 of administrative fees paid to a related party. These expenses for the year ended December 31, 2016 were offset by $27,500 for the extinguishment of debt recorded by the Company on the amendment of a note payable and $37,701 of interest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had cash outside our trust account of $39,114.</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liquidity needs have been satisfied to date through receipt of $25,000 from the sale of the insider shares, loans and advances from insiders and a related party and an unrelated party in an aggregate amount of $318,692 that were repaid at the closing of the IPO, and the proceeds from the IPO and Private Placement. In addition, we received $427,701 from a company with which we were negotiating a business combination after it decided that it no longer wished to engage in a transaction with us. The amount received was approximately the amount of the expenses we incurred in pursuing that transaction. During the three months ended Mach 31, 2018, we withdrew interest income totaling $5,260 to be utilized for payment of tax obligations.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intend to use substantially all of the net proceeds of the IPO, including the funds held in the trust account, in connection with our initial business combination and to pay our expenses relating thereto, including a deferred underwriting commission payable to Chardan Capital Markets, LLC in an amount equal to $1,062,022.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anticipate that the approximately $39,000 outside of our trust account will be insufficient to allow us to operate until June 19, 2018, or until we complete the Business Combination, if our stockholders authorize an extension of the deadline for us to do so. We may need to raise additional capital through loans or additional investments from our shareholders, officers, directors, or third parties to allow us to operate until June 19, 2018, or until we complete the Business Combination, if our stockholders authorize an extension of the deadline for us to do so. None of the shareholders, officers or directors are under any obligation to advance funds to, or to invest in, our company. Accordingly, we may not be able to obtain additional financing. If we are unable to raise additional capital, we may be required to take additional measures to conserve liquidity, which could include, but not necessarily be limited to, curtailing operations, suspending the pursuit of our business plan, and reducing overhead expenses. We cannot provide any assurance that new financing will be available to us on commercially acceptable terms, if at all. These matters, among others, raise substantial doubt about the Company’s ability to continue as a going concern.</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estimates of the costs of undertaking due diligence and negotiating our initial business combination are less than the actual amount necessary to do so, or the amount of interest available to us from the trust account for the payment of tax obligations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March 31, 2018.</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3" w:name="page184"/>
    <w:bookmarkEnd w:id="183"/>
    <w:p>
      <w:pPr>
        <w:ind w:left="1320"/>
        <w:spacing w:after="0"/>
        <w:rPr>
          <w:sz w:val="20"/>
          <w:szCs w:val="20"/>
          <w:color w:val="auto"/>
        </w:rPr>
      </w:pPr>
      <w:r>
        <w:rPr>
          <w:rFonts w:ascii="Arial" w:cs="Arial" w:eastAsia="Arial" w:hAnsi="Arial"/>
          <w:sz w:val="18"/>
          <w:szCs w:val="18"/>
          <w:b w:val="1"/>
          <w:bCs w:val="1"/>
          <w:color w:val="auto"/>
        </w:rPr>
        <w:t>DIRECTORS, EXECUTIVE OFFICERS, EXECUTIVE COMPENSATION AND CORPORATE GOVERNANCE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Directors and Executive Officers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current directors and executive officers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Name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Age</w:t>
            </w:r>
          </w:p>
        </w:tc>
        <w:tc>
          <w:tcPr>
            <w:tcW w:w="7180" w:type="dxa"/>
            <w:vAlign w:val="bottom"/>
          </w:tcPr>
          <w:p>
            <w:pPr>
              <w:spacing w:after="0"/>
              <w:rPr>
                <w:sz w:val="20"/>
                <w:szCs w:val="20"/>
                <w:color w:val="auto"/>
              </w:rPr>
            </w:pPr>
            <w:r>
              <w:rPr>
                <w:rFonts w:ascii="Arial" w:cs="Arial" w:eastAsia="Arial" w:hAnsi="Arial"/>
                <w:sz w:val="18"/>
                <w:szCs w:val="18"/>
                <w:color w:val="auto"/>
              </w:rPr>
              <w:t>Position</w:t>
            </w:r>
          </w:p>
        </w:tc>
      </w:tr>
      <w:tr>
        <w:trPr>
          <w:trHeight w:val="194"/>
        </w:trPr>
        <w:tc>
          <w:tcPr>
            <w:tcW w:w="2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Sason</w:t>
            </w:r>
          </w:p>
        </w:tc>
        <w:tc>
          <w:tcPr>
            <w:tcW w:w="1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6"/>
                <w:szCs w:val="16"/>
                <w:color w:val="auto"/>
              </w:rPr>
            </w:pPr>
          </w:p>
        </w:tc>
        <w:tc>
          <w:tcPr>
            <w:tcW w:w="7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5"/>
        </w:trPr>
        <w:tc>
          <w:tcPr>
            <w:tcW w:w="3000" w:type="dxa"/>
            <w:vAlign w:val="bottom"/>
            <w:gridSpan w:val="2"/>
          </w:tcPr>
          <w:p>
            <w:pPr>
              <w:spacing w:after="0"/>
              <w:rPr>
                <w:sz w:val="20"/>
                <w:szCs w:val="20"/>
                <w:color w:val="auto"/>
              </w:rPr>
            </w:pPr>
            <w:r>
              <w:rPr>
                <w:rFonts w:ascii="Arial" w:cs="Arial" w:eastAsia="Arial" w:hAnsi="Arial"/>
                <w:sz w:val="18"/>
                <w:szCs w:val="18"/>
                <w:color w:val="auto"/>
              </w:rPr>
              <w:t>Marc Manuel</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Chief Financial Officer and Director</w:t>
            </w:r>
          </w:p>
        </w:tc>
      </w:tr>
      <w:tr>
        <w:trPr>
          <w:trHeight w:val="215"/>
        </w:trPr>
        <w:tc>
          <w:tcPr>
            <w:tcW w:w="3000" w:type="dxa"/>
            <w:vAlign w:val="bottom"/>
            <w:gridSpan w:val="2"/>
          </w:tcPr>
          <w:p>
            <w:pPr>
              <w:spacing w:after="0"/>
              <w:rPr>
                <w:sz w:val="20"/>
                <w:szCs w:val="20"/>
                <w:color w:val="auto"/>
              </w:rPr>
            </w:pPr>
            <w:r>
              <w:rPr>
                <w:rFonts w:ascii="Arial" w:cs="Arial" w:eastAsia="Arial" w:hAnsi="Arial"/>
                <w:sz w:val="18"/>
                <w:szCs w:val="18"/>
                <w:color w:val="auto"/>
              </w:rPr>
              <w:t>Russell Rieger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Vice President of Strategy</w:t>
            </w:r>
          </w:p>
        </w:tc>
      </w:tr>
      <w:tr>
        <w:trPr>
          <w:trHeight w:val="215"/>
        </w:trPr>
        <w:tc>
          <w:tcPr>
            <w:tcW w:w="3000" w:type="dxa"/>
            <w:vAlign w:val="bottom"/>
            <w:gridSpan w:val="2"/>
          </w:tcPr>
          <w:p>
            <w:pPr>
              <w:spacing w:after="0"/>
              <w:rPr>
                <w:sz w:val="20"/>
                <w:szCs w:val="20"/>
                <w:color w:val="auto"/>
              </w:rPr>
            </w:pPr>
            <w:r>
              <w:rPr>
                <w:rFonts w:ascii="Arial" w:cs="Arial" w:eastAsia="Arial" w:hAnsi="Arial"/>
                <w:sz w:val="18"/>
                <w:szCs w:val="18"/>
                <w:color w:val="auto"/>
              </w:rPr>
              <w:t>Donald S. Ienner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5"/>
        </w:trPr>
        <w:tc>
          <w:tcPr>
            <w:tcW w:w="3000" w:type="dxa"/>
            <w:vAlign w:val="bottom"/>
            <w:gridSpan w:val="2"/>
          </w:tcPr>
          <w:p>
            <w:pPr>
              <w:spacing w:after="0"/>
              <w:rPr>
                <w:sz w:val="20"/>
                <w:szCs w:val="20"/>
                <w:color w:val="auto"/>
              </w:rPr>
            </w:pPr>
            <w:r>
              <w:rPr>
                <w:rFonts w:ascii="Arial" w:cs="Arial" w:eastAsia="Arial" w:hAnsi="Arial"/>
                <w:sz w:val="18"/>
                <w:szCs w:val="18"/>
                <w:color w:val="auto"/>
              </w:rPr>
              <w:t>David Schulhof</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Samuel S. Holdsworth</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Joshua Sason </w:t>
      </w:r>
      <w:r>
        <w:rPr>
          <w:rFonts w:ascii="Arial" w:cs="Arial" w:eastAsia="Arial" w:hAnsi="Arial"/>
          <w:sz w:val="16"/>
          <w:szCs w:val="16"/>
          <w:color w:val="auto"/>
        </w:rPr>
        <w:t>has served as our Chief Executive Officer and a Director since our inception. Mr. Sason is the founder &amp; Chief Executive Officer of Magna</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 global investment firm which makes direct investments across the worldwide public and private equity markets and the entertainment industry. In the six years since launching the firm, Mr. Sason has grown Magna Management into a leading investor in its market segment, investing over $200M across three divisions with holdings on six continents and nine distinct lines of business. Mr. Sason has served as Chairman of the New York construction company Sason Builders, LLC since June 2014 and Chairman of the boutique customer experience firm, Mainz, since November 2013. In addition, Mr. Sason has been the Chief Executive Officer of Magna Entertainment, LLC since 2013. Magna Entertainment has produced four feature films, including “Bleed for This.” We believe that Mr. Sason’s experience as CEO and founder of Magna Management, as Chairman of Mainz and as Chairman of Sason Builders make him well qualified to serve as our Chief Executive Officer and a member of our board of directors.</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Marc Manuel </w:t>
      </w:r>
      <w:r>
        <w:rPr>
          <w:rFonts w:ascii="Arial" w:cs="Arial" w:eastAsia="Arial" w:hAnsi="Arial"/>
          <w:sz w:val="17"/>
          <w:szCs w:val="17"/>
          <w:color w:val="auto"/>
        </w:rPr>
        <w:t>has served as our Chief Financial Officer and Director since July 12, 2016. Mr. Manuel served as a Managing Director for Magna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2012 until 2017. During his time with Magna Management, Mr. Manuel was responsible for helping to build out the Magna Management’s Equities division, structuring the Equities division’s investments both as lead investor in syndicated transactions and as a sole investor. Prior to joining Magna Management,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Russell Rieger </w:t>
      </w:r>
      <w:r>
        <w:rPr>
          <w:rFonts w:ascii="Arial" w:cs="Arial" w:eastAsia="Arial" w:hAnsi="Arial"/>
          <w:sz w:val="17"/>
          <w:szCs w:val="17"/>
          <w:color w:val="auto"/>
        </w:rPr>
        <w:t>has been our Vice President of Strategy since July 25, 2016. Mr. Rieger has been Vice President of Magna Entertainment, LLC since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2014. From 1997 to 2002, he served as General Manager and Executive Vice President of Creative for Maverick Records (of which Madonna was one of the founders), building the label into a freestanding record company with over 100 employees and working with successful artists including the Prodigy, Alanis Morissette, Muse, and the Deftones, as well as was executive producing movie soundtracks, including The Matrix. In 2003 he became principal founder and partner at Pipeline LLC, an entertainment branding and marketing company based in Los Angeles where he worked until 2009. Mr. Rieger moved to NYC in 2010 and founded his own consulting firm, working with startup companies, private equity and hedge funds focusing on the entertainment and media industries, where he worked until April 2014. Prior to working at Maverick and Pipeline, Mr. Rieger was the General Manager of London Records, from 1992 to 1997, where he helped to launch the record label in the United States and worked with several gold and platinum artists such as Portishead, Salt n’ Pepa, Meat Puppets and Paul Weller. He began his career, in 1982 as a co-manager for Modern English and shortly after, co-founded a management company that represented the Replacements, the Del Fuegos and Cyndi Lauper among others. Mr. Rieger is a graduate of the State University of New York at Albany where he received a BA in both Political Science and Philosophy.</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Donald S. Ienner </w:t>
      </w:r>
      <w:r>
        <w:rPr>
          <w:rFonts w:ascii="Arial" w:cs="Arial" w:eastAsia="Arial" w:hAnsi="Arial"/>
          <w:sz w:val="18"/>
          <w:szCs w:val="18"/>
          <w:color w:val="auto"/>
        </w:rPr>
        <w:t>has been our director since February 1, 2016. Mr. Ienner has been the managing member of DSI-1008, LLC, a consulting firm for the music</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since October 2011. From 2007 to October 2011, he served as a consultant to the music industry. From 1989 to 2006, he served in various capacities with Columbia Records/Sony Music, most recently as Chairman and CEO of Sony Music Label Group U.S. Mr. Ienner has worked in the music industry since 1969 and held various positions with Cam-USA, Millennium Records and Arista Records prior to joining Columbia Records/Sony Music in 1989. Mr. Ienner has previously been a nominating committee member for the Rock and Roll Hall of Fame, a board member of the Recording Industry Association of America, and a board member of Gibson Guitars.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4" w:name="page185"/>
    <w:bookmarkEnd w:id="184"/>
    <w:p>
      <w:pPr>
        <w:jc w:val="both"/>
        <w:spacing w:after="0" w:line="270" w:lineRule="auto"/>
        <w:rPr>
          <w:sz w:val="20"/>
          <w:szCs w:val="20"/>
          <w:color w:val="auto"/>
        </w:rPr>
      </w:pPr>
      <w:r>
        <w:rPr>
          <w:rFonts w:ascii="Arial" w:cs="Arial" w:eastAsia="Arial" w:hAnsi="Arial"/>
          <w:sz w:val="17"/>
          <w:szCs w:val="17"/>
          <w:i w:val="1"/>
          <w:iCs w:val="1"/>
          <w:color w:val="auto"/>
        </w:rPr>
        <w:t xml:space="preserve">David Schulhof </w:t>
      </w:r>
      <w:r>
        <w:rPr>
          <w:rFonts w:ascii="Arial" w:cs="Arial" w:eastAsia="Arial" w:hAnsi="Arial"/>
          <w:sz w:val="17"/>
          <w:szCs w:val="17"/>
          <w:color w:val="auto"/>
        </w:rPr>
        <w:t>has been our director since December 16, 2015. Mr. Schulhof has served as the President of IM Global Music since December 2014.</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build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Samuel S. Holdsworth </w:t>
      </w:r>
      <w:r>
        <w:rPr>
          <w:rFonts w:ascii="Arial" w:cs="Arial" w:eastAsia="Arial" w:hAnsi="Arial"/>
          <w:sz w:val="17"/>
          <w:szCs w:val="17"/>
          <w:color w:val="auto"/>
        </w:rPr>
        <w:t>has been our director since December 16, 2015. Mr. Holdsworth is a Managing Director of Sword, Rowe &amp; Co., a firm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and advisory services for media and entertainment businesses. Prior thereto, from January 2012 until December 2013, Mr. Holdsworth provided consulting 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Committees</w:t>
      </w:r>
    </w:p>
    <w:p>
      <w:pPr>
        <w:spacing w:after="0" w:line="227"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board of directors has a standing audit and compensation committee. The independent directors oversee director nominations. Each audit committee and compensation committee has a charter, which was filed with the SEC as exhibits to the Registration Statement on Form S-1 on July 26,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two meetings during 2017.</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Audit Committee are Samuel S. Holdsworth, Chair, David Schulhof and Donald S. Ienner. The Board has determined that Samuel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Holdsworth is an audit committee financial expert, as defined in the Exchange Act.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i w:val="1"/>
          <w:iCs w:val="1"/>
          <w:color w:val="auto"/>
        </w:rPr>
        <w:t>Compensation Committee</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held one meeting during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the Compensation Committee are David Schulhof, Chair, Samuel S. Holdsworth and Donald S. Ienner.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Directors Overseeing Director Nominations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independent directors of the Company assist the Board in overseeing various Board composition, and to the extent they deem necessary, perform the following:</w:t>
      </w:r>
    </w:p>
    <w:p>
      <w:pPr>
        <w:spacing w:after="0" w:line="171" w:lineRule="exact"/>
        <w:rPr>
          <w:sz w:val="20"/>
          <w:szCs w:val="20"/>
          <w:color w:val="auto"/>
        </w:rPr>
      </w:pPr>
    </w:p>
    <w:p>
      <w:pPr>
        <w:ind w:left="660" w:hanging="330"/>
        <w:spacing w:after="0" w:line="275" w:lineRule="auto"/>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Make recommendations to the Board regarding the size and composition of the Board, establish procedures for the nomination process and screen and recommend candidates for election to the Board.</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Recommend for approval by the Board on an annual basis desired qualification and characteristics for Board membership and with corresponding attributes.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Establish and administer a periodic assessment procedure relating to the performance of the Board as a whole and its individual members.</w:t>
      </w:r>
    </w:p>
    <w:p>
      <w:pPr>
        <w:spacing w:after="0" w:line="2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Board does not have a formal policy on Board candidate qualifications. The Board may consider those factors it deems appropriate in evaluating director nominees made either by the Board or stockholders, including judgment, skill, strength of character, experience with businesses and organizations comparable in size or scope to the Company, experience and skill relative to other Board members, and specialized knowledge or experience. Depending upon the current needs of the Board, certain factors may be weighed more or less heavily. In considering candidates for the Board, the directors evaluate the entirety of each candidate’s credentials and do not have any specific minimum qualifications that must be met. “Diversity,” as such, is not a criterion that the Committee considers. The directors will consider candidates from any reasonable source, including current Board members, stockholders, professional search firms or other persons. The directors will not evaluate candidates differently based on who has made the recommendation.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Section 16(a) of the Securities Exchange Act of 1934, as amended, or the Exchange Act, requires our executive officers, directors and persons who beneficially own more than 10% of a registered class of our equity securities to file with the Securities and Exchange Commission initial reports of ownership and reports of changes in ownership of our common stock and other equity securities. These executive officers, directors, and greater than 10% beneficial owners are required by SEC regulation to furnish us with copies of all Section 16(a) forms filed by such reporting persons.</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 September 13, 2016, our board of directors adopted a code of ethics that applies to our executive officers, directors and employees. The code of ethics codifies the business and ethical principles that governs aspects of our business. We will provide a copy of our code of ethics to any person, upon request, without charge. Requests should be sent in writing to M I Acquisitions, Inc., 40 Wall Street, 58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10005.</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Directors and Executive Officers after the Business Combination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M I Acquisitions’ directors and executive officers after the Business Combination will be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34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6"/>
        </w:trPr>
        <w:tc>
          <w:tcPr>
            <w:tcW w:w="20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tcPr>
          <w:p>
            <w:pPr>
              <w:ind w:left="620"/>
              <w:spacing w:after="0"/>
              <w:rPr>
                <w:sz w:val="20"/>
                <w:szCs w:val="20"/>
                <w:color w:val="auto"/>
              </w:rPr>
            </w:pPr>
            <w:r>
              <w:rPr>
                <w:rFonts w:ascii="Arial" w:cs="Arial" w:eastAsia="Arial" w:hAnsi="Arial"/>
                <w:sz w:val="18"/>
                <w:szCs w:val="18"/>
                <w:b w:val="1"/>
                <w:bCs w:val="1"/>
                <w:color w:val="auto"/>
              </w:rPr>
              <w:t>Age</w:t>
            </w:r>
          </w:p>
        </w:tc>
        <w:tc>
          <w:tcPr>
            <w:tcW w:w="3600" w:type="dxa"/>
            <w:vAlign w:val="bottom"/>
          </w:tcPr>
          <w:p>
            <w:pPr>
              <w:ind w:left="420"/>
              <w:spacing w:after="0"/>
              <w:rPr>
                <w:sz w:val="20"/>
                <w:szCs w:val="20"/>
                <w:color w:val="auto"/>
              </w:rPr>
            </w:pPr>
            <w:r>
              <w:rPr>
                <w:rFonts w:ascii="Arial" w:cs="Arial" w:eastAsia="Arial" w:hAnsi="Arial"/>
                <w:sz w:val="18"/>
                <w:szCs w:val="18"/>
                <w:b w:val="1"/>
                <w:bCs w:val="1"/>
                <w:color w:val="auto"/>
              </w:rPr>
              <w:t>Position</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Thomas Priore</w:t>
            </w:r>
          </w:p>
        </w:tc>
        <w:tc>
          <w:tcPr>
            <w:tcW w:w="1340" w:type="dxa"/>
            <w:vAlign w:val="bottom"/>
          </w:tcPr>
          <w:p>
            <w:pPr>
              <w:ind w:left="620"/>
              <w:spacing w:after="0"/>
              <w:rPr>
                <w:sz w:val="20"/>
                <w:szCs w:val="20"/>
                <w:color w:val="auto"/>
              </w:rPr>
            </w:pPr>
            <w:r>
              <w:rPr>
                <w:rFonts w:ascii="Arial" w:cs="Arial" w:eastAsia="Arial" w:hAnsi="Arial"/>
                <w:sz w:val="18"/>
                <w:szCs w:val="18"/>
                <w:color w:val="auto"/>
              </w:rPr>
              <w:t>49</w:t>
            </w:r>
          </w:p>
        </w:tc>
        <w:tc>
          <w:tcPr>
            <w:tcW w:w="3600" w:type="dxa"/>
            <w:vAlign w:val="bottom"/>
          </w:tcPr>
          <w:p>
            <w:pPr>
              <w:ind w:left="460"/>
              <w:spacing w:after="0"/>
              <w:rPr>
                <w:sz w:val="20"/>
                <w:szCs w:val="20"/>
                <w:color w:val="auto"/>
              </w:rPr>
            </w:pPr>
            <w:r>
              <w:rPr>
                <w:rFonts w:ascii="Arial" w:cs="Arial" w:eastAsia="Arial" w:hAnsi="Arial"/>
                <w:sz w:val="18"/>
                <w:szCs w:val="18"/>
                <w:color w:val="auto"/>
              </w:rPr>
              <w:t>Executive Chairman</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John Priore</w:t>
            </w:r>
          </w:p>
        </w:tc>
        <w:tc>
          <w:tcPr>
            <w:tcW w:w="1340" w:type="dxa"/>
            <w:vAlign w:val="bottom"/>
          </w:tcPr>
          <w:p>
            <w:pPr>
              <w:ind w:left="620"/>
              <w:spacing w:after="0"/>
              <w:rPr>
                <w:sz w:val="20"/>
                <w:szCs w:val="20"/>
                <w:color w:val="auto"/>
              </w:rPr>
            </w:pPr>
            <w:r>
              <w:rPr>
                <w:rFonts w:ascii="Arial" w:cs="Arial" w:eastAsia="Arial" w:hAnsi="Arial"/>
                <w:sz w:val="18"/>
                <w:szCs w:val="18"/>
                <w:color w:val="auto"/>
              </w:rPr>
              <w:t>54</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and Chief Executive Officer</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Bruce Mattox</w:t>
            </w:r>
          </w:p>
        </w:tc>
        <w:tc>
          <w:tcPr>
            <w:tcW w:w="1340" w:type="dxa"/>
            <w:vAlign w:val="bottom"/>
          </w:tcPr>
          <w:p>
            <w:pPr>
              <w:ind w:left="620"/>
              <w:spacing w:after="0"/>
              <w:rPr>
                <w:sz w:val="20"/>
                <w:szCs w:val="20"/>
                <w:color w:val="auto"/>
              </w:rPr>
            </w:pPr>
            <w:r>
              <w:rPr>
                <w:rFonts w:ascii="Arial" w:cs="Arial" w:eastAsia="Arial" w:hAnsi="Arial"/>
                <w:sz w:val="18"/>
                <w:szCs w:val="18"/>
                <w:color w:val="auto"/>
              </w:rPr>
              <w:t>61</w:t>
            </w:r>
          </w:p>
        </w:tc>
        <w:tc>
          <w:tcPr>
            <w:tcW w:w="3600" w:type="dxa"/>
            <w:vAlign w:val="bottom"/>
          </w:tcPr>
          <w:p>
            <w:pPr>
              <w:ind w:left="460"/>
              <w:spacing w:after="0"/>
              <w:rPr>
                <w:sz w:val="20"/>
                <w:szCs w:val="20"/>
                <w:color w:val="auto"/>
              </w:rPr>
            </w:pPr>
            <w:r>
              <w:rPr>
                <w:rFonts w:ascii="Arial" w:cs="Arial" w:eastAsia="Arial" w:hAnsi="Arial"/>
                <w:sz w:val="18"/>
                <w:szCs w:val="18"/>
                <w:color w:val="auto"/>
              </w:rPr>
              <w:t>Chief Financial Officer</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Sean Kiewiet</w:t>
            </w:r>
          </w:p>
        </w:tc>
        <w:tc>
          <w:tcPr>
            <w:tcW w:w="1340" w:type="dxa"/>
            <w:vAlign w:val="bottom"/>
          </w:tcPr>
          <w:p>
            <w:pPr>
              <w:ind w:left="620"/>
              <w:spacing w:after="0"/>
              <w:rPr>
                <w:sz w:val="20"/>
                <w:szCs w:val="20"/>
                <w:color w:val="auto"/>
              </w:rPr>
            </w:pPr>
            <w:r>
              <w:rPr>
                <w:rFonts w:ascii="Arial" w:cs="Arial" w:eastAsia="Arial" w:hAnsi="Arial"/>
                <w:sz w:val="18"/>
                <w:szCs w:val="18"/>
                <w:color w:val="auto"/>
              </w:rPr>
              <w:t>45</w:t>
            </w:r>
          </w:p>
        </w:tc>
        <w:tc>
          <w:tcPr>
            <w:tcW w:w="3600" w:type="dxa"/>
            <w:vAlign w:val="bottom"/>
          </w:tcPr>
          <w:p>
            <w:pPr>
              <w:ind w:left="460"/>
              <w:spacing w:after="0"/>
              <w:rPr>
                <w:sz w:val="20"/>
                <w:szCs w:val="20"/>
                <w:color w:val="auto"/>
              </w:rPr>
            </w:pPr>
            <w:r>
              <w:rPr>
                <w:rFonts w:ascii="Arial" w:cs="Arial" w:eastAsia="Arial" w:hAnsi="Arial"/>
                <w:sz w:val="18"/>
                <w:szCs w:val="18"/>
                <w:color w:val="auto"/>
              </w:rPr>
              <w:t>Chief Technology Officer</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Cindy O’Neill</w:t>
            </w:r>
          </w:p>
        </w:tc>
        <w:tc>
          <w:tcPr>
            <w:tcW w:w="1340" w:type="dxa"/>
            <w:vAlign w:val="bottom"/>
          </w:tcPr>
          <w:p>
            <w:pPr>
              <w:ind w:left="620"/>
              <w:spacing w:after="0"/>
              <w:rPr>
                <w:sz w:val="20"/>
                <w:szCs w:val="20"/>
                <w:color w:val="auto"/>
              </w:rPr>
            </w:pPr>
            <w:r>
              <w:rPr>
                <w:rFonts w:ascii="Arial" w:cs="Arial" w:eastAsia="Arial" w:hAnsi="Arial"/>
                <w:sz w:val="18"/>
                <w:szCs w:val="18"/>
                <w:color w:val="auto"/>
              </w:rPr>
              <w:t>49</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of Commercial Payments</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David McMiller</w:t>
            </w:r>
          </w:p>
        </w:tc>
        <w:tc>
          <w:tcPr>
            <w:tcW w:w="1340" w:type="dxa"/>
            <w:vAlign w:val="bottom"/>
          </w:tcPr>
          <w:p>
            <w:pPr>
              <w:ind w:left="620"/>
              <w:spacing w:after="0"/>
              <w:rPr>
                <w:sz w:val="20"/>
                <w:szCs w:val="20"/>
                <w:color w:val="auto"/>
              </w:rPr>
            </w:pPr>
            <w:r>
              <w:rPr>
                <w:rFonts w:ascii="Arial" w:cs="Arial" w:eastAsia="Arial" w:hAnsi="Arial"/>
                <w:sz w:val="18"/>
                <w:szCs w:val="18"/>
                <w:color w:val="auto"/>
              </w:rPr>
              <w:t>62</w:t>
            </w:r>
          </w:p>
        </w:tc>
        <w:tc>
          <w:tcPr>
            <w:tcW w:w="3600" w:type="dxa"/>
            <w:vAlign w:val="bottom"/>
          </w:tcPr>
          <w:p>
            <w:pPr>
              <w:ind w:left="460"/>
              <w:spacing w:after="0"/>
              <w:rPr>
                <w:sz w:val="20"/>
                <w:szCs w:val="20"/>
                <w:color w:val="auto"/>
              </w:rPr>
            </w:pPr>
            <w:r>
              <w:rPr>
                <w:rFonts w:ascii="Arial" w:cs="Arial" w:eastAsia="Arial" w:hAnsi="Arial"/>
                <w:sz w:val="18"/>
                <w:szCs w:val="18"/>
                <w:color w:val="auto"/>
                <w:w w:val="89"/>
              </w:rPr>
              <w:t>President of Commercial Business Services</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Afshin Yazdian</w:t>
            </w:r>
          </w:p>
        </w:tc>
        <w:tc>
          <w:tcPr>
            <w:tcW w:w="1340" w:type="dxa"/>
            <w:vAlign w:val="bottom"/>
          </w:tcPr>
          <w:p>
            <w:pPr>
              <w:ind w:left="620"/>
              <w:spacing w:after="0"/>
              <w:rPr>
                <w:sz w:val="20"/>
                <w:szCs w:val="20"/>
                <w:color w:val="auto"/>
              </w:rPr>
            </w:pPr>
            <w:r>
              <w:rPr>
                <w:rFonts w:ascii="Arial" w:cs="Arial" w:eastAsia="Arial" w:hAnsi="Arial"/>
                <w:sz w:val="18"/>
                <w:szCs w:val="18"/>
                <w:color w:val="auto"/>
              </w:rPr>
              <w:t>45</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of Core Acquiring</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Chris Prince</w:t>
            </w:r>
          </w:p>
        </w:tc>
        <w:tc>
          <w:tcPr>
            <w:tcW w:w="1340" w:type="dxa"/>
            <w:vAlign w:val="bottom"/>
          </w:tcPr>
          <w:p>
            <w:pPr>
              <w:ind w:left="620"/>
              <w:spacing w:after="0"/>
              <w:rPr>
                <w:sz w:val="20"/>
                <w:szCs w:val="20"/>
                <w:color w:val="auto"/>
              </w:rPr>
            </w:pPr>
            <w:r>
              <w:rPr>
                <w:rFonts w:ascii="Arial" w:cs="Arial" w:eastAsia="Arial" w:hAnsi="Arial"/>
                <w:sz w:val="18"/>
                <w:szCs w:val="18"/>
                <w:color w:val="auto"/>
              </w:rPr>
              <w:t>44</w:t>
            </w:r>
          </w:p>
        </w:tc>
        <w:tc>
          <w:tcPr>
            <w:tcW w:w="3600" w:type="dxa"/>
            <w:vAlign w:val="bottom"/>
          </w:tcPr>
          <w:p>
            <w:pPr>
              <w:ind w:left="460"/>
              <w:spacing w:after="0"/>
              <w:rPr>
                <w:sz w:val="20"/>
                <w:szCs w:val="20"/>
                <w:color w:val="auto"/>
              </w:rPr>
            </w:pPr>
            <w:r>
              <w:rPr>
                <w:rFonts w:ascii="Arial" w:cs="Arial" w:eastAsia="Arial" w:hAnsi="Arial"/>
                <w:sz w:val="18"/>
                <w:szCs w:val="18"/>
                <w:color w:val="auto"/>
              </w:rPr>
              <w:t>General Counsel</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Biographies of the executive officers are set forth on page 136 of this proxy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ectPr>
          <w:pgSz w:w="11900" w:h="16838" w:orient="portrait"/>
          <w:cols w:equalWidth="0" w:num="1">
            <w:col w:w="11420"/>
          </w:cols>
          <w:pgMar w:left="240" w:top="901" w:right="239" w:bottom="536"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Thomas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John Priore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Marc Manuel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William Gahan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Matthew Kearney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820" w:space="720"/>
            <w:col w:w="8880"/>
          </w:cols>
          <w:pgMar w:left="240" w:top="901" w:right="239" w:bottom="536" w:gutter="0" w:footer="0" w:header="0"/>
          <w:type w:val="continuous"/>
        </w:sectPr>
      </w:pPr>
    </w:p>
    <w:p>
      <w:pPr>
        <w:spacing w:after="0" w:line="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Biographies of the directors not serving as executive officers are set forth below, with the exception of Marc Manuel, whose biography is set forth on page 166 of this proxy statement.</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William Gahan </w:t>
      </w:r>
      <w:r>
        <w:rPr>
          <w:rFonts w:ascii="Arial" w:cs="Arial" w:eastAsia="Arial" w:hAnsi="Arial"/>
          <w:sz w:val="18"/>
          <w:szCs w:val="18"/>
          <w:color w:val="auto"/>
        </w:rPr>
        <w:t>is a risk management specialist focused on institutional fixed income asset management and debt capital markets. Most recently, from 2011</w:t>
      </w:r>
      <w:r>
        <w:rPr>
          <w:rFonts w:ascii="Arial" w:cs="Arial" w:eastAsia="Arial" w:hAnsi="Arial"/>
          <w:sz w:val="18"/>
          <w:szCs w:val="18"/>
          <w:b w:val="1"/>
          <w:bCs w:val="1"/>
          <w:color w:val="auto"/>
        </w:rPr>
        <w:t xml:space="preserve"> </w:t>
      </w:r>
      <w:r>
        <w:rPr>
          <w:rFonts w:ascii="Arial" w:cs="Arial" w:eastAsia="Arial" w:hAnsi="Arial"/>
          <w:sz w:val="18"/>
          <w:szCs w:val="18"/>
          <w:color w:val="auto"/>
        </w:rPr>
        <w:t>until 2017, Mr. Gahan was Managing Director at Benefit Street Partners, a credit-focused alternative asset management firm with approximately $25 billion in assets under management where he managed a strategic credit investment operation. Prior to his role at Benefit Street Partners, Mr. Gahan operated a proprietary credit trading portfolio at Greenwich Capital after a career in debt capital markets with Merrill Lynch, Kidder Peabody and Paine Webber. Mr. Gahan received a Bachelor of Arts from the University of Virginia in 1988.</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Matthew Kearney </w:t>
      </w:r>
      <w:r>
        <w:rPr>
          <w:rFonts w:ascii="Arial" w:cs="Arial" w:eastAsia="Arial" w:hAnsi="Arial"/>
          <w:sz w:val="18"/>
          <w:szCs w:val="18"/>
          <w:color w:val="auto"/>
        </w:rPr>
        <w:t>has been an Operating Partner at Rockbridge Growth Equity, LLC since March 2015. Mr. Kearney is responsible for driving a range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strategic and operational improvement and initiatives across the firm while also overseeing Rockbridge’s media portfolio and advising on new media investments. During his time at Rockbridge, Matthew has overseen the successful sale of Triad Retail Media to WPP and the merger of the Rockbridge and Verifone petro media businesses to form “GSTV”. Mr. Kearney now serves as the Chairman of GSTV. Prior to joining Rockbridge, Mr. Kearney served as Executive Chairman of Carlyle Talent Holdings, a Carlyle Group backed special payments company serving the advertising industry, from March 2013 to March 2015. Mr. Kearney also serves as an advisor to the Board of Directors of Telenor Group, the Norwegian multinational telecommunications company (OSE: </w:t>
      </w:r>
      <w:r>
        <w:rPr>
          <w:rFonts w:ascii="Arial" w:cs="Arial" w:eastAsia="Arial" w:hAnsi="Arial"/>
          <w:sz w:val="18"/>
          <w:szCs w:val="18"/>
          <w:b w:val="1"/>
          <w:bCs w:val="1"/>
          <w:color w:val="auto"/>
        </w:rPr>
        <w:t>TEL</w:t>
      </w:r>
      <w:r>
        <w:rPr>
          <w:rFonts w:ascii="Arial" w:cs="Arial" w:eastAsia="Arial" w:hAnsi="Arial"/>
          <w:sz w:val="18"/>
          <w:szCs w:val="18"/>
          <w:color w:val="auto"/>
        </w:rPr>
        <w:t>) and has advised the board of M I Acquisitions. Mr. Kearney previously served as CEO of Screenvision, a cinema advertising and media distribution company . Mr. Kearney holds a B.S. degree in Aeronautical Engineering from the University of Manchester and an MBA from London Business School.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None of our directors or executive officers has received any compensation from us for services rendered to us. With respect to our executive officers:</w:t>
      </w:r>
    </w:p>
    <w:p>
      <w:pPr>
        <w:spacing w:after="0" w:line="235" w:lineRule="exact"/>
        <w:rPr>
          <w:sz w:val="20"/>
          <w:szCs w:val="20"/>
          <w:color w:val="auto"/>
        </w:rPr>
      </w:pPr>
    </w:p>
    <w:p>
      <w:pPr>
        <w:ind w:left="660" w:hanging="330"/>
        <w:spacing w:after="0" w:line="306" w:lineRule="auto"/>
        <w:tabs>
          <w:tab w:leader="none" w:pos="6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we do not maintain, sponsor or contribute to, and have not had and do not have any obligation to contribute to, any benefit plans, including any qualified or nonqualified defined benefit plans, nonqualified defined contribution plans or other deferred compensation plans,</w:t>
      </w:r>
    </w:p>
    <w:p>
      <w:pPr>
        <w:spacing w:after="0" w:line="146" w:lineRule="exact"/>
        <w:rPr>
          <w:rFonts w:ascii="Arial" w:cs="Arial" w:eastAsia="Arial" w:hAnsi="Arial"/>
          <w:sz w:val="17"/>
          <w:szCs w:val="17"/>
          <w:color w:val="auto"/>
        </w:rPr>
      </w:pPr>
    </w:p>
    <w:p>
      <w:pPr>
        <w:ind w:left="660" w:hanging="330"/>
        <w:spacing w:after="0" w:line="275"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we have not entered into any employment, service, retention or other agreements or entered into any agreements to provide benefits upon termination of employment or other service with us,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we have not granted any equity-based awards.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than the Administration Fee payable to Magna Management, no compensation or fees of any kind, including finder’s fees, consulting fees and other similar fees, will be paid to our insiders or any of the members of our current management team, for services rendered prior to or in connection with the consummation of the Business Combination. However, such individuals will receive reimbursement for any out-of-pocket expenses incurred by them in connection with activities on our behalf. There is no limit on the amount of out-of-pocket expenses reimbursable by us, except that to the extent such expenses exceed the available proceeds not deposited in the trust account, such expenses would not be reimbursed by us unless we consummate the Business Combination.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536" w:gutter="0" w:footer="0" w:header="0"/>
          <w:type w:val="continuous"/>
        </w:sectPr>
      </w:pPr>
    </w:p>
    <w:bookmarkStart w:id="187" w:name="page188"/>
    <w:bookmarkEnd w:id="187"/>
    <w:p>
      <w:pPr>
        <w:ind w:left="440"/>
        <w:spacing w:after="0"/>
        <w:rPr>
          <w:sz w:val="20"/>
          <w:szCs w:val="20"/>
          <w:color w:val="auto"/>
        </w:rPr>
      </w:pPr>
      <w:r>
        <w:rPr>
          <w:rFonts w:ascii="Arial" w:cs="Arial" w:eastAsia="Arial" w:hAnsi="Arial"/>
          <w:sz w:val="18"/>
          <w:szCs w:val="18"/>
          <w:b w:val="1"/>
          <w:bCs w:val="1"/>
          <w:color w:val="auto"/>
        </w:rPr>
        <w:t>SECURITY OWNERSHIP OF CERTAIN BENEFICIAL OWNERS AND MANAGEMENT BEFORE THE BUSINESS COMBINATION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M I Acquisitions common stock as of the Record Date, by:</w:t>
      </w:r>
    </w:p>
    <w:p>
      <w:pPr>
        <w:spacing w:after="0" w:line="223" w:lineRule="exact"/>
        <w:rPr>
          <w:sz w:val="20"/>
          <w:szCs w:val="20"/>
          <w:color w:val="auto"/>
        </w:rPr>
      </w:pPr>
    </w:p>
    <w:p>
      <w:pPr>
        <w:ind w:left="660" w:hanging="330"/>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person known to M I Acquisitions to be the beneficial owner of more than 5% of its outstanding shares of common stock;</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of its named executive officers and directors;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of its officers and directors as a group.</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Beneficial ownership is determined in accordance with SEC rules and includes voting or investment power with respect to securities. Except as indicated by the footnotes below, M I Acquisitions believes, based on the information furnished to it, that the persons and entities named in the table below have sole voting and investment power with respect to all shares of common stock beneficially owned by them.</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paragraph above, percentage ownership of outstanding shares is based on [·] shares of common stock outstanding as of the Record Date.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Amount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and Nature</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Beneficial</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Ownership</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Outstanding</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Shares of</w:t>
            </w:r>
          </w:p>
        </w:tc>
        <w:tc>
          <w:tcPr>
            <w:tcW w:w="0" w:type="dxa"/>
            <w:vAlign w:val="bottom"/>
          </w:tcPr>
          <w:p>
            <w:pPr>
              <w:spacing w:after="0"/>
              <w:rPr>
                <w:sz w:val="1"/>
                <w:szCs w:val="1"/>
                <w:color w:val="auto"/>
              </w:rPr>
            </w:pPr>
          </w:p>
        </w:tc>
      </w:tr>
      <w:tr>
        <w:trPr>
          <w:trHeight w:val="218"/>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Common</w:t>
            </w:r>
          </w:p>
        </w:tc>
        <w:tc>
          <w:tcPr>
            <w:tcW w:w="0" w:type="dxa"/>
            <w:vAlign w:val="bottom"/>
          </w:tcPr>
          <w:p>
            <w:pPr>
              <w:spacing w:after="0"/>
              <w:rPr>
                <w:sz w:val="1"/>
                <w:szCs w:val="1"/>
                <w:color w:val="auto"/>
              </w:rPr>
            </w:pPr>
          </w:p>
        </w:tc>
      </w:tr>
      <w:tr>
        <w:trPr>
          <w:trHeight w:val="266"/>
        </w:trPr>
        <w:tc>
          <w:tcPr>
            <w:tcW w:w="7340" w:type="dxa"/>
            <w:vAlign w:val="bottom"/>
            <w:gridSpan w:val="2"/>
          </w:tcPr>
          <w:p>
            <w:pPr>
              <w:spacing w:after="0" w:line="266" w:lineRule="exact"/>
              <w:rPr>
                <w:sz w:val="20"/>
                <w:szCs w:val="20"/>
                <w:color w:val="auto"/>
              </w:rPr>
            </w:pPr>
            <w:r>
              <w:rPr>
                <w:rFonts w:ascii="Arial" w:cs="Arial" w:eastAsia="Arial" w:hAnsi="Arial"/>
                <w:sz w:val="18"/>
                <w:szCs w:val="18"/>
                <w:color w:val="auto"/>
              </w:rPr>
              <w:t>Name and Address of Beneficial Owner</w:t>
            </w:r>
            <w:r>
              <w:rPr>
                <w:rFonts w:ascii="Arial" w:cs="Arial" w:eastAsia="Arial" w:hAnsi="Arial"/>
                <w:sz w:val="29"/>
                <w:szCs w:val="29"/>
                <w:color w:val="auto"/>
                <w:vertAlign w:val="superscript"/>
              </w:rPr>
              <w:t>(1)</w:t>
            </w:r>
          </w:p>
        </w:tc>
        <w:tc>
          <w:tcPr>
            <w:tcW w:w="2100" w:type="dxa"/>
            <w:vAlign w:val="bottom"/>
            <w:gridSpan w:val="2"/>
          </w:tcPr>
          <w:p>
            <w:pPr>
              <w:jc w:val="center"/>
              <w:ind w:right="280"/>
              <w:spacing w:after="0" w:line="266" w:lineRule="exact"/>
              <w:rPr>
                <w:sz w:val="20"/>
                <w:szCs w:val="20"/>
                <w:color w:val="auto"/>
              </w:rPr>
            </w:pPr>
            <w:r>
              <w:rPr>
                <w:rFonts w:ascii="Arial" w:cs="Arial" w:eastAsia="Arial" w:hAnsi="Arial"/>
                <w:sz w:val="18"/>
                <w:szCs w:val="18"/>
                <w:color w:val="auto"/>
                <w:w w:val="84"/>
              </w:rPr>
              <w:t>Stock</w:t>
            </w:r>
            <w:r>
              <w:rPr>
                <w:rFonts w:ascii="Arial" w:cs="Arial" w:eastAsia="Arial" w:hAnsi="Arial"/>
                <w:sz w:val="29"/>
                <w:szCs w:val="29"/>
                <w:color w:val="auto"/>
                <w:w w:val="84"/>
                <w:vertAlign w:val="superscript"/>
              </w:rPr>
              <w:t>(2)</w:t>
            </w: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0" w:type="dxa"/>
            <w:vAlign w:val="bottom"/>
          </w:tcPr>
          <w:p>
            <w:pPr>
              <w:spacing w:after="0"/>
              <w:rPr>
                <w:sz w:val="1"/>
                <w:szCs w:val="1"/>
                <w:color w:val="auto"/>
              </w:rPr>
            </w:pPr>
          </w:p>
        </w:tc>
      </w:tr>
      <w:tr>
        <w:trPr>
          <w:trHeight w:val="209"/>
        </w:trPr>
        <w:tc>
          <w:tcPr>
            <w:tcW w:w="7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340" w:type="dxa"/>
            <w:vAlign w:val="bottom"/>
            <w:gridSpan w:val="2"/>
            <w:shd w:val="clear" w:color="auto" w:fill="CCEEFF"/>
          </w:tcPr>
          <w:p>
            <w:pPr>
              <w:spacing w:after="0" w:line="255" w:lineRule="exact"/>
              <w:rPr>
                <w:sz w:val="20"/>
                <w:szCs w:val="20"/>
                <w:color w:val="auto"/>
              </w:rPr>
            </w:pPr>
            <w:r>
              <w:rPr>
                <w:rFonts w:ascii="Arial" w:cs="Arial" w:eastAsia="Arial" w:hAnsi="Arial"/>
                <w:sz w:val="18"/>
                <w:szCs w:val="18"/>
                <w:color w:val="auto"/>
              </w:rPr>
              <w:t>M SPAC LLC</w:t>
            </w:r>
            <w:r>
              <w:rPr>
                <w:rFonts w:ascii="Arial" w:cs="Arial" w:eastAsia="Arial" w:hAnsi="Arial"/>
                <w:sz w:val="29"/>
                <w:szCs w:val="29"/>
                <w:color w:val="auto"/>
                <w:vertAlign w:val="superscript"/>
              </w:rPr>
              <w:t>(3)</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1,079,478</w:t>
            </w:r>
            <w:r>
              <w:rPr>
                <w:rFonts w:ascii="Arial" w:cs="Arial" w:eastAsia="Arial" w:hAnsi="Arial"/>
                <w:sz w:val="14"/>
                <w:szCs w:val="14"/>
                <w:color w:val="auto"/>
              </w:rPr>
              <w:t>(4)</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34"/>
        </w:trPr>
        <w:tc>
          <w:tcPr>
            <w:tcW w:w="7240" w:type="dxa"/>
            <w:vAlign w:val="bottom"/>
          </w:tcPr>
          <w:p>
            <w:pPr>
              <w:ind w:left="1840"/>
              <w:spacing w:after="0" w:line="135" w:lineRule="exact"/>
              <w:rPr>
                <w:sz w:val="20"/>
                <w:szCs w:val="20"/>
                <w:color w:val="auto"/>
              </w:rPr>
            </w:pPr>
            <w:r>
              <w:rPr>
                <w:rFonts w:ascii="Arial" w:cs="Arial" w:eastAsia="Arial" w:hAnsi="Arial"/>
                <w:sz w:val="15"/>
                <w:szCs w:val="15"/>
                <w:color w:val="auto"/>
              </w:rPr>
              <w:t>(3)</w:t>
            </w:r>
          </w:p>
        </w:tc>
        <w:tc>
          <w:tcPr>
            <w:tcW w:w="100" w:type="dxa"/>
            <w:vAlign w:val="bottom"/>
          </w:tcPr>
          <w:p>
            <w:pPr>
              <w:spacing w:after="0"/>
              <w:rPr>
                <w:sz w:val="11"/>
                <w:szCs w:val="11"/>
                <w:color w:val="auto"/>
              </w:rPr>
            </w:pPr>
          </w:p>
        </w:tc>
        <w:tc>
          <w:tcPr>
            <w:tcW w:w="2100" w:type="dxa"/>
            <w:vAlign w:val="bottom"/>
            <w:gridSpan w:val="2"/>
            <w:vMerge w:val="restart"/>
          </w:tcPr>
          <w:p>
            <w:pPr>
              <w:jc w:val="right"/>
              <w:ind w:right="280"/>
              <w:spacing w:after="0" w:line="162" w:lineRule="exact"/>
              <w:rPr>
                <w:sz w:val="20"/>
                <w:szCs w:val="20"/>
                <w:color w:val="auto"/>
              </w:rPr>
            </w:pPr>
            <w:r>
              <w:rPr>
                <w:rFonts w:ascii="Arial" w:cs="Arial" w:eastAsia="Arial" w:hAnsi="Arial"/>
                <w:sz w:val="18"/>
                <w:szCs w:val="18"/>
                <w:color w:val="auto"/>
              </w:rPr>
              <w:t>227,596</w:t>
            </w:r>
          </w:p>
        </w:tc>
        <w:tc>
          <w:tcPr>
            <w:tcW w:w="1980" w:type="dxa"/>
            <w:vAlign w:val="bottom"/>
            <w:gridSpan w:val="2"/>
            <w:vMerge w:val="restart"/>
          </w:tcPr>
          <w:p>
            <w:pPr>
              <w:jc w:val="right"/>
              <w:ind w:right="20"/>
              <w:spacing w:after="0" w:line="16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340" w:type="dxa"/>
            <w:vAlign w:val="bottom"/>
            <w:gridSpan w:val="2"/>
          </w:tcPr>
          <w:p>
            <w:pPr>
              <w:spacing w:after="0" w:line="27" w:lineRule="exact"/>
              <w:rPr>
                <w:sz w:val="20"/>
                <w:szCs w:val="20"/>
                <w:color w:val="auto"/>
              </w:rPr>
            </w:pPr>
            <w:r>
              <w:rPr>
                <w:rFonts w:ascii="Arial" w:cs="Arial" w:eastAsia="Arial" w:hAnsi="Arial"/>
                <w:sz w:val="3"/>
                <w:szCs w:val="3"/>
                <w:color w:val="auto"/>
              </w:rPr>
              <w:t>M SPAC Holdings I LLC</w:t>
            </w:r>
          </w:p>
        </w:tc>
        <w:tc>
          <w:tcPr>
            <w:tcW w:w="2100" w:type="dxa"/>
            <w:vAlign w:val="bottom"/>
            <w:gridSpan w:val="2"/>
            <w:vMerge w:val="continue"/>
          </w:tcPr>
          <w:p>
            <w:pPr>
              <w:spacing w:after="0"/>
              <w:rPr>
                <w:sz w:val="2"/>
                <w:szCs w:val="2"/>
                <w:color w:val="auto"/>
              </w:rPr>
            </w:pPr>
          </w:p>
        </w:tc>
        <w:tc>
          <w:tcPr>
            <w:tcW w:w="1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00" w:type="dxa"/>
            <w:vAlign w:val="bottom"/>
            <w:gridSpan w:val="2"/>
          </w:tcPr>
          <w:p>
            <w:pPr>
              <w:jc w:val="right"/>
              <w:ind w:right="100"/>
              <w:spacing w:after="0" w:line="94" w:lineRule="exact"/>
              <w:rPr>
                <w:sz w:val="20"/>
                <w:szCs w:val="20"/>
                <w:color w:val="auto"/>
              </w:rPr>
            </w:pPr>
            <w:r>
              <w:rPr>
                <w:rFonts w:ascii="Arial" w:cs="Arial" w:eastAsia="Arial" w:hAnsi="Arial"/>
                <w:sz w:val="10"/>
                <w:szCs w:val="10"/>
                <w:color w:val="auto"/>
              </w:rPr>
              <w:t>(4)</w:t>
            </w: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7340" w:type="dxa"/>
            <w:vAlign w:val="bottom"/>
            <w:gridSpan w:val="2"/>
            <w:shd w:val="clear" w:color="auto" w:fill="CCEEFF"/>
          </w:tcPr>
          <w:p>
            <w:pPr>
              <w:spacing w:after="0" w:line="255" w:lineRule="exact"/>
              <w:rPr>
                <w:sz w:val="20"/>
                <w:szCs w:val="20"/>
                <w:color w:val="auto"/>
              </w:rPr>
            </w:pPr>
            <w:r>
              <w:rPr>
                <w:rFonts w:ascii="Arial" w:cs="Arial" w:eastAsia="Arial" w:hAnsi="Arial"/>
                <w:sz w:val="18"/>
                <w:szCs w:val="18"/>
                <w:color w:val="auto"/>
              </w:rPr>
              <w:t>M SPAC Holdings II LLC</w:t>
            </w:r>
            <w:r>
              <w:rPr>
                <w:rFonts w:ascii="Arial" w:cs="Arial" w:eastAsia="Arial" w:hAnsi="Arial"/>
                <w:sz w:val="29"/>
                <w:szCs w:val="29"/>
                <w:color w:val="auto"/>
                <w:vertAlign w:val="superscript"/>
              </w:rPr>
              <w:t>(3)</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345,426</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5"/>
        </w:trPr>
        <w:tc>
          <w:tcPr>
            <w:tcW w:w="7340" w:type="dxa"/>
            <w:vAlign w:val="bottom"/>
            <w:gridSpan w:val="2"/>
          </w:tcPr>
          <w:p>
            <w:pPr>
              <w:spacing w:after="0" w:line="255" w:lineRule="exact"/>
              <w:rPr>
                <w:sz w:val="20"/>
                <w:szCs w:val="20"/>
                <w:color w:val="auto"/>
              </w:rPr>
            </w:pPr>
            <w:r>
              <w:rPr>
                <w:rFonts w:ascii="Arial" w:cs="Arial" w:eastAsia="Arial" w:hAnsi="Arial"/>
                <w:sz w:val="18"/>
                <w:szCs w:val="18"/>
                <w:color w:val="auto"/>
              </w:rPr>
              <w:t>Joshua Sason</w:t>
            </w:r>
            <w:r>
              <w:rPr>
                <w:rFonts w:ascii="Arial" w:cs="Arial" w:eastAsia="Arial" w:hAnsi="Arial"/>
                <w:sz w:val="29"/>
                <w:szCs w:val="29"/>
                <w:color w:val="auto"/>
                <w:vertAlign w:val="superscript"/>
              </w:rPr>
              <w:t>(5)</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1,652,500</w:t>
            </w:r>
            <w:r>
              <w:rPr>
                <w:rFonts w:ascii="Arial" w:cs="Arial" w:eastAsia="Arial" w:hAnsi="Arial"/>
                <w:sz w:val="14"/>
                <w:szCs w:val="14"/>
                <w:color w:val="auto"/>
              </w:rPr>
              <w:t>(4)</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5"/>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Manuel</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5"/>
        </w:trPr>
        <w:tc>
          <w:tcPr>
            <w:tcW w:w="7340" w:type="dxa"/>
            <w:vAlign w:val="bottom"/>
            <w:gridSpan w:val="2"/>
          </w:tcPr>
          <w:p>
            <w:pPr>
              <w:spacing w:after="0"/>
              <w:rPr>
                <w:sz w:val="20"/>
                <w:szCs w:val="20"/>
                <w:color w:val="auto"/>
              </w:rPr>
            </w:pPr>
            <w:r>
              <w:rPr>
                <w:rFonts w:ascii="Arial" w:cs="Arial" w:eastAsia="Arial" w:hAnsi="Arial"/>
                <w:sz w:val="18"/>
                <w:szCs w:val="18"/>
                <w:color w:val="auto"/>
              </w:rPr>
              <w:t>Russel Rieger</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5"/>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S. Ienner</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5"/>
        </w:trPr>
        <w:tc>
          <w:tcPr>
            <w:tcW w:w="7340" w:type="dxa"/>
            <w:vAlign w:val="bottom"/>
            <w:gridSpan w:val="2"/>
          </w:tcPr>
          <w:p>
            <w:pPr>
              <w:spacing w:after="0"/>
              <w:rPr>
                <w:sz w:val="20"/>
                <w:szCs w:val="20"/>
                <w:color w:val="auto"/>
              </w:rPr>
            </w:pPr>
            <w:r>
              <w:rPr>
                <w:rFonts w:ascii="Arial" w:cs="Arial" w:eastAsia="Arial" w:hAnsi="Arial"/>
                <w:sz w:val="18"/>
                <w:szCs w:val="18"/>
                <w:color w:val="auto"/>
              </w:rPr>
              <w:t>David Schulhof</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5"/>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S. Holdsworth</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(6 individuals)</w:t>
            </w:r>
          </w:p>
        </w:tc>
        <w:tc>
          <w:tcPr>
            <w:tcW w:w="1820" w:type="dxa"/>
            <w:vAlign w:val="bottom"/>
          </w:tcPr>
          <w:p>
            <w:pPr>
              <w:jc w:val="right"/>
              <w:spacing w:after="0"/>
              <w:rPr>
                <w:sz w:val="20"/>
                <w:szCs w:val="20"/>
                <w:color w:val="auto"/>
              </w:rPr>
            </w:pPr>
            <w:r>
              <w:rPr>
                <w:rFonts w:ascii="Arial" w:cs="Arial" w:eastAsia="Arial" w:hAnsi="Arial"/>
                <w:sz w:val="18"/>
                <w:szCs w:val="18"/>
                <w:color w:val="auto"/>
              </w:rPr>
              <w:t>1,652,500</w:t>
            </w:r>
          </w:p>
        </w:tc>
        <w:tc>
          <w:tcPr>
            <w:tcW w:w="28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60" w:hanging="652"/>
        <w:spacing w:after="0" w:line="186" w:lineRule="auto"/>
        <w:tabs>
          <w:tab w:leader="none" w:pos="660" w:val="left"/>
        </w:tabs>
        <w:numPr>
          <w:ilvl w:val="0"/>
          <w:numId w:val="191"/>
        </w:numPr>
        <w:rPr>
          <w:rFonts w:ascii="Arial" w:cs="Arial" w:eastAsia="Arial" w:hAnsi="Arial"/>
          <w:sz w:val="36"/>
          <w:szCs w:val="36"/>
          <w:color w:val="auto"/>
          <w:vertAlign w:val="superscript"/>
        </w:rPr>
      </w:pPr>
      <w:r>
        <w:rPr>
          <w:rFonts w:ascii="Arial" w:cs="Arial" w:eastAsia="Arial" w:hAnsi="Arial"/>
          <w:sz w:val="18"/>
          <w:szCs w:val="18"/>
          <w:color w:val="auto"/>
        </w:rPr>
        <w:t>Unless otherwise indicated, the business address of each of the individuals is c/o Magna Management LLC, 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10005.</w:t>
      </w:r>
    </w:p>
    <w:p>
      <w:pPr>
        <w:ind w:left="660" w:hanging="652"/>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w:t>
      </w:r>
    </w:p>
    <w:p>
      <w:pPr>
        <w:spacing w:after="0" w:line="8" w:lineRule="exact"/>
        <w:rPr>
          <w:rFonts w:ascii="Arial" w:cs="Arial" w:eastAsia="Arial" w:hAnsi="Arial"/>
          <w:sz w:val="18"/>
          <w:szCs w:val="18"/>
          <w:color w:val="auto"/>
        </w:rPr>
      </w:pPr>
    </w:p>
    <w:p>
      <w:pPr>
        <w:ind w:left="660" w:hanging="652"/>
        <w:spacing w:after="0" w:line="249"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M SPAC Holdings I LLC and M SPAC Holdings II LLC, and thus may be deemed to have voting and investment power with respect to the shares owned by such entities.</w:t>
      </w:r>
    </w:p>
    <w:p>
      <w:pPr>
        <w:jc w:val="both"/>
        <w:ind w:left="660" w:hanging="652"/>
        <w:spacing w:after="0" w:line="249"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Includes the 259,334 shares of common stock underlying the private units purchased by M SPAC LLC simultaneously with the consummation of the IPO, the 60,000 shares of common stock underlying the private units purchased by M SPAC Holdings I LLC simultaneously with the consummation of the IPO, and the 83,166 shares of common stock underlying the private units purchased by M SPAC Holdings II LLC simultaneously with the consummation of the IPO.</w:t>
      </w:r>
    </w:p>
    <w:p>
      <w:pPr>
        <w:spacing w:after="0" w:line="1" w:lineRule="exact"/>
        <w:rPr>
          <w:rFonts w:ascii="Arial" w:cs="Arial" w:eastAsia="Arial" w:hAnsi="Arial"/>
          <w:sz w:val="18"/>
          <w:szCs w:val="18"/>
          <w:color w:val="auto"/>
        </w:rPr>
      </w:pPr>
    </w:p>
    <w:p>
      <w:pPr>
        <w:ind w:left="660" w:hanging="652"/>
        <w:spacing w:after="0" w:line="258"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Securities beneficially owned consist of securities owned by M SPAC LLC, M SPAC Holdings I LLC and M SPAC Holdings II LLC, of which the individual is a managing member.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358"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SECURITY OWNERSHIP OF M I ACQUISITIONS AFTER THE BUSINESS COMBINATION</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tables sets forth information regarding the beneficial ownership of M I Acquisitions’ common stock and preferred stock immediately after the consummation of the Business Combination by:</w:t>
      </w:r>
    </w:p>
    <w:p>
      <w:pPr>
        <w:spacing w:after="0" w:line="171" w:lineRule="exact"/>
        <w:rPr>
          <w:sz w:val="20"/>
          <w:szCs w:val="20"/>
          <w:color w:val="auto"/>
        </w:rPr>
      </w:pPr>
    </w:p>
    <w:p>
      <w:pPr>
        <w:ind w:left="660" w:hanging="330"/>
        <w:spacing w:after="0" w:line="275"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person known to M I Acquisitions who will be the beneficial owner of more than 5% of any class of its stock immediately after the Business Combination;</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of the individuals expected to be named executive officers and directors of the combined company immediately after the Business Combination;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all of the individuals expected to be officers and directors of the combined company immediately after the Business Combination as a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gridSpan w:val="5"/>
          </w:tcPr>
          <w:p>
            <w:pPr>
              <w:ind w:left="1040"/>
              <w:spacing w:after="0"/>
              <w:rPr>
                <w:sz w:val="20"/>
                <w:szCs w:val="20"/>
                <w:color w:val="auto"/>
              </w:rPr>
            </w:pPr>
            <w:r>
              <w:rPr>
                <w:rFonts w:ascii="Arial" w:cs="Arial" w:eastAsia="Arial" w:hAnsi="Arial"/>
                <w:sz w:val="18"/>
                <w:szCs w:val="18"/>
                <w:color w:val="auto"/>
              </w:rPr>
              <w:t>Assuming Maximum</w:t>
            </w: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Borders>
              <w:bottom w:val="single" w:sz="8" w:color="auto"/>
            </w:tcBorders>
            <w:gridSpan w:val="4"/>
          </w:tcPr>
          <w:p>
            <w:pPr>
              <w:ind w:left="820"/>
              <w:spacing w:after="0"/>
              <w:rPr>
                <w:sz w:val="20"/>
                <w:szCs w:val="20"/>
                <w:color w:val="auto"/>
              </w:rPr>
            </w:pPr>
            <w:r>
              <w:rPr>
                <w:rFonts w:ascii="Arial" w:cs="Arial" w:eastAsia="Arial" w:hAnsi="Arial"/>
                <w:sz w:val="18"/>
                <w:szCs w:val="18"/>
                <w:color w:val="auto"/>
              </w:rPr>
              <w:t>Assuming No Redemptions</w:t>
            </w:r>
          </w:p>
        </w:tc>
        <w:tc>
          <w:tcPr>
            <w:tcW w:w="3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60" w:type="dxa"/>
            <w:vAlign w:val="bottom"/>
            <w:tcBorders>
              <w:bottom w:val="single" w:sz="8" w:color="auto"/>
            </w:tcBorders>
            <w:gridSpan w:val="3"/>
          </w:tcPr>
          <w:p>
            <w:pPr>
              <w:ind w:left="1360"/>
              <w:spacing w:after="0"/>
              <w:rPr>
                <w:sz w:val="20"/>
                <w:szCs w:val="20"/>
                <w:color w:val="auto"/>
              </w:rPr>
            </w:pPr>
            <w:r>
              <w:rPr>
                <w:rFonts w:ascii="Arial" w:cs="Arial" w:eastAsia="Arial" w:hAnsi="Arial"/>
                <w:sz w:val="18"/>
                <w:szCs w:val="18"/>
                <w:color w:val="auto"/>
                <w:w w:val="90"/>
              </w:rPr>
              <w:t>Redemption</w:t>
            </w:r>
          </w:p>
        </w:tc>
        <w:tc>
          <w:tcPr>
            <w:tcW w:w="1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left="250"/>
              <w:spacing w:after="0" w:line="195" w:lineRule="exact"/>
              <w:rPr>
                <w:sz w:val="20"/>
                <w:szCs w:val="20"/>
                <w:color w:val="auto"/>
              </w:rPr>
            </w:pPr>
            <w:r>
              <w:rPr>
                <w:rFonts w:ascii="Arial" w:cs="Arial" w:eastAsia="Arial" w:hAnsi="Arial"/>
                <w:sz w:val="18"/>
                <w:szCs w:val="18"/>
                <w:color w:val="auto"/>
                <w:w w:val="93"/>
              </w:rPr>
              <w:t>Amount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left="210"/>
              <w:spacing w:after="0" w:line="195" w:lineRule="exact"/>
              <w:rPr>
                <w:sz w:val="20"/>
                <w:szCs w:val="20"/>
                <w:color w:val="auto"/>
              </w:rPr>
            </w:pPr>
            <w:r>
              <w:rPr>
                <w:rFonts w:ascii="Arial" w:cs="Arial" w:eastAsia="Arial" w:hAnsi="Arial"/>
                <w:sz w:val="18"/>
                <w:szCs w:val="18"/>
                <w:color w:val="auto"/>
                <w:w w:val="94"/>
              </w:rPr>
              <w:t>Approximate</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3"/>
            <w:vMerge w:val="restart"/>
          </w:tcPr>
          <w:p>
            <w:pPr>
              <w:jc w:val="center"/>
              <w:ind w:right="580"/>
              <w:spacing w:after="0"/>
              <w:rPr>
                <w:sz w:val="20"/>
                <w:szCs w:val="20"/>
                <w:color w:val="auto"/>
              </w:rPr>
            </w:pPr>
            <w:r>
              <w:rPr>
                <w:rFonts w:ascii="Arial" w:cs="Arial" w:eastAsia="Arial" w:hAnsi="Arial"/>
                <w:sz w:val="18"/>
                <w:szCs w:val="18"/>
                <w:color w:val="auto"/>
                <w:w w:val="90"/>
              </w:rPr>
              <w:t>Amount and</w:t>
            </w:r>
          </w:p>
        </w:tc>
        <w:tc>
          <w:tcPr>
            <w:tcW w:w="1340" w:type="dxa"/>
            <w:vAlign w:val="bottom"/>
          </w:tcPr>
          <w:p>
            <w:pPr>
              <w:jc w:val="center"/>
              <w:ind w:right="270"/>
              <w:spacing w:after="0" w:line="195" w:lineRule="exact"/>
              <w:rPr>
                <w:sz w:val="20"/>
                <w:szCs w:val="20"/>
                <w:color w:val="auto"/>
              </w:rPr>
            </w:pPr>
            <w:r>
              <w:rPr>
                <w:rFonts w:ascii="Arial" w:cs="Arial" w:eastAsia="Arial" w:hAnsi="Arial"/>
                <w:sz w:val="18"/>
                <w:szCs w:val="18"/>
                <w:color w:val="auto"/>
                <w:w w:val="92"/>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87"/>
              </w:rPr>
              <w:t>and Nature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center"/>
              <w:ind w:left="210"/>
              <w:spacing w:after="0" w:line="176" w:lineRule="exact"/>
              <w:rPr>
                <w:sz w:val="20"/>
                <w:szCs w:val="20"/>
                <w:color w:val="auto"/>
              </w:rPr>
            </w:pPr>
            <w:r>
              <w:rPr>
                <w:rFonts w:ascii="Arial" w:cs="Arial" w:eastAsia="Arial" w:hAnsi="Arial"/>
                <w:sz w:val="18"/>
                <w:szCs w:val="18"/>
                <w:color w:val="auto"/>
                <w:w w:val="86"/>
              </w:rPr>
              <w:t>Percentage</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1500" w:type="dxa"/>
            <w:vAlign w:val="bottom"/>
            <w:gridSpan w:val="2"/>
          </w:tcPr>
          <w:p>
            <w:pPr>
              <w:jc w:val="center"/>
              <w:ind w:right="520"/>
              <w:spacing w:after="0" w:line="176" w:lineRule="exact"/>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250"/>
              <w:spacing w:after="0"/>
              <w:rPr>
                <w:sz w:val="20"/>
                <w:szCs w:val="20"/>
                <w:color w:val="auto"/>
              </w:rPr>
            </w:pPr>
            <w:r>
              <w:rPr>
                <w:rFonts w:ascii="Arial" w:cs="Arial" w:eastAsia="Arial" w:hAnsi="Arial"/>
                <w:sz w:val="18"/>
                <w:szCs w:val="18"/>
                <w:color w:val="auto"/>
                <w:w w:val="92"/>
              </w:rPr>
              <w:t>of</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left="170"/>
              <w:spacing w:after="0"/>
              <w:rPr>
                <w:sz w:val="20"/>
                <w:szCs w:val="20"/>
                <w:color w:val="auto"/>
              </w:rPr>
            </w:pPr>
            <w:r>
              <w:rPr>
                <w:rFonts w:ascii="Arial" w:cs="Arial" w:eastAsia="Arial" w:hAnsi="Arial"/>
                <w:sz w:val="18"/>
                <w:szCs w:val="18"/>
                <w:color w:val="auto"/>
              </w:rPr>
              <w:t>of</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1"/>
              </w:rPr>
              <w:t>Nature of</w:t>
            </w: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250"/>
              <w:spacing w:after="0"/>
              <w:rPr>
                <w:sz w:val="20"/>
                <w:szCs w:val="20"/>
                <w:color w:val="auto"/>
              </w:rPr>
            </w:pPr>
            <w:r>
              <w:rPr>
                <w:rFonts w:ascii="Arial" w:cs="Arial" w:eastAsia="Arial" w:hAnsi="Arial"/>
                <w:sz w:val="18"/>
                <w:szCs w:val="18"/>
                <w:color w:val="auto"/>
                <w:w w:val="94"/>
              </w:rPr>
              <w:t>Beneficial</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left="210"/>
              <w:spacing w:after="0"/>
              <w:rPr>
                <w:sz w:val="20"/>
                <w:szCs w:val="20"/>
                <w:color w:val="auto"/>
              </w:rPr>
            </w:pPr>
            <w:r>
              <w:rPr>
                <w:rFonts w:ascii="Arial" w:cs="Arial" w:eastAsia="Arial" w:hAnsi="Arial"/>
                <w:sz w:val="18"/>
                <w:szCs w:val="18"/>
                <w:color w:val="auto"/>
                <w:w w:val="90"/>
              </w:rPr>
              <w:t>Outstanding</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3"/>
          </w:tcPr>
          <w:p>
            <w:pPr>
              <w:jc w:val="center"/>
              <w:ind w:right="560"/>
              <w:spacing w:after="0"/>
              <w:rPr>
                <w:sz w:val="20"/>
                <w:szCs w:val="20"/>
                <w:color w:val="auto"/>
              </w:rPr>
            </w:pPr>
            <w:r>
              <w:rPr>
                <w:rFonts w:ascii="Arial" w:cs="Arial" w:eastAsia="Arial" w:hAnsi="Arial"/>
                <w:sz w:val="18"/>
                <w:szCs w:val="18"/>
                <w:color w:val="auto"/>
                <w:w w:val="94"/>
              </w:rPr>
              <w:t>Beneficial</w:t>
            </w: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Outstanding</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250"/>
              <w:spacing w:after="0"/>
              <w:rPr>
                <w:sz w:val="20"/>
                <w:szCs w:val="20"/>
                <w:color w:val="auto"/>
              </w:rPr>
            </w:pPr>
            <w:r>
              <w:rPr>
                <w:rFonts w:ascii="Arial" w:cs="Arial" w:eastAsia="Arial" w:hAnsi="Arial"/>
                <w:sz w:val="18"/>
                <w:szCs w:val="18"/>
                <w:color w:val="auto"/>
                <w:w w:val="90"/>
              </w:rPr>
              <w:t>Ownership</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left="170"/>
              <w:spacing w:after="0"/>
              <w:rPr>
                <w:sz w:val="20"/>
                <w:szCs w:val="20"/>
                <w:color w:val="auto"/>
              </w:rPr>
            </w:pPr>
            <w:r>
              <w:rPr>
                <w:rFonts w:ascii="Arial" w:cs="Arial" w:eastAsia="Arial" w:hAnsi="Arial"/>
                <w:sz w:val="18"/>
                <w:szCs w:val="18"/>
                <w:color w:val="auto"/>
                <w:w w:val="88"/>
              </w:rPr>
              <w:t>Shares of</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Ownership of</w:t>
            </w: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Shares of</w:t>
            </w: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2"/>
              </w:rPr>
              <w:t>of Common</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left="170"/>
              <w:spacing w:after="0"/>
              <w:rPr>
                <w:sz w:val="20"/>
                <w:szCs w:val="20"/>
                <w:color w:val="auto"/>
              </w:rPr>
            </w:pPr>
            <w:r>
              <w:rPr>
                <w:rFonts w:ascii="Arial" w:cs="Arial" w:eastAsia="Arial" w:hAnsi="Arial"/>
                <w:sz w:val="18"/>
                <w:szCs w:val="18"/>
                <w:color w:val="auto"/>
                <w:w w:val="93"/>
              </w:rPr>
              <w:t>Common</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3"/>
          </w:tcPr>
          <w:p>
            <w:pPr>
              <w:jc w:val="center"/>
              <w:ind w:right="580"/>
              <w:spacing w:after="0"/>
              <w:rPr>
                <w:sz w:val="20"/>
                <w:szCs w:val="20"/>
                <w:color w:val="auto"/>
              </w:rPr>
            </w:pPr>
            <w:r>
              <w:rPr>
                <w:rFonts w:ascii="Arial" w:cs="Arial" w:eastAsia="Arial" w:hAnsi="Arial"/>
                <w:sz w:val="18"/>
                <w:szCs w:val="18"/>
                <w:color w:val="auto"/>
                <w:w w:val="93"/>
              </w:rPr>
              <w:t>Common</w:t>
            </w: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Common</w:t>
            </w:r>
          </w:p>
        </w:tc>
        <w:tc>
          <w:tcPr>
            <w:tcW w:w="0" w:type="dxa"/>
            <w:vAlign w:val="bottom"/>
          </w:tcPr>
          <w:p>
            <w:pPr>
              <w:spacing w:after="0"/>
              <w:rPr>
                <w:sz w:val="1"/>
                <w:szCs w:val="1"/>
                <w:color w:val="auto"/>
              </w:rPr>
            </w:pPr>
          </w:p>
        </w:tc>
      </w:tr>
      <w:tr>
        <w:trPr>
          <w:trHeight w:val="266"/>
        </w:trPr>
        <w:tc>
          <w:tcPr>
            <w:tcW w:w="3780" w:type="dxa"/>
            <w:vAlign w:val="bottom"/>
            <w:gridSpan w:val="3"/>
          </w:tcPr>
          <w:p>
            <w:pPr>
              <w:spacing w:after="0" w:line="266" w:lineRule="exact"/>
              <w:rPr>
                <w:sz w:val="20"/>
                <w:szCs w:val="20"/>
                <w:color w:val="auto"/>
              </w:rPr>
            </w:pPr>
            <w:r>
              <w:rPr>
                <w:rFonts w:ascii="Arial" w:cs="Arial" w:eastAsia="Arial" w:hAnsi="Arial"/>
                <w:sz w:val="18"/>
                <w:szCs w:val="18"/>
                <w:color w:val="auto"/>
              </w:rPr>
              <w:t>Name and Address of Beneficial Owner</w:t>
            </w:r>
            <w:r>
              <w:rPr>
                <w:rFonts w:ascii="Arial" w:cs="Arial" w:eastAsia="Arial" w:hAnsi="Arial"/>
                <w:sz w:val="29"/>
                <w:szCs w:val="29"/>
                <w:color w:val="auto"/>
                <w:vertAlign w:val="superscript"/>
              </w:rPr>
              <w:t>(1)</w:t>
            </w:r>
          </w:p>
        </w:tc>
        <w:tc>
          <w:tcPr>
            <w:tcW w:w="1360" w:type="dxa"/>
            <w:vAlign w:val="bottom"/>
          </w:tcPr>
          <w:p>
            <w:pPr>
              <w:jc w:val="center"/>
              <w:ind w:left="250"/>
              <w:spacing w:after="0"/>
              <w:rPr>
                <w:sz w:val="20"/>
                <w:szCs w:val="20"/>
                <w:color w:val="auto"/>
              </w:rPr>
            </w:pPr>
            <w:r>
              <w:rPr>
                <w:rFonts w:ascii="Arial" w:cs="Arial" w:eastAsia="Arial" w:hAnsi="Arial"/>
                <w:sz w:val="18"/>
                <w:szCs w:val="18"/>
                <w:color w:val="auto"/>
                <w:w w:val="93"/>
              </w:rPr>
              <w:t>Stock</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center"/>
              <w:ind w:left="210"/>
              <w:spacing w:after="0"/>
              <w:rPr>
                <w:sz w:val="20"/>
                <w:szCs w:val="20"/>
                <w:color w:val="auto"/>
              </w:rPr>
            </w:pPr>
            <w:r>
              <w:rPr>
                <w:rFonts w:ascii="Arial" w:cs="Arial" w:eastAsia="Arial" w:hAnsi="Arial"/>
                <w:sz w:val="18"/>
                <w:szCs w:val="18"/>
                <w:color w:val="auto"/>
                <w:w w:val="88"/>
              </w:rPr>
              <w:t>Stock</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60" w:type="dxa"/>
            <w:vAlign w:val="bottom"/>
            <w:gridSpan w:val="3"/>
          </w:tcPr>
          <w:p>
            <w:pPr>
              <w:jc w:val="center"/>
              <w:ind w:right="560"/>
              <w:spacing w:after="0" w:line="266" w:lineRule="exact"/>
              <w:rPr>
                <w:sz w:val="20"/>
                <w:szCs w:val="20"/>
                <w:color w:val="auto"/>
              </w:rPr>
            </w:pPr>
            <w:r>
              <w:rPr>
                <w:rFonts w:ascii="Arial" w:cs="Arial" w:eastAsia="Arial" w:hAnsi="Arial"/>
                <w:sz w:val="18"/>
                <w:szCs w:val="18"/>
                <w:color w:val="auto"/>
                <w:w w:val="84"/>
              </w:rPr>
              <w:t>Stock</w:t>
            </w:r>
            <w:r>
              <w:rPr>
                <w:rFonts w:ascii="Arial" w:cs="Arial" w:eastAsia="Arial" w:hAnsi="Arial"/>
                <w:sz w:val="29"/>
                <w:szCs w:val="29"/>
                <w:color w:val="auto"/>
                <w:w w:val="84"/>
                <w:vertAlign w:val="superscript"/>
              </w:rPr>
              <w:t>(2)</w:t>
            </w:r>
          </w:p>
        </w:tc>
        <w:tc>
          <w:tcPr>
            <w:tcW w:w="150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Stock</w:t>
            </w:r>
          </w:p>
        </w:tc>
        <w:tc>
          <w:tcPr>
            <w:tcW w:w="0" w:type="dxa"/>
            <w:vAlign w:val="bottom"/>
          </w:tcPr>
          <w:p>
            <w:pPr>
              <w:spacing w:after="0"/>
              <w:rPr>
                <w:sz w:val="1"/>
                <w:szCs w:val="1"/>
                <w:color w:val="auto"/>
              </w:rPr>
            </w:pPr>
          </w:p>
        </w:tc>
      </w:tr>
      <w:tr>
        <w:trPr>
          <w:trHeight w:val="209"/>
        </w:trPr>
        <w:tc>
          <w:tcPr>
            <w:tcW w:w="3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00" w:type="dxa"/>
            <w:vAlign w:val="bottom"/>
          </w:tcPr>
          <w:p>
            <w:pPr>
              <w:spacing w:after="0" w:line="255" w:lineRule="exact"/>
              <w:rPr>
                <w:sz w:val="20"/>
                <w:szCs w:val="20"/>
                <w:color w:val="auto"/>
              </w:rPr>
            </w:pPr>
            <w:r>
              <w:rPr>
                <w:rFonts w:ascii="Arial" w:cs="Arial" w:eastAsia="Arial" w:hAnsi="Arial"/>
                <w:sz w:val="18"/>
                <w:szCs w:val="18"/>
                <w:color w:val="auto"/>
                <w:w w:val="90"/>
              </w:rPr>
              <w:t>Thomas Priore</w:t>
            </w:r>
            <w:r>
              <w:rPr>
                <w:rFonts w:ascii="Arial" w:cs="Arial" w:eastAsia="Arial" w:hAnsi="Arial"/>
                <w:sz w:val="29"/>
                <w:szCs w:val="29"/>
                <w:color w:val="auto"/>
                <w:w w:val="90"/>
                <w:vertAlign w:val="superscript"/>
              </w:rPr>
              <w:t>(2)</w:t>
            </w:r>
          </w:p>
        </w:tc>
        <w:tc>
          <w:tcPr>
            <w:tcW w:w="2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4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2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5"/>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John Priore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6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20"/>
                <w:szCs w:val="20"/>
                <w:color w:val="auto"/>
              </w:rPr>
            </w:pPr>
            <w:r>
              <w:rPr>
                <w:rFonts w:ascii="Arial" w:cs="Arial" w:eastAsia="Arial" w:hAnsi="Arial"/>
                <w:sz w:val="18"/>
                <w:szCs w:val="18"/>
                <w:color w:val="auto"/>
              </w:rPr>
              <w:t>Afshin Yazdian</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4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2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5"/>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Marc Manuel</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6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20"/>
                <w:szCs w:val="20"/>
                <w:color w:val="auto"/>
              </w:rPr>
            </w:pPr>
            <w:r>
              <w:rPr>
                <w:rFonts w:ascii="Arial" w:cs="Arial" w:eastAsia="Arial" w:hAnsi="Arial"/>
                <w:sz w:val="18"/>
                <w:szCs w:val="18"/>
                <w:color w:val="auto"/>
              </w:rPr>
              <w:t>William Gahan</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4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2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5"/>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1"/>
              </w:rPr>
              <w:t>Matthew Kearney</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6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2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4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2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5"/>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ind w:right="2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6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01"/>
        </w:trPr>
        <w:tc>
          <w:tcPr>
            <w:tcW w:w="3780" w:type="dxa"/>
            <w:vAlign w:val="bottom"/>
            <w:gridSpan w:val="3"/>
          </w:tcPr>
          <w:p>
            <w:pPr>
              <w:spacing w:after="0" w:line="201" w:lineRule="exact"/>
              <w:rPr>
                <w:sz w:val="20"/>
                <w:szCs w:val="20"/>
                <w:color w:val="auto"/>
              </w:rPr>
            </w:pPr>
            <w:r>
              <w:rPr>
                <w:rFonts w:ascii="Arial" w:cs="Arial" w:eastAsia="Arial" w:hAnsi="Arial"/>
                <w:sz w:val="18"/>
                <w:szCs w:val="18"/>
                <w:color w:val="auto"/>
              </w:rPr>
              <w:t>All post-Business Combination directors and</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gridSpan w:val="3"/>
          </w:tcPr>
          <w:p>
            <w:pPr>
              <w:spacing w:after="0"/>
              <w:rPr>
                <w:sz w:val="20"/>
                <w:szCs w:val="20"/>
                <w:color w:val="auto"/>
              </w:rPr>
            </w:pPr>
            <w:r>
              <w:rPr>
                <w:rFonts w:ascii="Arial" w:cs="Arial" w:eastAsia="Arial" w:hAnsi="Arial"/>
                <w:sz w:val="18"/>
                <w:szCs w:val="18"/>
                <w:color w:val="auto"/>
              </w:rPr>
              <w:t>executive officers as a group ([ ] individuals)</w:t>
            </w:r>
          </w:p>
        </w:tc>
        <w:tc>
          <w:tcPr>
            <w:tcW w:w="1360" w:type="dxa"/>
            <w:vAlign w:val="bottom"/>
          </w:tcPr>
          <w:p>
            <w:pPr>
              <w:spacing w:after="0"/>
              <w:rPr>
                <w:sz w:val="19"/>
                <w:szCs w:val="19"/>
                <w:color w:val="auto"/>
              </w:rPr>
            </w:pPr>
          </w:p>
        </w:tc>
        <w:tc>
          <w:tcPr>
            <w:tcW w:w="19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4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2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5"/>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5% or greater beneficial owners</w:t>
            </w: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2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4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2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15"/>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ind w:right="2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60" w:type="dxa"/>
            <w:vAlign w:val="bottom"/>
            <w:gridSpan w:val="3"/>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2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60" w:type="dxa"/>
            <w:vAlign w:val="bottom"/>
            <w:gridSpan w:val="3"/>
          </w:tcPr>
          <w:p>
            <w:pPr>
              <w:ind w:left="14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20"/>
              <w:spacing w:after="0"/>
              <w:rPr>
                <w:sz w:val="20"/>
                <w:szCs w:val="20"/>
                <w:color w:val="auto"/>
              </w:rPr>
            </w:pPr>
            <w:r>
              <w:rPr>
                <w:rFonts w:ascii="Arial" w:cs="Arial" w:eastAsia="Arial" w:hAnsi="Arial"/>
                <w:sz w:val="18"/>
                <w:szCs w:val="18"/>
                <w:color w:val="auto"/>
                <w:w w:val="97"/>
              </w:rPr>
              <w:t>[●]%</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60" w:right="20" w:hanging="652"/>
        <w:spacing w:after="0" w:line="257"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Priority Technology Holdings, Inc., 2001 Westside Parkway, Alpharetta, GA 30004.</w:t>
      </w:r>
    </w:p>
    <w:p>
      <w:pPr>
        <w:spacing w:after="0" w:line="1" w:lineRule="exact"/>
        <w:rPr>
          <w:rFonts w:ascii="Arial" w:cs="Arial" w:eastAsia="Arial" w:hAnsi="Arial"/>
          <w:sz w:val="18"/>
          <w:szCs w:val="18"/>
          <w:color w:val="auto"/>
        </w:rPr>
      </w:pPr>
    </w:p>
    <w:p>
      <w:pPr>
        <w:jc w:val="both"/>
        <w:ind w:left="660" w:hanging="652"/>
        <w:spacing w:after="0" w:line="270" w:lineRule="auto"/>
        <w:tabs>
          <w:tab w:leader="none" w:pos="6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Reflects [●] shares of our common stock directly held by Priority Investment Holdings, LLC and [●] shares of our common stock directly held by Priority Incentive Equity Holdings, LLC. Thomas Priore and John Priore are co-managing members of Priority Investment Holdings, LLC, which is the non-member manager of Priority Incentive Equity Holdings, LLC. Each of Thomas Priore and John Priore may be deemed to beneficially own such shares directly or indirectly controlled by him. The address of Thomas Priore and John Priore and each of the other entities listed in this footnote is c/o Priority Technology Holdings, Inc., 2001 Westside Parkway, Alpharetta, GA 30004.</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$8,600, or approximately $0.02 per share, to M SPAC Holdings I LLC and M SPAC Holdings II LLC, each of which is controlled by Joshua Sason.</w:t>
      </w:r>
    </w:p>
    <w:p>
      <w:pPr>
        <w:spacing w:after="0" w:line="18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 SPAC LLC, M SPAC Holdings I LLC and M SPAC Holdings II LLC, entities controlled by Joshua Sason, our Chief Executive Officer, purchased, pursuant to written purchase agreements with us, 402,500 private units for a purchase price of $10.00 per private unit, generating total proceeds of $4,025,000. These purchases took place on a private placement basis simultaneously with the consummation of the IPO. Simultaneously with the purchase of units resulting from the exercise of the over-allotment option by the underwriters, M SPAC LLC, M SPAC Holdings I LLC and M SPAC Holdings II LLC purchased an additional 18,607 private units at a price of $10.00 per unit. In light of the of the amount of consideration paid for the foregoing securities, M I Acquisitions’ directors and officers will likely benefit from the completion of the Business Combination, even if the Business Combination causes the market price of M I Acquisitions’ securities to significantly decrease. The likely benefit to M I Acquisitions’ directors and officers may influence their motivation for promoting the Business Combination and/or soliciting proxies for the approval of the Business Combination Proposal.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the absence of stockholder approval for a further extension, if M I Acquisitions does not consummate the Business Combination by [________], 2018, we</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will be required to dissolve and liquidate and the securities held by our insiders will be worthless because such holders have agreed to waive their rights to any liquidation distributions.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maintain our principal executive offices at 40 Wall Street, 58th Floor, New York, NY 10005. The cost for this space is included in an Administration Fee that we pay to Magna Management for office space, utilities and secretarial services. The Magna Administration Agreement provides that commencing on the date that our securities were first listed on the Nasdaq Capital Market and until we consummate a “business combination,” such office space, as well as utilities and secretarial services, will be made available to us as may be required from time to time. The Business Combination will constitute a business combination for such purposes. We believe that the Administration Fee charged by Magna Management is at least as favorable as we could have obtained from an unaffiliated person. We consider our current office space, combined with the other office space otherwise available to our executive officers, adequate for our current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0" w:name="page191"/>
    <w:bookmarkEnd w:id="190"/>
    <w:p>
      <w:pPr>
        <w:jc w:val="both"/>
        <w:spacing w:after="0" w:line="275"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 of Priority</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Priority had a management services agreement and an annual bonus payout with Comvest. For the years ended December 31, 2016 and 2015, Priority incurred a total of $339,150 and $362,917, respectively, for such costs.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Priority has a management services agreement and an annual bonus payout with PSD Partners, whose Managing Member is Thomas Priore, who is the Executive Chairman and majority owner of Priority Holdings, LLC. For the years ended December 31, 2017, 2016 and 2015, Priority incurred a total of $850,600, $838,758 and $835,811, respectively, for costs related to management services fees, annual bonus payout and occupancy fees.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DESCRIPTION OF M I ACQUISITIONS’ SECURITIES</w:t>
      </w:r>
    </w:p>
    <w:p>
      <w:pPr>
        <w:spacing w:after="0" w:line="227" w:lineRule="exact"/>
        <w:rPr>
          <w:sz w:val="20"/>
          <w:szCs w:val="20"/>
          <w:color w:val="auto"/>
        </w:rPr>
      </w:pPr>
    </w:p>
    <w:p>
      <w:pPr>
        <w:ind w:right="560"/>
        <w:spacing w:after="0" w:line="300" w:lineRule="auto"/>
        <w:rPr>
          <w:sz w:val="20"/>
          <w:szCs w:val="20"/>
          <w:color w:val="auto"/>
        </w:rPr>
      </w:pPr>
      <w:r>
        <w:rPr>
          <w:rFonts w:ascii="Arial" w:cs="Arial" w:eastAsia="Arial" w:hAnsi="Arial"/>
          <w:sz w:val="16"/>
          <w:szCs w:val="16"/>
          <w:color w:val="auto"/>
        </w:rPr>
        <w:t>The following summary of the material terms of the post-combination company’s securities following the Business Combination is not intended to be a complete summary of the rights and preferences of such securities. The full text of the Proposed Amended and Restated Certificate of Incorporation is included in Annex E to this proxy statement. We urge you to read the Proposed Amended and Restated Certificate of Incorporation in its entirety for a complete description of the rights and preferences of the post-combination company’s securities following the Business Combination.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Current Certificate of Incorporation currently authorizes the issuance of 30,000,000 shares of common stock, par value $0.001, and 1,000,000 shares of preferred stock, par value $0.001. As of the date of this proxy statement, [7,058,743] shares of common stock are outstanding, held by [●] stockholders of record. No shares of preferred stock are currently outstanding. If Proposal No. 2 is approved, our authorized capital stock will consist of 1,000,000,000 shares of common stock and 100,000,000 shares of preferred stock.</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description summarizes all of the material terms of M I Acquisitions’ securities. Because it is only a summary, it may not contain all of the information that is important to you. The description of the Proposed Amended and Restated Certificate of Incorporation is qualified by reference in its entirety by the form of such document included at Annex E to this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Each unit consists of one share of common stock and one warrant.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Common stock</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stockholders of record are entitled to one vote for each share held on all matters to be voted on by stockholders. In connection with any vote held to approve the Business Combination, M I Acquisitions’ insiders, officers and directors have agreed to vote their respective shares of common stock owned by them in favor of the Business Combination.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 I Acquisitions will consummate the Business Combination only if Public Stockholders do not exercise conversion rights in an amount that would cause its net tangible assets to be less than $5,000,0001 and a majority of the outstanding shares of common stock voted are voted in favor of the Business Combination.</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Assuming approval of Proposal No. 3, the board of directors will be declassified such that following the Business Combination there will be one class of directors without staggered terms of office. There is no cumulative voting with respect to the election of directors, with the result that the holders of more than 50% of the shares eligible to vote for the election of directors can elect all of the directors.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our certificate of incorporation, if we do not consummate our initial business combination within 18 months from the closing of the IPO (or 21 months from the closing of the IPO if we extend the period of time necessary to complete an initial business combination),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 and private shares.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2" w:name="page193"/>
    <w:bookmarkEnd w:id="192"/>
    <w:p>
      <w:pPr>
        <w:jc w:val="both"/>
        <w:spacing w:after="0" w:line="287" w:lineRule="auto"/>
        <w:rPr>
          <w:sz w:val="20"/>
          <w:szCs w:val="20"/>
          <w:color w:val="auto"/>
        </w:rPr>
      </w:pPr>
      <w:r>
        <w:rPr>
          <w:rFonts w:ascii="Arial" w:cs="Arial" w:eastAsia="Arial" w:hAnsi="Arial"/>
          <w:sz w:val="16"/>
          <w:szCs w:val="16"/>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certificate of incorporation authorizes the issuance of 1,000,000 shares of preferred stock with such designation, rights and preferences as may be determined from time to time by our board of directors. As noted above, if Proposal No. 2 is approved, our authorized capital stock will consist include 100,000,000 shares of preferred stock. There are no shares of preferred stock outstanding.</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Accordingly, our board of directors is empowered, without stockholder approval, to issue preferred shares with dividend, liquidation, redemption, voting or other rights which could adversely affect the voting power or other rights of the holders of common stock. We may issue some or all of the preferred shares to effect a business combination. In addition, the preferred shares could be utilized as a method of discouraging, delaying or preventing a change in control of us. Although we do not currently intend to issue any preferred shares, we cannot assure you that we will not do so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Included as Part of Units</w:t>
      </w:r>
    </w:p>
    <w:p>
      <w:pPr>
        <w:spacing w:after="0" w:line="227"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Each public and private warrant entitles the registered holder to purchase one share of our common stock at a price of $11.50 per share, subject to adjustment as discussed below, at any time commencing 30 days after the completion of our initial business combination. The public and private warrants will expire five years after the date on which they first became exercisable, at 5:00 p.m., New York time, or earlier upon redemption or liquidation.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Once the warrants become exercisable, we may redeem the outstanding warrants (except as described herein with respect to the private warrants):</w:t>
      </w:r>
    </w:p>
    <w:p>
      <w:pPr>
        <w:spacing w:after="0" w:line="235" w:lineRule="exact"/>
        <w:rPr>
          <w:sz w:val="20"/>
          <w:szCs w:val="20"/>
          <w:color w:val="auto"/>
        </w:rPr>
      </w:pPr>
    </w:p>
    <w:p>
      <w:pPr>
        <w:ind w:left="660" w:hanging="330"/>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3" w:name="page194"/>
    <w:bookmarkEnd w:id="193"/>
    <w:p>
      <w:pPr>
        <w:jc w:val="both"/>
        <w:spacing w:after="0" w:line="270"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w:t>
      </w:r>
    </w:p>
    <w:p>
      <w:pPr>
        <w:spacing w:after="0" w:line="17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agreed that as soon as practicable, but in no event later than thirty (30) business days, after the closing of our initial business combination, we will use our best efforts to file with the SEC a registration statement for the registration, under the Securities Act, of the shares of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In addition, we have agreed to use our best efforts to register the shares of common stock that are issuable upon exercise of the public and private warrants under state blue sky laws, to the extent an exemption is not available. Notwithstanding the foregoing, if a registration statement covering the shares of common stock issuable upon exercise of the public and private warrants has not been declared effective by the 90th business day following the closing of our initial business combination and during any period when we shall have failed to maintain an effective registration statement, public and private warrant holders may, until such time as there is an effective registration statement, exercise the public and private warrants on a cashless basis pursuant to the exemption provided by Section 3(a)(9) of the Securities Act.</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warrant agreement between us and American Stock Transfer &amp; Trust Company, LLC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4" w:name="page195"/>
    <w:bookmarkEnd w:id="194"/>
    <w:p>
      <w:pPr>
        <w:jc w:val="both"/>
        <w:spacing w:after="0" w:line="306"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down to the nearest whole number the number of shares of to be issued to the warrant holder.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Option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sold to Chardan Capital Markets, LLC, the underwriter for the IPO, an option to purchase up to a total of 300,000 units at $12.00 per unit. The units issuable upon exercise of this option are identical to those offered in the IPO. Accordingly, after the Business Combination, shares of the purchase option will be to purchase 300,000 shares of common stock and 300,000 warrants to purchase 300,000 shares for the same aggregate purchase price. In no event will we be required to net cash settle the exercise of the purchase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M I Acquisitions has not paid any cash dividends on its common stock to date and does not intend to pay cash dividends prior to the completion of a business combination. The payment of cash dividends in the future will be dependent upon M I Acquisitions’ revenues and earnings, if any, capital requirements and general financial condition subsequent to completion of a business combination. The payment of any dividends subsequent to a business combination will be within the discretion of its then board of directors. It is the present intention of M I Acquisitions’ board of directors to retain all earnings, if any, for use in its business operations and, accordingly, M I Acquisitions’ board does not anticipate declaring any dividends in the foreseeable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Transfer Agent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M I Acquisitions’ securities is American Stock Transfer &amp; Trust Company, LLC, 6201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 Brooklyn, NY 11219.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are currently subject to the provisions of Section 203 of the DGCL, regulating corporate takeovers. Assuming the approval of Proposal No. 5 at the Special Meeting, we will no longer be subject to Section 203. Instead, the Company will be subject to a provision in the Proposed Amended and Restated Certificate of Incorporation that is substantially similar to Section 203 of the DGCL, but that excludes the Sellers and each of their respective successors, affiliates and transferees from the definition of “interested stockholder,” and to make certain related changes.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w:t>
      </w:r>
    </w:p>
    <w:p>
      <w:pPr>
        <w:spacing w:after="0" w:line="182" w:lineRule="exact"/>
        <w:rPr>
          <w:sz w:val="20"/>
          <w:szCs w:val="20"/>
          <w:color w:val="auto"/>
        </w:rPr>
      </w:pPr>
    </w:p>
    <w:p>
      <w:pPr>
        <w:ind w:left="660" w:hanging="330"/>
        <w:spacing w:after="0" w:line="275"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before such stockholder becomes an “interested stockholder,” the board of directors approves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hanging="330"/>
        <w:spacing w:after="0" w:line="340" w:lineRule="auto"/>
        <w:tabs>
          <w:tab w:leader="none" w:pos="6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w:t>
      </w:r>
    </w:p>
    <w:p>
      <w:pPr>
        <w:spacing w:after="0" w:line="123" w:lineRule="exact"/>
        <w:rPr>
          <w:rFonts w:ascii="Arial" w:cs="Arial" w:eastAsia="Arial" w:hAnsi="Arial"/>
          <w:sz w:val="16"/>
          <w:szCs w:val="16"/>
          <w:color w:val="auto"/>
        </w:rPr>
      </w:pPr>
    </w:p>
    <w:p>
      <w:pPr>
        <w:ind w:left="660" w:hanging="330"/>
        <w:spacing w:after="0" w:line="275"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at the time or after the stockholder became an interested stockholder, the board of directors and at least two-thirds (66 2/3%) of the disinterested outstanding voting stock of the corporation approves the transaction.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Proposed Amended and Restated Certificate of Incorporation will contain provisions that have the same effect as Section 203, except that they provide that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and/or immediately following the Business Combination these parties will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After completion of the Business Combination, the Sellers will hold approximately [91%] of our outstanding shares of common stock, all of which will be issued to the Sellers in a private placement exempt from registration under the Securities Act pursuant to Section 4(a)(2) thereunder because the securities are being issued to two accredited investors in a transaction not involving a public offering. Such securities will therefore be considered to be restricted securities pursuant to Rule 144 promulgated under the Securities Act. Sales of substantial amounts of the shares of our common stock held by the Sellers or their respective transferees in the public market, or the perception that such sales could occur, could adversely affect the prevailing market price of our common stock and our future ability to raise capital through the sale of our equity securities.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Restricted securities may be sold in the public market only if registered or if they qualify for an exemption from registration under Rule 144 under the Securities Act. Accordingly, the shares held by the Initial Stockholders and the shares to be issued to the Sellers in connection with the Business Combination would be eligible for public sale only if registered under the Securities Act or sold in accordance with an exemption from the registration requirements of the Securities Act, such as Rule 144.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certain registration rights granted to the Sellers in connection with the Business Combination, they and their transferees will have an unlimited number of “demand” registration rights as well as customary “piggyback” registration rights. See the section entitled “The Purchase Agreement</w:t>
      </w:r>
    </w:p>
    <w:p>
      <w:pPr>
        <w:jc w:val="both"/>
        <w:spacing w:after="0" w:line="254" w:lineRule="auto"/>
        <w:rPr>
          <w:sz w:val="20"/>
          <w:szCs w:val="20"/>
          <w:color w:val="auto"/>
        </w:rPr>
      </w:pPr>
      <w:r>
        <w:rPr>
          <w:rFonts w:ascii="Arial" w:cs="Arial" w:eastAsia="Arial" w:hAnsi="Arial"/>
          <w:sz w:val="18"/>
          <w:szCs w:val="18"/>
          <w:color w:val="auto"/>
        </w:rPr>
        <w:t>— Registration Rights Agreement.” In addition, we are a party to a registration rights agreement with the Initial Stockholders pursuant to which they have the right to up to two “demand” registrations as well as customary “piggyback” registration rights. See “Special Meeting of M I Acquisitions Stockholders — M I Acquisitions Initial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Holders of our shares will generally not be permitted to avail themselves of the exemption from registration under the Securities Act set forth in Rule 144 for a period of 12 months following completion of the Business Combination. After such period has expired, in general, a person who has beneficially owned restricted shares of our common stock for at least six months would be entitled to sell their securities provided that (i) such person is not deemed to have been one of our affiliates at the time of, or at any time during the 90 days preceding, a sale, (ii) we continue to be subject to the Exchange Act periodic reporting requirements and (iii) we have filed all reports and material required to be filed under the Exchange Act during the preceding 12 months, other than current reports on Form 8-K. Persons who otherwise satisfy such requirements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76" w:lineRule="exact"/>
        <w:rPr>
          <w:sz w:val="20"/>
          <w:szCs w:val="20"/>
          <w:color w:val="auto"/>
        </w:rPr>
      </w:pPr>
    </w:p>
    <w:p>
      <w:pPr>
        <w:ind w:left="660" w:hanging="330"/>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or</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for the four calendar weeks prior to the sale,</w:t>
      </w:r>
    </w:p>
    <w:p>
      <w:pPr>
        <w:spacing w:after="0" w:line="22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must also comply with the manner of sale, current public information and notice provisions of Rule 144.</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EXPERTS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consolidated financial statements of Priority Holdings, LLC and Subsidiaries as of December 31, 2017 and 2016 and for each of the years in the three-year period ended December 31, 2017 have been audited by RSM US LLP, an independent registered public accounting firm, as stated in their report thereon (which report expresses an unqualified opinion and includes an explanatory paragraph relating to the Purchase Agreement entered into with M I Acquisitions, Inc.) and included in this proxy statement in reliance upon such report and upon the authority of such firm as experts in accounting and auditing.</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financial statements of M I Acquisitions as of December 31, 2017 and 2016 and the related statements of operations, stockholders’ equity and cash flow for the years then ended included in this proxy statement have been audited by Marcum LLP, an independent registered public accounting firm, to the extent set forth in their report appearing elsewhere in this proxy statement and are included herein in reliance upon the authority of the said firm as experts in accounting and auditing.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STOCKHOLDER PROPOSALS AND OTHER MATTERS</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Stockholders who wish to present proposals for inclusion in the Company’s proxy materials for the next Annual Meeting of Stockholders may do so by following the procedures prescribed in Rule 14a-8 under the Securities Exchange Act of 1934, as amended. To be eligible, the stockholder proposals must be received by our Secretary at our principal executive office on or before [__________], 2018. Under SEC rules, you must have continuously held for at least</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one year prior to the submission of the proposal (and continue to hold through the date of the meeting) at least $2,000 in market value, or 1%, of our outstanding stock in order to submit a proposal which you seek to have included in the Company’s proxy materials. We may, subject to SEC review and guidelines, decline to include any proposal in our proxy materials.</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Stockholders who wish to make a proposal at the next Annual Meeting, other than one that will be included in our proxy materials, must notify us no later than [_________], 2019. If a stockholder who wishes to present a proposal fails to notify us by [________], 2019, the proxies that management solicits for the meeting will confer discretionary authority to vote on the stockholder’s proposal if it is properly brought before the meeting.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 I Acquisitions is subject to the informational requirements of the Securities Exchange Act, and is required to file reports, any proxy statements and other information with the Securities and Exchange Commission. Any reports, statements or other information that M I Acquisitions files with the Securities and Exchange Commission, including this proxy statement, may be inspected and copied at the public reference facilities maintained by the Securities and Exchange Commission at 100 F Street, N.E., Room 1580, Washington, D.C. 20549. Copies of this material can also be obtained upon written request from the Public Reference Section of the Securities and Exchange Commission at its principal office in Washington, D.C. 20549, at prescribed rates or from its website on the Internet at www.sec.gov, free of charge. Please call the Securities and Exchange Commission at 1-800-SEC-0330 for further information on public reference rooms.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Neither M I Acquisitions nor Priority has authorized anyone to provide you with information that differs from that contained in this proxy statement. You should not assume that the information contained in this proxy statement is accurate as on any date other than the date of this proxy statement, and neither the mailing of this proxy statement to M I Acquisitions stockholders nor the consummation of the Business Combination shall create any implication to the contrary.</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proxy statement does not constitute an offer to sell, or a solicitation of an offer to buy, any securities, or the solicitation of a proxy, in any jurisdiction to or from any person to whom it is not lawful to make any such offer or solicitation in such jurisdiction.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160" w:type="dxa"/>
            <w:vAlign w:val="bottom"/>
            <w:gridSpan w:val="12"/>
          </w:tcPr>
          <w:p>
            <w:pPr>
              <w:jc w:val="center"/>
              <w:ind w:right="2020"/>
              <w:spacing w:after="0"/>
              <w:rPr>
                <w:sz w:val="20"/>
                <w:szCs w:val="20"/>
                <w:color w:val="auto"/>
              </w:rPr>
            </w:pPr>
            <w:r>
              <w:rPr>
                <w:rFonts w:ascii="Arial" w:cs="Arial" w:eastAsia="Arial" w:hAnsi="Arial"/>
                <w:sz w:val="18"/>
                <w:szCs w:val="18"/>
                <w:b w:val="1"/>
                <w:bCs w:val="1"/>
                <w:color w:val="auto"/>
              </w:rPr>
              <w:t>INDEX TO FINANCIAL STATEMENTS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67"/>
        </w:trPr>
        <w:tc>
          <w:tcPr>
            <w:tcW w:w="10300" w:type="dxa"/>
            <w:vAlign w:val="bottom"/>
            <w:gridSpan w:val="19"/>
          </w:tcPr>
          <w:p>
            <w:pPr>
              <w:spacing w:after="0"/>
              <w:rPr>
                <w:sz w:val="20"/>
                <w:szCs w:val="20"/>
                <w:color w:val="auto"/>
              </w:rPr>
            </w:pPr>
            <w:r>
              <w:rPr>
                <w:rFonts w:ascii="Arial" w:cs="Arial" w:eastAsia="Arial" w:hAnsi="Arial"/>
                <w:sz w:val="22"/>
                <w:szCs w:val="22"/>
                <w:b w:val="1"/>
                <w:bCs w:val="1"/>
                <w:color w:val="auto"/>
              </w:rPr>
              <w:t>M I ACQUISITIONS, INC.</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0"/>
        </w:trPr>
        <w:tc>
          <w:tcPr>
            <w:tcW w:w="10300" w:type="dxa"/>
            <w:vAlign w:val="bottom"/>
            <w:gridSpan w:val="19"/>
          </w:tcPr>
          <w:p>
            <w:pPr>
              <w:spacing w:after="0"/>
              <w:rPr>
                <w:sz w:val="20"/>
                <w:szCs w:val="20"/>
                <w:color w:val="auto"/>
              </w:rPr>
            </w:pPr>
            <w:r>
              <w:rPr>
                <w:rFonts w:ascii="Arial" w:cs="Arial" w:eastAsia="Arial" w:hAnsi="Arial"/>
                <w:sz w:val="18"/>
                <w:szCs w:val="18"/>
                <w:color w:val="auto"/>
              </w:rPr>
              <w:t>For the three months ended March 31, 2018</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09"/>
        </w:trPr>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75"/>
        </w:trPr>
        <w:tc>
          <w:tcPr>
            <w:tcW w:w="1100" w:type="dxa"/>
            <w:vAlign w:val="bottom"/>
            <w:gridSpan w:val="2"/>
            <w:shd w:val="clear" w:color="auto" w:fill="CCEEFF"/>
          </w:tcPr>
          <w:p>
            <w:pPr>
              <w:spacing w:after="0" w:line="175" w:lineRule="exact"/>
              <w:rPr>
                <w:rFonts w:ascii="Arial" w:cs="Arial" w:eastAsia="Arial" w:hAnsi="Arial"/>
                <w:sz w:val="18"/>
                <w:szCs w:val="18"/>
                <w:color w:val="0000EE"/>
                <w:w w:val="85"/>
              </w:rPr>
            </w:pPr>
            <w:hyperlink w:anchor="page201">
              <w:r>
                <w:rPr>
                  <w:rFonts w:ascii="Arial" w:cs="Arial" w:eastAsia="Arial" w:hAnsi="Arial"/>
                  <w:sz w:val="18"/>
                  <w:szCs w:val="18"/>
                  <w:color w:val="0000EE"/>
                  <w:w w:val="85"/>
                </w:rPr>
                <w:t>Balance Sheets</w:t>
              </w:r>
            </w:hyperlink>
          </w:p>
        </w:tc>
        <w:tc>
          <w:tcPr>
            <w:tcW w:w="9200" w:type="dxa"/>
            <w:vAlign w:val="bottom"/>
            <w:gridSpan w:val="17"/>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40"/>
              <w:spacing w:after="0" w:line="175" w:lineRule="exact"/>
              <w:rPr>
                <w:rFonts w:ascii="Arial" w:cs="Arial" w:eastAsia="Arial" w:hAnsi="Arial"/>
                <w:sz w:val="18"/>
                <w:szCs w:val="18"/>
                <w:color w:val="0000EE"/>
                <w:w w:val="88"/>
              </w:rPr>
            </w:pPr>
            <w:hyperlink w:anchor="page201">
              <w:r>
                <w:rPr>
                  <w:rFonts w:ascii="Arial" w:cs="Arial" w:eastAsia="Arial" w:hAnsi="Arial"/>
                  <w:sz w:val="18"/>
                  <w:szCs w:val="18"/>
                  <w:color w:val="0000EE"/>
                  <w:w w:val="88"/>
                </w:rPr>
                <w:t>F-2</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02">
              <w:r>
                <w:rPr>
                  <w:rFonts w:ascii="Arial" w:cs="Arial" w:eastAsia="Arial" w:hAnsi="Arial"/>
                  <w:sz w:val="18"/>
                  <w:szCs w:val="18"/>
                  <w:color w:val="0000EE"/>
                </w:rPr>
                <w:t>Statements of Operations</w:t>
              </w:r>
            </w:hyperlink>
          </w:p>
        </w:tc>
        <w:tc>
          <w:tcPr>
            <w:tcW w:w="440" w:type="dxa"/>
            <w:vAlign w:val="bottom"/>
          </w:tcPr>
          <w:p>
            <w:pPr>
              <w:spacing w:after="0"/>
              <w:rPr>
                <w:sz w:val="15"/>
                <w:szCs w:val="15"/>
                <w:color w:val="auto"/>
              </w:rPr>
            </w:pPr>
          </w:p>
        </w:tc>
        <w:tc>
          <w:tcPr>
            <w:tcW w:w="680" w:type="dxa"/>
            <w:vAlign w:val="bottom"/>
            <w:gridSpan w:val="2"/>
          </w:tcPr>
          <w:p>
            <w:pPr>
              <w:jc w:val="center"/>
              <w:ind w:right="440"/>
              <w:spacing w:after="0" w:line="175" w:lineRule="exact"/>
              <w:rPr>
                <w:rFonts w:ascii="Arial" w:cs="Arial" w:eastAsia="Arial" w:hAnsi="Arial"/>
                <w:sz w:val="18"/>
                <w:szCs w:val="18"/>
                <w:color w:val="0000EE"/>
                <w:w w:val="88"/>
              </w:rPr>
            </w:pPr>
            <w:hyperlink w:anchor="page202">
              <w:r>
                <w:rPr>
                  <w:rFonts w:ascii="Arial" w:cs="Arial" w:eastAsia="Arial" w:hAnsi="Arial"/>
                  <w:sz w:val="18"/>
                  <w:szCs w:val="18"/>
                  <w:color w:val="0000EE"/>
                  <w:w w:val="88"/>
                </w:rPr>
                <w:t>F-3</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5"/>
        </w:trPr>
        <w:tc>
          <w:tcPr>
            <w:tcW w:w="103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Statements of Stockholders’ Equity</w:t>
            </w:r>
          </w:p>
        </w:tc>
        <w:tc>
          <w:tcPr>
            <w:tcW w:w="4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03">
              <w:r>
                <w:rPr>
                  <w:rFonts w:ascii="Arial" w:cs="Arial" w:eastAsia="Arial" w:hAnsi="Arial"/>
                  <w:sz w:val="18"/>
                  <w:szCs w:val="18"/>
                  <w:color w:val="0000EE"/>
                </w:rPr>
                <w:t>Statements of Cash Flows</w:t>
              </w:r>
            </w:hyperlink>
          </w:p>
        </w:tc>
        <w:tc>
          <w:tcPr>
            <w:tcW w:w="440" w:type="dxa"/>
            <w:vAlign w:val="bottom"/>
          </w:tcPr>
          <w:p>
            <w:pPr>
              <w:spacing w:after="0"/>
              <w:rPr>
                <w:sz w:val="15"/>
                <w:szCs w:val="15"/>
                <w:color w:val="auto"/>
              </w:rPr>
            </w:pPr>
          </w:p>
        </w:tc>
        <w:tc>
          <w:tcPr>
            <w:tcW w:w="680" w:type="dxa"/>
            <w:vAlign w:val="bottom"/>
            <w:gridSpan w:val="2"/>
          </w:tcPr>
          <w:p>
            <w:pPr>
              <w:jc w:val="center"/>
              <w:ind w:right="440"/>
              <w:spacing w:after="0" w:line="175" w:lineRule="exact"/>
              <w:rPr>
                <w:rFonts w:ascii="Arial" w:cs="Arial" w:eastAsia="Arial" w:hAnsi="Arial"/>
                <w:sz w:val="18"/>
                <w:szCs w:val="18"/>
                <w:color w:val="0000EE"/>
                <w:w w:val="88"/>
              </w:rPr>
            </w:pPr>
            <w:hyperlink w:anchor="page203">
              <w:r>
                <w:rPr>
                  <w:rFonts w:ascii="Arial" w:cs="Arial" w:eastAsia="Arial" w:hAnsi="Arial"/>
                  <w:sz w:val="18"/>
                  <w:szCs w:val="18"/>
                  <w:color w:val="0000EE"/>
                  <w:w w:val="88"/>
                </w:rPr>
                <w:t>F-4</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2160" w:type="dxa"/>
            <w:vAlign w:val="bottom"/>
            <w:gridSpan w:val="5"/>
            <w:shd w:val="clear" w:color="auto" w:fill="CCEEFF"/>
          </w:tcPr>
          <w:p>
            <w:pPr>
              <w:spacing w:after="0" w:line="175" w:lineRule="exact"/>
              <w:rPr>
                <w:rFonts w:ascii="Arial" w:cs="Arial" w:eastAsia="Arial" w:hAnsi="Arial"/>
                <w:sz w:val="18"/>
                <w:szCs w:val="18"/>
                <w:color w:val="0000EE"/>
                <w:w w:val="89"/>
              </w:rPr>
            </w:pPr>
            <w:hyperlink w:anchor="page204">
              <w:r>
                <w:rPr>
                  <w:rFonts w:ascii="Arial" w:cs="Arial" w:eastAsia="Arial" w:hAnsi="Arial"/>
                  <w:sz w:val="18"/>
                  <w:szCs w:val="18"/>
                  <w:color w:val="0000EE"/>
                  <w:w w:val="89"/>
                </w:rPr>
                <w:t>Notes to Financial Statements</w:t>
              </w:r>
            </w:hyperlink>
          </w:p>
        </w:tc>
        <w:tc>
          <w:tcPr>
            <w:tcW w:w="8140" w:type="dxa"/>
            <w:vAlign w:val="bottom"/>
            <w:gridSpan w:val="14"/>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40"/>
              <w:spacing w:after="0" w:line="175" w:lineRule="exact"/>
              <w:rPr>
                <w:rFonts w:ascii="Arial" w:cs="Arial" w:eastAsia="Arial" w:hAnsi="Arial"/>
                <w:sz w:val="18"/>
                <w:szCs w:val="18"/>
                <w:color w:val="0000EE"/>
                <w:w w:val="88"/>
              </w:rPr>
            </w:pPr>
            <w:hyperlink w:anchor="page204">
              <w:r>
                <w:rPr>
                  <w:rFonts w:ascii="Arial" w:cs="Arial" w:eastAsia="Arial" w:hAnsi="Arial"/>
                  <w:sz w:val="18"/>
                  <w:szCs w:val="18"/>
                  <w:color w:val="0000EE"/>
                  <w:w w:val="88"/>
                </w:rPr>
                <w:t>F-5</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430"/>
        </w:trPr>
        <w:tc>
          <w:tcPr>
            <w:tcW w:w="10300" w:type="dxa"/>
            <w:vAlign w:val="bottom"/>
            <w:gridSpan w:val="19"/>
          </w:tcPr>
          <w:p>
            <w:pPr>
              <w:spacing w:after="0"/>
              <w:rPr>
                <w:sz w:val="20"/>
                <w:szCs w:val="20"/>
                <w:color w:val="auto"/>
              </w:rPr>
            </w:pPr>
            <w:r>
              <w:rPr>
                <w:rFonts w:ascii="Arial" w:cs="Arial" w:eastAsia="Arial" w:hAnsi="Arial"/>
                <w:sz w:val="18"/>
                <w:szCs w:val="18"/>
                <w:color w:val="auto"/>
              </w:rPr>
              <w:t>For the year ended December 31, 2017</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09"/>
        </w:trPr>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75"/>
        </w:trPr>
        <w:tc>
          <w:tcPr>
            <w:tcW w:w="10300" w:type="dxa"/>
            <w:vAlign w:val="bottom"/>
            <w:gridSpan w:val="19"/>
            <w:shd w:val="clear" w:color="auto" w:fill="CCEEFF"/>
          </w:tcPr>
          <w:p>
            <w:pPr>
              <w:spacing w:after="0" w:line="175" w:lineRule="exact"/>
              <w:rPr>
                <w:rFonts w:ascii="Arial" w:cs="Arial" w:eastAsia="Arial" w:hAnsi="Arial"/>
                <w:sz w:val="18"/>
                <w:szCs w:val="18"/>
                <w:color w:val="0000EE"/>
              </w:rPr>
            </w:pPr>
            <w:hyperlink w:anchor="page213">
              <w:r>
                <w:rPr>
                  <w:rFonts w:ascii="Arial" w:cs="Arial" w:eastAsia="Arial" w:hAnsi="Arial"/>
                  <w:sz w:val="18"/>
                  <w:szCs w:val="18"/>
                  <w:color w:val="0000EE"/>
                </w:rPr>
                <w:t>Report of Independent Registered Public Accounting Firm— Marcum LLP</w:t>
              </w:r>
            </w:hyperlink>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13">
              <w:r>
                <w:rPr>
                  <w:rFonts w:ascii="Arial" w:cs="Arial" w:eastAsia="Arial" w:hAnsi="Arial"/>
                  <w:sz w:val="18"/>
                  <w:szCs w:val="18"/>
                  <w:color w:val="0000EE"/>
                  <w:w w:val="75"/>
                </w:rPr>
                <w:t>F-14</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0" w:type="dxa"/>
            <w:vAlign w:val="bottom"/>
            <w:gridSpan w:val="11"/>
          </w:tcPr>
          <w:p>
            <w:pPr>
              <w:spacing w:after="0" w:line="175" w:lineRule="exact"/>
              <w:rPr>
                <w:rFonts w:ascii="Arial" w:cs="Arial" w:eastAsia="Arial" w:hAnsi="Arial"/>
                <w:sz w:val="18"/>
                <w:szCs w:val="18"/>
                <w:color w:val="0000EE"/>
              </w:rPr>
            </w:pPr>
            <w:hyperlink w:anchor="page214">
              <w:r>
                <w:rPr>
                  <w:rFonts w:ascii="Arial" w:cs="Arial" w:eastAsia="Arial" w:hAnsi="Arial"/>
                  <w:sz w:val="18"/>
                  <w:szCs w:val="18"/>
                  <w:color w:val="0000EE"/>
                </w:rPr>
                <w:t>Balance Sheets</w:t>
              </w:r>
            </w:hyperlink>
          </w:p>
        </w:tc>
        <w:tc>
          <w:tcPr>
            <w:tcW w:w="4900" w:type="dxa"/>
            <w:vAlign w:val="bottom"/>
            <w:gridSpan w:val="8"/>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14">
              <w:r>
                <w:rPr>
                  <w:rFonts w:ascii="Arial" w:cs="Arial" w:eastAsia="Arial" w:hAnsi="Arial"/>
                  <w:sz w:val="18"/>
                  <w:szCs w:val="18"/>
                  <w:color w:val="0000EE"/>
                  <w:w w:val="75"/>
                </w:rPr>
                <w:t>F-15</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1820" w:type="dxa"/>
            <w:vAlign w:val="bottom"/>
            <w:gridSpan w:val="3"/>
            <w:shd w:val="clear" w:color="auto" w:fill="CCEEFF"/>
          </w:tcPr>
          <w:p>
            <w:pPr>
              <w:spacing w:after="0" w:line="175" w:lineRule="exact"/>
              <w:rPr>
                <w:rFonts w:ascii="Arial" w:cs="Arial" w:eastAsia="Arial" w:hAnsi="Arial"/>
                <w:sz w:val="18"/>
                <w:szCs w:val="18"/>
                <w:color w:val="0000EE"/>
                <w:w w:val="88"/>
              </w:rPr>
            </w:pPr>
            <w:hyperlink w:anchor="page215">
              <w:r>
                <w:rPr>
                  <w:rFonts w:ascii="Arial" w:cs="Arial" w:eastAsia="Arial" w:hAnsi="Arial"/>
                  <w:sz w:val="18"/>
                  <w:szCs w:val="18"/>
                  <w:color w:val="0000EE"/>
                  <w:w w:val="88"/>
                </w:rPr>
                <w:t>Statements of Operations</w:t>
              </w:r>
            </w:hyperlink>
          </w:p>
        </w:tc>
        <w:tc>
          <w:tcPr>
            <w:tcW w:w="8480" w:type="dxa"/>
            <w:vAlign w:val="bottom"/>
            <w:gridSpan w:val="16"/>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15">
              <w:r>
                <w:rPr>
                  <w:rFonts w:ascii="Arial" w:cs="Arial" w:eastAsia="Arial" w:hAnsi="Arial"/>
                  <w:sz w:val="18"/>
                  <w:szCs w:val="18"/>
                  <w:color w:val="0000EE"/>
                  <w:w w:val="75"/>
                </w:rPr>
                <w:t>F-16</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16">
              <w:r>
                <w:rPr>
                  <w:rFonts w:ascii="Arial" w:cs="Arial" w:eastAsia="Arial" w:hAnsi="Arial"/>
                  <w:sz w:val="18"/>
                  <w:szCs w:val="18"/>
                  <w:color w:val="0000EE"/>
                </w:rPr>
                <w:t>Statements of Stockholders’ Equity</w:t>
              </w:r>
            </w:hyperlink>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16">
              <w:r>
                <w:rPr>
                  <w:rFonts w:ascii="Arial" w:cs="Arial" w:eastAsia="Arial" w:hAnsi="Arial"/>
                  <w:sz w:val="18"/>
                  <w:szCs w:val="18"/>
                  <w:color w:val="0000EE"/>
                  <w:w w:val="75"/>
                </w:rPr>
                <w:t>F-17</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1880" w:type="dxa"/>
            <w:vAlign w:val="bottom"/>
            <w:gridSpan w:val="4"/>
            <w:shd w:val="clear" w:color="auto" w:fill="CCEEFF"/>
          </w:tcPr>
          <w:p>
            <w:pPr>
              <w:spacing w:after="0" w:line="175" w:lineRule="exact"/>
              <w:rPr>
                <w:rFonts w:ascii="Arial" w:cs="Arial" w:eastAsia="Arial" w:hAnsi="Arial"/>
                <w:sz w:val="18"/>
                <w:szCs w:val="18"/>
                <w:color w:val="0000EE"/>
                <w:w w:val="88"/>
              </w:rPr>
            </w:pPr>
            <w:hyperlink w:anchor="page217">
              <w:r>
                <w:rPr>
                  <w:rFonts w:ascii="Arial" w:cs="Arial" w:eastAsia="Arial" w:hAnsi="Arial"/>
                  <w:sz w:val="18"/>
                  <w:szCs w:val="18"/>
                  <w:color w:val="0000EE"/>
                  <w:w w:val="88"/>
                </w:rPr>
                <w:t>Statements of Cash Flows</w:t>
              </w:r>
            </w:hyperlink>
          </w:p>
        </w:tc>
        <w:tc>
          <w:tcPr>
            <w:tcW w:w="8420" w:type="dxa"/>
            <w:vAlign w:val="bottom"/>
            <w:gridSpan w:val="15"/>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17">
              <w:r>
                <w:rPr>
                  <w:rFonts w:ascii="Arial" w:cs="Arial" w:eastAsia="Arial" w:hAnsi="Arial"/>
                  <w:sz w:val="18"/>
                  <w:szCs w:val="18"/>
                  <w:color w:val="0000EE"/>
                  <w:w w:val="75"/>
                </w:rPr>
                <w:t>F-18</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160" w:type="dxa"/>
            <w:vAlign w:val="bottom"/>
            <w:gridSpan w:val="5"/>
          </w:tcPr>
          <w:p>
            <w:pPr>
              <w:spacing w:after="0" w:line="175" w:lineRule="exact"/>
              <w:rPr>
                <w:rFonts w:ascii="Arial" w:cs="Arial" w:eastAsia="Arial" w:hAnsi="Arial"/>
                <w:sz w:val="18"/>
                <w:szCs w:val="18"/>
                <w:color w:val="0000EE"/>
                <w:w w:val="89"/>
              </w:rPr>
            </w:pPr>
            <w:hyperlink w:anchor="page218">
              <w:r>
                <w:rPr>
                  <w:rFonts w:ascii="Arial" w:cs="Arial" w:eastAsia="Arial" w:hAnsi="Arial"/>
                  <w:sz w:val="18"/>
                  <w:szCs w:val="18"/>
                  <w:color w:val="0000EE"/>
                  <w:w w:val="89"/>
                </w:rPr>
                <w:t>Notes to Financial Statements</w:t>
              </w:r>
            </w:hyperlink>
          </w:p>
        </w:tc>
        <w:tc>
          <w:tcPr>
            <w:tcW w:w="8140" w:type="dxa"/>
            <w:vAlign w:val="bottom"/>
            <w:gridSpan w:val="14"/>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18">
              <w:r>
                <w:rPr>
                  <w:rFonts w:ascii="Arial" w:cs="Arial" w:eastAsia="Arial" w:hAnsi="Arial"/>
                  <w:sz w:val="18"/>
                  <w:szCs w:val="18"/>
                  <w:color w:val="0000EE"/>
                  <w:w w:val="75"/>
                </w:rPr>
                <w:t>F-19</w:t>
              </w:r>
            </w:hyperlink>
          </w:p>
        </w:tc>
      </w:tr>
      <w:tr>
        <w:trPr>
          <w:trHeight w:val="20"/>
        </w:trPr>
        <w:tc>
          <w:tcPr>
            <w:tcW w:w="36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1"/>
        </w:trPr>
        <w:tc>
          <w:tcPr>
            <w:tcW w:w="10300" w:type="dxa"/>
            <w:vAlign w:val="bottom"/>
            <w:gridSpan w:val="19"/>
          </w:tcPr>
          <w:p>
            <w:pPr>
              <w:spacing w:after="0"/>
              <w:rPr>
                <w:sz w:val="20"/>
                <w:szCs w:val="20"/>
                <w:color w:val="auto"/>
              </w:rPr>
            </w:pPr>
            <w:r>
              <w:rPr>
                <w:rFonts w:ascii="Arial" w:cs="Arial" w:eastAsia="Arial" w:hAnsi="Arial"/>
                <w:sz w:val="18"/>
                <w:szCs w:val="18"/>
                <w:color w:val="auto"/>
              </w:rPr>
              <w:t>PRIORITY HOLDINGS, LLC AND SUBSIDIARIES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0"/>
        </w:trPr>
        <w:tc>
          <w:tcPr>
            <w:tcW w:w="10300" w:type="dxa"/>
            <w:vAlign w:val="bottom"/>
            <w:gridSpan w:val="19"/>
          </w:tcPr>
          <w:p>
            <w:pPr>
              <w:spacing w:after="0"/>
              <w:rPr>
                <w:sz w:val="20"/>
                <w:szCs w:val="20"/>
                <w:color w:val="auto"/>
              </w:rPr>
            </w:pPr>
            <w:r>
              <w:rPr>
                <w:rFonts w:ascii="Arial" w:cs="Arial" w:eastAsia="Arial" w:hAnsi="Arial"/>
                <w:sz w:val="18"/>
                <w:szCs w:val="18"/>
                <w:color w:val="auto"/>
              </w:rPr>
              <w:t>For the three months ended March 31, 2018</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175"/>
        </w:trPr>
        <w:tc>
          <w:tcPr>
            <w:tcW w:w="10300" w:type="dxa"/>
            <w:vAlign w:val="bottom"/>
            <w:gridSpan w:val="19"/>
            <w:shd w:val="clear" w:color="auto" w:fill="CCEEFF"/>
          </w:tcPr>
          <w:p>
            <w:pPr>
              <w:spacing w:after="0" w:line="175" w:lineRule="exact"/>
              <w:rPr>
                <w:rFonts w:ascii="Arial" w:cs="Arial" w:eastAsia="Arial" w:hAnsi="Arial"/>
                <w:sz w:val="18"/>
                <w:szCs w:val="18"/>
                <w:color w:val="0000EE"/>
              </w:rPr>
            </w:pPr>
            <w:hyperlink w:anchor="page229">
              <w:r>
                <w:rPr>
                  <w:rFonts w:ascii="Arial" w:cs="Arial" w:eastAsia="Arial" w:hAnsi="Arial"/>
                  <w:sz w:val="18"/>
                  <w:szCs w:val="18"/>
                  <w:color w:val="0000EE"/>
                </w:rPr>
                <w:t>Unaudited Condensed Consolidated Balance Sheets as of March 31, 2018 and December 31, 2017</w:t>
              </w:r>
            </w:hyperlink>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29">
              <w:r>
                <w:rPr>
                  <w:rFonts w:ascii="Arial" w:cs="Arial" w:eastAsia="Arial" w:hAnsi="Arial"/>
                  <w:sz w:val="18"/>
                  <w:szCs w:val="18"/>
                  <w:color w:val="0000EE"/>
                  <w:w w:val="75"/>
                </w:rPr>
                <w:t>F-30</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30">
              <w:r>
                <w:rPr>
                  <w:rFonts w:ascii="Arial" w:cs="Arial" w:eastAsia="Arial" w:hAnsi="Arial"/>
                  <w:sz w:val="18"/>
                  <w:szCs w:val="18"/>
                  <w:color w:val="0000EE"/>
                </w:rPr>
                <w:t>Unaudited Condensed Consolidated Statements of Operations for the three months ended March 31, 2018 and 2017</w:t>
              </w:r>
            </w:hyperlink>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30">
              <w:r>
                <w:rPr>
                  <w:rFonts w:ascii="Arial" w:cs="Arial" w:eastAsia="Arial" w:hAnsi="Arial"/>
                  <w:sz w:val="18"/>
                  <w:szCs w:val="18"/>
                  <w:color w:val="0000EE"/>
                  <w:w w:val="75"/>
                </w:rPr>
                <w:t>F-31</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10300" w:type="dxa"/>
            <w:vAlign w:val="bottom"/>
            <w:gridSpan w:val="19"/>
            <w:shd w:val="clear" w:color="auto" w:fill="CCEEFF"/>
          </w:tcPr>
          <w:p>
            <w:pPr>
              <w:spacing w:after="0" w:line="175" w:lineRule="exact"/>
              <w:rPr>
                <w:rFonts w:ascii="Arial" w:cs="Arial" w:eastAsia="Arial" w:hAnsi="Arial"/>
                <w:sz w:val="18"/>
                <w:szCs w:val="18"/>
                <w:color w:val="0000EE"/>
                <w:w w:val="94"/>
              </w:rPr>
            </w:pPr>
            <w:hyperlink w:anchor="page231">
              <w:r>
                <w:rPr>
                  <w:rFonts w:ascii="Arial" w:cs="Arial" w:eastAsia="Arial" w:hAnsi="Arial"/>
                  <w:sz w:val="18"/>
                  <w:szCs w:val="18"/>
                  <w:color w:val="0000EE"/>
                  <w:w w:val="94"/>
                </w:rPr>
                <w:t>Unaudited Condensed Consolidated Statements of Changes in Members’ Equity (Deficit) for the three months ended March 31, 2018 and</w:t>
              </w:r>
            </w:hyperlink>
          </w:p>
        </w:tc>
        <w:tc>
          <w:tcPr>
            <w:tcW w:w="440" w:type="dxa"/>
            <w:vAlign w:val="bottom"/>
            <w:tcBorders>
              <w:right w:val="single" w:sz="8" w:color="CCEEFF"/>
            </w:tcBorders>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95"/>
        </w:trPr>
        <w:tc>
          <w:tcPr>
            <w:tcW w:w="360" w:type="dxa"/>
            <w:vAlign w:val="bottom"/>
            <w:tcBorders>
              <w:top w:val="single" w:sz="8" w:color="0000EE"/>
            </w:tcBorders>
            <w:shd w:val="clear" w:color="auto" w:fill="CCEEFF"/>
          </w:tcPr>
          <w:p>
            <w:pPr>
              <w:spacing w:after="0" w:line="195" w:lineRule="exact"/>
              <w:rPr>
                <w:rFonts w:ascii="Arial" w:cs="Arial" w:eastAsia="Arial" w:hAnsi="Arial"/>
                <w:sz w:val="18"/>
                <w:szCs w:val="18"/>
                <w:color w:val="0000EE"/>
                <w:w w:val="84"/>
              </w:rPr>
            </w:pPr>
            <w:hyperlink w:anchor="page231">
              <w:r>
                <w:rPr>
                  <w:rFonts w:ascii="Arial" w:cs="Arial" w:eastAsia="Arial" w:hAnsi="Arial"/>
                  <w:sz w:val="18"/>
                  <w:szCs w:val="18"/>
                  <w:color w:val="0000EE"/>
                  <w:w w:val="84"/>
                </w:rPr>
                <w:t>2017</w:t>
              </w:r>
            </w:hyperlink>
          </w:p>
        </w:tc>
        <w:tc>
          <w:tcPr>
            <w:tcW w:w="740" w:type="dxa"/>
            <w:vAlign w:val="bottom"/>
            <w:tcBorders>
              <w:top w:val="single" w:sz="8" w:color="0000EE"/>
            </w:tcBorders>
            <w:shd w:val="clear" w:color="auto" w:fill="CCEEFF"/>
          </w:tcPr>
          <w:p>
            <w:pPr>
              <w:spacing w:after="0"/>
              <w:rPr>
                <w:sz w:val="16"/>
                <w:szCs w:val="16"/>
                <w:color w:val="auto"/>
              </w:rPr>
            </w:pPr>
          </w:p>
        </w:tc>
        <w:tc>
          <w:tcPr>
            <w:tcW w:w="72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280" w:type="dxa"/>
            <w:vAlign w:val="bottom"/>
            <w:tcBorders>
              <w:top w:val="single" w:sz="8" w:color="0000EE"/>
            </w:tcBorders>
            <w:shd w:val="clear" w:color="auto" w:fill="CCEEFF"/>
          </w:tcPr>
          <w:p>
            <w:pPr>
              <w:spacing w:after="0"/>
              <w:rPr>
                <w:sz w:val="16"/>
                <w:szCs w:val="16"/>
                <w:color w:val="auto"/>
              </w:rPr>
            </w:pPr>
          </w:p>
        </w:tc>
        <w:tc>
          <w:tcPr>
            <w:tcW w:w="400" w:type="dxa"/>
            <w:vAlign w:val="bottom"/>
            <w:tcBorders>
              <w:top w:val="single" w:sz="8" w:color="0000EE"/>
            </w:tcBorders>
            <w:shd w:val="clear" w:color="auto" w:fill="CCEEFF"/>
          </w:tcPr>
          <w:p>
            <w:pPr>
              <w:spacing w:after="0"/>
              <w:rPr>
                <w:sz w:val="16"/>
                <w:szCs w:val="16"/>
                <w:color w:val="auto"/>
              </w:rPr>
            </w:pPr>
          </w:p>
        </w:tc>
        <w:tc>
          <w:tcPr>
            <w:tcW w:w="580" w:type="dxa"/>
            <w:vAlign w:val="bottom"/>
            <w:tcBorders>
              <w:top w:val="single" w:sz="8" w:color="0000EE"/>
            </w:tcBorders>
            <w:shd w:val="clear" w:color="auto" w:fill="CCEEFF"/>
          </w:tcPr>
          <w:p>
            <w:pPr>
              <w:spacing w:after="0"/>
              <w:rPr>
                <w:sz w:val="16"/>
                <w:szCs w:val="16"/>
                <w:color w:val="auto"/>
              </w:rPr>
            </w:pPr>
          </w:p>
        </w:tc>
        <w:tc>
          <w:tcPr>
            <w:tcW w:w="1060" w:type="dxa"/>
            <w:vAlign w:val="bottom"/>
            <w:tcBorders>
              <w:top w:val="single" w:sz="8" w:color="0000EE"/>
            </w:tcBorders>
            <w:shd w:val="clear" w:color="auto" w:fill="CCEEFF"/>
          </w:tcPr>
          <w:p>
            <w:pPr>
              <w:spacing w:after="0"/>
              <w:rPr>
                <w:sz w:val="16"/>
                <w:szCs w:val="16"/>
                <w:color w:val="auto"/>
              </w:rPr>
            </w:pPr>
          </w:p>
        </w:tc>
        <w:tc>
          <w:tcPr>
            <w:tcW w:w="440" w:type="dxa"/>
            <w:vAlign w:val="bottom"/>
            <w:tcBorders>
              <w:top w:val="single" w:sz="8" w:color="0000EE"/>
            </w:tcBorders>
            <w:shd w:val="clear" w:color="auto" w:fill="CCEEFF"/>
          </w:tcPr>
          <w:p>
            <w:pPr>
              <w:spacing w:after="0"/>
              <w:rPr>
                <w:sz w:val="16"/>
                <w:szCs w:val="16"/>
                <w:color w:val="auto"/>
              </w:rPr>
            </w:pPr>
          </w:p>
        </w:tc>
        <w:tc>
          <w:tcPr>
            <w:tcW w:w="400" w:type="dxa"/>
            <w:vAlign w:val="bottom"/>
            <w:tcBorders>
              <w:top w:val="single" w:sz="8" w:color="0000EE"/>
            </w:tcBorders>
            <w:shd w:val="clear" w:color="auto" w:fill="CCEEFF"/>
          </w:tcPr>
          <w:p>
            <w:pPr>
              <w:spacing w:after="0"/>
              <w:rPr>
                <w:sz w:val="16"/>
                <w:szCs w:val="16"/>
                <w:color w:val="auto"/>
              </w:rPr>
            </w:pPr>
          </w:p>
        </w:tc>
        <w:tc>
          <w:tcPr>
            <w:tcW w:w="360" w:type="dxa"/>
            <w:vAlign w:val="bottom"/>
            <w:tcBorders>
              <w:top w:val="single" w:sz="8" w:color="0000EE"/>
            </w:tcBorders>
            <w:shd w:val="clear" w:color="auto" w:fill="CCEEFF"/>
          </w:tcPr>
          <w:p>
            <w:pPr>
              <w:spacing w:after="0"/>
              <w:rPr>
                <w:sz w:val="16"/>
                <w:szCs w:val="16"/>
                <w:color w:val="auto"/>
              </w:rPr>
            </w:pPr>
          </w:p>
        </w:tc>
        <w:tc>
          <w:tcPr>
            <w:tcW w:w="148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0000EE"/>
            </w:tcBorders>
            <w:shd w:val="clear" w:color="auto" w:fill="CCEEFF"/>
          </w:tcPr>
          <w:p>
            <w:pPr>
              <w:spacing w:after="0"/>
              <w:rPr>
                <w:sz w:val="16"/>
                <w:szCs w:val="16"/>
                <w:color w:val="auto"/>
              </w:rPr>
            </w:pPr>
          </w:p>
        </w:tc>
        <w:tc>
          <w:tcPr>
            <w:tcW w:w="120" w:type="dxa"/>
            <w:vAlign w:val="bottom"/>
            <w:tcBorders>
              <w:top w:val="single" w:sz="8" w:color="0000EE"/>
            </w:tcBorders>
            <w:shd w:val="clear" w:color="auto" w:fill="CCEEFF"/>
          </w:tcPr>
          <w:p>
            <w:pPr>
              <w:spacing w:after="0"/>
              <w:rPr>
                <w:sz w:val="16"/>
                <w:szCs w:val="16"/>
                <w:color w:val="auto"/>
              </w:rPr>
            </w:pPr>
          </w:p>
        </w:tc>
        <w:tc>
          <w:tcPr>
            <w:tcW w:w="126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400" w:type="dxa"/>
            <w:vAlign w:val="bottom"/>
            <w:tcBorders>
              <w:top w:val="single" w:sz="8" w:color="0000EE"/>
            </w:tcBorders>
            <w:shd w:val="clear" w:color="auto" w:fill="CCEEFF"/>
          </w:tcPr>
          <w:p>
            <w:pPr>
              <w:spacing w:after="0"/>
              <w:rPr>
                <w:sz w:val="16"/>
                <w:szCs w:val="16"/>
                <w:color w:val="auto"/>
              </w:rPr>
            </w:pPr>
          </w:p>
        </w:tc>
        <w:tc>
          <w:tcPr>
            <w:tcW w:w="1080" w:type="dxa"/>
            <w:vAlign w:val="bottom"/>
            <w:tcBorders>
              <w:top w:val="single" w:sz="8" w:color="0000EE"/>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right w:val="single" w:sz="8" w:color="CCEEFF"/>
            </w:tcBorders>
            <w:shd w:val="clear" w:color="auto" w:fill="CCEEFF"/>
          </w:tcPr>
          <w:p>
            <w:pPr>
              <w:spacing w:after="0"/>
              <w:rPr>
                <w:sz w:val="16"/>
                <w:szCs w:val="16"/>
                <w:color w:val="auto"/>
              </w:rPr>
            </w:pPr>
          </w:p>
        </w:tc>
        <w:tc>
          <w:tcPr>
            <w:tcW w:w="680" w:type="dxa"/>
            <w:vAlign w:val="bottom"/>
            <w:tcBorders>
              <w:top w:val="single" w:sz="8" w:color="CCEEFF"/>
            </w:tcBorders>
            <w:gridSpan w:val="2"/>
            <w:shd w:val="clear" w:color="auto" w:fill="CCEEFF"/>
          </w:tcPr>
          <w:p>
            <w:pPr>
              <w:jc w:val="center"/>
              <w:ind w:right="400"/>
              <w:spacing w:after="0" w:line="195" w:lineRule="exact"/>
              <w:rPr>
                <w:rFonts w:ascii="Arial" w:cs="Arial" w:eastAsia="Arial" w:hAnsi="Arial"/>
                <w:sz w:val="18"/>
                <w:szCs w:val="18"/>
                <w:color w:val="0000EE"/>
                <w:w w:val="75"/>
              </w:rPr>
            </w:pPr>
            <w:hyperlink w:anchor="page231">
              <w:r>
                <w:rPr>
                  <w:rFonts w:ascii="Arial" w:cs="Arial" w:eastAsia="Arial" w:hAnsi="Arial"/>
                  <w:sz w:val="18"/>
                  <w:szCs w:val="18"/>
                  <w:color w:val="0000EE"/>
                  <w:w w:val="75"/>
                </w:rPr>
                <w:t>F-32</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33">
              <w:r>
                <w:rPr>
                  <w:rFonts w:ascii="Arial" w:cs="Arial" w:eastAsia="Arial" w:hAnsi="Arial"/>
                  <w:sz w:val="18"/>
                  <w:szCs w:val="18"/>
                  <w:color w:val="0000EE"/>
                </w:rPr>
                <w:t>Unaudited Condensed Consolidated Statements of Cash Flows for the three months ended March 31, 2018 and 2017</w:t>
              </w:r>
            </w:hyperlink>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33">
              <w:r>
                <w:rPr>
                  <w:rFonts w:ascii="Arial" w:cs="Arial" w:eastAsia="Arial" w:hAnsi="Arial"/>
                  <w:sz w:val="18"/>
                  <w:szCs w:val="18"/>
                  <w:color w:val="0000EE"/>
                  <w:w w:val="75"/>
                </w:rPr>
                <w:t>F-34</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5"/>
        </w:trPr>
        <w:tc>
          <w:tcPr>
            <w:tcW w:w="5040" w:type="dxa"/>
            <w:vAlign w:val="bottom"/>
            <w:gridSpan w:val="10"/>
            <w:shd w:val="clear" w:color="auto" w:fill="CCEEFF"/>
          </w:tcPr>
          <w:p>
            <w:pPr>
              <w:spacing w:after="0" w:line="175" w:lineRule="exact"/>
              <w:rPr>
                <w:rFonts w:ascii="Arial" w:cs="Arial" w:eastAsia="Arial" w:hAnsi="Arial"/>
                <w:sz w:val="18"/>
                <w:szCs w:val="18"/>
                <w:color w:val="0000EE"/>
                <w:w w:val="88"/>
              </w:rPr>
            </w:pPr>
            <w:hyperlink w:anchor="page234">
              <w:r>
                <w:rPr>
                  <w:rFonts w:ascii="Arial" w:cs="Arial" w:eastAsia="Arial" w:hAnsi="Arial"/>
                  <w:sz w:val="18"/>
                  <w:szCs w:val="18"/>
                  <w:color w:val="0000EE"/>
                  <w:w w:val="88"/>
                </w:rPr>
                <w:t>Notes to the Unaudited Condensed Consolidated Financial Statements</w:t>
              </w:r>
            </w:hyperlink>
          </w:p>
        </w:tc>
        <w:tc>
          <w:tcPr>
            <w:tcW w:w="5260" w:type="dxa"/>
            <w:vAlign w:val="bottom"/>
            <w:gridSpan w:val="9"/>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34">
              <w:r>
                <w:rPr>
                  <w:rFonts w:ascii="Arial" w:cs="Arial" w:eastAsia="Arial" w:hAnsi="Arial"/>
                  <w:sz w:val="18"/>
                  <w:szCs w:val="18"/>
                  <w:color w:val="0000EE"/>
                  <w:w w:val="75"/>
                </w:rPr>
                <w:t>F-35</w:t>
              </w:r>
            </w:hyperlink>
          </w:p>
        </w:tc>
      </w:tr>
      <w:tr>
        <w:trPr>
          <w:trHeight w:val="430"/>
        </w:trPr>
        <w:tc>
          <w:tcPr>
            <w:tcW w:w="50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For the year ended December 31, 2017</w:t>
            </w:r>
          </w:p>
        </w:tc>
        <w:tc>
          <w:tcPr>
            <w:tcW w:w="5260" w:type="dxa"/>
            <w:vAlign w:val="bottom"/>
            <w:tcBorders>
              <w:top w:val="single" w:sz="8" w:color="CCEEFF"/>
            </w:tcBorders>
            <w:gridSpan w:val="9"/>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195"/>
        </w:trPr>
        <w:tc>
          <w:tcPr>
            <w:tcW w:w="10300" w:type="dxa"/>
            <w:vAlign w:val="bottom"/>
            <w:gridSpan w:val="19"/>
            <w:shd w:val="clear" w:color="auto" w:fill="CCEEFF"/>
          </w:tcPr>
          <w:p>
            <w:pPr>
              <w:spacing w:after="0" w:line="175" w:lineRule="exact"/>
              <w:rPr>
                <w:rFonts w:ascii="Arial" w:cs="Arial" w:eastAsia="Arial" w:hAnsi="Arial"/>
                <w:sz w:val="18"/>
                <w:szCs w:val="18"/>
                <w:color w:val="0000EE"/>
              </w:rPr>
            </w:pPr>
            <w:hyperlink w:anchor="page255">
              <w:r>
                <w:rPr>
                  <w:rFonts w:ascii="Arial" w:cs="Arial" w:eastAsia="Arial" w:hAnsi="Arial"/>
                  <w:sz w:val="18"/>
                  <w:szCs w:val="18"/>
                  <w:color w:val="0000EE"/>
                </w:rPr>
                <w:t>Report of Independent Registered Public Accounting Firm</w:t>
              </w:r>
            </w:hyperlink>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55">
              <w:r>
                <w:rPr>
                  <w:rFonts w:ascii="Arial" w:cs="Arial" w:eastAsia="Arial" w:hAnsi="Arial"/>
                  <w:sz w:val="18"/>
                  <w:szCs w:val="18"/>
                  <w:color w:val="0000EE"/>
                  <w:w w:val="75"/>
                </w:rPr>
                <w:t>F-56</w:t>
              </w:r>
            </w:hyperlink>
          </w:p>
        </w:tc>
      </w:tr>
      <w:tr>
        <w:trPr>
          <w:trHeight w:val="215"/>
        </w:trPr>
        <w:tc>
          <w:tcPr>
            <w:tcW w:w="3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215"/>
        </w:trPr>
        <w:tc>
          <w:tcPr>
            <w:tcW w:w="103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4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56">
              <w:r>
                <w:rPr>
                  <w:rFonts w:ascii="Arial" w:cs="Arial" w:eastAsia="Arial" w:hAnsi="Arial"/>
                  <w:sz w:val="18"/>
                  <w:szCs w:val="18"/>
                  <w:color w:val="0000EE"/>
                </w:rPr>
                <w:t>Consolidated Balance Sheets as of December 31, 2017 and 2016</w:t>
              </w:r>
            </w:hyperlink>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56">
              <w:r>
                <w:rPr>
                  <w:rFonts w:ascii="Arial" w:cs="Arial" w:eastAsia="Arial" w:hAnsi="Arial"/>
                  <w:sz w:val="18"/>
                  <w:szCs w:val="18"/>
                  <w:color w:val="0000EE"/>
                  <w:w w:val="75"/>
                </w:rPr>
                <w:t>F-57</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6880" w:type="dxa"/>
            <w:vAlign w:val="bottom"/>
            <w:gridSpan w:val="12"/>
            <w:shd w:val="clear" w:color="auto" w:fill="CCEEFF"/>
          </w:tcPr>
          <w:p>
            <w:pPr>
              <w:spacing w:after="0" w:line="175" w:lineRule="exact"/>
              <w:rPr>
                <w:rFonts w:ascii="Arial" w:cs="Arial" w:eastAsia="Arial" w:hAnsi="Arial"/>
                <w:sz w:val="18"/>
                <w:szCs w:val="18"/>
                <w:color w:val="0000EE"/>
                <w:w w:val="88"/>
              </w:rPr>
            </w:pPr>
            <w:hyperlink w:anchor="page257">
              <w:r>
                <w:rPr>
                  <w:rFonts w:ascii="Arial" w:cs="Arial" w:eastAsia="Arial" w:hAnsi="Arial"/>
                  <w:sz w:val="18"/>
                  <w:szCs w:val="18"/>
                  <w:color w:val="0000EE"/>
                  <w:w w:val="88"/>
                </w:rPr>
                <w:t>Consolidated Statements of Operations for the years ended December 31, 2017, 2016, and 2015</w:t>
              </w:r>
            </w:hyperlink>
          </w:p>
        </w:tc>
        <w:tc>
          <w:tcPr>
            <w:tcW w:w="3420" w:type="dxa"/>
            <w:vAlign w:val="bottom"/>
            <w:gridSpan w:val="7"/>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57">
              <w:r>
                <w:rPr>
                  <w:rFonts w:ascii="Arial" w:cs="Arial" w:eastAsia="Arial" w:hAnsi="Arial"/>
                  <w:sz w:val="18"/>
                  <w:szCs w:val="18"/>
                  <w:color w:val="0000EE"/>
                  <w:w w:val="75"/>
                </w:rPr>
                <w:t>F-58</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58">
              <w:r>
                <w:rPr>
                  <w:rFonts w:ascii="Arial" w:cs="Arial" w:eastAsia="Arial" w:hAnsi="Arial"/>
                  <w:sz w:val="18"/>
                  <w:szCs w:val="18"/>
                  <w:color w:val="0000EE"/>
                </w:rPr>
                <w:t>Consolidated Statements of Changes in Members’ Equity (Deficit) for the years ended December 31, 2017, 2016 and 2015</w:t>
              </w:r>
            </w:hyperlink>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58">
              <w:r>
                <w:rPr>
                  <w:rFonts w:ascii="Arial" w:cs="Arial" w:eastAsia="Arial" w:hAnsi="Arial"/>
                  <w:sz w:val="18"/>
                  <w:szCs w:val="18"/>
                  <w:color w:val="0000EE"/>
                  <w:w w:val="75"/>
                </w:rPr>
                <w:t>F-59</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10300" w:type="dxa"/>
            <w:vAlign w:val="bottom"/>
            <w:gridSpan w:val="19"/>
            <w:shd w:val="clear" w:color="auto" w:fill="CCEEFF"/>
          </w:tcPr>
          <w:p>
            <w:pPr>
              <w:spacing w:after="0" w:line="175" w:lineRule="exact"/>
              <w:rPr>
                <w:rFonts w:ascii="Arial" w:cs="Arial" w:eastAsia="Arial" w:hAnsi="Arial"/>
                <w:sz w:val="18"/>
                <w:szCs w:val="18"/>
                <w:color w:val="0000EE"/>
              </w:rPr>
            </w:pPr>
            <w:hyperlink w:anchor="page259">
              <w:r>
                <w:rPr>
                  <w:rFonts w:ascii="Arial" w:cs="Arial" w:eastAsia="Arial" w:hAnsi="Arial"/>
                  <w:sz w:val="18"/>
                  <w:szCs w:val="18"/>
                  <w:color w:val="0000EE"/>
                </w:rPr>
                <w:t>Consolidated Statements of Cash Flows for the years ended December 31, 2017, 2016, and 2015</w:t>
              </w:r>
            </w:hyperlink>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59">
              <w:r>
                <w:rPr>
                  <w:rFonts w:ascii="Arial" w:cs="Arial" w:eastAsia="Arial" w:hAnsi="Arial"/>
                  <w:sz w:val="18"/>
                  <w:szCs w:val="18"/>
                  <w:color w:val="0000EE"/>
                  <w:w w:val="75"/>
                </w:rPr>
                <w:t>F-60</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920" w:type="dxa"/>
            <w:vAlign w:val="bottom"/>
            <w:gridSpan w:val="13"/>
          </w:tcPr>
          <w:p>
            <w:pPr>
              <w:spacing w:after="0" w:line="175" w:lineRule="exact"/>
              <w:rPr>
                <w:rFonts w:ascii="Arial" w:cs="Arial" w:eastAsia="Arial" w:hAnsi="Arial"/>
                <w:sz w:val="18"/>
                <w:szCs w:val="18"/>
                <w:color w:val="0000EE"/>
              </w:rPr>
            </w:pPr>
            <w:hyperlink w:anchor="page260">
              <w:r>
                <w:rPr>
                  <w:rFonts w:ascii="Arial" w:cs="Arial" w:eastAsia="Arial" w:hAnsi="Arial"/>
                  <w:sz w:val="18"/>
                  <w:szCs w:val="18"/>
                  <w:color w:val="0000EE"/>
                </w:rPr>
                <w:t>Notes to Consolidated Financial Statements</w:t>
              </w:r>
            </w:hyperlink>
          </w:p>
        </w:tc>
        <w:tc>
          <w:tcPr>
            <w:tcW w:w="3380" w:type="dxa"/>
            <w:vAlign w:val="bottom"/>
            <w:gridSpan w:val="6"/>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60">
              <w:r>
                <w:rPr>
                  <w:rFonts w:ascii="Arial" w:cs="Arial" w:eastAsia="Arial" w:hAnsi="Arial"/>
                  <w:sz w:val="18"/>
                  <w:szCs w:val="18"/>
                  <w:color w:val="0000EE"/>
                  <w:w w:val="75"/>
                </w:rPr>
                <w:t>F-61</w:t>
              </w:r>
            </w:hyperlink>
          </w:p>
        </w:tc>
      </w:tr>
      <w:tr>
        <w:trPr>
          <w:trHeight w:val="666"/>
        </w:trPr>
        <w:tc>
          <w:tcPr>
            <w:tcW w:w="36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8"/>
          </w:tcPr>
          <w:p>
            <w:pPr>
              <w:jc w:val="center"/>
              <w:ind w:right="4260"/>
              <w:spacing w:after="0"/>
              <w:rPr>
                <w:sz w:val="20"/>
                <w:szCs w:val="20"/>
                <w:color w:val="auto"/>
              </w:rPr>
            </w:pPr>
            <w:r>
              <w:rPr>
                <w:rFonts w:ascii="Arial" w:cs="Arial" w:eastAsia="Arial" w:hAnsi="Arial"/>
                <w:sz w:val="18"/>
                <w:szCs w:val="18"/>
                <w:color w:val="auto"/>
                <w:w w:val="88"/>
              </w:rPr>
              <w:t>F-1</w:t>
            </w:r>
          </w:p>
        </w:tc>
        <w:tc>
          <w:tcPr>
            <w:tcW w:w="44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2018</w:t>
            </w:r>
          </w:p>
        </w:tc>
        <w:tc>
          <w:tcPr>
            <w:tcW w:w="2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2017</w:t>
            </w:r>
          </w:p>
        </w:tc>
      </w:tr>
      <w:tr>
        <w:trPr>
          <w:trHeight w:val="209"/>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27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360" w:type="dxa"/>
            <w:vAlign w:val="bottom"/>
            <w:gridSpan w:val="3"/>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5"/>
        </w:trPr>
        <w:tc>
          <w:tcPr>
            <w:tcW w:w="376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Borders>
              <w:top w:val="single" w:sz="8" w:color="auto"/>
            </w:tcBorders>
          </w:tcPr>
          <w:p>
            <w:pPr>
              <w:spacing w:after="0"/>
              <w:rPr>
                <w:sz w:val="18"/>
                <w:szCs w:val="18"/>
                <w:color w:val="auto"/>
              </w:rPr>
            </w:pPr>
          </w:p>
        </w:tc>
        <w:tc>
          <w:tcPr>
            <w:tcW w:w="38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5"/>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39,114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172,196</w:t>
            </w:r>
          </w:p>
        </w:tc>
        <w:tc>
          <w:tcPr>
            <w:tcW w:w="80" w:type="dxa"/>
            <w:vAlign w:val="bottom"/>
            <w:shd w:val="clear" w:color="auto" w:fill="CCEEFF"/>
          </w:tcPr>
          <w:p>
            <w:pPr>
              <w:spacing w:after="0"/>
              <w:rPr>
                <w:sz w:val="18"/>
                <w:szCs w:val="18"/>
                <w:color w:val="auto"/>
              </w:rPr>
            </w:pPr>
          </w:p>
        </w:tc>
      </w:tr>
      <w:tr>
        <w:trPr>
          <w:trHeight w:val="229"/>
        </w:trPr>
        <w:tc>
          <w:tcPr>
            <w:tcW w:w="8120" w:type="dxa"/>
            <w:vAlign w:val="bottom"/>
            <w:gridSpan w:val="5"/>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41,489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9,936</w:t>
            </w:r>
          </w:p>
        </w:tc>
        <w:tc>
          <w:tcPr>
            <w:tcW w:w="80" w:type="dxa"/>
            <w:vAlign w:val="bottom"/>
          </w:tcPr>
          <w:p>
            <w:pPr>
              <w:spacing w:after="0"/>
              <w:rPr>
                <w:sz w:val="19"/>
                <w:szCs w:val="19"/>
                <w:color w:val="auto"/>
              </w:rPr>
            </w:pPr>
          </w:p>
        </w:tc>
      </w:tr>
      <w:tr>
        <w:trPr>
          <w:trHeight w:val="209"/>
        </w:trPr>
        <w:tc>
          <w:tcPr>
            <w:tcW w:w="812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 held in trust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55,383,870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55,081,899</w:t>
            </w:r>
          </w:p>
        </w:tc>
        <w:tc>
          <w:tcPr>
            <w:tcW w:w="80" w:type="dxa"/>
            <w:vAlign w:val="bottom"/>
            <w:shd w:val="clear" w:color="auto" w:fill="CCEEFF"/>
          </w:tcPr>
          <w:p>
            <w:pPr>
              <w:spacing w:after="0"/>
              <w:rPr>
                <w:sz w:val="19"/>
                <w:szCs w:val="19"/>
                <w:color w:val="auto"/>
              </w:rPr>
            </w:pPr>
          </w:p>
        </w:tc>
      </w:tr>
      <w:tr>
        <w:trPr>
          <w:trHeight w:val="262"/>
        </w:trPr>
        <w:tc>
          <w:tcPr>
            <w:tcW w:w="812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55,464,473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55,264,031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5"/>
        </w:trPr>
        <w:tc>
          <w:tcPr>
            <w:tcW w:w="27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75"/>
        </w:trPr>
        <w:tc>
          <w:tcPr>
            <w:tcW w:w="2700" w:type="dxa"/>
            <w:vAlign w:val="bottom"/>
          </w:tcPr>
          <w:p>
            <w:pPr>
              <w:spacing w:after="0"/>
              <w:rPr>
                <w:sz w:val="15"/>
                <w:szCs w:val="15"/>
                <w:color w:val="auto"/>
              </w:rPr>
            </w:pPr>
          </w:p>
        </w:tc>
        <w:tc>
          <w:tcPr>
            <w:tcW w:w="5420" w:type="dxa"/>
            <w:vAlign w:val="bottom"/>
            <w:gridSpan w:val="4"/>
          </w:tcPr>
          <w:p>
            <w:pPr>
              <w:spacing w:after="0" w:line="175"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7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5"/>
        </w:trPr>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12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563,731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349,292</w:t>
            </w:r>
          </w:p>
        </w:tc>
        <w:tc>
          <w:tcPr>
            <w:tcW w:w="80" w:type="dxa"/>
            <w:vAlign w:val="bottom"/>
            <w:shd w:val="clear" w:color="auto" w:fill="CCEEFF"/>
          </w:tcPr>
          <w:p>
            <w:pPr>
              <w:spacing w:after="0"/>
              <w:rPr>
                <w:sz w:val="18"/>
                <w:szCs w:val="18"/>
                <w:color w:val="auto"/>
              </w:rPr>
            </w:pPr>
          </w:p>
        </w:tc>
      </w:tr>
      <w:tr>
        <w:trPr>
          <w:trHeight w:val="215"/>
        </w:trPr>
        <w:tc>
          <w:tcPr>
            <w:tcW w:w="8120" w:type="dxa"/>
            <w:vAlign w:val="bottom"/>
            <w:gridSpan w:val="5"/>
          </w:tcPr>
          <w:p>
            <w:pPr>
              <w:ind w:left="160"/>
              <w:spacing w:after="0"/>
              <w:rPr>
                <w:sz w:val="20"/>
                <w:szCs w:val="20"/>
                <w:color w:val="auto"/>
              </w:rPr>
            </w:pPr>
            <w:r>
              <w:rPr>
                <w:rFonts w:ascii="Arial" w:cs="Arial" w:eastAsia="Arial" w:hAnsi="Arial"/>
                <w:sz w:val="18"/>
                <w:szCs w:val="18"/>
                <w:color w:val="auto"/>
              </w:rPr>
              <w:t>Offering costs payable</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11,616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11,616</w:t>
            </w:r>
          </w:p>
        </w:tc>
        <w:tc>
          <w:tcPr>
            <w:tcW w:w="80" w:type="dxa"/>
            <w:vAlign w:val="bottom"/>
          </w:tcPr>
          <w:p>
            <w:pPr>
              <w:spacing w:after="0"/>
              <w:rPr>
                <w:sz w:val="18"/>
                <w:szCs w:val="18"/>
                <w:color w:val="auto"/>
              </w:rPr>
            </w:pPr>
          </w:p>
        </w:tc>
      </w:tr>
      <w:tr>
        <w:trPr>
          <w:trHeight w:val="215"/>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Note payable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27,500</w:t>
            </w:r>
          </w:p>
        </w:tc>
        <w:tc>
          <w:tcPr>
            <w:tcW w:w="80" w:type="dxa"/>
            <w:vAlign w:val="bottom"/>
            <w:shd w:val="clear" w:color="auto" w:fill="CCEEFF"/>
          </w:tcPr>
          <w:p>
            <w:pPr>
              <w:spacing w:after="0"/>
              <w:rPr>
                <w:sz w:val="18"/>
                <w:szCs w:val="18"/>
                <w:color w:val="auto"/>
              </w:rPr>
            </w:pPr>
          </w:p>
        </w:tc>
      </w:tr>
      <w:tr>
        <w:trPr>
          <w:trHeight w:val="229"/>
        </w:trPr>
        <w:tc>
          <w:tcPr>
            <w:tcW w:w="8120" w:type="dxa"/>
            <w:vAlign w:val="bottom"/>
            <w:gridSpan w:val="5"/>
          </w:tcPr>
          <w:p>
            <w:pPr>
              <w:ind w:left="160"/>
              <w:spacing w:after="0"/>
              <w:rPr>
                <w:sz w:val="20"/>
                <w:szCs w:val="20"/>
                <w:color w:val="auto"/>
              </w:rPr>
            </w:pPr>
            <w:r>
              <w:rPr>
                <w:rFonts w:ascii="Arial" w:cs="Arial" w:eastAsia="Arial" w:hAnsi="Arial"/>
                <w:sz w:val="18"/>
                <w:szCs w:val="18"/>
                <w:color w:val="auto"/>
              </w:rPr>
              <w:t>Note payable – related parties</w:t>
            </w: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132,753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12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1,062,022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1,062,022</w:t>
            </w:r>
          </w:p>
        </w:tc>
        <w:tc>
          <w:tcPr>
            <w:tcW w:w="80" w:type="dxa"/>
            <w:vAlign w:val="bottom"/>
            <w:shd w:val="clear" w:color="auto" w:fill="CCEEFF"/>
          </w:tcPr>
          <w:p>
            <w:pPr>
              <w:spacing w:after="0"/>
              <w:rPr>
                <w:sz w:val="19"/>
                <w:szCs w:val="19"/>
                <w:color w:val="auto"/>
              </w:rPr>
            </w:pPr>
          </w:p>
        </w:tc>
      </w:tr>
      <w:tr>
        <w:trPr>
          <w:trHeight w:val="209"/>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1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1,797,622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1,450,430</w:t>
            </w:r>
          </w:p>
        </w:tc>
        <w:tc>
          <w:tcPr>
            <w:tcW w:w="80" w:type="dxa"/>
            <w:vAlign w:val="bottom"/>
            <w:shd w:val="clear" w:color="auto" w:fill="CCEEFF"/>
          </w:tcPr>
          <w:p>
            <w:pPr>
              <w:spacing w:after="0"/>
              <w:rPr>
                <w:sz w:val="19"/>
                <w:szCs w:val="19"/>
                <w:color w:val="auto"/>
              </w:rPr>
            </w:pPr>
          </w:p>
        </w:tc>
      </w:tr>
      <w:tr>
        <w:trPr>
          <w:trHeight w:val="209"/>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1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8120" w:type="dxa"/>
            <w:vAlign w:val="bottom"/>
            <w:gridSpan w:val="5"/>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0"/>
              </w:rPr>
              <w:t>Common stock subject to possible conversion (4,672,795 and 4,705,821 shares at conversion value as of</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7"/>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March 31, 2018 and December 31, 2017, respectively)</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48,666,845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48,813,595</w:t>
            </w:r>
          </w:p>
        </w:tc>
        <w:tc>
          <w:tcPr>
            <w:tcW w:w="80" w:type="dxa"/>
            <w:vAlign w:val="bottom"/>
            <w:shd w:val="clear" w:color="auto" w:fill="CCEEFF"/>
          </w:tcPr>
          <w:p>
            <w:pPr>
              <w:spacing w:after="0"/>
              <w:rPr>
                <w:sz w:val="21"/>
                <w:szCs w:val="21"/>
                <w:color w:val="auto"/>
              </w:rPr>
            </w:pPr>
          </w:p>
        </w:tc>
      </w:tr>
      <w:tr>
        <w:trPr>
          <w:trHeight w:val="209"/>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1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120" w:type="dxa"/>
            <w:vAlign w:val="bottom"/>
            <w:gridSpan w:val="5"/>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2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120" w:type="dxa"/>
            <w:vAlign w:val="bottom"/>
            <w:gridSpan w:val="5"/>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$0.001 par value; 30,000,000 shares authorized; 2,385,948 and 2,352,922 shares issued and</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81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1"/>
              </w:rPr>
              <w:t>outstanding (excluding 4,672,795 and 4,705,821 shares subject to possible conversion) at March 31, 2018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81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and December 31, 2017, respectively</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2,353</w:t>
            </w:r>
          </w:p>
        </w:tc>
        <w:tc>
          <w:tcPr>
            <w:tcW w:w="80" w:type="dxa"/>
            <w:vAlign w:val="bottom"/>
            <w:shd w:val="clear" w:color="auto" w:fill="CCEEFF"/>
          </w:tcPr>
          <w:p>
            <w:pPr>
              <w:spacing w:after="0"/>
              <w:rPr>
                <w:sz w:val="19"/>
                <w:szCs w:val="19"/>
                <w:color w:val="auto"/>
              </w:rPr>
            </w:pPr>
          </w:p>
        </w:tc>
      </w:tr>
      <w:tr>
        <w:trPr>
          <w:trHeight w:val="215"/>
        </w:trPr>
        <w:tc>
          <w:tcPr>
            <w:tcW w:w="8120" w:type="dxa"/>
            <w:vAlign w:val="bottom"/>
            <w:gridSpan w:val="5"/>
          </w:tcPr>
          <w:p>
            <w:pPr>
              <w:ind w:left="160"/>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5,387,445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5,240,728</w:t>
            </w:r>
          </w:p>
        </w:tc>
        <w:tc>
          <w:tcPr>
            <w:tcW w:w="80" w:type="dxa"/>
            <w:vAlign w:val="bottom"/>
          </w:tcPr>
          <w:p>
            <w:pPr>
              <w:spacing w:after="0"/>
              <w:rPr>
                <w:sz w:val="18"/>
                <w:szCs w:val="18"/>
                <w:color w:val="auto"/>
              </w:rPr>
            </w:pPr>
          </w:p>
        </w:tc>
      </w:tr>
      <w:tr>
        <w:trPr>
          <w:trHeight w:val="229"/>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(389,825)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(243,075)</w:t>
            </w:r>
          </w:p>
        </w:tc>
      </w:tr>
      <w:tr>
        <w:trPr>
          <w:trHeight w:val="209"/>
        </w:trPr>
        <w:tc>
          <w:tcPr>
            <w:tcW w:w="812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2"/>
        </w:trPr>
        <w:tc>
          <w:tcPr>
            <w:tcW w:w="812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55,464,473</w:t>
            </w:r>
          </w:p>
        </w:tc>
        <w:tc>
          <w:tcPr>
            <w:tcW w:w="10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55,264,031</w:t>
            </w:r>
          </w:p>
        </w:tc>
        <w:tc>
          <w:tcPr>
            <w:tcW w:w="80" w:type="dxa"/>
            <w:vAlign w:val="bottom"/>
          </w:tcPr>
          <w:p>
            <w:pPr>
              <w:spacing w:after="0"/>
              <w:rPr>
                <w:sz w:val="21"/>
                <w:szCs w:val="21"/>
                <w:color w:val="auto"/>
              </w:rPr>
            </w:pPr>
          </w:p>
        </w:tc>
      </w:tr>
      <w:tr>
        <w:trPr>
          <w:trHeight w:val="20"/>
        </w:trPr>
        <w:tc>
          <w:tcPr>
            <w:tcW w:w="2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 the Three Months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For the Three Months</w:t>
            </w:r>
          </w:p>
        </w:tc>
      </w:tr>
      <w:tr>
        <w:trPr>
          <w:trHeight w:val="215"/>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r>
      <w:tr>
        <w:trPr>
          <w:trHeight w:val="233"/>
        </w:trPr>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 2018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March 31, 2017</w:t>
            </w:r>
          </w:p>
        </w:tc>
      </w:tr>
      <w:tr>
        <w:trPr>
          <w:trHeight w:val="209"/>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90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w w:val="90"/>
              </w:rPr>
              <w:t>EXPENSES</w:t>
            </w:r>
          </w:p>
        </w:tc>
        <w:tc>
          <w:tcPr>
            <w:tcW w:w="6080" w:type="dxa"/>
            <w:vAlign w:val="bottom"/>
            <w:tcBorders>
              <w:bottom w:val="single" w:sz="8" w:color="CCEEFF"/>
            </w:tcBorders>
            <w:gridSpan w:val="4"/>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5"/>
        </w:trPr>
        <w:tc>
          <w:tcPr>
            <w:tcW w:w="6980" w:type="dxa"/>
            <w:vAlign w:val="bottom"/>
            <w:gridSpan w:val="5"/>
          </w:tcPr>
          <w:p>
            <w:pPr>
              <w:spacing w:after="0"/>
              <w:rPr>
                <w:sz w:val="20"/>
                <w:szCs w:val="20"/>
                <w:color w:val="auto"/>
              </w:rPr>
            </w:pPr>
            <w:r>
              <w:rPr>
                <w:rFonts w:ascii="Arial" w:cs="Arial" w:eastAsia="Arial" w:hAnsi="Arial"/>
                <w:sz w:val="18"/>
                <w:szCs w:val="18"/>
                <w:color w:val="auto"/>
              </w:rPr>
              <w:t>Administration fee - related party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r>
      <w:tr>
        <w:trPr>
          <w:trHeight w:val="229"/>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291,228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215,466</w:t>
            </w:r>
          </w:p>
        </w:tc>
      </w:tr>
      <w:tr>
        <w:trPr>
          <w:trHeight w:val="209"/>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gridSpan w:val="5"/>
            <w:shd w:val="clear" w:color="auto" w:fill="CCEEFF"/>
          </w:tcPr>
          <w:p>
            <w:pPr>
              <w:spacing w:after="0" w:line="155" w:lineRule="exact"/>
              <w:rPr>
                <w:sz w:val="20"/>
                <w:szCs w:val="20"/>
                <w:color w:val="auto"/>
              </w:rPr>
            </w:pPr>
            <w:r>
              <w:rPr>
                <w:rFonts w:ascii="Arial" w:cs="Arial" w:eastAsia="Arial" w:hAnsi="Arial"/>
                <w:sz w:val="17"/>
                <w:szCs w:val="17"/>
                <w:color w:val="auto"/>
              </w:rPr>
              <w:t>TOTAL EXPENSES</w:t>
            </w:r>
          </w:p>
        </w:tc>
        <w:tc>
          <w:tcPr>
            <w:tcW w:w="1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7"/>
                <w:szCs w:val="17"/>
                <w:color w:val="auto"/>
              </w:rPr>
              <w:t>321,228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7"/>
                <w:szCs w:val="17"/>
                <w:color w:val="auto"/>
              </w:rPr>
              <w:t>245,466</w:t>
            </w:r>
          </w:p>
        </w:tc>
      </w:tr>
      <w:tr>
        <w:trPr>
          <w:trHeight w:val="209"/>
        </w:trPr>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5"/>
        </w:trPr>
        <w:tc>
          <w:tcPr>
            <w:tcW w:w="13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8"/>
                <w:szCs w:val="18"/>
                <w:color w:val="auto"/>
                <w:w w:val="95"/>
              </w:rPr>
              <w:t>OTHER INCOME</w:t>
            </w:r>
          </w:p>
        </w:tc>
        <w:tc>
          <w:tcPr>
            <w:tcW w:w="5620" w:type="dxa"/>
            <w:vAlign w:val="bottom"/>
            <w:tcBorders>
              <w:bottom w:val="single" w:sz="8" w:color="CCEEFF"/>
            </w:tcBorders>
            <w:gridSpan w:val="3"/>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29"/>
        </w:trPr>
        <w:tc>
          <w:tcPr>
            <w:tcW w:w="6980" w:type="dxa"/>
            <w:vAlign w:val="bottom"/>
            <w:gridSpan w:val="5"/>
          </w:tcPr>
          <w:p>
            <w:pPr>
              <w:ind w:left="1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174,478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56,621</w:t>
            </w:r>
          </w:p>
        </w:tc>
      </w:tr>
      <w:tr>
        <w:trPr>
          <w:trHeight w:val="209"/>
        </w:trPr>
        <w:tc>
          <w:tcPr>
            <w:tcW w:w="6980" w:type="dxa"/>
            <w:vAlign w:val="bottom"/>
            <w:tcBorders>
              <w:top w:val="single" w:sz="8" w:color="CCEEFF"/>
            </w:tcBorders>
            <w:gridSpan w:val="5"/>
            <w:shd w:val="clear" w:color="auto" w:fill="CCEEFF"/>
          </w:tcPr>
          <w:p>
            <w:pPr>
              <w:spacing w:after="0" w:line="135" w:lineRule="exact"/>
              <w:rPr>
                <w:sz w:val="20"/>
                <w:szCs w:val="20"/>
                <w:color w:val="auto"/>
              </w:rPr>
            </w:pPr>
            <w:r>
              <w:rPr>
                <w:rFonts w:ascii="Arial" w:cs="Arial" w:eastAsia="Arial" w:hAnsi="Arial"/>
                <w:sz w:val="15"/>
                <w:szCs w:val="15"/>
                <w:color w:val="auto"/>
              </w:rPr>
              <w:t>TOTAL OTHER INCOME</w:t>
            </w:r>
          </w:p>
        </w:tc>
        <w:tc>
          <w:tcPr>
            <w:tcW w:w="1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174,478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56,621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2"/>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(146,750)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(188,845)</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loss per share of common stock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p>
        </w:tc>
        <w:tc>
          <w:tcPr>
            <w:tcW w:w="14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2,352,922</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2,310,710</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42"/>
              <w:spacing w:after="0"/>
              <w:rPr>
                <w:sz w:val="20"/>
                <w:szCs w:val="20"/>
                <w:color w:val="auto"/>
              </w:rPr>
            </w:pPr>
            <w:r>
              <w:rPr>
                <w:rFonts w:ascii="Arial" w:cs="Arial" w:eastAsia="Arial" w:hAnsi="Arial"/>
                <w:sz w:val="18"/>
                <w:szCs w:val="18"/>
                <w:b w:val="1"/>
                <w:bCs w:val="1"/>
                <w:color w:val="auto"/>
                <w:w w:val="91"/>
              </w:rPr>
              <w:t>For the Three Months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02"/>
              <w:spacing w:after="0"/>
              <w:rPr>
                <w:sz w:val="20"/>
                <w:szCs w:val="20"/>
                <w:color w:val="auto"/>
              </w:rPr>
            </w:pPr>
            <w:r>
              <w:rPr>
                <w:rFonts w:ascii="Arial" w:cs="Arial" w:eastAsia="Arial" w:hAnsi="Arial"/>
                <w:sz w:val="18"/>
                <w:szCs w:val="18"/>
                <w:b w:val="1"/>
                <w:bCs w:val="1"/>
                <w:color w:val="auto"/>
                <w:w w:val="92"/>
              </w:rPr>
              <w:t>For the Three Months</w:t>
            </w:r>
          </w:p>
        </w:tc>
      </w:tr>
      <w:tr>
        <w:trPr>
          <w:trHeight w:val="215"/>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0"/>
              </w:rPr>
              <w:t>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02"/>
              <w:spacing w:after="0"/>
              <w:rPr>
                <w:sz w:val="20"/>
                <w:szCs w:val="20"/>
                <w:color w:val="auto"/>
              </w:rPr>
            </w:pPr>
            <w:r>
              <w:rPr>
                <w:rFonts w:ascii="Arial" w:cs="Arial" w:eastAsia="Arial" w:hAnsi="Arial"/>
                <w:sz w:val="18"/>
                <w:szCs w:val="18"/>
                <w:b w:val="1"/>
                <w:bCs w:val="1"/>
                <w:color w:val="auto"/>
                <w:w w:val="90"/>
              </w:rPr>
              <w:t>Ended</w:t>
            </w:r>
          </w:p>
        </w:tc>
      </w:tr>
      <w:tr>
        <w:trPr>
          <w:trHeight w:val="233"/>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2"/>
          </w:tcPr>
          <w:p>
            <w:pPr>
              <w:jc w:val="center"/>
              <w:ind w:right="202"/>
              <w:spacing w:after="0"/>
              <w:rPr>
                <w:sz w:val="20"/>
                <w:szCs w:val="20"/>
                <w:color w:val="auto"/>
              </w:rPr>
            </w:pPr>
            <w:r>
              <w:rPr>
                <w:rFonts w:ascii="Arial" w:cs="Arial" w:eastAsia="Arial" w:hAnsi="Arial"/>
                <w:sz w:val="18"/>
                <w:szCs w:val="18"/>
                <w:b w:val="1"/>
                <w:bCs w:val="1"/>
                <w:color w:val="auto"/>
                <w:w w:val="93"/>
              </w:rPr>
              <w:t>March 31, 2018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center"/>
              <w:ind w:right="162"/>
              <w:spacing w:after="0"/>
              <w:rPr>
                <w:sz w:val="20"/>
                <w:szCs w:val="20"/>
                <w:color w:val="auto"/>
              </w:rPr>
            </w:pPr>
            <w:r>
              <w:rPr>
                <w:rFonts w:ascii="Arial" w:cs="Arial" w:eastAsia="Arial" w:hAnsi="Arial"/>
                <w:sz w:val="18"/>
                <w:szCs w:val="18"/>
                <w:b w:val="1"/>
                <w:bCs w:val="1"/>
                <w:color w:val="auto"/>
                <w:w w:val="92"/>
              </w:rPr>
              <w:t>March 31, 2017</w:t>
            </w:r>
          </w:p>
        </w:tc>
      </w:tr>
      <w:tr>
        <w:trPr>
          <w:trHeight w:val="209"/>
        </w:trPr>
        <w:tc>
          <w:tcPr>
            <w:tcW w:w="6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2"/>
              <w:spacing w:after="0"/>
              <w:rPr>
                <w:sz w:val="20"/>
                <w:szCs w:val="20"/>
                <w:color w:val="auto"/>
              </w:rPr>
            </w:pPr>
            <w:r>
              <w:rPr>
                <w:rFonts w:ascii="Arial" w:cs="Arial" w:eastAsia="Arial" w:hAnsi="Arial"/>
                <w:sz w:val="18"/>
                <w:szCs w:val="18"/>
                <w:color w:val="auto"/>
              </w:rPr>
              <w:t>(146,750)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(188,845)</w:t>
            </w:r>
          </w:p>
        </w:tc>
      </w:tr>
      <w:tr>
        <w:trPr>
          <w:trHeight w:val="215"/>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980" w:type="dxa"/>
            <w:vAlign w:val="bottom"/>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140" w:type="dxa"/>
            <w:vAlign w:val="bottom"/>
          </w:tcPr>
          <w:p>
            <w:pPr>
              <w:spacing w:after="0"/>
              <w:rPr>
                <w:sz w:val="18"/>
                <w:szCs w:val="18"/>
                <w:color w:val="auto"/>
              </w:rPr>
            </w:pPr>
          </w:p>
        </w:tc>
        <w:tc>
          <w:tcPr>
            <w:tcW w:w="2080" w:type="dxa"/>
            <w:vAlign w:val="bottom"/>
            <w:gridSpan w:val="2"/>
          </w:tcPr>
          <w:p>
            <w:pPr>
              <w:jc w:val="right"/>
              <w:ind w:right="2"/>
              <w:spacing w:after="0"/>
              <w:rPr>
                <w:sz w:val="20"/>
                <w:szCs w:val="20"/>
                <w:color w:val="auto"/>
              </w:rPr>
            </w:pPr>
            <w:r>
              <w:rPr>
                <w:rFonts w:ascii="Arial" w:cs="Arial" w:eastAsia="Arial" w:hAnsi="Arial"/>
                <w:sz w:val="18"/>
                <w:szCs w:val="18"/>
                <w:color w:val="auto"/>
              </w:rPr>
              <w:t>(174,478)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(56,621)</w:t>
            </w:r>
          </w:p>
        </w:tc>
      </w:tr>
      <w:tr>
        <w:trPr>
          <w:trHeight w:val="215"/>
        </w:trPr>
        <w:tc>
          <w:tcPr>
            <w:tcW w:w="6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(31,553)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(64,964)</w:t>
            </w:r>
          </w:p>
        </w:tc>
      </w:tr>
      <w:tr>
        <w:trPr>
          <w:trHeight w:val="229"/>
        </w:trPr>
        <w:tc>
          <w:tcPr>
            <w:tcW w:w="698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2080" w:type="dxa"/>
            <w:vAlign w:val="bottom"/>
            <w:gridSpan w:val="2"/>
          </w:tcPr>
          <w:p>
            <w:pPr>
              <w:jc w:val="right"/>
              <w:ind w:right="62"/>
              <w:spacing w:after="0"/>
              <w:rPr>
                <w:sz w:val="20"/>
                <w:szCs w:val="20"/>
                <w:color w:val="auto"/>
              </w:rPr>
            </w:pPr>
            <w:r>
              <w:rPr>
                <w:rFonts w:ascii="Arial" w:cs="Arial" w:eastAsia="Arial" w:hAnsi="Arial"/>
                <w:sz w:val="18"/>
                <w:szCs w:val="18"/>
                <w:color w:val="auto"/>
              </w:rPr>
              <w:t>214,439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2"/>
          </w:tcPr>
          <w:p>
            <w:pPr>
              <w:jc w:val="right"/>
              <w:ind w:right="22"/>
              <w:spacing w:after="0"/>
              <w:rPr>
                <w:sz w:val="20"/>
                <w:szCs w:val="20"/>
                <w:color w:val="auto"/>
              </w:rPr>
            </w:pPr>
            <w:r>
              <w:rPr>
                <w:rFonts w:ascii="Arial" w:cs="Arial" w:eastAsia="Arial" w:hAnsi="Arial"/>
                <w:sz w:val="18"/>
                <w:szCs w:val="18"/>
                <w:color w:val="auto"/>
              </w:rPr>
              <w:t>4,264</w:t>
            </w:r>
          </w:p>
        </w:tc>
      </w:tr>
      <w:tr>
        <w:trPr>
          <w:trHeight w:val="209"/>
        </w:trPr>
        <w:tc>
          <w:tcPr>
            <w:tcW w:w="6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(138,342</w:t>
            </w:r>
          </w:p>
        </w:tc>
        <w:tc>
          <w:tcPr>
            <w:tcW w:w="140" w:type="dxa"/>
            <w:vAlign w:val="bottom"/>
            <w:tcBorders>
              <w:top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(306,166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7" w:lineRule="exact"/>
        <w:rPr>
          <w:sz w:val="20"/>
          <w:szCs w:val="20"/>
          <w:color w:val="auto"/>
        </w:rPr>
      </w:pPr>
    </w:p>
    <w:p>
      <w:pPr>
        <w:sectPr>
          <w:pgSz w:w="11900" w:h="16838" w:orient="portrait"/>
          <w:cols w:equalWidth="0" w:num="1">
            <w:col w:w="11420"/>
          </w:cols>
          <w:pgMar w:left="240" w:top="901"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7255" cy="1365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deposited into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Interest released from Trust Account</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(132,753)</w:t>
      </w:r>
    </w:p>
    <w:p>
      <w:pPr>
        <w:spacing w:after="0" w:line="23" w:lineRule="exact"/>
        <w:rPr>
          <w:sz w:val="20"/>
          <w:szCs w:val="20"/>
          <w:color w:val="auto"/>
        </w:rPr>
      </w:pPr>
    </w:p>
    <w:p>
      <w:pPr>
        <w:ind w:left="240"/>
        <w:spacing w:after="0"/>
        <w:tabs>
          <w:tab w:leader="none" w:pos="2380" w:val="left"/>
        </w:tabs>
        <w:rPr>
          <w:sz w:val="20"/>
          <w:szCs w:val="20"/>
          <w:color w:val="auto"/>
        </w:rPr>
      </w:pPr>
      <w:r>
        <w:rPr>
          <w:rFonts w:ascii="Arial" w:cs="Arial" w:eastAsia="Arial" w:hAnsi="Arial"/>
          <w:sz w:val="16"/>
          <w:szCs w:val="16"/>
          <w:color w:val="auto"/>
        </w:rPr>
        <w:t>5,260</w:t>
      </w:r>
      <w:r>
        <w:rPr>
          <w:sz w:val="20"/>
          <w:szCs w:val="20"/>
          <w:color w:val="auto"/>
        </w:rPr>
        <w:tab/>
      </w:r>
      <w:r>
        <w:rPr>
          <w:rFonts w:ascii="Arial" w:cs="Arial" w:eastAsia="Arial" w:hAnsi="Arial"/>
          <w:sz w:val="16"/>
          <w:szCs w:val="16"/>
          <w:color w:val="auto"/>
        </w:rPr>
        <w:t>71,702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27940</wp:posOffset>
            </wp:positionV>
            <wp:extent cx="27489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48915" cy="8255"/>
                    </a:xfrm>
                    <a:prstGeom prst="rect">
                      <a:avLst/>
                    </a:prstGeom>
                    <a:noFill/>
                  </pic:spPr>
                </pic:pic>
              </a:graphicData>
            </a:graphic>
          </wp:anchor>
        </w:drawing>
      </w:r>
    </w:p>
    <w:p>
      <w:pPr>
        <w:spacing w:after="0" w:line="25"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(127,493)</w:t>
      </w:r>
      <w:r>
        <w:rPr>
          <w:sz w:val="20"/>
          <w:szCs w:val="20"/>
          <w:color w:val="auto"/>
        </w:rPr>
        <w:tab/>
      </w:r>
      <w:r>
        <w:rPr>
          <w:rFonts w:ascii="Arial" w:cs="Arial" w:eastAsia="Arial" w:hAnsi="Arial"/>
          <w:sz w:val="16"/>
          <w:szCs w:val="16"/>
          <w:color w:val="auto"/>
        </w:rPr>
        <w:t>71,702</w:t>
      </w:r>
    </w:p>
    <w:p>
      <w:pPr>
        <w:spacing w:after="0" w:line="21" w:lineRule="exact"/>
        <w:rPr>
          <w:sz w:val="20"/>
          <w:szCs w:val="20"/>
          <w:color w:val="auto"/>
        </w:rPr>
      </w:pPr>
    </w:p>
    <w:p>
      <w:pPr>
        <w:sectPr>
          <w:pgSz w:w="11900" w:h="16838" w:orient="portrait"/>
          <w:cols w:equalWidth="0" w:num="2">
            <w:col w:w="7700" w:space="720"/>
            <w:col w:w="3000"/>
          </w:cols>
          <w:pgMar w:left="240" w:top="901" w:right="2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related party note</w:t>
            </w:r>
          </w:p>
        </w:tc>
        <w:tc>
          <w:tcPr>
            <w:tcW w:w="7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132,753</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7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132,753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09"/>
        </w:trPr>
        <w:tc>
          <w:tcPr>
            <w:tcW w:w="43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7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(133,082)</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(234,464)</w:t>
            </w:r>
          </w:p>
        </w:tc>
      </w:tr>
      <w:tr>
        <w:trPr>
          <w:trHeight w:val="215"/>
        </w:trPr>
        <w:tc>
          <w:tcPr>
            <w:tcW w:w="43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172,196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362,535</w:t>
            </w: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2"/>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760" w:type="dxa"/>
            <w:vAlign w:val="bottom"/>
          </w:tcPr>
          <w:p>
            <w:pPr>
              <w:jc w:val="right"/>
              <w:ind w:right="5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39,114</w:t>
            </w:r>
          </w:p>
        </w:tc>
        <w:tc>
          <w:tcPr>
            <w:tcW w:w="8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128,071</w:t>
            </w:r>
          </w:p>
        </w:tc>
      </w:tr>
      <w:tr>
        <w:trPr>
          <w:trHeight w:val="195"/>
        </w:trPr>
        <w:tc>
          <w:tcPr>
            <w:tcW w:w="4340" w:type="dxa"/>
            <w:vAlign w:val="bottom"/>
            <w:tcBorders>
              <w:top w:val="single" w:sz="8" w:color="CCEEFF"/>
            </w:tcBorders>
            <w:shd w:val="clear" w:color="auto" w:fill="CCEEFF"/>
          </w:tcPr>
          <w:p>
            <w:pPr>
              <w:spacing w:after="0"/>
              <w:rPr>
                <w:sz w:val="16"/>
                <w:szCs w:val="16"/>
                <w:color w:val="auto"/>
              </w:rPr>
            </w:pPr>
          </w:p>
        </w:tc>
        <w:tc>
          <w:tcPr>
            <w:tcW w:w="26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75"/>
        </w:trPr>
        <w:tc>
          <w:tcPr>
            <w:tcW w:w="6980" w:type="dxa"/>
            <w:vAlign w:val="bottom"/>
            <w:gridSpan w:val="2"/>
          </w:tcPr>
          <w:p>
            <w:pPr>
              <w:spacing w:after="0" w:line="175"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34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 common stock subject to possible conversion</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146,750</w:t>
            </w:r>
          </w:p>
        </w:tc>
        <w:tc>
          <w:tcPr>
            <w:tcW w:w="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188,845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March 31, 2018, the Company had not yet commenced any operations. For the three months ended March 31, 2018, the Company’s activity has been limited to the evaluation of business combination candidates, and the Company will not be generating any operating revenues until the closing and completion of an initial business combination.</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March 31, 2018.</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funds in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However,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 obligations then due but not yet paid, or provide stockholders with the opportunity to sell their shares to the Company by means of a tender offer for an amount equal to their pro rata share of the aggregate amount then on deposit in the Trust Account, less any tax obligations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751" w:gutter="0" w:footer="0" w:header="0"/>
        </w:sectPr>
      </w:pPr>
    </w:p>
    <w:bookmarkStart w:id="204" w:name="page205"/>
    <w:bookmarkEnd w:id="204"/>
    <w:p>
      <w:pPr>
        <w:jc w:val="both"/>
        <w:spacing w:after="0" w:line="274"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their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by May 19, 2018,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has extended the time to complete an initial business combination to May 19, 2018 by depositing $265,504 into its trust account. However, if the Company anticipates that it may not be able to consummate its initial business combination by May 19, 2018 (as seems likely), it may extend the period of time to consummate a business combination up to one additional time by an additional one month (for a total of up to 21 months to complete a business combination). Pursuant to the terms of the Company’s amended and restated articles of incorporation and the trust agreement entered into between it and American Stock Transfer &amp; Trust Company, LLC on the date of the IPO, in order to extend the time available for it to consummate its initial business combination, the Company’s insiders or their affiliates or designees, upon five days advance notice prior to the applicable deadline, must deposit into the trust account $132,753 ($0.025 per unit in either case), up to an aggregate of $398,258, or $0.075 per unit (if its life is extended three times), on or prior to the date of the applicable deadline, for each one month extension (the Company has already deposited an aggregate of $265,504 for the first and second extension). The insiders received for the first deposit and they or their designees will receive for any subsequent deposits a non-interest bearing, unsecured promissory note equal to the amount of any such deposit that will not be repaid in the event that the Company is unable to close a business combination unless there are funds available outside the trust account to do so.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less tax obligations.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among other things, the realization of assets and satisfaction of liabilities in the normal course of business. As of March 31, 2018, the Company had $39,114 in cash and cash equivalents held outside Trust Account, $573,644 in interest income available from the Company’s investments in the Trust Account to pay its tax obligations, and a working capital deficit of $654,997.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the foregoing, the Company may have insufficient funds available to operate its business through the earlier of consummation of a Business Combination or June 19, 2018 (if an extension is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t>The accompanying financial statements do not include any adjustments that might be necessary if the Company is unable to continue as a going concern.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financial statements are presented in conformity with accounting principles generally accepted in the United States of America (“U.S. GAAP”) and pursuant to the rules and regulations of the Securities and Exchange Commission (“SEC”) for interim financial information and the instructions to Form 10-Q. Accordingly, they do not include all of the information and footnotes required by U.S. GAAP. In the opinion of management, all adjustments (consisting of normal accruals) considered for a fair presentation have been included. The Company has evaluated subsequent events through the issuance of this Form 10-Q. Operating results for the quarter ended March 31, 2018 are not necessarily indicative of the results that may be expected for the year ended December 31, 2018 or any future interim period. The accompanying unaudited condensed financial statements should be read in conjunction with the Company’s financial statements and notes thereto included in the Company’s Form 10-K filed with the Securities and Exchange Commission on March 27,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amounts held in the Trust Account represent substantially all of the proceeds of the Initial Public Offering, in addition to aggregate proceeds of $265,504 received to date to extend the time to complete an initial business combination, and are classified as restricted assets since such amounts can only be used by the Company in connection with the consummation of a Business Combination. Except with respect to interest earned on the funds held in the Trust Account that may be released to pay income or other tax obligations, the proceeds will not be released from the Trust Account until the earlier of the completion of a Business Combination or the redemption of 100% of the outstanding public shares if we have not completed a Business Combination in the required time period. As of March 31, 2018, marketable securities held in the Trust Account consisted of $55,383,870 in United States Treasury Bills with an original maturity of six months or less. During the three months ended March 31, 2018, the Company withdrew interest income totaling $5,260 to be utilized for payment of tax obligations.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complies with accounting and disclosure requirements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Net income (loss) per common share is computed by dividing net income (loss) applicable to common stockholders by the weighted average number of common shares outstanding during the period, plus, to the extent dilutive, the incremental number of shares of common stock to settle warrants, as calculated using the treasury stock method. An aggregate of 4,672,795 and 4,731,015 shares of common stock subject to possible conversion at March 31, 2018 and 2017, respectively, have been excluded from the calculation of basic loss per ordinary share since such shares, if redeemed, only participate in their pro rata share of the trust earnings. At March 31, 2018 and 2017,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loss per common share</w:t>
      </w:r>
    </w:p>
    <w:p>
      <w:pPr>
        <w:spacing w:after="0" w:line="223"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The Company’s net loss is adjusted for the portion of income that is attributable to common stock subject to conversion, as these shares only participate in the income of the Trust Account and not the losses of the Company. Accordingly, basic and diluted loss per common share is calculated as follows:</w:t>
      </w:r>
    </w:p>
    <w:p>
      <w:pPr>
        <w:spacing w:after="0" w:line="120"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right"/>
              <w:ind w:right="182"/>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82"/>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2"/>
          </w:tcPr>
          <w:p>
            <w:pPr>
              <w:jc w:val="right"/>
              <w:ind w:right="402"/>
              <w:spacing w:after="0"/>
              <w:rPr>
                <w:sz w:val="20"/>
                <w:szCs w:val="20"/>
                <w:color w:val="auto"/>
              </w:rPr>
            </w:pPr>
            <w:r>
              <w:rPr>
                <w:rFonts w:ascii="Arial" w:cs="Arial" w:eastAsia="Arial" w:hAnsi="Arial"/>
                <w:sz w:val="18"/>
                <w:szCs w:val="18"/>
                <w:b w:val="1"/>
                <w:bCs w:val="1"/>
                <w:color w:val="auto"/>
              </w:rPr>
              <w:t>March 31, 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right"/>
              <w:ind w:right="402"/>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Less: Income attributable to common shares subject to conversion</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2"/>
          </w:tcPr>
          <w:p>
            <w:pPr>
              <w:jc w:val="right"/>
              <w:ind w:right="2"/>
              <w:spacing w:after="0"/>
              <w:rPr>
                <w:sz w:val="20"/>
                <w:szCs w:val="20"/>
                <w:color w:val="auto"/>
              </w:rPr>
            </w:pPr>
            <w:r>
              <w:rPr>
                <w:rFonts w:ascii="Arial" w:cs="Arial" w:eastAsia="Arial" w:hAnsi="Arial"/>
                <w:sz w:val="18"/>
                <w:szCs w:val="18"/>
                <w:color w:val="auto"/>
              </w:rPr>
              <w:t>(153,292)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(25,164)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(300,042</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2,352,922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2,310,710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is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accounts for income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2016 and 2017 tax years. The Company believes that its income tax positions and deductions would be sustained on audit and does not anticipate any adjustments that would result in a material change to its financial position.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7" w:name="page208"/>
    <w:bookmarkEnd w:id="207"/>
    <w:p>
      <w:pPr>
        <w:jc w:val="both"/>
        <w:ind w:right="20"/>
        <w:spacing w:after="0" w:line="285"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2018 through March 31, 2018. Management is currently unaware of any issues under review that could result in significant payments, accruals or material deviations from its position.</w:t>
      </w:r>
    </w:p>
    <w:p>
      <w:pPr>
        <w:spacing w:after="0" w:line="16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December 22, 2017, the Tax Cuts and Jobs Act (“Tax Act”) was signed into law. Under ASC 740, the enactment of the Tax Act also requires companies, to recognize the effects of changes in tax laws and rates on deferred tax assets and liabilities and the retroactive effects of changes in tax laws in the period in which the new legislation is enacted. There is no further change to its assertion on maintaining a full valuation allowance against its U.S. deferred tax assets. The Company’s gross deferred tax assets were revalued from 35% to 21% with a corresponding offset to the valuation allowance. The Company will continue to analyze the Tax Act to assess the full effects on its financial results, including disclosures, for our fiscal year ending December 31, 2018.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321"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Note 4 — Private Units</w:t>
      </w:r>
    </w:p>
    <w:p>
      <w:pPr>
        <w:spacing w:after="0" w:line="227"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 – Related Parties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March 13, 2018, the Company issued promissory notes in the aggregate principal amount of </w:t>
      </w:r>
      <w:r>
        <w:rPr>
          <w:rFonts w:ascii="Arial" w:cs="Arial" w:eastAsia="Arial" w:hAnsi="Arial"/>
          <w:sz w:val="18"/>
          <w:szCs w:val="18"/>
          <w:color w:val="auto"/>
          <w:highlight w:val="white"/>
        </w:rPr>
        <w:t>$132,753 to its sponsors (M SPAC LLC, M SPAC Holdings I,</w:t>
      </w:r>
      <w:r>
        <w:rPr>
          <w:rFonts w:ascii="Arial" w:cs="Arial" w:eastAsia="Arial" w:hAnsi="Arial"/>
          <w:sz w:val="18"/>
          <w:szCs w:val="18"/>
          <w:color w:val="auto"/>
        </w:rPr>
        <w:t xml:space="preserve"> </w:t>
      </w:r>
      <w:r>
        <w:rPr>
          <w:rFonts w:ascii="Arial" w:cs="Arial" w:eastAsia="Arial" w:hAnsi="Arial"/>
          <w:sz w:val="18"/>
          <w:szCs w:val="18"/>
          <w:color w:val="auto"/>
          <w:highlight w:val="white"/>
        </w:rPr>
        <w:t>LLC and M SPAC Holdings II, LLC)</w:t>
      </w:r>
      <w:r>
        <w:rPr>
          <w:rFonts w:ascii="Arial" w:cs="Arial" w:eastAsia="Arial" w:hAnsi="Arial"/>
          <w:sz w:val="18"/>
          <w:szCs w:val="18"/>
          <w:color w:val="auto"/>
        </w:rPr>
        <w:t>. The $132,753 received by the Company upon issuance of the notes was deposited into the Company’s trust account for</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the benefit of its public stockholders in order to extend the </w:t>
      </w:r>
      <w:r>
        <w:rPr>
          <w:rFonts w:ascii="Arial" w:cs="Arial" w:eastAsia="Arial" w:hAnsi="Arial"/>
          <w:sz w:val="18"/>
          <w:szCs w:val="18"/>
          <w:color w:val="auto"/>
          <w:highlight w:val="white"/>
        </w:rPr>
        <w:t>period of time the Company has to complete a business combination for an additional one month,</w:t>
      </w:r>
      <w:r>
        <w:rPr>
          <w:rFonts w:ascii="Arial" w:cs="Arial" w:eastAsia="Arial" w:hAnsi="Arial"/>
          <w:sz w:val="18"/>
          <w:szCs w:val="18"/>
          <w:color w:val="auto"/>
        </w:rPr>
        <w:t xml:space="preserve"> </w:t>
      </w:r>
      <w:r>
        <w:rPr>
          <w:rFonts w:ascii="Arial" w:cs="Arial" w:eastAsia="Arial" w:hAnsi="Arial"/>
          <w:sz w:val="18"/>
          <w:szCs w:val="18"/>
          <w:color w:val="auto"/>
          <w:highlight w:val="white"/>
        </w:rPr>
        <w:t>from March 19, 2018 to April 19, 2018. The notes do not bear interest and are payable five business days after the date the Company completes a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 due on the first of each month. During the three months ended March 31, 2018 and 2017, the Company incurred administrative fees of $30,000 and $30,000,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26, 2018, the Company entered into a Contribution Agreement with Priority Investment Holdings, LLC and Priority Incentive Equity Holdings, LLC (collectively, the “Interest Holders”) to acquire all of the outstanding equity interests of Priority Holdings, LLC (“Priority”), a leading provider of B2C and B2B payment processing solutions. On March 26, 2018, the Company entered into an Amended and Restated Contribution Agreement with the Interest Holders (as amended and restated, the “Purchase Agreement”).</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Upon the closing of the transactions contemplated by the Purchase Agreement, the Company will acquire 100% of the issued and outstanding equity securities of Priority (the “Business Combination”), which will result in Priority becoming a wholly-owned subsidiary of the Company. In connection with the Business Combination, we will change our name to Priority Technology Holdings, Inc. The consideration to be paid by us to the Interest Holders in the business combination is a number of shares of the Company’s common stock equal to Priority’s equity value (which the Purchase Agreement defines as of the signing date as the $947.8 million enterprise value of Priority, less the net debt of Priority, subject to certain adjustments as described in the Purchase Agreement) divided by $10.30.If Priority acquires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included in the Earnout Adjusted EBITDA calculation of Priority shall be capped at 20% of the Earnout Adjusted EBITDA of the applicable acquisition with respect to the 12-month period immediately preceding the consummation of such acquisition. In addition, any cash that Priority spends to acquire any technology assets, up to $5.0 million, to purchase securities from the Founders pursuant to the Founders Share Agreement described below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Interest Holders).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Interest Holders or at their election, to members of Priority’s management or other service providers post-business combination pursuant to the Earnout Incentive Plan—4.9 million shares for the first earn-out and 4.9 million shares for the second earn-out. For the first earn-out, Earnout Adjusted EBITDA of M I Acquisitions must be no less than $82.5 million for the year ended December 31, 2018 and the M I Acquisitions stock price must have traded in excess of $12.00 for any 20 trading days within any consecutive 30-day trading period at any time on or before December 31, 2019. For the second earn-out,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Concurrently with the Purchase Agreement, the Company’s founding stockholders (the “Founders”) and Priority entered into a purchase agreement (the “Founders Share Agreement”) pursuant to which Priority agreed to purchase 421,107 of the units issued to the Founders in a private placement immediately prior to the Company’s initial public offering, and 453,210 shares of common stock of the Company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earn-outs described above (and relating to the Purchase Agreement consideration) is achieved.</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the Founders and Thomas C. Priore, the Executive Chairman of Priority (“TCP”), entered into a letter agreement (the “Letter Agreement”) pursuant to which the Founders granted TCP (i) the right to purchase at any time all or some of the Founders’ remaining shares of the Company’s common stock at the prevailing market price subject to certain conditions including a floor of $10.30 per share and (ii) a right of first refusal on any proposed transfer of shares by the Founders.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Notification Letter</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3, 2018, the Company received a letter (the “Notification Letter”) from the staff of the Listing Qualifications Department of The Nasdaq Stock Market (“Nasdaq”) notifying the Company that the Company no longer complies with Nasdaq Listing Rule 5620(a) for continued listing due to its failure to hold an annual meeting of stockholders within twelve months of the end of the Company’s fiscal year ended December 31, 2016. On February 20, 2018, the Company submitted its plan to regain compliance pursuant to the procedures set forth in the Nasdaq listing rules. On February 20, 2018, Nasdaq granted the Company an extension until June 19, 2018 to regain compliance. In the event we do not satisfy the terms of the extension, Nasdaq will notify the Company that its securities will be delisted. At that time, the Company will have the opportunity to appeal the determination to a Hearings Panel. If the Company timely appeals, its securities would remain listed pending such decision. There can be no assurance that, if the Company does appeal, such appeal would be successful.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321"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there are no preferred shares issued or outstanding.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included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March 31, 2018 and December 31, 2017, there were 2,385,948 and 2,352,922 common shares issued and outstanding, which excludes 4,672,795and 4,705,821 shares subject to possible conversion, respectively.</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 obligations,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16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Note 9 — Subsequent Events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follows the guidance in Section 855-10-50 of the FASB Accounting Standards Codification for the disclosure of subsequent events. The Company evaluated subsequent events through the date when the financial statements were issued.</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On April 12, 2018, the Company issued a promissory note in the aggregate principal amount of </w:t>
      </w:r>
      <w:r>
        <w:rPr>
          <w:rFonts w:ascii="Arial" w:cs="Arial" w:eastAsia="Arial" w:hAnsi="Arial"/>
          <w:sz w:val="17"/>
          <w:szCs w:val="17"/>
          <w:color w:val="auto"/>
          <w:highlight w:val="white"/>
        </w:rPr>
        <w:t>$132,753 to Priority Holdings, LLC.</w:t>
      </w:r>
      <w:r>
        <w:rPr>
          <w:rFonts w:ascii="Arial" w:cs="Arial" w:eastAsia="Arial" w:hAnsi="Arial"/>
          <w:sz w:val="17"/>
          <w:szCs w:val="17"/>
          <w:color w:val="auto"/>
        </w:rPr>
        <w:t xml:space="preserve"> The $132,753 received by the Company upon issuance of the note was deposited into the Company’s trust account for the benefit of its public stockholders in order to extend the </w:t>
      </w:r>
      <w:r>
        <w:rPr>
          <w:rFonts w:ascii="Arial" w:cs="Arial" w:eastAsia="Arial" w:hAnsi="Arial"/>
          <w:sz w:val="17"/>
          <w:szCs w:val="17"/>
          <w:color w:val="auto"/>
          <w:highlight w:val="white"/>
        </w:rPr>
        <w:t>period of time the Company has to complete a business combination for an additional one month, from April 19, 2018 to May 19, 2018. The note does not bear interest and are payable five business days after the date the Company completes a business combination.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On April 19, 2018, the Company issued a promissory note in the aggregate principal amount of </w:t>
      </w:r>
      <w:r>
        <w:rPr>
          <w:rFonts w:ascii="Arial" w:cs="Arial" w:eastAsia="Arial" w:hAnsi="Arial"/>
          <w:sz w:val="18"/>
          <w:szCs w:val="18"/>
          <w:color w:val="auto"/>
          <w:highlight w:val="white"/>
        </w:rPr>
        <w:t>$76,771 to Priority Holdings, LLC. The note does not bear</w:t>
      </w:r>
      <w:r>
        <w:rPr>
          <w:rFonts w:ascii="Arial" w:cs="Arial" w:eastAsia="Arial" w:hAnsi="Arial"/>
          <w:sz w:val="18"/>
          <w:szCs w:val="18"/>
          <w:color w:val="auto"/>
        </w:rPr>
        <w:t xml:space="preserve"> </w:t>
      </w:r>
      <w:r>
        <w:rPr>
          <w:rFonts w:ascii="Arial" w:cs="Arial" w:eastAsia="Arial" w:hAnsi="Arial"/>
          <w:sz w:val="18"/>
          <w:szCs w:val="18"/>
          <w:color w:val="auto"/>
          <w:highlight w:val="white"/>
        </w:rPr>
        <w:t>interest and are payable five business days after the date the Company completes a business combination.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audited the accompanying balance sheets of M I Acquisitions, Inc. (the “Company”) as of December 31, 2017 and 2016, the related statements of operations, stockholders’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the Company has a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December 31, 2016</w:t>
            </w:r>
          </w:p>
        </w:tc>
      </w:tr>
      <w:tr>
        <w:trPr>
          <w:trHeight w:val="209"/>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460" w:type="dxa"/>
            <w:vAlign w:val="bottom"/>
            <w:shd w:val="clear" w:color="auto" w:fill="CCEEFF"/>
          </w:tcPr>
          <w:p>
            <w:pPr>
              <w:spacing w:after="0"/>
              <w:rPr>
                <w:sz w:val="16"/>
                <w:szCs w:val="16"/>
                <w:color w:val="auto"/>
              </w:rPr>
            </w:pPr>
          </w:p>
        </w:tc>
        <w:tc>
          <w:tcPr>
            <w:tcW w:w="5200" w:type="dxa"/>
            <w:vAlign w:val="bottom"/>
            <w:gridSpan w:val="4"/>
            <w:shd w:val="clear" w:color="auto" w:fill="CCEEFF"/>
          </w:tcPr>
          <w:p>
            <w:pPr>
              <w:ind w:left="1080"/>
              <w:spacing w:after="0" w:line="175"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35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Borders>
              <w:top w:val="single" w:sz="8" w:color="auto"/>
            </w:tcBorders>
          </w:tcPr>
          <w:p>
            <w:pPr>
              <w:spacing w:after="0"/>
              <w:rPr>
                <w:sz w:val="18"/>
                <w:szCs w:val="18"/>
                <w:color w:val="auto"/>
              </w:rPr>
            </w:pPr>
          </w:p>
        </w:tc>
        <w:tc>
          <w:tcPr>
            <w:tcW w:w="364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362,535</w:t>
            </w:r>
          </w:p>
        </w:tc>
      </w:tr>
      <w:tr>
        <w:trPr>
          <w:trHeight w:val="229"/>
        </w:trPr>
        <w:tc>
          <w:tcPr>
            <w:tcW w:w="7660" w:type="dxa"/>
            <w:vAlign w:val="bottom"/>
            <w:gridSpan w:val="5"/>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56,241</w:t>
            </w:r>
          </w:p>
        </w:tc>
      </w:tr>
      <w:tr>
        <w:trPr>
          <w:trHeight w:val="209"/>
        </w:trPr>
        <w:tc>
          <w:tcPr>
            <w:tcW w:w="766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 held in trust</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55,081,899</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54,731,828</w:t>
            </w:r>
          </w:p>
        </w:tc>
      </w:tr>
      <w:tr>
        <w:trPr>
          <w:trHeight w:val="262"/>
        </w:trPr>
        <w:tc>
          <w:tcPr>
            <w:tcW w:w="766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55,264,031</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55,150,604</w:t>
            </w:r>
          </w:p>
        </w:tc>
        <w:tc>
          <w:tcPr>
            <w:tcW w:w="100" w:type="dxa"/>
            <w:vAlign w:val="bottom"/>
            <w:tcBorders>
              <w:bottom w:val="single" w:sz="8" w:color="CCEEFF"/>
            </w:tcBorders>
          </w:tcPr>
          <w:p>
            <w:pPr>
              <w:spacing w:after="0"/>
              <w:rPr>
                <w:sz w:val="22"/>
                <w:szCs w:val="22"/>
                <w:color w:val="auto"/>
              </w:rPr>
            </w:pPr>
          </w:p>
        </w:tc>
      </w:tr>
      <w:tr>
        <w:trPr>
          <w:trHeight w:val="195"/>
        </w:trPr>
        <w:tc>
          <w:tcPr>
            <w:tcW w:w="2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5"/>
        </w:trPr>
        <w:tc>
          <w:tcPr>
            <w:tcW w:w="2460" w:type="dxa"/>
            <w:vAlign w:val="bottom"/>
          </w:tcPr>
          <w:p>
            <w:pPr>
              <w:spacing w:after="0"/>
              <w:rPr>
                <w:sz w:val="15"/>
                <w:szCs w:val="15"/>
                <w:color w:val="auto"/>
              </w:rPr>
            </w:pPr>
          </w:p>
        </w:tc>
        <w:tc>
          <w:tcPr>
            <w:tcW w:w="5200" w:type="dxa"/>
            <w:vAlign w:val="bottom"/>
            <w:gridSpan w:val="4"/>
          </w:tcPr>
          <w:p>
            <w:pPr>
              <w:spacing w:after="0" w:line="175"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46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66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349,292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111,011</w:t>
            </w:r>
          </w:p>
        </w:tc>
      </w:tr>
      <w:tr>
        <w:trPr>
          <w:trHeight w:val="215"/>
        </w:trPr>
        <w:tc>
          <w:tcPr>
            <w:tcW w:w="7660" w:type="dxa"/>
            <w:vAlign w:val="bottom"/>
            <w:gridSpan w:val="5"/>
          </w:tcPr>
          <w:p>
            <w:pPr>
              <w:ind w:left="160"/>
              <w:spacing w:after="0"/>
              <w:rPr>
                <w:sz w:val="20"/>
                <w:szCs w:val="20"/>
                <w:color w:val="auto"/>
              </w:rPr>
            </w:pPr>
            <w:r>
              <w:rPr>
                <w:rFonts w:ascii="Arial" w:cs="Arial" w:eastAsia="Arial" w:hAnsi="Arial"/>
                <w:sz w:val="18"/>
                <w:szCs w:val="18"/>
                <w:color w:val="auto"/>
              </w:rPr>
              <w:t>Offering costs payable</w:t>
            </w:r>
          </w:p>
        </w:tc>
        <w:tc>
          <w:tcPr>
            <w:tcW w:w="1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11,616</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11,616</w:t>
            </w:r>
          </w:p>
        </w:tc>
      </w:tr>
      <w:tr>
        <w:trPr>
          <w:trHeight w:val="229"/>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Note payable</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w:t>
            </w:r>
          </w:p>
        </w:tc>
      </w:tr>
      <w:tr>
        <w:trPr>
          <w:trHeight w:val="209"/>
        </w:trPr>
        <w:tc>
          <w:tcPr>
            <w:tcW w:w="7660" w:type="dxa"/>
            <w:vAlign w:val="bottom"/>
            <w:gridSpan w:val="5"/>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388,408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150,127</w:t>
            </w:r>
          </w:p>
        </w:tc>
        <w:tc>
          <w:tcPr>
            <w:tcW w:w="100" w:type="dxa"/>
            <w:vAlign w:val="bottom"/>
          </w:tcPr>
          <w:p>
            <w:pPr>
              <w:spacing w:after="0"/>
              <w:rPr>
                <w:sz w:val="18"/>
                <w:szCs w:val="18"/>
                <w:color w:val="auto"/>
              </w:rPr>
            </w:pPr>
          </w:p>
        </w:tc>
      </w:tr>
      <w:tr>
        <w:trPr>
          <w:trHeight w:val="215"/>
        </w:trPr>
        <w:tc>
          <w:tcPr>
            <w:tcW w:w="2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660" w:type="dxa"/>
            <w:vAlign w:val="bottom"/>
            <w:gridSpan w:val="5"/>
          </w:tcPr>
          <w:p>
            <w:pPr>
              <w:ind w:left="160"/>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1,062,022</w:t>
            </w: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1,062,022</w:t>
            </w:r>
          </w:p>
        </w:tc>
      </w:tr>
      <w:tr>
        <w:trPr>
          <w:trHeight w:val="209"/>
        </w:trPr>
        <w:tc>
          <w:tcPr>
            <w:tcW w:w="24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66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1,450,430</w:t>
            </w: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1,212,149</w:t>
            </w:r>
          </w:p>
        </w:tc>
      </w:tr>
      <w:tr>
        <w:trPr>
          <w:trHeight w:val="209"/>
        </w:trPr>
        <w:tc>
          <w:tcPr>
            <w:tcW w:w="24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766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7660" w:type="dxa"/>
            <w:vAlign w:val="bottom"/>
            <w:gridSpan w:val="5"/>
          </w:tcPr>
          <w:p>
            <w:pPr>
              <w:spacing w:after="0" w:line="197" w:lineRule="exact"/>
              <w:rPr>
                <w:sz w:val="20"/>
                <w:szCs w:val="20"/>
                <w:color w:val="auto"/>
              </w:rPr>
            </w:pPr>
            <w:r>
              <w:rPr>
                <w:rFonts w:ascii="Arial" w:cs="Arial" w:eastAsia="Arial" w:hAnsi="Arial"/>
                <w:sz w:val="18"/>
                <w:szCs w:val="18"/>
                <w:b w:val="1"/>
                <w:bCs w:val="1"/>
                <w:color w:val="auto"/>
                <w:w w:val="90"/>
              </w:rPr>
              <w:t>Common stock subject to possible conversion (4,705,821 and 4,748,033 shares at conversion value</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7"/>
        </w:trPr>
        <w:tc>
          <w:tcPr>
            <w:tcW w:w="7660" w:type="dxa"/>
            <w:vAlign w:val="bottom"/>
            <w:gridSpan w:val="5"/>
          </w:tcPr>
          <w:p>
            <w:pPr>
              <w:ind w:left="140"/>
              <w:spacing w:after="0"/>
              <w:rPr>
                <w:sz w:val="20"/>
                <w:szCs w:val="20"/>
                <w:color w:val="auto"/>
              </w:rPr>
            </w:pPr>
            <w:r>
              <w:rPr>
                <w:rFonts w:ascii="Arial" w:cs="Arial" w:eastAsia="Arial" w:hAnsi="Arial"/>
                <w:sz w:val="18"/>
                <w:szCs w:val="18"/>
                <w:b w:val="1"/>
                <w:bCs w:val="1"/>
                <w:color w:val="auto"/>
              </w:rPr>
              <w:t>as of December 31, 2017 and 2016, respectively)</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48,813,595</w:t>
            </w:r>
          </w:p>
        </w:tc>
        <w:tc>
          <w:tcPr>
            <w:tcW w:w="10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48,938,449</w:t>
            </w:r>
          </w:p>
        </w:tc>
      </w:tr>
      <w:tr>
        <w:trPr>
          <w:trHeight w:val="209"/>
        </w:trPr>
        <w:tc>
          <w:tcPr>
            <w:tcW w:w="24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766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766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5"/>
              </w:rPr>
              <w:t>Common stock, $0.001 par value; 30,000,000 shares authorized; 2,352,922 and 2,310,710 shares</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660" w:type="dxa"/>
            <w:vAlign w:val="bottom"/>
            <w:gridSpan w:val="5"/>
          </w:tcPr>
          <w:p>
            <w:pPr>
              <w:ind w:left="340"/>
              <w:spacing w:after="0"/>
              <w:rPr>
                <w:sz w:val="20"/>
                <w:szCs w:val="20"/>
                <w:color w:val="auto"/>
              </w:rPr>
            </w:pPr>
            <w:r>
              <w:rPr>
                <w:rFonts w:ascii="Arial" w:cs="Arial" w:eastAsia="Arial" w:hAnsi="Arial"/>
                <w:sz w:val="18"/>
                <w:szCs w:val="18"/>
                <w:color w:val="auto"/>
                <w:w w:val="90"/>
              </w:rPr>
              <w:t>issued and outstanding (excluding 4,705,821 and 4,748,033 shares subject to possible conversion) at</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60" w:type="dxa"/>
            <w:vAlign w:val="bottom"/>
            <w:gridSpan w:val="5"/>
          </w:tcPr>
          <w:p>
            <w:pPr>
              <w:ind w:left="340"/>
              <w:spacing w:after="0"/>
              <w:rPr>
                <w:sz w:val="20"/>
                <w:szCs w:val="20"/>
                <w:color w:val="auto"/>
              </w:rPr>
            </w:pPr>
            <w:r>
              <w:rPr>
                <w:rFonts w:ascii="Arial" w:cs="Arial" w:eastAsia="Arial" w:hAnsi="Arial"/>
                <w:sz w:val="18"/>
                <w:szCs w:val="18"/>
                <w:color w:val="auto"/>
              </w:rPr>
              <w:t>December 31, 2017 and 2016, respectively</w:t>
            </w:r>
          </w:p>
        </w:tc>
        <w:tc>
          <w:tcPr>
            <w:tcW w:w="1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r>
      <w:tr>
        <w:trPr>
          <w:trHeight w:val="215"/>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5,240,728</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5,115,916</w:t>
            </w:r>
          </w:p>
        </w:tc>
      </w:tr>
      <w:tr>
        <w:trPr>
          <w:trHeight w:val="229"/>
        </w:trPr>
        <w:tc>
          <w:tcPr>
            <w:tcW w:w="7660" w:type="dxa"/>
            <w:vAlign w:val="bottom"/>
            <w:gridSpan w:val="5"/>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(243,075)</w:t>
            </w:r>
          </w:p>
        </w:tc>
        <w:tc>
          <w:tcPr>
            <w:tcW w:w="1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(118,221)</w:t>
            </w:r>
          </w:p>
        </w:tc>
      </w:tr>
      <w:tr>
        <w:trPr>
          <w:trHeight w:val="209"/>
        </w:trPr>
        <w:tc>
          <w:tcPr>
            <w:tcW w:w="766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55,264,031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55,150,604</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For the Year</w:t>
            </w: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r>
      <w:tr>
        <w:trPr>
          <w:trHeight w:val="229"/>
        </w:trPr>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9"/>
                <w:szCs w:val="19"/>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r>
      <w:tr>
        <w:trPr>
          <w:trHeight w:val="233"/>
        </w:trPr>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0"/>
                <w:szCs w:val="20"/>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 2016</w:t>
            </w:r>
          </w:p>
        </w:tc>
      </w:tr>
      <w:tr>
        <w:trPr>
          <w:trHeight w:val="209"/>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90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w w:val="90"/>
              </w:rPr>
              <w:t>EXPENSES</w:t>
            </w:r>
          </w:p>
        </w:tc>
        <w:tc>
          <w:tcPr>
            <w:tcW w:w="6760" w:type="dxa"/>
            <w:vAlign w:val="bottom"/>
            <w:tcBorders>
              <w:bottom w:val="single" w:sz="8" w:color="CCEEFF"/>
            </w:tcBorders>
            <w:gridSpan w:val="4"/>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5"/>
        </w:trPr>
        <w:tc>
          <w:tcPr>
            <w:tcW w:w="7660" w:type="dxa"/>
            <w:vAlign w:val="bottom"/>
            <w:gridSpan w:val="5"/>
          </w:tcPr>
          <w:p>
            <w:pPr>
              <w:spacing w:after="0"/>
              <w:rPr>
                <w:sz w:val="20"/>
                <w:szCs w:val="20"/>
                <w:color w:val="auto"/>
              </w:rPr>
            </w:pPr>
            <w:r>
              <w:rPr>
                <w:rFonts w:ascii="Arial" w:cs="Arial" w:eastAsia="Arial" w:hAnsi="Arial"/>
                <w:sz w:val="18"/>
                <w:szCs w:val="18"/>
                <w:color w:val="auto"/>
              </w:rPr>
              <w:t>Administration fee - related party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120,000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35,667</w:t>
            </w:r>
          </w:p>
        </w:tc>
      </w:tr>
      <w:tr>
        <w:trPr>
          <w:trHeight w:val="229"/>
        </w:trPr>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831,721</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137,529</w:t>
            </w:r>
          </w:p>
        </w:tc>
      </w:tr>
      <w:tr>
        <w:trPr>
          <w:trHeight w:val="209"/>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60" w:type="dxa"/>
            <w:vAlign w:val="bottom"/>
            <w:gridSpan w:val="5"/>
            <w:shd w:val="clear" w:color="auto" w:fill="CCEEFF"/>
          </w:tcPr>
          <w:p>
            <w:pPr>
              <w:spacing w:after="0" w:line="155" w:lineRule="exact"/>
              <w:rPr>
                <w:sz w:val="20"/>
                <w:szCs w:val="20"/>
                <w:color w:val="auto"/>
              </w:rPr>
            </w:pPr>
            <w:r>
              <w:rPr>
                <w:rFonts w:ascii="Arial" w:cs="Arial" w:eastAsia="Arial" w:hAnsi="Arial"/>
                <w:sz w:val="17"/>
                <w:szCs w:val="17"/>
                <w:color w:val="auto"/>
              </w:rPr>
              <w:t>TOTAL EXPENSES</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7"/>
                <w:szCs w:val="17"/>
                <w:color w:val="auto"/>
              </w:rPr>
              <w:t>951,721</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7"/>
                <w:szCs w:val="17"/>
                <w:color w:val="auto"/>
              </w:rPr>
              <w:t>173,196</w:t>
            </w:r>
          </w:p>
        </w:tc>
      </w:tr>
      <w:tr>
        <w:trPr>
          <w:trHeight w:val="209"/>
        </w:trPr>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5"/>
        </w:trPr>
        <w:tc>
          <w:tcPr>
            <w:tcW w:w="13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8"/>
                <w:szCs w:val="18"/>
                <w:color w:val="auto"/>
                <w:w w:val="95"/>
              </w:rPr>
              <w:t>OTHER INCOME</w:t>
            </w:r>
          </w:p>
        </w:tc>
        <w:tc>
          <w:tcPr>
            <w:tcW w:w="630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5"/>
        </w:trPr>
        <w:tc>
          <w:tcPr>
            <w:tcW w:w="7660" w:type="dxa"/>
            <w:vAlign w:val="bottom"/>
            <w:gridSpan w:val="5"/>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399,166</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37,701</w:t>
            </w:r>
          </w:p>
        </w:tc>
      </w:tr>
      <w:tr>
        <w:trPr>
          <w:trHeight w:val="215"/>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Settlement income</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427,701</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gridSpan w:val="5"/>
          </w:tcPr>
          <w:p>
            <w:pPr>
              <w:ind w:left="160"/>
              <w:spacing w:after="0"/>
              <w:rPr>
                <w:sz w:val="20"/>
                <w:szCs w:val="20"/>
                <w:color w:val="auto"/>
              </w:rPr>
            </w:pPr>
            <w:r>
              <w:rPr>
                <w:rFonts w:ascii="Arial" w:cs="Arial" w:eastAsia="Arial" w:hAnsi="Arial"/>
                <w:sz w:val="18"/>
                <w:szCs w:val="18"/>
                <w:color w:val="auto"/>
              </w:rPr>
              <w:t>Extinguishment of debt</w:t>
            </w:r>
          </w:p>
        </w:tc>
        <w:tc>
          <w:tcPr>
            <w:tcW w:w="1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27,500</w:t>
            </w:r>
          </w:p>
        </w:tc>
      </w:tr>
      <w:tr>
        <w:trPr>
          <w:trHeight w:val="209"/>
        </w:trPr>
        <w:tc>
          <w:tcPr>
            <w:tcW w:w="7660" w:type="dxa"/>
            <w:vAlign w:val="bottom"/>
            <w:tcBorders>
              <w:top w:val="single" w:sz="8" w:color="CCEEFF"/>
            </w:tcBorders>
            <w:gridSpan w:val="5"/>
            <w:shd w:val="clear" w:color="auto" w:fill="CCEEFF"/>
          </w:tcPr>
          <w:p>
            <w:pPr>
              <w:spacing w:after="0" w:line="135" w:lineRule="exact"/>
              <w:rPr>
                <w:sz w:val="20"/>
                <w:szCs w:val="20"/>
                <w:color w:val="auto"/>
              </w:rPr>
            </w:pPr>
            <w:r>
              <w:rPr>
                <w:rFonts w:ascii="Arial" w:cs="Arial" w:eastAsia="Arial" w:hAnsi="Arial"/>
                <w:sz w:val="15"/>
                <w:szCs w:val="15"/>
                <w:color w:val="auto"/>
              </w:rPr>
              <w:t>TOTAL OTHER INCOME</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826,867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65,201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2"/>
        </w:trPr>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(107,995)</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loss per share of common stock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p>
        </w:tc>
        <w:tc>
          <w:tcPr>
            <w:tcW w:w="1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2,330,884</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1,664,794</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28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72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Additional Paid-In</w:t>
            </w:r>
          </w:p>
        </w:tc>
        <w:tc>
          <w:tcPr>
            <w:tcW w:w="1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3"/>
        </w:trPr>
        <w:tc>
          <w:tcPr>
            <w:tcW w:w="406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1,437,500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1,438</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23,562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(10,226)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14,774</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 of 5,000,000 units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49,995,000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Underwriters discount and offering expenses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(3,280,484)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(3,280,484)</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 of 421,107 private units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421,107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4,210,649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4,211,070</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Exercise of underwriters' overallotment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310,109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3,100,780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3,101,090</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and cancellation of 109,973 Founders'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(109,973)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common stock subject to possible</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(4,748,033)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(48,933,701)</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(48,938,449)</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(107,995)</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(107,995)</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2,310,710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5,115,916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(118,221)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common stock subject to possible</w:t>
            </w: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42,212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124,812</w:t>
            </w:r>
          </w:p>
        </w:tc>
        <w:tc>
          <w:tcPr>
            <w:tcW w:w="10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124,854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13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(124,854)</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(124,854)</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2,352,922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2,353</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5,240,728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(243,075)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3"/>
              </w:rPr>
              <w:t>For the Year</w:t>
            </w:r>
          </w:p>
        </w:tc>
        <w:tc>
          <w:tcPr>
            <w:tcW w:w="100" w:type="dxa"/>
            <w:vAlign w:val="bottom"/>
          </w:tcPr>
          <w:p>
            <w:pPr>
              <w:spacing w:after="0"/>
              <w:rPr>
                <w:sz w:val="18"/>
                <w:szCs w:val="18"/>
                <w:color w:val="auto"/>
              </w:rPr>
            </w:pPr>
          </w:p>
        </w:tc>
        <w:tc>
          <w:tcPr>
            <w:tcW w:w="1700" w:type="dxa"/>
            <w:vAlign w:val="bottom"/>
            <w:gridSpan w:val="2"/>
          </w:tcPr>
          <w:p>
            <w:pPr>
              <w:jc w:val="center"/>
              <w:ind w:right="142"/>
              <w:spacing w:after="0"/>
              <w:rPr>
                <w:sz w:val="20"/>
                <w:szCs w:val="20"/>
                <w:color w:val="auto"/>
              </w:rPr>
            </w:pPr>
            <w:r>
              <w:rPr>
                <w:rFonts w:ascii="Arial" w:cs="Arial" w:eastAsia="Arial" w:hAnsi="Arial"/>
                <w:sz w:val="18"/>
                <w:szCs w:val="18"/>
                <w:b w:val="1"/>
                <w:bCs w:val="1"/>
                <w:color w:val="auto"/>
                <w:w w:val="91"/>
              </w:rPr>
              <w:t>For the Year</w:t>
            </w:r>
          </w:p>
        </w:tc>
      </w:tr>
      <w:tr>
        <w:trPr>
          <w:trHeight w:val="229"/>
        </w:trPr>
        <w:tc>
          <w:tcPr>
            <w:tcW w:w="7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9"/>
                <w:szCs w:val="19"/>
                <w:color w:val="auto"/>
              </w:rPr>
            </w:pPr>
          </w:p>
        </w:tc>
        <w:tc>
          <w:tcPr>
            <w:tcW w:w="1700" w:type="dxa"/>
            <w:vAlign w:val="bottom"/>
            <w:gridSpan w:val="2"/>
          </w:tcPr>
          <w:p>
            <w:pPr>
              <w:jc w:val="center"/>
              <w:ind w:right="122"/>
              <w:spacing w:after="0"/>
              <w:rPr>
                <w:sz w:val="20"/>
                <w:szCs w:val="20"/>
                <w:color w:val="auto"/>
              </w:rPr>
            </w:pPr>
            <w:r>
              <w:rPr>
                <w:rFonts w:ascii="Arial" w:cs="Arial" w:eastAsia="Arial" w:hAnsi="Arial"/>
                <w:sz w:val="18"/>
                <w:szCs w:val="18"/>
                <w:b w:val="1"/>
                <w:bCs w:val="1"/>
                <w:color w:val="auto"/>
                <w:w w:val="90"/>
              </w:rPr>
              <w:t>Ended</w:t>
            </w:r>
          </w:p>
        </w:tc>
      </w:tr>
      <w:tr>
        <w:trPr>
          <w:trHeight w:val="233"/>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0"/>
                <w:szCs w:val="20"/>
                <w:color w:val="auto"/>
              </w:rPr>
            </w:pPr>
          </w:p>
        </w:tc>
        <w:tc>
          <w:tcPr>
            <w:tcW w:w="1700" w:type="dxa"/>
            <w:vAlign w:val="bottom"/>
            <w:gridSpan w:val="2"/>
          </w:tcPr>
          <w:p>
            <w:pPr>
              <w:jc w:val="center"/>
              <w:ind w:right="122"/>
              <w:spacing w:after="0"/>
              <w:rPr>
                <w:sz w:val="20"/>
                <w:szCs w:val="20"/>
                <w:color w:val="auto"/>
              </w:rPr>
            </w:pPr>
            <w:r>
              <w:rPr>
                <w:rFonts w:ascii="Arial" w:cs="Arial" w:eastAsia="Arial" w:hAnsi="Arial"/>
                <w:sz w:val="18"/>
                <w:szCs w:val="18"/>
                <w:b w:val="1"/>
                <w:bCs w:val="1"/>
                <w:color w:val="auto"/>
                <w:w w:val="90"/>
              </w:rPr>
              <w:t>December 31, 2016</w:t>
            </w:r>
          </w:p>
        </w:tc>
      </w:tr>
      <w:tr>
        <w:trPr>
          <w:trHeight w:val="209"/>
        </w:trPr>
        <w:tc>
          <w:tcPr>
            <w:tcW w:w="7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6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82"/>
              <w:spacing w:after="0"/>
              <w:rPr>
                <w:sz w:val="20"/>
                <w:szCs w:val="20"/>
                <w:color w:val="auto"/>
              </w:rPr>
            </w:pPr>
            <w:r>
              <w:rPr>
                <w:rFonts w:ascii="Arial" w:cs="Arial" w:eastAsia="Arial" w:hAnsi="Arial"/>
                <w:sz w:val="18"/>
                <w:szCs w:val="18"/>
                <w:color w:val="auto"/>
              </w:rPr>
              <w:t>(124,854)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(107,995)</w:t>
            </w:r>
          </w:p>
        </w:tc>
      </w:tr>
      <w:tr>
        <w:trPr>
          <w:trHeight w:val="215"/>
        </w:trPr>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extinguishment of debt</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r>
      <w:tr>
        <w:trPr>
          <w:trHeight w:val="215"/>
        </w:trPr>
        <w:tc>
          <w:tcPr>
            <w:tcW w:w="7660" w:type="dxa"/>
            <w:vAlign w:val="bottom"/>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120" w:type="dxa"/>
            <w:vAlign w:val="bottom"/>
          </w:tcPr>
          <w:p>
            <w:pPr>
              <w:spacing w:after="0"/>
              <w:rPr>
                <w:sz w:val="18"/>
                <w:szCs w:val="18"/>
                <w:color w:val="auto"/>
              </w:rPr>
            </w:pPr>
          </w:p>
        </w:tc>
        <w:tc>
          <w:tcPr>
            <w:tcW w:w="1840" w:type="dxa"/>
            <w:vAlign w:val="bottom"/>
            <w:gridSpan w:val="2"/>
          </w:tcPr>
          <w:p>
            <w:pPr>
              <w:jc w:val="right"/>
              <w:ind w:right="82"/>
              <w:spacing w:after="0"/>
              <w:rPr>
                <w:sz w:val="20"/>
                <w:szCs w:val="20"/>
                <w:color w:val="auto"/>
              </w:rPr>
            </w:pPr>
            <w:r>
              <w:rPr>
                <w:rFonts w:ascii="Arial" w:cs="Arial" w:eastAsia="Arial" w:hAnsi="Arial"/>
                <w:sz w:val="18"/>
                <w:szCs w:val="18"/>
                <w:color w:val="auto"/>
              </w:rPr>
              <w:t>(399,166)</w:t>
            </w: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(37,701)</w:t>
            </w:r>
          </w:p>
        </w:tc>
      </w:tr>
      <w:tr>
        <w:trPr>
          <w:trHeight w:val="215"/>
        </w:trPr>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660" w:type="dxa"/>
            <w:vAlign w:val="bottom"/>
          </w:tcPr>
          <w:p>
            <w:pPr>
              <w:ind w:left="340"/>
              <w:spacing w:after="0"/>
              <w:rPr>
                <w:sz w:val="20"/>
                <w:szCs w:val="20"/>
                <w:color w:val="auto"/>
              </w:rPr>
            </w:pPr>
            <w:r>
              <w:rPr>
                <w:rFonts w:ascii="Arial" w:cs="Arial" w:eastAsia="Arial" w:hAnsi="Arial"/>
                <w:sz w:val="18"/>
                <w:szCs w:val="18"/>
                <w:color w:val="auto"/>
              </w:rPr>
              <w:t>Formation and organization costs paid by related parties</w:t>
            </w:r>
          </w:p>
        </w:tc>
        <w:tc>
          <w:tcPr>
            <w:tcW w:w="120" w:type="dxa"/>
            <w:vAlign w:val="bottom"/>
          </w:tcPr>
          <w:p>
            <w:pPr>
              <w:spacing w:after="0"/>
              <w:rPr>
                <w:sz w:val="18"/>
                <w:szCs w:val="18"/>
                <w:color w:val="auto"/>
              </w:rPr>
            </w:pPr>
          </w:p>
        </w:tc>
        <w:tc>
          <w:tcPr>
            <w:tcW w:w="18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gridSpan w:val="2"/>
          </w:tcPr>
          <w:p>
            <w:pPr>
              <w:jc w:val="right"/>
              <w:ind w:right="22"/>
              <w:spacing w:after="0"/>
              <w:rPr>
                <w:sz w:val="20"/>
                <w:szCs w:val="20"/>
                <w:color w:val="auto"/>
              </w:rPr>
            </w:pPr>
            <w:r>
              <w:rPr>
                <w:rFonts w:ascii="Arial" w:cs="Arial" w:eastAsia="Arial" w:hAnsi="Arial"/>
                <w:sz w:val="18"/>
                <w:szCs w:val="18"/>
                <w:color w:val="auto"/>
              </w:rPr>
              <w:t>2,537</w:t>
            </w:r>
          </w:p>
        </w:tc>
      </w:tr>
      <w:tr>
        <w:trPr>
          <w:trHeight w:val="215"/>
        </w:trPr>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660" w:type="dxa"/>
            <w:vAlign w:val="bottom"/>
          </w:tcPr>
          <w:p>
            <w:pPr>
              <w:ind w:left="50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840" w:type="dxa"/>
            <w:vAlign w:val="bottom"/>
            <w:gridSpan w:val="2"/>
          </w:tcPr>
          <w:p>
            <w:pPr>
              <w:jc w:val="right"/>
              <w:ind w:right="142"/>
              <w:spacing w:after="0"/>
              <w:rPr>
                <w:sz w:val="20"/>
                <w:szCs w:val="20"/>
                <w:color w:val="auto"/>
              </w:rPr>
            </w:pPr>
            <w:r>
              <w:rPr>
                <w:rFonts w:ascii="Arial" w:cs="Arial" w:eastAsia="Arial" w:hAnsi="Arial"/>
                <w:sz w:val="18"/>
                <w:szCs w:val="18"/>
                <w:color w:val="auto"/>
              </w:rPr>
              <w:t>46,305</w:t>
            </w: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(56,241)</w:t>
            </w:r>
          </w:p>
        </w:tc>
      </w:tr>
      <w:tr>
        <w:trPr>
          <w:trHeight w:val="215"/>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238,281</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111,011</w:t>
            </w:r>
          </w:p>
        </w:tc>
      </w:tr>
      <w:tr>
        <w:trPr>
          <w:trHeight w:val="229"/>
        </w:trPr>
        <w:tc>
          <w:tcPr>
            <w:tcW w:w="7660" w:type="dxa"/>
            <w:vAlign w:val="bottom"/>
          </w:tcPr>
          <w:p>
            <w:pPr>
              <w:ind w:left="500"/>
              <w:spacing w:after="0"/>
              <w:rPr>
                <w:sz w:val="20"/>
                <w:szCs w:val="20"/>
                <w:color w:val="auto"/>
              </w:rPr>
            </w:pPr>
            <w:r>
              <w:rPr>
                <w:rFonts w:ascii="Arial" w:cs="Arial" w:eastAsia="Arial" w:hAnsi="Arial"/>
                <w:sz w:val="18"/>
                <w:szCs w:val="18"/>
                <w:color w:val="auto"/>
              </w:rPr>
              <w:t>Accrued offering costs payable</w:t>
            </w:r>
          </w:p>
        </w:tc>
        <w:tc>
          <w:tcPr>
            <w:tcW w:w="120" w:type="dxa"/>
            <w:vAlign w:val="bottom"/>
          </w:tcPr>
          <w:p>
            <w:pPr>
              <w:spacing w:after="0"/>
              <w:rPr>
                <w:sz w:val="19"/>
                <w:szCs w:val="19"/>
                <w:color w:val="auto"/>
              </w:rPr>
            </w:pPr>
          </w:p>
        </w:tc>
        <w:tc>
          <w:tcPr>
            <w:tcW w:w="18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(34,383)</w:t>
            </w:r>
          </w:p>
        </w:tc>
      </w:tr>
      <w:tr>
        <w:trPr>
          <w:trHeight w:val="209"/>
        </w:trPr>
        <w:tc>
          <w:tcPr>
            <w:tcW w:w="7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(239,434</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7" w:lineRule="exact"/>
        <w:rPr>
          <w:sz w:val="20"/>
          <w:szCs w:val="20"/>
          <w:color w:val="auto"/>
        </w:rPr>
      </w:pPr>
    </w:p>
    <w:p>
      <w:pPr>
        <w:sectPr>
          <w:pgSz w:w="11900" w:h="16838" w:orient="portrait"/>
          <w:cols w:equalWidth="0" w:num="1">
            <w:col w:w="11420"/>
          </w:cols>
          <w:pgMar w:left="240" w:top="901"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7255" cy="1365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deposited into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45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Interest released from Trust Account</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(22,607)</w:t>
      </w:r>
      <w:r>
        <w:rPr>
          <w:sz w:val="20"/>
          <w:szCs w:val="20"/>
          <w:color w:val="auto"/>
        </w:rPr>
        <w:tab/>
      </w:r>
      <w:r>
        <w:rPr>
          <w:rFonts w:ascii="Arial" w:cs="Arial" w:eastAsia="Arial" w:hAnsi="Arial"/>
          <w:sz w:val="16"/>
          <w:szCs w:val="16"/>
          <w:color w:val="auto"/>
        </w:rPr>
        <w:t>(54,694,127)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71,702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13335</wp:posOffset>
            </wp:positionV>
            <wp:extent cx="23133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313305" cy="8255"/>
                    </a:xfrm>
                    <a:prstGeom prst="rect">
                      <a:avLst/>
                    </a:prstGeom>
                    <a:noFill/>
                  </pic:spPr>
                </pic:pic>
              </a:graphicData>
            </a:graphic>
          </wp:anchor>
        </w:drawing>
      </w:r>
    </w:p>
    <w:p>
      <w:pPr>
        <w:spacing w:after="0" w:line="2"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6"/>
          <w:szCs w:val="16"/>
          <w:color w:val="auto"/>
        </w:rPr>
        <w:t>49,095</w:t>
      </w:r>
      <w:r>
        <w:rPr>
          <w:sz w:val="20"/>
          <w:szCs w:val="20"/>
          <w:color w:val="auto"/>
        </w:rPr>
        <w:tab/>
      </w:r>
      <w:r>
        <w:rPr>
          <w:rFonts w:ascii="Arial" w:cs="Arial" w:eastAsia="Arial" w:hAnsi="Arial"/>
          <w:sz w:val="16"/>
          <w:szCs w:val="16"/>
          <w:color w:val="auto"/>
        </w:rPr>
        <w:t>(54,694,127)</w:t>
      </w:r>
    </w:p>
    <w:p>
      <w:pPr>
        <w:spacing w:after="0" w:line="44" w:lineRule="exact"/>
        <w:rPr>
          <w:sz w:val="20"/>
          <w:szCs w:val="20"/>
          <w:color w:val="auto"/>
        </w:rPr>
      </w:pPr>
    </w:p>
    <w:p>
      <w:pPr>
        <w:sectPr>
          <w:pgSz w:w="11900" w:h="16838" w:orient="portrait"/>
          <w:cols w:equalWidth="0" w:num="2">
            <w:col w:w="8120" w:space="720"/>
            <w:col w:w="2580"/>
          </w:cols>
          <w:pgMar w:left="240" w:top="901" w:right="2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public offering, net of offering costs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51,202,624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2"/>
          </w:tcPr>
          <w:p>
            <w:pPr>
              <w:ind w:left="160"/>
              <w:spacing w:after="0"/>
              <w:rPr>
                <w:sz w:val="20"/>
                <w:szCs w:val="20"/>
                <w:color w:val="auto"/>
              </w:rPr>
            </w:pPr>
            <w:r>
              <w:rPr>
                <w:rFonts w:ascii="Arial" w:cs="Arial" w:eastAsia="Arial" w:hAnsi="Arial"/>
                <w:sz w:val="18"/>
                <w:szCs w:val="18"/>
                <w:color w:val="auto"/>
              </w:rPr>
              <w:t>Proceeds from insider units</w:t>
            </w: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4,211,070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related party notes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(131,720)</w:t>
            </w:r>
          </w:p>
        </w:tc>
        <w:tc>
          <w:tcPr>
            <w:tcW w:w="0" w:type="dxa"/>
            <w:vAlign w:val="bottom"/>
          </w:tcPr>
          <w:p>
            <w:pPr>
              <w:spacing w:after="0"/>
              <w:rPr>
                <w:sz w:val="1"/>
                <w:szCs w:val="1"/>
                <w:color w:val="auto"/>
              </w:rPr>
            </w:pPr>
          </w:p>
        </w:tc>
      </w:tr>
      <w:tr>
        <w:trPr>
          <w:trHeight w:val="215"/>
        </w:trPr>
        <w:tc>
          <w:tcPr>
            <w:tcW w:w="7660" w:type="dxa"/>
            <w:vAlign w:val="bottom"/>
            <w:gridSpan w:val="2"/>
          </w:tcPr>
          <w:p>
            <w:pPr>
              <w:ind w:left="160"/>
              <w:spacing w:after="0"/>
              <w:rPr>
                <w:sz w:val="20"/>
                <w:szCs w:val="20"/>
                <w:color w:val="auto"/>
              </w:rPr>
            </w:pPr>
            <w:r>
              <w:rPr>
                <w:rFonts w:ascii="Arial" w:cs="Arial" w:eastAsia="Arial" w:hAnsi="Arial"/>
                <w:sz w:val="18"/>
                <w:szCs w:val="18"/>
                <w:color w:val="auto"/>
              </w:rPr>
              <w:t>Proceeds from related party advances</w:t>
            </w: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55,201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related party advances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29"/>
        </w:trPr>
        <w:tc>
          <w:tcPr>
            <w:tcW w:w="7660" w:type="dxa"/>
            <w:vAlign w:val="bottom"/>
            <w:gridSpan w:val="2"/>
          </w:tcPr>
          <w:p>
            <w:pPr>
              <w:ind w:left="160"/>
              <w:spacing w:after="0"/>
              <w:rPr>
                <w:sz w:val="20"/>
                <w:szCs w:val="20"/>
                <w:color w:val="auto"/>
              </w:rPr>
            </w:pPr>
            <w:r>
              <w:rPr>
                <w:rFonts w:ascii="Arial" w:cs="Arial" w:eastAsia="Arial" w:hAnsi="Arial"/>
                <w:sz w:val="18"/>
                <w:szCs w:val="18"/>
                <w:color w:val="auto"/>
              </w:rPr>
              <w:t>Payments of offering costs</w:t>
            </w:r>
          </w:p>
        </w:tc>
        <w:tc>
          <w:tcPr>
            <w:tcW w:w="6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(80,040)</w:t>
            </w: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55,201,934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(190,339)</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362,535</w:t>
            </w:r>
          </w:p>
        </w:tc>
        <w:tc>
          <w:tcPr>
            <w:tcW w:w="4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172,196</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362,535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8"/>
                <w:szCs w:val="18"/>
                <w:b w:val="1"/>
                <w:bCs w:val="1"/>
                <w:color w:val="auto"/>
                <w:w w:val="87"/>
              </w:rPr>
              <w:t>Supplemental disclosure of non-cash financing activities:</w:t>
            </w:r>
          </w:p>
        </w:tc>
        <w:tc>
          <w:tcPr>
            <w:tcW w:w="33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7660" w:type="dxa"/>
            <w:vAlign w:val="bottom"/>
            <w:gridSpan w:val="2"/>
          </w:tcPr>
          <w:p>
            <w:pPr>
              <w:ind w:left="160"/>
              <w:spacing w:after="0"/>
              <w:rPr>
                <w:sz w:val="20"/>
                <w:szCs w:val="20"/>
                <w:color w:val="auto"/>
              </w:rPr>
            </w:pPr>
            <w:r>
              <w:rPr>
                <w:rFonts w:ascii="Arial" w:cs="Arial" w:eastAsia="Arial" w:hAnsi="Arial"/>
                <w:sz w:val="18"/>
                <w:szCs w:val="18"/>
                <w:color w:val="auto"/>
              </w:rPr>
              <w:t>Payment of deferred offering costs by issuance of notes and related party notes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660" w:type="dxa"/>
            <w:vAlign w:val="bottom"/>
            <w:tcBorders>
              <w:top w:val="single" w:sz="8" w:color="CCEEFF"/>
              <w:bottom w:val="single" w:sz="8" w:color="CCEEFF"/>
            </w:tcBorders>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Reclassification of deferred offering costs to equity</w:t>
            </w:r>
          </w:p>
        </w:tc>
        <w:tc>
          <w:tcPr>
            <w:tcW w:w="600" w:type="dxa"/>
            <w:vAlign w:val="bottom"/>
            <w:tcBorders>
              <w:top w:val="single" w:sz="8" w:color="auto"/>
              <w:bottom w:val="single" w:sz="8" w:color="auto"/>
            </w:tcBorders>
            <w:shd w:val="clear" w:color="auto" w:fill="CCEEFF"/>
          </w:tcPr>
          <w:p>
            <w:pPr>
              <w:jc w:val="right"/>
              <w:ind w:right="41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258,997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160"/>
              <w:spacing w:after="0"/>
              <w:rPr>
                <w:sz w:val="20"/>
                <w:szCs w:val="20"/>
                <w:color w:val="auto"/>
              </w:rPr>
            </w:pPr>
            <w:r>
              <w:rPr>
                <w:rFonts w:ascii="Arial" w:cs="Arial" w:eastAsia="Arial" w:hAnsi="Arial"/>
                <w:sz w:val="18"/>
                <w:szCs w:val="18"/>
                <w:color w:val="auto"/>
              </w:rPr>
              <w:t>Accrual of offering costs</w:t>
            </w: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60" w:type="dxa"/>
            <w:vAlign w:val="bottom"/>
            <w:tcBorders>
              <w:bottom w:val="single" w:sz="8" w:color="CCEEFF"/>
            </w:tcBorders>
            <w:gridSpan w:val="2"/>
            <w:vMerge w:val="continue"/>
          </w:tcPr>
          <w:p>
            <w:pPr>
              <w:spacing w:after="0"/>
              <w:rPr>
                <w:sz w:val="20"/>
                <w:szCs w:val="20"/>
                <w:color w:val="auto"/>
              </w:rPr>
            </w:pPr>
          </w:p>
        </w:tc>
        <w:tc>
          <w:tcPr>
            <w:tcW w:w="600" w:type="dxa"/>
            <w:vAlign w:val="bottom"/>
            <w:tcBorders>
              <w:bottom w:val="single" w:sz="8" w:color="auto"/>
            </w:tcBorders>
          </w:tcPr>
          <w:p>
            <w:pPr>
              <w:jc w:val="right"/>
              <w:ind w:right="41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45,999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660" w:type="dxa"/>
            <w:vAlign w:val="bottom"/>
            <w:tcBorders>
              <w:bottom w:val="single" w:sz="8" w:color="CCEEFF"/>
            </w:tcBorders>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Change in common stock subject to possible conversion</w:t>
            </w:r>
          </w:p>
        </w:tc>
        <w:tc>
          <w:tcPr>
            <w:tcW w:w="600" w:type="dxa"/>
            <w:vAlign w:val="bottom"/>
            <w:tcBorders>
              <w:bottom w:val="single" w:sz="8" w:color="auto"/>
            </w:tcBorders>
            <w:shd w:val="clear" w:color="auto" w:fill="CCEEFF"/>
          </w:tcPr>
          <w:p>
            <w:pPr>
              <w:jc w:val="right"/>
              <w:ind w:right="41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124,854</w:t>
            </w: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48,938,449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160"/>
              <w:spacing w:after="0"/>
              <w:rPr>
                <w:sz w:val="20"/>
                <w:szCs w:val="20"/>
                <w:color w:val="auto"/>
              </w:rPr>
            </w:pPr>
            <w:r>
              <w:rPr>
                <w:rFonts w:ascii="Arial" w:cs="Arial" w:eastAsia="Arial" w:hAnsi="Arial"/>
                <w:sz w:val="18"/>
                <w:szCs w:val="18"/>
                <w:color w:val="auto"/>
              </w:rPr>
              <w:t>Deferred Underwriting commission</w:t>
            </w: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60" w:type="dxa"/>
            <w:vAlign w:val="bottom"/>
            <w:gridSpan w:val="2"/>
            <w:vMerge w:val="continue"/>
          </w:tcPr>
          <w:p>
            <w:pPr>
              <w:spacing w:after="0"/>
              <w:rPr>
                <w:sz w:val="16"/>
                <w:szCs w:val="16"/>
                <w:color w:val="auto"/>
              </w:rPr>
            </w:pPr>
          </w:p>
        </w:tc>
        <w:tc>
          <w:tcPr>
            <w:tcW w:w="600" w:type="dxa"/>
            <w:vAlign w:val="bottom"/>
            <w:tcBorders>
              <w:bottom w:val="single" w:sz="8" w:color="auto"/>
            </w:tcBorders>
          </w:tcPr>
          <w:p>
            <w:pPr>
              <w:jc w:val="right"/>
              <w:ind w:right="41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6"/>
                <w:szCs w:val="16"/>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1,062,022</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2017, the Company had not yet commenced any operations. For the year ended December 31, 2017, the Company’s activity has been limited to the evaluation of business combination candidates, and the Company will not be generating any operating revenues until the closing and completion of an initial business combination.</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December 31, 2017.</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funds in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However,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8" w:name="page219"/>
    <w:bookmarkEnd w:id="218"/>
    <w:p>
      <w:pPr>
        <w:jc w:val="both"/>
        <w:spacing w:after="0" w:line="288"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 obligations then due but not yet paid, or provide stockholders with the opportunity to sell their shares to the Company by means of a tender offer for an amount equal to their pro rata share of the aggregate amount then on deposit in the Trust Account, less any tax obligations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their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by April 19, 2018,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have extended the time to complete an initial business combination to April 19, 2018 by depositing $132,753 into our trust account. However, if we anticipate that we may not be able to consummate our initial business combination by April 19, 2018 (as seems likely), we may extend the period of time to consummate a business combination up to two additional times, each by an additional one month (for a total of up to 21 months to complete a business combination). Pursuant to the terms of our amended and restated articles of incorporation and the trust agreement to be entered into between us and American Stock Transfer &amp; Trust Company, LLC on the date of the IPO, in order to extend the time available for us to consummate our initial business combination, our insiders or their affiliates or designees, upon five days advance notice prior to the applicable deadline, must deposit into the trust account $132,753 ($0.025 per unit in either case), up to an aggregate of $398,258, or $0.075 per unit (if our life is extended three times), on or prior to the date of the applicable deadline, for each one month extension (we have already deposited $132,753 for the first extension). The insiders received for the first deposit and they or their designees will receive for any subsequent deposits a non-interest bearing, unsecured promissory note equal to the amount of any such deposit that will not be repaid in the event that we are unable to close a business combination unless there are funds available outside the trust account to do so.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less tax obligations.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9" w:name="page220"/>
    <w:bookmarkEnd w:id="219"/>
    <w:p>
      <w:pPr>
        <w:jc w:val="both"/>
        <w:spacing w:after="0" w:line="262"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2017, the Company had $172,196 in cash and cash equivalents held outside Trust Account, $399,166 in interest income available from the Company’s investments in the Trust Account to pay its tax obligations, and a working capital deficit of $206,276.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the foregoing, the Company may have insufficient funds available to operate its business through the earlier of consummation of a Business Combination or June 19, 2018 (if an extension is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financial statements do not include any adjustments that might be necessary if the Company is unable to continue as a going concern.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amounts held in the Trust Account represent substantially all of the proceeds of the Initial Public Offering and are classified as restricted assets since such amounts can only be used by the Company in connection with the consummation of a Business Combination. Except with respect to interest earned on the funds held in the Trust Account that may be released to pay income or other tax obligations, the proceeds will not be released from the Trust Account until the earlier of the completion of a Business Combination or the redemption of 100% of the outstanding public shares if we have not completed a Business Combination in the required time period. As of December 31, 2017, marketable securities held in the Trust Account consisted of $55,081,899 in United States Treasury Bills with an original maturity of six months or less. During the year ended December 31, 2017, the Company withdrew interest income totaling $71,702 to be utilized for payment of tax obligations. Of this amount, $22,607 was returned to the Company for overpayment of its tax obligations and deposited into the Trust Account.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complies with accounting and disclosure requirements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Net income (loss) per common share is computed by dividing net income (loss) applicable to common stockholders by the weighted average number of common shares outstanding during the period, plus, to the extent dilutive, the incremental number of shares of common stock to settle warrants, as calculated using the treasury stock method. An aggregate of 4,707,821 and 4,748,033 shares of common stock subject to possible redemption at December 31, 2017 and 2016, respectively, have been excluded from the calculation of basic loss per share since such shares, if redeemed, only participate in their pro rata share of the trust earnings. At December 31, 2017 and 2016,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i w:val="1"/>
          <w:iCs w:val="1"/>
          <w:color w:val="auto"/>
        </w:rPr>
        <w:t>Reconciliation of net loss per common share</w:t>
      </w:r>
    </w:p>
    <w:p>
      <w:pPr>
        <w:spacing w:after="0" w:line="223"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Company’s net loss is adjusted for the portion of income that is attributable to common stock subject to redemption, as these shares only participate in the income of the Trust Account and not the losses of the Company. Accordingly, basic and diluted loss per common share is calculated as follows:</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82"/>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62"/>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182"/>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142"/>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Less: Income attributable to common shares subject to redemption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
              <w:spacing w:after="0"/>
              <w:rPr>
                <w:sz w:val="20"/>
                <w:szCs w:val="20"/>
                <w:color w:val="auto"/>
              </w:rPr>
            </w:pPr>
            <w:r>
              <w:rPr>
                <w:rFonts w:ascii="Arial" w:cs="Arial" w:eastAsia="Arial" w:hAnsi="Arial"/>
                <w:sz w:val="18"/>
                <w:szCs w:val="18"/>
                <w:color w:val="auto"/>
              </w:rPr>
              <w:t>(309,425)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(434,279</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6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2,330,884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6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is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accounts for income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2016 and 2017 tax year. The Company believes that its income tax positions and deductions would be sustained on audit and does not anticipate any adjustments that would result in a material change to its financial position.</w:t>
      </w:r>
    </w:p>
    <w:p>
      <w:pPr>
        <w:spacing w:after="0" w:line="16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2017 through December 31, 2017. Management is currently unaware of any issues under review that could result in significant payments, accruals or material deviations from its position.</w:t>
      </w:r>
    </w:p>
    <w:p>
      <w:pPr>
        <w:spacing w:after="0" w:line="16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December 22, 2017, the Tax Cuts and Jobs Act (“Tax Act”) was signed into law. Under ASC 740, the enactment of the Tax Act also requires companies, to recognize the effects of changes in tax laws and rates on deferred tax assets and liabilities and the retroactive effects of changes in tax laws in the period in which the new legislation is enacted. There is no further change to its assertion on maintaining a full valuation allowance against its U.S. deferred tax assets. The Company's gross deferred tax assets will be revalued from 35% to 21% with a corresponding offset to the valuation allowance. The Company will continue to analyze the Tax Act to assess the full effects on its financial results, including disclosures, for our fiscal year ending December 31, 2018.</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Income</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During the year ended December 31, 2017, the Company received $427,701 from an entity with which the Company was negotiating a business combination pursuant to a Letter of Intent originally executed in February 2017. During quarter ended June 30, 2017, the Letter of Intent expired. The amount received was approximately the amount of the expenses the Company incurred in pursuing that business combination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3" w:name="page224"/>
    <w:bookmarkEnd w:id="223"/>
    <w:p>
      <w:pPr>
        <w:jc w:val="both"/>
        <w:spacing w:after="0" w:line="284" w:lineRule="auto"/>
        <w:rPr>
          <w:sz w:val="20"/>
          <w:szCs w:val="20"/>
          <w:color w:val="auto"/>
        </w:rPr>
      </w:pPr>
      <w:r>
        <w:rPr>
          <w:rFonts w:ascii="Arial" w:cs="Arial" w:eastAsia="Arial" w:hAnsi="Arial"/>
          <w:sz w:val="16"/>
          <w:szCs w:val="16"/>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Units</w:t>
      </w:r>
    </w:p>
    <w:p>
      <w:pPr>
        <w:spacing w:after="0" w:line="227"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color w:val="auto"/>
        </w:rPr>
        <w:t>Note 6 — Commitments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 due on the first of each month. During the years ended December 31, 2017 and 2016, the Company incurred administrative fees of $120,000 and $35,667,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there are no preferred shares issued or outstanding.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Company’s Certificate of Incorporation was amended in connection with the Offering to reduce the Company’s authorized shares of common stock from 50,000,000 to 30,000,000.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December 31, 2017 and 2016, there were 2,352,922 and 2,310,710 common shares issued and outstanding, which excludes 4,705,821 and 4,748,033 shares subject to possible conversion, respectively.</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 obligations,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6" w:name="page227"/>
    <w:bookmarkEnd w:id="226"/>
    <w:p>
      <w:pPr>
        <w:jc w:val="both"/>
        <w:spacing w:after="0" w:line="267"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8 — Income Tax</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660" w:type="dxa"/>
            <w:vAlign w:val="bottom"/>
          </w:tcPr>
          <w:p>
            <w:pPr>
              <w:spacing w:after="0"/>
              <w:rPr>
                <w:sz w:val="20"/>
                <w:szCs w:val="20"/>
                <w:color w:val="auto"/>
              </w:rPr>
            </w:pPr>
            <w:r>
              <w:rPr>
                <w:rFonts w:ascii="Arial" w:cs="Arial" w:eastAsia="Arial" w:hAnsi="Arial"/>
                <w:sz w:val="18"/>
                <w:szCs w:val="18"/>
                <w:color w:val="auto"/>
              </w:rPr>
              <w:t>The Company’s deferred tax assets are as follows at December 31, 2017 and 2016:</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4"/>
                <w:szCs w:val="24"/>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 2016</w:t>
            </w: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160"/>
              <w:spacing w:after="0"/>
              <w:rPr>
                <w:sz w:val="20"/>
                <w:szCs w:val="20"/>
                <w:color w:val="auto"/>
              </w:rPr>
            </w:pPr>
            <w:r>
              <w:rPr>
                <w:rFonts w:ascii="Arial" w:cs="Arial" w:eastAsia="Arial" w:hAnsi="Arial"/>
                <w:sz w:val="18"/>
                <w:szCs w:val="18"/>
                <w:color w:val="auto"/>
              </w:rPr>
              <w:t>Net operating loss carryforward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42"/>
              <w:spacing w:after="0"/>
              <w:rPr>
                <w:sz w:val="20"/>
                <w:szCs w:val="20"/>
                <w:color w:val="auto"/>
              </w:rPr>
            </w:pPr>
            <w:r>
              <w:rPr>
                <w:rFonts w:ascii="Arial" w:cs="Arial" w:eastAsia="Arial" w:hAnsi="Arial"/>
                <w:sz w:val="18"/>
                <w:szCs w:val="18"/>
                <w:color w:val="auto"/>
              </w:rPr>
              <w:t>51,046</w:t>
            </w:r>
          </w:p>
        </w:tc>
        <w:tc>
          <w:tcPr>
            <w:tcW w:w="1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50,339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(51,046</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The income tax provision (benefit) consists of the following at December 31, 2017 and 2016:</w:t>
            </w: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24"/>
                <w:szCs w:val="24"/>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3"/>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0"/>
                <w:szCs w:val="20"/>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 2016</w:t>
            </w: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(26,219)</w:t>
            </w: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(36,718)</w:t>
            </w:r>
          </w:p>
        </w:tc>
        <w:tc>
          <w:tcPr>
            <w:tcW w:w="0" w:type="dxa"/>
            <w:vAlign w:val="bottom"/>
          </w:tcPr>
          <w:p>
            <w:pPr>
              <w:spacing w:after="0"/>
              <w:rPr>
                <w:sz w:val="1"/>
                <w:szCs w:val="1"/>
                <w:color w:val="auto"/>
              </w:rPr>
            </w:pPr>
          </w:p>
        </w:tc>
      </w:tr>
      <w:tr>
        <w:trPr>
          <w:trHeight w:val="215"/>
        </w:trPr>
        <w:tc>
          <w:tcPr>
            <w:tcW w:w="7660" w:type="dxa"/>
            <w:vAlign w:val="bottom"/>
          </w:tcPr>
          <w:p>
            <w:pPr>
              <w:spacing w:after="0"/>
              <w:rPr>
                <w:sz w:val="20"/>
                <w:szCs w:val="20"/>
                <w:color w:val="auto"/>
              </w:rPr>
            </w:pPr>
            <w:r>
              <w:rPr>
                <w:rFonts w:ascii="Arial" w:cs="Arial" w:eastAsia="Arial" w:hAnsi="Arial"/>
                <w:sz w:val="18"/>
                <w:szCs w:val="18"/>
                <w:color w:val="auto"/>
              </w:rPr>
              <w:t>State and Local</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tcPr>
          <w:p>
            <w:pPr>
              <w:ind w:left="16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1840" w:type="dxa"/>
            <w:vAlign w:val="bottom"/>
            <w:gridSpan w:val="2"/>
          </w:tcPr>
          <w:p>
            <w:pPr>
              <w:jc w:val="right"/>
              <w:ind w:right="82"/>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29,515</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46,592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 net operating loss (“NOL”) of approximately $243,100. These NOLs, if not utilized, expire beginning in 2035.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determined it was more likely than not that they will not realize the tax asset and has therefore established a full valuation allowance at December 31, 2017.</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Internal Revenue Code Section 382 imposes limitations on the use of NOL carryovers when the stock ownership of one or more 5% shareholders (shareholders owning more than 5% of the Company’s outstanding capital stock) has increased on a cumulative basis more than 50 percentage points within a period of two years. Management cannot control the ownership changes occurring as a result of public trading of the Company’s Common Stock. Accordingly, there is a risk of an ownership change beyond the control of the Company that could trigger a limitation of the use of the loss carryover.</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deferred tax asset reflected in the tables above resulted from applying an effective combined federal and state tax rate of 23.6% to the net operating losses from fiscal 2015. Effective tax rates differ from statutory rates.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7" w:name="page228"/>
    <w:bookmarkEnd w:id="227"/>
    <w:p>
      <w:pPr>
        <w:spacing w:after="0"/>
        <w:rPr>
          <w:sz w:val="20"/>
          <w:szCs w:val="20"/>
          <w:color w:val="auto"/>
        </w:rPr>
      </w:pPr>
      <w:r>
        <w:rPr>
          <w:rFonts w:ascii="Arial" w:cs="Arial" w:eastAsia="Arial" w:hAnsi="Arial"/>
          <w:sz w:val="16"/>
          <w:szCs w:val="16"/>
          <w:color w:val="auto"/>
        </w:rPr>
        <w:t>A reconciliation of the statutory tax rate to the Company’s effective tax rates as of December 31, 2017 and 2016 is as follows:</w:t>
      </w:r>
    </w:p>
    <w:p>
      <w:pPr>
        <w:sectPr>
          <w:pgSz w:w="11900" w:h="16838" w:orient="portrait"/>
          <w:cols w:equalWidth="0" w:num="1">
            <w:col w:w="11420"/>
          </w:cols>
          <w:pgMar w:left="240" w:top="9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taxes, net of federal tax benefit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Change in valuation allowance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9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Year Ended</w:t>
            </w:r>
          </w:p>
        </w:tc>
        <w:tc>
          <w:tcPr>
            <w:tcW w:w="1840" w:type="dxa"/>
            <w:vAlign w:val="bottom"/>
            <w:gridSpan w:val="3"/>
          </w:tcPr>
          <w:p>
            <w:pPr>
              <w:jc w:val="right"/>
              <w:ind w:right="487"/>
              <w:spacing w:after="0"/>
              <w:rPr>
                <w:sz w:val="20"/>
                <w:szCs w:val="20"/>
                <w:color w:val="auto"/>
              </w:rPr>
            </w:pPr>
            <w:r>
              <w:rPr>
                <w:rFonts w:ascii="Arial" w:cs="Arial" w:eastAsia="Arial" w:hAnsi="Arial"/>
                <w:sz w:val="18"/>
                <w:szCs w:val="18"/>
                <w:b w:val="1"/>
                <w:bCs w:val="1"/>
                <w:color w:val="auto"/>
              </w:rPr>
              <w:t>Year Ended</w:t>
            </w:r>
          </w:p>
        </w:tc>
      </w:tr>
      <w:tr>
        <w:trPr>
          <w:trHeight w:val="233"/>
        </w:trPr>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December 31, 2017</w:t>
            </w:r>
          </w:p>
        </w:tc>
        <w:tc>
          <w:tcPr>
            <w:tcW w:w="260" w:type="dxa"/>
            <w:vAlign w:val="bottom"/>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December 31, 2016</w:t>
            </w:r>
          </w:p>
        </w:tc>
        <w:tc>
          <w:tcPr>
            <w:tcW w:w="140" w:type="dxa"/>
            <w:vAlign w:val="bottom"/>
            <w:gridSpan w:val="2"/>
          </w:tcPr>
          <w:p>
            <w:pPr>
              <w:spacing w:after="0"/>
              <w:rPr>
                <w:sz w:val="20"/>
                <w:szCs w:val="20"/>
                <w:color w:val="auto"/>
              </w:rPr>
            </w:pPr>
          </w:p>
        </w:tc>
      </w:tr>
      <w:tr>
        <w:trPr>
          <w:trHeight w:val="194"/>
        </w:trPr>
        <w:tc>
          <w:tcPr>
            <w:tcW w:w="196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-21.0%</w:t>
            </w:r>
          </w:p>
        </w:tc>
        <w:tc>
          <w:tcPr>
            <w:tcW w:w="1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-34.0%</w:t>
            </w:r>
          </w:p>
        </w:tc>
      </w:tr>
      <w:tr>
        <w:trPr>
          <w:trHeight w:val="215"/>
        </w:trPr>
        <w:tc>
          <w:tcPr>
            <w:tcW w:w="196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1960" w:type="dxa"/>
            <w:vAlign w:val="bottom"/>
            <w:gridSpan w:val="2"/>
          </w:tcPr>
          <w:p>
            <w:pPr>
              <w:jc w:val="right"/>
              <w:ind w:right="30"/>
              <w:spacing w:after="0"/>
              <w:rPr>
                <w:sz w:val="20"/>
                <w:szCs w:val="20"/>
                <w:color w:val="auto"/>
              </w:rPr>
            </w:pPr>
            <w:r>
              <w:rPr>
                <w:rFonts w:ascii="Arial" w:cs="Arial" w:eastAsia="Arial" w:hAnsi="Arial"/>
                <w:sz w:val="18"/>
                <w:szCs w:val="18"/>
                <w:color w:val="auto"/>
              </w:rPr>
              <w:t>23.6%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42.6%</w:t>
            </w:r>
          </w:p>
        </w:tc>
      </w:tr>
      <w:tr>
        <w:trPr>
          <w:trHeight w:val="222"/>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-605155</wp:posOffset>
            </wp:positionV>
            <wp:extent cx="7247255" cy="145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-323850</wp:posOffset>
            </wp:positionV>
            <wp:extent cx="7247255" cy="145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6880" w:space="720"/>
            <w:col w:w="3820"/>
          </w:cols>
          <w:pgMar w:left="240" w:top="905" w:right="239" w:bottom="1440" w:gutter="0" w:footer="0" w:header="0"/>
          <w:type w:val="continuous"/>
        </w:sectPr>
      </w:pPr>
    </w:p>
    <w:p>
      <w:pPr>
        <w:spacing w:after="0" w:line="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follows the guidance in Section 855-10-50 of the FASB Accounting Standards Codification for the disclosure of subsequent events. The Company evaluated subsequent events through the date when the financial statements were issued.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26, 2018, the Company entered into a Contribution Agreement dated February 26, 2018 with Priority Investment Holdings, LLC and Priority Incentive Equity Holdings, LLC to acquire all of the outstanding equity interests of Priority Holdings, LLC, a leading provider of B2C and B2B payment processing solutions. On March 26, 2018, the Company entered into an Amended and Restated Contribution Agreement with the Interest Holders (as amended and restated, the “Purchase Agreement”).</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Upon the closing of the transactions contemplated in the Purchase Agreement, M I will acquire (the “Acquisition”) 100% of the issued and outstanding equity securities of Priority, as well as assume certain of Priority’s debt, in exchange for a number of shares of our common stock equal to Priority’s equity value (which the Purchase Agreement defines as of the signing date as $947,835,000 enterprise value of Priority less the net debt of Priority at closing, subject to certain adjustments as described below) divided by $10.30. If Priority acquires any businesses prior to the closing of the Acquisition that increase Priority’s Adjusted EBITDA in aggregate by more than $9 million, Priority’s enterprise value will increase by multiplying the incremental increase in Adjusted EBITDA of such acquisition by 12.5, provided that estimated synergies related to any such acquisitions included in the Adjusted EBITDA calculation of Priority shall be capped at 20% of the Adjusted EBITDA of the applicable acquisition with respect to the 12-month period immediately preceding the consummation of such acquisition. In connection with the Acquisition, we will change our name to Priority Technology Holdings, Inc. In addition, any cash that Priority spends to acquire any technology assets, up to $5,000,000, to purchase securities from the Founders pursuant to the Promote Agreement described below or to extend the time we have to complete a business combination, such amounts will be included in the calculation of net debt as cash and cash equivalents (which would reduce the amount of net debt, effectively increasing the assumed enterprise value of Priority and increasing the number of shares that would be issued to the Interest Holders).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additional 9.8 million shares may be issued as earn out consideration to the Interest Holders and members of management or other service providers of the post-Acquisition company—4.9 million shares for the first earn out and 4.9 million shares for the second earn out. For the first earn out, Adjusted EBITDA must be no less than $82.5 million for the year ending December 31, 2018 and the stock price must have traded in excess of $12.00 for any 20 trading days within any consecutive 30-day trading period at any time on or before December 31, 2019. For the second earn out, Adjusted EBITDA must be no less than $91.5 million for the year ending December 31, 2019 and the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 out targets are met.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Concurrently with the Purchase Agreement, our founding stockholders (the “Founders”) and Priority entered into a purchase agreement (the “Promote Agreement”) pursuant to which Priority agreed to purchase 421,107 of the units issued to the Founders in a private placement immediately prior to M I’s initial public offering, and 453,210 shares of common stock of M I issued to the Founders for an aggregate purchase price of approximately $2.1 million. In addition, pursuant to the Promote Agreement, the Founders will forfeit 174,863 founder’s shares at the closing of the Acquisition, which shares may be reissued to the Founders if one of the earn outs described above is achieved.</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Founders and Thomas C. Priore, the Executive Chairman of Priority (“TCP”), entered into a letter agreement (the “Letter Agreement”) pursuant to which the Founders granted TCP (i) the right to purchase the Founders’ remaining shares of our common stock at the prevailing market price subject to certain conditions including a floor of $10.30 per share and (ii) a right of first refusal on the shares.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March 13, 2018, the Company issued promissory notes in the aggregate principal amount of </w:t>
      </w:r>
      <w:r>
        <w:rPr>
          <w:rFonts w:ascii="Arial" w:cs="Arial" w:eastAsia="Arial" w:hAnsi="Arial"/>
          <w:sz w:val="18"/>
          <w:szCs w:val="18"/>
          <w:color w:val="auto"/>
          <w:highlight w:val="white"/>
        </w:rPr>
        <w:t>$132,753 to its sponsors (M SPAC LLC, M SPAC Holdings I,</w:t>
      </w:r>
      <w:r>
        <w:rPr>
          <w:rFonts w:ascii="Arial" w:cs="Arial" w:eastAsia="Arial" w:hAnsi="Arial"/>
          <w:sz w:val="18"/>
          <w:szCs w:val="18"/>
          <w:color w:val="auto"/>
        </w:rPr>
        <w:t xml:space="preserve"> </w:t>
      </w:r>
      <w:r>
        <w:rPr>
          <w:rFonts w:ascii="Arial" w:cs="Arial" w:eastAsia="Arial" w:hAnsi="Arial"/>
          <w:sz w:val="18"/>
          <w:szCs w:val="18"/>
          <w:color w:val="auto"/>
          <w:highlight w:val="white"/>
        </w:rPr>
        <w:t>LLC and M SPAC Holdings II, LLC)</w:t>
      </w:r>
      <w:r>
        <w:rPr>
          <w:rFonts w:ascii="Arial" w:cs="Arial" w:eastAsia="Arial" w:hAnsi="Arial"/>
          <w:sz w:val="18"/>
          <w:szCs w:val="18"/>
          <w:color w:val="auto"/>
        </w:rPr>
        <w:t>. The $132,753 received by the Company upon issuance of the notes was deposited into the Company’s trust account for</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the benefit of its public stockholders in order to extend the </w:t>
      </w:r>
      <w:r>
        <w:rPr>
          <w:rFonts w:ascii="Arial" w:cs="Arial" w:eastAsia="Arial" w:hAnsi="Arial"/>
          <w:sz w:val="18"/>
          <w:szCs w:val="18"/>
          <w:color w:val="auto"/>
          <w:highlight w:val="white"/>
        </w:rPr>
        <w:t>period of time the Company has to complete a business combination for an additional one month,</w:t>
      </w:r>
      <w:r>
        <w:rPr>
          <w:rFonts w:ascii="Arial" w:cs="Arial" w:eastAsia="Arial" w:hAnsi="Arial"/>
          <w:sz w:val="18"/>
          <w:szCs w:val="18"/>
          <w:color w:val="auto"/>
        </w:rPr>
        <w:t xml:space="preserve"> </w:t>
      </w:r>
      <w:r>
        <w:rPr>
          <w:rFonts w:ascii="Arial" w:cs="Arial" w:eastAsia="Arial" w:hAnsi="Arial"/>
          <w:sz w:val="18"/>
          <w:szCs w:val="18"/>
          <w:color w:val="auto"/>
          <w:highlight w:val="white"/>
        </w:rPr>
        <w:t>from March 19, 2018 to April 19, 2018. The notes do not bear interest and are payable five business days after the date the Company completes a business combination.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228" w:name="page229"/>
    <w:bookmarkEnd w:id="228"/>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31,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March 31, 2018</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2017</w:t>
            </w:r>
          </w:p>
        </w:tc>
      </w:tr>
      <w:tr>
        <w:trPr>
          <w:trHeight w:val="209"/>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18,313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27,966</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19,816</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16,193</w:t>
            </w: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 of $82 and $484, respectively</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42,636</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47,433</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Due from related parties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4,310</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Current portion of notes receivable</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3,075</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3,442</w:t>
            </w:r>
          </w:p>
        </w:tc>
      </w:tr>
      <w:tr>
        <w:trPr>
          <w:trHeight w:val="229"/>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assets</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4,328</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7,207</w:t>
            </w:r>
          </w:p>
        </w:tc>
      </w:tr>
      <w:tr>
        <w:trPr>
          <w:trHeight w:val="209"/>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92,746</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105,988</w:t>
            </w:r>
          </w:p>
        </w:tc>
        <w:tc>
          <w:tcPr>
            <w:tcW w:w="100" w:type="dxa"/>
            <w:vAlign w:val="bottom"/>
            <w:tcBorders>
              <w:bottom w:val="single" w:sz="8" w:color="CCEEFF"/>
            </w:tcBorders>
          </w:tcPr>
          <w:p>
            <w:pPr>
              <w:spacing w:after="0"/>
              <w:rPr>
                <w:sz w:val="18"/>
                <w:szCs w:val="18"/>
                <w:color w:val="auto"/>
              </w:rPr>
            </w:pPr>
          </w:p>
        </w:tc>
      </w:tr>
      <w:tr>
        <w:trPr>
          <w:trHeight w:val="209"/>
        </w:trPr>
        <w:tc>
          <w:tcPr>
            <w:tcW w:w="8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Notes receivable, less current portion</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3,343</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3,807</w:t>
            </w: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13,566</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11,943</w:t>
            </w: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101,532</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101,532</w:t>
            </w: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43,106</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42,062</w:t>
            </w: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1,307</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r>
      <w:tr>
        <w:trPr>
          <w:trHeight w:val="22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62"/>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255,925</w:t>
            </w:r>
          </w:p>
        </w:tc>
        <w:tc>
          <w:tcPr>
            <w:tcW w:w="2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266,707</w:t>
            </w:r>
          </w:p>
        </w:tc>
        <w:tc>
          <w:tcPr>
            <w:tcW w:w="100" w:type="dxa"/>
            <w:vAlign w:val="bottom"/>
            <w:tcBorders>
              <w:bottom w:val="single" w:sz="8" w:color="CCEEFF"/>
            </w:tcBorders>
          </w:tcPr>
          <w:p>
            <w:pPr>
              <w:spacing w:after="0"/>
              <w:rPr>
                <w:sz w:val="22"/>
                <w:szCs w:val="22"/>
                <w:color w:val="auto"/>
              </w:rPr>
            </w:pPr>
          </w:p>
        </w:tc>
      </w:tr>
      <w:tr>
        <w:trPr>
          <w:trHeight w:val="195"/>
        </w:trPr>
        <w:tc>
          <w:tcPr>
            <w:tcW w:w="8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b w:val="1"/>
                <w:bCs w:val="1"/>
                <w:color w:val="auto"/>
              </w:rPr>
              <w:t>LIABILITIES AND MEMBERS' DEFICIT</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18,736</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18,603</w:t>
            </w: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residual commissions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19,857</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23,470</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4,229</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2,682</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Settlement obligations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13,704</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10,474</w:t>
            </w:r>
          </w:p>
        </w:tc>
      </w:tr>
      <w:tr>
        <w:trPr>
          <w:trHeight w:val="229"/>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common unit repurchase obligation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r>
      <w:tr>
        <w:trPr>
          <w:trHeight w:val="209"/>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59,208</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66,482</w:t>
            </w:r>
          </w:p>
        </w:tc>
        <w:tc>
          <w:tcPr>
            <w:tcW w:w="100" w:type="dxa"/>
            <w:vAlign w:val="bottom"/>
            <w:tcBorders>
              <w:bottom w:val="single" w:sz="8" w:color="CCEEFF"/>
            </w:tcBorders>
          </w:tcPr>
          <w:p>
            <w:pPr>
              <w:spacing w:after="0"/>
              <w:rPr>
                <w:sz w:val="18"/>
                <w:szCs w:val="18"/>
                <w:color w:val="auto"/>
              </w:rPr>
            </w:pPr>
          </w:p>
        </w:tc>
      </w:tr>
      <w:tr>
        <w:trPr>
          <w:trHeight w:val="209"/>
        </w:trPr>
        <w:tc>
          <w:tcPr>
            <w:tcW w:w="8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Long-term debt, net of discounts and deferred financing costs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340,457</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267,939</w:t>
            </w: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12,182</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8,701</w:t>
            </w: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Common unit repurchase obligation</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7,690</w:t>
            </w:r>
          </w:p>
        </w:tc>
      </w:tr>
      <w:tr>
        <w:trPr>
          <w:trHeight w:val="22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6,149</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6,050</w:t>
            </w:r>
          </w:p>
        </w:tc>
      </w:tr>
      <w:tr>
        <w:trPr>
          <w:trHeight w:val="209"/>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long term liabilities</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358,788</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290,380</w:t>
            </w:r>
          </w:p>
        </w:tc>
        <w:tc>
          <w:tcPr>
            <w:tcW w:w="100" w:type="dxa"/>
            <w:vAlign w:val="bottom"/>
            <w:tcBorders>
              <w:bottom w:val="single" w:sz="8" w:color="CCEEFF"/>
            </w:tcBorders>
          </w:tcPr>
          <w:p>
            <w:pPr>
              <w:spacing w:after="0"/>
              <w:rPr>
                <w:sz w:val="18"/>
                <w:szCs w:val="18"/>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417,996</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356,862</w:t>
            </w:r>
          </w:p>
        </w:tc>
        <w:tc>
          <w:tcPr>
            <w:tcW w:w="100" w:type="dxa"/>
            <w:vAlign w:val="bottom"/>
            <w:shd w:val="clear" w:color="auto" w:fill="CCEEFF"/>
          </w:tcPr>
          <w:p>
            <w:pPr>
              <w:spacing w:after="0"/>
              <w:rPr>
                <w:sz w:val="18"/>
                <w:szCs w:val="18"/>
                <w:color w:val="auto"/>
              </w:rPr>
            </w:pPr>
          </w:p>
        </w:tc>
      </w:tr>
      <w:tr>
        <w:trPr>
          <w:trHeight w:val="209"/>
        </w:trPr>
        <w:tc>
          <w:tcPr>
            <w:tcW w:w="8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6 and 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Members' deficit</w:t>
            </w:r>
          </w:p>
        </w:tc>
        <w:tc>
          <w:tcPr>
            <w:tcW w:w="3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(162,071)</w:t>
            </w:r>
          </w:p>
        </w:tc>
        <w:tc>
          <w:tcPr>
            <w:tcW w:w="4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(90,155)</w:t>
            </w:r>
          </w:p>
        </w:tc>
      </w:tr>
      <w:tr>
        <w:trPr>
          <w:trHeight w:val="222"/>
        </w:trPr>
        <w:tc>
          <w:tcPr>
            <w:tcW w:w="8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members' deficit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255,925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p>
      <w:pPr>
        <w:jc w:val="right"/>
        <w:ind w:right="280"/>
        <w:spacing w:after="0"/>
        <w:rPr>
          <w:sz w:val="20"/>
          <w:szCs w:val="20"/>
          <w:color w:val="auto"/>
        </w:rPr>
      </w:pPr>
      <w:r>
        <w:rPr>
          <w:rFonts w:ascii="Arial" w:cs="Arial" w:eastAsia="Arial" w:hAnsi="Arial"/>
          <w:sz w:val="18"/>
          <w:szCs w:val="18"/>
          <w:b w:val="1"/>
          <w:bCs w:val="1"/>
          <w:color w:val="auto"/>
        </w:rPr>
        <w:t>Three months ended March 31,</w:t>
      </w:r>
    </w:p>
    <w:p>
      <w:pPr>
        <w:sectPr>
          <w:pgSz w:w="11900" w:h="16838" w:orient="portrait"/>
          <w:cols w:equalWidth="0" w:num="1">
            <w:col w:w="11420"/>
          </w:cols>
          <w:pgMar w:left="240" w:top="919" w:right="239" w:bottom="144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per unit data)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Merchant card fees revenue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Outsourced services revenue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revenue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revenue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409"/>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108,010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86,797</w:t>
            </w:r>
          </w:p>
        </w:tc>
      </w:tr>
      <w:tr>
        <w:trPr>
          <w:trHeight w:val="229"/>
        </w:trPr>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6,001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5,566</w:t>
            </w:r>
          </w:p>
        </w:tc>
      </w:tr>
      <w:tr>
        <w:trPr>
          <w:trHeight w:val="229"/>
        </w:trPr>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1,585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0"/>
        </w:trPr>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36"/>
        </w:trPr>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115,596</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-725170</wp:posOffset>
            </wp:positionV>
            <wp:extent cx="7247255" cy="145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-443230</wp:posOffset>
            </wp:positionV>
            <wp:extent cx="7247255" cy="1365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-161925</wp:posOffset>
            </wp:positionV>
            <wp:extent cx="7247255" cy="1619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919" w:right="2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Costs of merchant card fees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82,813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66,461</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costs of services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3,658</w:t>
            </w: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Salary and employee benefits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8,972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8,124</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w:t>
            </w: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5,219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r>
      <w:tr>
        <w:trPr>
          <w:trHeight w:val="229"/>
        </w:trPr>
        <w:tc>
          <w:tcPr>
            <w:tcW w:w="858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2,571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2,807</w:t>
            </w:r>
          </w:p>
        </w:tc>
      </w:tr>
      <w:tr>
        <w:trPr>
          <w:trHeight w:val="209"/>
        </w:trPr>
        <w:tc>
          <w:tcPr>
            <w:tcW w:w="8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107,718</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7,878</w:t>
            </w: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100" w:type="dxa"/>
            <w:vAlign w:val="bottom"/>
            <w:tcBorders>
              <w:bottom w:val="single" w:sz="8" w:color="CCEEFF"/>
            </w:tcBorders>
          </w:tcPr>
          <w:p>
            <w:pPr>
              <w:spacing w:after="0"/>
              <w:rPr>
                <w:sz w:val="18"/>
                <w:szCs w:val="18"/>
                <w:color w:val="auto"/>
              </w:rPr>
            </w:pPr>
          </w:p>
        </w:tc>
      </w:tr>
      <w:tr>
        <w:trPr>
          <w:trHeight w:val="209"/>
        </w:trPr>
        <w:tc>
          <w:tcPr>
            <w:tcW w:w="8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1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365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Interest and other income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and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45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Equity in income (loss) of unconsolidated entities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expenses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7255" cy="161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62"/>
              <w:spacing w:after="0"/>
              <w:rPr>
                <w:sz w:val="20"/>
                <w:szCs w:val="20"/>
                <w:color w:val="auto"/>
              </w:rPr>
            </w:pPr>
            <w:r>
              <w:rPr>
                <w:rFonts w:ascii="Arial" w:cs="Arial" w:eastAsia="Arial" w:hAnsi="Arial"/>
                <w:sz w:val="18"/>
                <w:szCs w:val="18"/>
                <w:color w:val="auto"/>
              </w:rPr>
              <w:t>191</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(11,192)</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(7,945)</w:t>
            </w:r>
          </w:p>
        </w:tc>
      </w:t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(11,055</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2"/>
        </w:trPr>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19" w:right="2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per unit:</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8"/>
                <w:szCs w:val="18"/>
                <w:color w:val="auto"/>
              </w:rPr>
              <w:t>Basic loss per unit</w:t>
            </w:r>
          </w:p>
        </w:tc>
        <w:tc>
          <w:tcPr>
            <w:tcW w:w="31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15"/>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loss per unit</w:t>
            </w:r>
          </w:p>
        </w:tc>
        <w:tc>
          <w:tcPr>
            <w:tcW w:w="3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15"/>
        </w:trPr>
        <w:tc>
          <w:tcPr>
            <w:tcW w:w="5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8"/>
                <w:szCs w:val="18"/>
                <w:color w:val="auto"/>
              </w:rPr>
              <w:t>Basic</w:t>
            </w:r>
          </w:p>
        </w:tc>
        <w:tc>
          <w:tcPr>
            <w:tcW w:w="3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4,445</w:t>
            </w:r>
          </w:p>
        </w:tc>
        <w:tc>
          <w:tcPr>
            <w:tcW w:w="5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5,289</w:t>
            </w:r>
          </w:p>
        </w:tc>
      </w:tr>
      <w:tr>
        <w:trPr>
          <w:trHeight w:val="215"/>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4,445</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5,289</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230" w:name="page231"/>
    <w:bookmarkEnd w:id="230"/>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Members’ Equity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42"/>
              <w:spacing w:after="0"/>
              <w:rPr>
                <w:sz w:val="20"/>
                <w:szCs w:val="20"/>
                <w:color w:val="auto"/>
              </w:rPr>
            </w:pPr>
            <w:r>
              <w:rPr>
                <w:rFonts w:ascii="Arial" w:cs="Arial" w:eastAsia="Arial" w:hAnsi="Arial"/>
                <w:sz w:val="18"/>
                <w:szCs w:val="18"/>
                <w:b w:val="1"/>
                <w:bCs w:val="1"/>
                <w:color w:val="auto"/>
                <w:w w:val="89"/>
              </w:rPr>
              <w:t>Common</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62"/>
              <w:spacing w:after="0"/>
              <w:rPr>
                <w:sz w:val="20"/>
                <w:szCs w:val="20"/>
                <w:color w:val="auto"/>
              </w:rPr>
            </w:pPr>
            <w:r>
              <w:rPr>
                <w:rFonts w:ascii="Arial" w:cs="Arial" w:eastAsia="Arial" w:hAnsi="Arial"/>
                <w:sz w:val="18"/>
                <w:szCs w:val="18"/>
                <w:b w:val="1"/>
                <w:bCs w:val="1"/>
                <w:color w:val="auto"/>
                <w:w w:val="91"/>
              </w:rPr>
              <w:t>Units - A</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Units - 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Units - B</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Units - B</w:t>
            </w:r>
          </w:p>
        </w:tc>
        <w:tc>
          <w:tcPr>
            <w:tcW w:w="140" w:type="dxa"/>
            <w:vAlign w:val="bottom"/>
          </w:tcPr>
          <w:p>
            <w:pPr>
              <w:spacing w:after="0"/>
              <w:rPr>
                <w:sz w:val="18"/>
                <w:szCs w:val="18"/>
                <w:color w:val="auto"/>
              </w:rPr>
            </w:pPr>
          </w:p>
        </w:tc>
        <w:tc>
          <w:tcPr>
            <w:tcW w:w="120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w w:val="97"/>
              </w:rPr>
              <w:t>Members’</w:t>
            </w:r>
          </w:p>
        </w:tc>
      </w:tr>
      <w:tr>
        <w:trPr>
          <w:trHeight w:val="233"/>
        </w:trPr>
        <w:tc>
          <w:tcPr>
            <w:tcW w:w="3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42"/>
              <w:spacing w:after="0"/>
              <w:rPr>
                <w:sz w:val="20"/>
                <w:szCs w:val="20"/>
                <w:color w:val="auto"/>
              </w:rPr>
            </w:pPr>
            <w:r>
              <w:rPr>
                <w:rFonts w:ascii="Arial" w:cs="Arial" w:eastAsia="Arial" w:hAnsi="Arial"/>
                <w:sz w:val="18"/>
                <w:szCs w:val="18"/>
                <w:b w:val="1"/>
                <w:bCs w:val="1"/>
                <w:color w:val="auto"/>
                <w:w w:val="91"/>
              </w:rPr>
              <w:t>Amount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Units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Units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Equity (Deficit)</w:t>
            </w:r>
          </w:p>
        </w:tc>
      </w:tr>
      <w:tr>
        <w:trPr>
          <w:trHeight w:val="229"/>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2017</w:t>
            </w: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(93,490)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(90,155)</w:t>
            </w:r>
          </w:p>
        </w:tc>
      </w:tr>
      <w:tr>
        <w:trPr>
          <w:trHeight w:val="209"/>
        </w:trPr>
        <w:tc>
          <w:tcPr>
            <w:tcW w:w="3360" w:type="dxa"/>
            <w:vAlign w:val="bottom"/>
          </w:tcPr>
          <w:p>
            <w:pPr>
              <w:spacing w:after="0"/>
              <w:rPr>
                <w:sz w:val="20"/>
                <w:szCs w:val="20"/>
                <w:color w:val="auto"/>
              </w:rPr>
            </w:pPr>
            <w:r>
              <w:rPr>
                <w:rFonts w:ascii="Arial" w:cs="Arial" w:eastAsia="Arial" w:hAnsi="Arial"/>
                <w:sz w:val="18"/>
                <w:szCs w:val="18"/>
                <w:color w:val="auto"/>
              </w:rPr>
              <w:t>Member distributions</w:t>
            </w:r>
          </w:p>
        </w:tc>
        <w:tc>
          <w:tcPr>
            <w:tcW w:w="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2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8"/>
                <w:szCs w:val="18"/>
                <w:color w:val="auto"/>
              </w:rPr>
            </w:pP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Unit-based compensation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188</w:t>
            </w:r>
          </w:p>
        </w:tc>
      </w:tr>
      <w:tr>
        <w:trPr>
          <w:trHeight w:val="215"/>
        </w:trPr>
        <w:tc>
          <w:tcPr>
            <w:tcW w:w="33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(3,177)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(3,177)</w:t>
            </w: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membership interest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(64,903)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(64,903)</w:t>
            </w: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Pro rata adjustment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20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22"/>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March 31, 2018</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(165,594</w:t>
            </w:r>
          </w:p>
        </w:tc>
        <w:tc>
          <w:tcPr>
            <w:tcW w:w="24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Members’ Equity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Preferred</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Preferred</w:t>
            </w:r>
          </w:p>
        </w:tc>
        <w:tc>
          <w:tcPr>
            <w:tcW w:w="90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w w:val="92"/>
              </w:rPr>
              <w:t>Common</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88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Units - A</w:t>
            </w: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Units - A</w:t>
            </w:r>
          </w:p>
        </w:tc>
        <w:tc>
          <w:tcPr>
            <w:tcW w:w="900" w:type="dxa"/>
            <w:vAlign w:val="bottom"/>
            <w:gridSpan w:val="3"/>
          </w:tcPr>
          <w:p>
            <w:pPr>
              <w:jc w:val="center"/>
              <w:ind w:right="199"/>
              <w:spacing w:after="0" w:line="148" w:lineRule="exact"/>
              <w:rPr>
                <w:sz w:val="20"/>
                <w:szCs w:val="20"/>
                <w:color w:val="auto"/>
              </w:rPr>
            </w:pPr>
            <w:r>
              <w:rPr>
                <w:rFonts w:ascii="Arial" w:cs="Arial" w:eastAsia="Arial" w:hAnsi="Arial"/>
                <w:sz w:val="14"/>
                <w:szCs w:val="14"/>
                <w:b w:val="1"/>
                <w:bCs w:val="1"/>
                <w:color w:val="auto"/>
                <w:w w:val="93"/>
              </w:rPr>
              <w:t>Units - A</w:t>
            </w: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3"/>
              </w:rPr>
              <w:t>Units - A</w:t>
            </w:r>
          </w:p>
        </w:tc>
        <w:tc>
          <w:tcPr>
            <w:tcW w:w="80" w:type="dxa"/>
            <w:vAlign w:val="bottom"/>
          </w:tcPr>
          <w:p>
            <w:pPr>
              <w:spacing w:after="0"/>
              <w:rPr>
                <w:sz w:val="12"/>
                <w:szCs w:val="12"/>
                <w:color w:val="auto"/>
              </w:rPr>
            </w:pPr>
          </w:p>
        </w:tc>
        <w:tc>
          <w:tcPr>
            <w:tcW w:w="90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93"/>
              </w:rPr>
              <w:t>Units - B</w:t>
            </w: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3"/>
              </w:rPr>
              <w:t>Units - B</w:t>
            </w:r>
          </w:p>
        </w:tc>
        <w:tc>
          <w:tcPr>
            <w:tcW w:w="80" w:type="dxa"/>
            <w:vAlign w:val="bottom"/>
          </w:tcPr>
          <w:p>
            <w:pPr>
              <w:spacing w:after="0"/>
              <w:rPr>
                <w:sz w:val="12"/>
                <w:szCs w:val="12"/>
                <w:color w:val="auto"/>
              </w:rPr>
            </w:pPr>
          </w:p>
        </w:tc>
        <w:tc>
          <w:tcPr>
            <w:tcW w:w="88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Units - C</w:t>
            </w:r>
          </w:p>
        </w:tc>
        <w:tc>
          <w:tcPr>
            <w:tcW w:w="9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7"/>
              </w:rPr>
              <w:t>Units - C</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Units</w:t>
            </w:r>
          </w:p>
        </w:tc>
        <w:tc>
          <w:tcPr>
            <w:tcW w:w="80" w:type="dxa"/>
            <w:vAlign w:val="bottom"/>
          </w:tcPr>
          <w:p>
            <w:pPr>
              <w:spacing w:after="0"/>
              <w:rPr>
                <w:sz w:val="14"/>
                <w:szCs w:val="14"/>
                <w:color w:val="auto"/>
              </w:rPr>
            </w:pPr>
          </w:p>
        </w:tc>
        <w:tc>
          <w:tcPr>
            <w:tcW w:w="82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Units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Units</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61"/>
        </w:trPr>
        <w:tc>
          <w:tcPr>
            <w:tcW w:w="3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 December 31, 2016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2,709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2,701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108,970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2,014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116,007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280" w:type="dxa"/>
            <w:vAlign w:val="bottom"/>
          </w:tcPr>
          <w:p>
            <w:pPr>
              <w:spacing w:after="0" w:line="141" w:lineRule="exact"/>
              <w:rPr>
                <w:sz w:val="20"/>
                <w:szCs w:val="20"/>
                <w:color w:val="auto"/>
              </w:rPr>
            </w:pPr>
            <w:r>
              <w:rPr>
                <w:rFonts w:ascii="Arial" w:cs="Arial" w:eastAsia="Arial" w:hAnsi="Arial"/>
                <w:sz w:val="14"/>
                <w:szCs w:val="14"/>
                <w:color w:val="auto"/>
              </w:rPr>
              <w:t>Unit-based compensation</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280</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280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9"/>
              <w:spacing w:after="0" w:line="148" w:lineRule="exact"/>
              <w:rPr>
                <w:sz w:val="20"/>
                <w:szCs w:val="20"/>
                <w:color w:val="auto"/>
              </w:rPr>
            </w:pPr>
            <w:r>
              <w:rPr>
                <w:rFonts w:ascii="Arial" w:cs="Arial" w:eastAsia="Arial" w:hAnsi="Arial"/>
                <w:sz w:val="14"/>
                <w:szCs w:val="14"/>
                <w:color w:val="auto"/>
              </w:rPr>
              <w:t>(1,221)</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148"/>
        </w:trPr>
        <w:tc>
          <w:tcPr>
            <w:tcW w:w="3280" w:type="dxa"/>
            <w:vAlign w:val="bottom"/>
          </w:tcPr>
          <w:p>
            <w:pPr>
              <w:spacing w:after="0" w:line="148" w:lineRule="exact"/>
              <w:rPr>
                <w:sz w:val="20"/>
                <w:szCs w:val="20"/>
                <w:color w:val="auto"/>
              </w:rPr>
            </w:pPr>
            <w:r>
              <w:rPr>
                <w:rFonts w:ascii="Arial" w:cs="Arial" w:eastAsia="Arial" w:hAnsi="Arial"/>
                <w:sz w:val="14"/>
                <w:szCs w:val="14"/>
                <w:color w:val="auto"/>
              </w:rPr>
              <w:t>Redemption of membership interest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39"/>
              <w:spacing w:after="0" w:line="148" w:lineRule="exact"/>
              <w:rPr>
                <w:sz w:val="20"/>
                <w:szCs w:val="20"/>
                <w:color w:val="auto"/>
              </w:rPr>
            </w:pPr>
            <w:r>
              <w:rPr>
                <w:rFonts w:ascii="Arial" w:cs="Arial" w:eastAsia="Arial" w:hAnsi="Arial"/>
                <w:sz w:val="14"/>
                <w:szCs w:val="14"/>
                <w:color w:val="auto"/>
              </w:rPr>
              <w:t>(200,000)</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(4,682)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Reclass of common unit repurchase obligation</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9"/>
              <w:spacing w:after="0" w:line="148" w:lineRule="exact"/>
              <w:rPr>
                <w:sz w:val="20"/>
                <w:szCs w:val="20"/>
                <w:color w:val="auto"/>
              </w:rPr>
            </w:pPr>
            <w:r>
              <w:rPr>
                <w:rFonts w:ascii="Arial" w:cs="Arial" w:eastAsia="Arial" w:hAnsi="Arial"/>
                <w:sz w:val="14"/>
                <w:szCs w:val="14"/>
                <w:color w:val="auto"/>
              </w:rPr>
              <w:t>(12,190)</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(12,190)</w:t>
            </w:r>
          </w:p>
        </w:tc>
        <w:tc>
          <w:tcPr>
            <w:tcW w:w="0" w:type="dxa"/>
            <w:vAlign w:val="bottom"/>
          </w:tcPr>
          <w:p>
            <w:pPr>
              <w:spacing w:after="0"/>
              <w:rPr>
                <w:sz w:val="1"/>
                <w:szCs w:val="1"/>
                <w:color w:val="auto"/>
              </w:rPr>
            </w:pPr>
          </w:p>
        </w:tc>
      </w:tr>
      <w:tr>
        <w:trPr>
          <w:trHeight w:val="148"/>
        </w:trPr>
        <w:tc>
          <w:tcPr>
            <w:tcW w:w="3280" w:type="dxa"/>
            <w:vAlign w:val="bottom"/>
          </w:tcPr>
          <w:p>
            <w:pPr>
              <w:spacing w:after="0" w:line="148" w:lineRule="exact"/>
              <w:rPr>
                <w:sz w:val="20"/>
                <w:szCs w:val="20"/>
                <w:color w:val="auto"/>
              </w:rPr>
            </w:pPr>
            <w:r>
              <w:rPr>
                <w:rFonts w:ascii="Arial" w:cs="Arial" w:eastAsia="Arial" w:hAnsi="Arial"/>
                <w:sz w:val="14"/>
                <w:szCs w:val="14"/>
                <w:color w:val="auto"/>
              </w:rPr>
              <w:t>Release of contingent consideration</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79"/>
              <w:spacing w:after="0" w:line="148" w:lineRule="exact"/>
              <w:rPr>
                <w:sz w:val="20"/>
                <w:szCs w:val="20"/>
                <w:color w:val="auto"/>
              </w:rPr>
            </w:pPr>
            <w:r>
              <w:rPr>
                <w:rFonts w:ascii="Arial" w:cs="Arial" w:eastAsia="Arial" w:hAnsi="Arial"/>
                <w:sz w:val="14"/>
                <w:szCs w:val="14"/>
                <w:color w:val="auto"/>
              </w:rPr>
              <w:t>3,812</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3,812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Elimination of Class C Units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8" w:lineRule="exact"/>
              <w:rPr>
                <w:sz w:val="20"/>
                <w:szCs w:val="20"/>
                <w:color w:val="auto"/>
              </w:rPr>
            </w:pPr>
            <w:r>
              <w:rPr>
                <w:rFonts w:ascii="Arial" w:cs="Arial" w:eastAsia="Arial" w:hAnsi="Arial"/>
                <w:sz w:val="14"/>
                <w:szCs w:val="14"/>
                <w:color w:val="auto"/>
              </w:rPr>
              <w:t>2,014</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(2,014)</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8" w:lineRule="exact"/>
              <w:rPr>
                <w:sz w:val="20"/>
                <w:szCs w:val="20"/>
                <w:color w:val="auto"/>
              </w:rPr>
            </w:pPr>
            <w:r>
              <w:rPr>
                <w:rFonts w:ascii="Arial" w:cs="Arial" w:eastAsia="Arial" w:hAnsi="Arial"/>
                <w:sz w:val="14"/>
                <w:szCs w:val="14"/>
                <w:color w:val="auto"/>
              </w:rPr>
              <w:t>Elimination of Preferred Units</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(2,709)</w:t>
            </w:r>
          </w:p>
        </w:tc>
        <w:tc>
          <w:tcPr>
            <w:tcW w:w="8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(2,701)</w:t>
            </w:r>
          </w:p>
        </w:tc>
        <w:tc>
          <w:tcPr>
            <w:tcW w:w="80" w:type="dxa"/>
            <w:vAlign w:val="bottom"/>
          </w:tcPr>
          <w:p>
            <w:pPr>
              <w:spacing w:after="0"/>
              <w:rPr>
                <w:sz w:val="12"/>
                <w:szCs w:val="12"/>
                <w:color w:val="auto"/>
              </w:rPr>
            </w:pPr>
          </w:p>
        </w:tc>
        <w:tc>
          <w:tcPr>
            <w:tcW w:w="820" w:type="dxa"/>
            <w:vAlign w:val="bottom"/>
            <w:gridSpan w:val="2"/>
          </w:tcPr>
          <w:p>
            <w:pPr>
              <w:jc w:val="right"/>
              <w:ind w:right="179"/>
              <w:spacing w:after="0" w:line="148" w:lineRule="exact"/>
              <w:rPr>
                <w:sz w:val="20"/>
                <w:szCs w:val="20"/>
                <w:color w:val="auto"/>
              </w:rPr>
            </w:pPr>
            <w:r>
              <w:rPr>
                <w:rFonts w:ascii="Arial" w:cs="Arial" w:eastAsia="Arial" w:hAnsi="Arial"/>
                <w:sz w:val="14"/>
                <w:szCs w:val="14"/>
                <w:color w:val="auto"/>
              </w:rPr>
              <w:t>2,709</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Pro rata adjustment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March 31, 2017</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(95,906</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2,594</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(93,312</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7120" w:type="dxa"/>
            <w:vAlign w:val="bottom"/>
            <w:tcBorders>
              <w:bottom w:val="single" w:sz="8" w:color="CCEEFF"/>
            </w:tcBorders>
            <w:vMerge w:val="continue"/>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(3,177)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reconcile net loss to net cash provided by operating activities: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3,767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Unit-based compensation expense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discount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Equity in income (loss) of unconsolidated affiliates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debt extinguishment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Payment in kind interest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1,193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change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5"/>
        </w:trPr>
        <w:tc>
          <w:tcPr>
            <w:tcW w:w="712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5"/>
        </w:trPr>
        <w:tc>
          <w:tcPr>
            <w:tcW w:w="7120" w:type="dxa"/>
            <w:vAlign w:val="bottom"/>
          </w:tcPr>
          <w:p>
            <w:pPr>
              <w:ind w:left="520"/>
              <w:spacing w:after="0"/>
              <w:rPr>
                <w:sz w:val="20"/>
                <w:szCs w:val="20"/>
                <w:color w:val="auto"/>
              </w:rPr>
            </w:pPr>
            <w:r>
              <w:rPr>
                <w:rFonts w:ascii="Arial" w:cs="Arial" w:eastAsia="Arial" w:hAnsi="Arial"/>
                <w:sz w:val="18"/>
                <w:szCs w:val="18"/>
                <w:color w:val="auto"/>
              </w:rPr>
              <w:t>Settlement assets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2,879</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5"/>
        </w:trPr>
        <w:tc>
          <w:tcPr>
            <w:tcW w:w="7120" w:type="dxa"/>
            <w:vAlign w:val="bottom"/>
          </w:tcPr>
          <w:p>
            <w:pPr>
              <w:ind w:left="520"/>
              <w:spacing w:after="0"/>
              <w:rPr>
                <w:sz w:val="20"/>
                <w:szCs w:val="20"/>
                <w:color w:val="auto"/>
              </w:rPr>
            </w:pPr>
            <w:r>
              <w:rPr>
                <w:rFonts w:ascii="Arial" w:cs="Arial" w:eastAsia="Arial" w:hAnsi="Arial"/>
                <w:sz w:val="18"/>
                <w:szCs w:val="18"/>
                <w:color w:val="auto"/>
              </w:rPr>
              <w:t>Notes receivable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831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Related parties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5"/>
        </w:trPr>
        <w:tc>
          <w:tcPr>
            <w:tcW w:w="7120" w:type="dxa"/>
            <w:vAlign w:val="bottom"/>
          </w:tcPr>
          <w:p>
            <w:pPr>
              <w:ind w:left="520"/>
              <w:spacing w:after="0"/>
              <w:rPr>
                <w:sz w:val="20"/>
                <w:szCs w:val="20"/>
                <w:color w:val="auto"/>
              </w:rPr>
            </w:pPr>
            <w:r>
              <w:rPr>
                <w:rFonts w:ascii="Arial" w:cs="Arial" w:eastAsia="Arial" w:hAnsi="Arial"/>
                <w:sz w:val="18"/>
                <w:szCs w:val="18"/>
                <w:color w:val="auto"/>
              </w:rPr>
              <w:t>Accounts payable, accrued expenses and accrued residual commissions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(3,575)</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Settlement obligations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7120" w:type="dxa"/>
            <w:vAlign w:val="bottom"/>
          </w:tcPr>
          <w:p>
            <w:pPr>
              <w:ind w:left="520"/>
              <w:spacing w:after="0"/>
              <w:rPr>
                <w:sz w:val="20"/>
                <w:szCs w:val="20"/>
                <w:color w:val="auto"/>
              </w:rPr>
            </w:pPr>
            <w:r>
              <w:rPr>
                <w:rFonts w:ascii="Arial" w:cs="Arial" w:eastAsia="Arial" w:hAnsi="Arial"/>
                <w:sz w:val="18"/>
                <w:szCs w:val="18"/>
                <w:color w:val="auto"/>
              </w:rPr>
              <w:t>Customer deposits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9"/>
        </w:trPr>
        <w:tc>
          <w:tcPr>
            <w:tcW w:w="7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1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12,614</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19" w:right="239" w:bottom="1440" w:gutter="0" w:footer="0" w:header="0"/>
        </w:sect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7255" cy="1365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Additions to property and equipment</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Additions to intangible assets</w:t>
      </w:r>
    </w:p>
    <w:p>
      <w:pPr>
        <w:spacing w:after="0" w:line="8" w:lineRule="exact"/>
        <w:rPr>
          <w:sz w:val="20"/>
          <w:szCs w:val="20"/>
          <w:color w:val="auto"/>
        </w:rPr>
      </w:pPr>
    </w:p>
    <w:p>
      <w:pPr>
        <w:jc w:val="right"/>
        <w:ind w:right="5640"/>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7255" cy="145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(2,624)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(3,700)</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(6,324)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27940</wp:posOffset>
            </wp:positionV>
            <wp:extent cx="8026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(1,108)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(2,255)</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(3,363)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27940</wp:posOffset>
            </wp:positionV>
            <wp:extent cx="7854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660" w:space="720"/>
            <w:col w:w="760" w:space="720"/>
            <w:col w:w="560"/>
          </w:cols>
          <w:pgMar w:left="240" w:top="919" w:right="239" w:bottom="1440" w:gutter="0" w:footer="0" w:header="0"/>
          <w:type w:val="continuous"/>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Proceeds from issuance of long term debt</w:t>
            </w:r>
          </w:p>
        </w:tc>
        <w:tc>
          <w:tcPr>
            <w:tcW w:w="1260" w:type="dxa"/>
            <w:vAlign w:val="bottom"/>
          </w:tcPr>
          <w:p>
            <w:pPr>
              <w:jc w:val="right"/>
              <w:spacing w:after="0"/>
              <w:rPr>
                <w:sz w:val="20"/>
                <w:szCs w:val="20"/>
                <w:color w:val="auto"/>
              </w:rPr>
            </w:pPr>
            <w:r>
              <w:rPr>
                <w:rFonts w:ascii="Arial" w:cs="Arial" w:eastAsia="Arial" w:hAnsi="Arial"/>
                <w:sz w:val="18"/>
                <w:szCs w:val="18"/>
                <w:color w:val="auto"/>
              </w:rPr>
              <w:t>67,113</w:t>
            </w:r>
          </w:p>
        </w:tc>
        <w:tc>
          <w:tcPr>
            <w:tcW w:w="240" w:type="dxa"/>
            <w:vAlign w:val="bottom"/>
          </w:tcPr>
          <w:p>
            <w:pPr>
              <w:spacing w:after="0"/>
              <w:rPr>
                <w:sz w:val="18"/>
                <w:szCs w:val="18"/>
                <w:color w:val="auto"/>
              </w:rPr>
            </w:pP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276,290</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 term debt</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(670)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(89,196)</w:t>
            </w: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(646)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(4,570)</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members</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(4,024)</w:t>
            </w:r>
          </w:p>
        </w:tc>
        <w:tc>
          <w:tcPr>
            <w:tcW w:w="13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160"/>
              <w:spacing w:after="0"/>
              <w:rPr>
                <w:sz w:val="20"/>
                <w:szCs w:val="20"/>
                <w:color w:val="auto"/>
              </w:rPr>
            </w:pPr>
            <w:r>
              <w:rPr>
                <w:rFonts w:ascii="Arial" w:cs="Arial" w:eastAsia="Arial" w:hAnsi="Arial"/>
                <w:sz w:val="18"/>
                <w:szCs w:val="18"/>
                <w:color w:val="auto"/>
              </w:rPr>
              <w:t>Redemption of membership interests</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(74,093)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(200,000)</w:t>
            </w:r>
          </w:p>
        </w:tc>
      </w:tr>
      <w:tr>
        <w:trPr>
          <w:trHeight w:val="209"/>
        </w:trPr>
        <w:tc>
          <w:tcPr>
            <w:tcW w:w="8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financing activities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240" w:type="dxa"/>
            <w:vAlign w:val="bottom"/>
            <w:tcBorders>
              <w:top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7" w:lineRule="exact"/>
        <w:rPr>
          <w:sz w:val="20"/>
          <w:szCs w:val="20"/>
          <w:color w:val="auto"/>
        </w:rPr>
      </w:pPr>
    </w:p>
    <w:p>
      <w:pPr>
        <w:sectPr>
          <w:pgSz w:w="11900" w:h="16838" w:orient="portrait"/>
          <w:cols w:equalWidth="0" w:num="1">
            <w:col w:w="11420"/>
          </w:cols>
          <w:pgMar w:left="240" w:top="91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Change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7255" cy="1365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decrease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45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Cash and restricted cash, at the beginning of year</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and restricted cash, at the end of year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(6,030)</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(16,058)</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44,159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41,702</w:t>
            </w:r>
          </w:p>
        </w:tc>
        <w:tc>
          <w:tcPr>
            <w:tcW w:w="6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38,129</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919"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66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66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4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5,355</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4,233</w:t>
            </w:r>
          </w:p>
        </w:tc>
      </w:tr>
      <w:tr>
        <w:trPr>
          <w:trHeight w:val="209"/>
        </w:trPr>
        <w:tc>
          <w:tcPr>
            <w:tcW w:w="6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Purchase of property and equipment through accounts payable</w:t>
            </w:r>
          </w:p>
        </w:tc>
        <w:tc>
          <w:tcPr>
            <w:tcW w:w="24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155</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09"/>
        </w:trPr>
        <w:tc>
          <w:tcPr>
            <w:tcW w:w="6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unit repurchase obligation</w:t>
            </w:r>
          </w:p>
        </w:tc>
        <w:tc>
          <w:tcPr>
            <w:tcW w:w="19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233" w:name="page234"/>
    <w:bookmarkEnd w:id="233"/>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ind w:right="4000" w:firstLine="8"/>
        <w:spacing w:after="0" w:line="501" w:lineRule="auto"/>
        <w:tabs>
          <w:tab w:leader="none" w:pos="323"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 Nature of Business</w:t>
      </w:r>
    </w:p>
    <w:p>
      <w:pPr>
        <w:jc w:val="both"/>
        <w:spacing w:after="0" w:line="254" w:lineRule="auto"/>
        <w:rPr>
          <w:sz w:val="20"/>
          <w:szCs w:val="20"/>
          <w:color w:val="auto"/>
        </w:rPr>
      </w:pPr>
      <w:r>
        <w:rPr>
          <w:rFonts w:ascii="Arial" w:cs="Arial" w:eastAsia="Arial" w:hAnsi="Arial"/>
          <w:sz w:val="18"/>
          <w:szCs w:val="18"/>
          <w:color w:val="222222"/>
        </w:rPr>
        <w:t>Priority Holdings, LLC (the “Company”) was organized as a limited liability company on May 21, 2014 in the state of Delaware in accordance with the provisions of the Delaware Limited Liability Company Act as a result of the merger between Pipeline Cynergy Holdings, LLC (“PCH”) and Priority Payment Systems Holdings, LLC (“PPSH”). Priority Holdings, LLC and its subsidiaries are hereinafter referred to as the Company. Until January 3, 2017, the Company was owned by a group of private equity investors led primarily by Priority Investment Holdings, LLC (“PIH”) and Comvest Pipeline Cynergy Holdings, LLC (“Comvest”). On January 3, 2017, the Company exercised a redemption of the majority of Comvest’s membership units resulting in a change in the majority-voting unitholder. See Note 9 – Members Equity.</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22222"/>
        </w:rPr>
        <w:t>The Company provides merchant transaction processing services to small and medium-sized merchants and operates in two reportable segments, Consumer Payments and Commercial Payments and Managed Services. For more information about the Company’s segments, refer to Note 12 – Segment Information.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a registered Independent Sales Organization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The Company uses a direct sales force and contracts with other ISOs and Independent Sales Agents (“ISA”) to attract merchant accounts. The Company develops and uses software to process and monitor merchant transactions, provide customer support and other back office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The accompanying unaudited condensed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“Investment in unconsolidated entities”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9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222222"/>
        </w:rPr>
        <w:t>These unaudited condensed consolidated financial statements have been prepared in accordance with accounting principles generally accepted in the United States ("U.S. GAAP") and should be read in connection with the Company’s audited consolidated financial statements and related notes as of and for the year ended December 31, 2017. The accompanying unaudited condensed consolidated financial statements are unaudited; however, in the opinion of management they include all normal and recurring adjustments necessary for a fair presentation of the Company’s unaudited condensed consolidated financial statements for the periods presented. Results of operations reported for interim periods are not necessarily indicative of results for the entire year due to seasonal fluctuations in the Company’s revenue as a result of consumer spending patterns. All intercompany balances and transactions have been eliminated.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222222"/>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16 – Segment Information in the Company’s consolidated financial statements for the year ended December 31, 2017 for further discussion of the Company’s reportable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Services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Merchant Card Fees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revenues generated from merchant transactions.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Other costs of services include salaries directly related to outsourced services revenue, merchant supplies, and other service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Comprehensive income represents the sum of net income (loss) and other amounts that are not included in the income statement as the amounts have not been realized. For the three months ended March 31, 2018 and 2017, there were no differences between the Company’s net income (loss) and comprehensive income (loss). Therefore, no separate Statement of Other Comprehensive Income is included in the financial statements for the reporting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market based inputs or unobservable inputs that are corroborated by market data.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values of the Company’s warrant liability,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the Company’s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22222"/>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During the Three Months Ended March 31, 2018</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182" w:lineRule="exact"/>
        <w:rPr>
          <w:sz w:val="20"/>
          <w:szCs w:val="20"/>
          <w:color w:val="auto"/>
        </w:rPr>
      </w:pPr>
    </w:p>
    <w:p>
      <w:pPr>
        <w:jc w:val="both"/>
        <w:ind w:left="660" w:hanging="330"/>
        <w:spacing w:after="0" w:line="253"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8"/>
          <w:szCs w:val="18"/>
          <w:color w:val="auto"/>
        </w:rPr>
      </w:pPr>
    </w:p>
    <w:p>
      <w:pPr>
        <w:ind w:left="660" w:right="20" w:hanging="330"/>
        <w:spacing w:after="0" w:line="249"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ind w:left="660" w:hanging="330"/>
        <w:spacing w:after="0" w:line="258"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ASU was effective for, and was adopted by, the Company on January 1, 2018. Adoption of this ASU did not have a material impact on the Company’s financial position, results of operations or cash flows.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Pronouncements Not Yet Adopted</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May 2014, the FASB issued ASU 2014-09, amended in August 2015 by ASU 2015-14, Revenue from Contracts with Customers (Topic 606), requiring an entity to recognize the amount of revenue to which it expects to be entitled for the transfer of promised goods or services to customers. The FASB has issued several additional ASUs since this time that add additional clarification to certain issues existing after the original ASU was released. All of the new standards are effective for the Company on January 1, 2019. The standards permit the use of either the retrospective or cumulative effect transition method.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The Company has not yet selected a transition method and is currently evaluating the effect that the updated standard will have on its consolidated financial statements.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222222"/>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The Company is currently evaluating the impact of the adoption of this standard on its consolidated financial statements.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The Company will assess the impact of the ASU while assessing the impact from implementing ASC 606 and 842 to the consolidated financial statements,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222222"/>
        </w:rPr>
        <w:t>The Company’s revenue is substantially derived from processing Visa® and MasterCard® bank card transactions. Because the Company is not a Member Bank, in order to process these bank card transactions, the Company maintains sponsorship agreements with three Member Banks, as of March 31, 2018, which require, among other things, that the Company abide by the by-laws and regulations of the Card Associations.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22222"/>
        </w:rPr>
        <w:t>Substantially all of the Company’s revenues and receivables are attributable to merchant customer transactions, which are processed primarily by two third-party payment processors.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8"/>
          <w:szCs w:val="18"/>
          <w:color w:val="222222"/>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Reclassification</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222222"/>
        </w:rPr>
        <w:t>Certain prior year amounts in the unaudited condensed consolidated financial statements have been reclassified to conform to the current year presentation, with no effect on net loss or members’ deficit.</w:t>
      </w:r>
    </w:p>
    <w:p>
      <w:pPr>
        <w:spacing w:after="0" w:line="167" w:lineRule="exact"/>
        <w:rPr>
          <w:sz w:val="20"/>
          <w:szCs w:val="20"/>
          <w:color w:val="auto"/>
        </w:rPr>
      </w:pPr>
    </w:p>
    <w:p>
      <w:pPr>
        <w:ind w:left="340" w:hanging="332"/>
        <w:spacing w:after="0"/>
        <w:tabs>
          <w:tab w:leader="none" w:pos="34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ASSETS AND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22222"/>
        </w:rPr>
        <w:t>The principal components of the Company’s settlement assets and obligations at March 31, 2018 and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7"/>
        </w:trPr>
        <w:tc>
          <w:tcPr>
            <w:tcW w:w="7380" w:type="dxa"/>
            <w:vAlign w:val="bottom"/>
          </w:tcPr>
          <w:p>
            <w:pPr>
              <w:spacing w:after="0"/>
              <w:rPr>
                <w:sz w:val="20"/>
                <w:szCs w:val="20"/>
                <w:color w:val="auto"/>
              </w:rPr>
            </w:pPr>
            <w:r>
              <w:rPr>
                <w:rFonts w:ascii="Arial" w:cs="Arial" w:eastAsia="Arial" w:hAnsi="Arial"/>
                <w:sz w:val="18"/>
                <w:szCs w:val="18"/>
                <w:b w:val="1"/>
                <w:bCs w:val="1"/>
                <w:color w:val="auto"/>
              </w:rPr>
              <w:t>Settlement Assets</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March 31, 2018</w:t>
            </w:r>
          </w:p>
        </w:tc>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3"/>
              </w:rPr>
              <w:t>December 31, 2017</w:t>
            </w: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from card processors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7380" w:type="dxa"/>
            <w:vAlign w:val="bottom"/>
          </w:tcPr>
          <w:p>
            <w:pPr>
              <w:spacing w:after="0"/>
              <w:rPr>
                <w:sz w:val="20"/>
                <w:szCs w:val="20"/>
                <w:color w:val="auto"/>
              </w:rPr>
            </w:pPr>
            <w:r>
              <w:rPr>
                <w:rFonts w:ascii="Arial" w:cs="Arial" w:eastAsia="Arial" w:hAnsi="Arial"/>
                <w:sz w:val="18"/>
                <w:szCs w:val="18"/>
                <w:b w:val="1"/>
                <w:bCs w:val="1"/>
                <w:color w:val="auto"/>
              </w:rPr>
              <w:t>Settlement Obligations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Due to ACH payees</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13,704</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80" w:type="dxa"/>
            <w:vAlign w:val="bottom"/>
            <w:shd w:val="clear" w:color="auto" w:fill="CCEEFF"/>
          </w:tcPr>
          <w:p>
            <w:pPr>
              <w:spacing w:after="0"/>
              <w:rPr>
                <w:sz w:val="19"/>
                <w:szCs w:val="19"/>
                <w:color w:val="auto"/>
              </w:rPr>
            </w:pPr>
          </w:p>
        </w:tc>
      </w:tr>
      <w:tr>
        <w:trPr>
          <w:trHeight w:val="222"/>
        </w:trPr>
        <w:tc>
          <w:tcPr>
            <w:tcW w:w="7380" w:type="dxa"/>
            <w:vAlign w:val="bottom"/>
          </w:tcPr>
          <w:p>
            <w:pPr>
              <w:spacing w:after="0"/>
              <w:rPr>
                <w:sz w:val="20"/>
                <w:szCs w:val="20"/>
                <w:color w:val="auto"/>
              </w:rPr>
            </w:pPr>
            <w:r>
              <w:rPr>
                <w:rFonts w:ascii="Arial" w:cs="Arial" w:eastAsia="Arial" w:hAnsi="Arial"/>
                <w:sz w:val="18"/>
                <w:szCs w:val="18"/>
                <w:b w:val="1"/>
                <w:bCs w:val="1"/>
                <w:color w:val="auto"/>
              </w:rPr>
              <w:t>Total settlement obligations, net</w:t>
            </w: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(9,376</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22222"/>
        </w:rPr>
        <w:t>Amounts due to ACH payees are offset by restricted cash.</w:t>
      </w:r>
    </w:p>
    <w:p>
      <w:pPr>
        <w:spacing w:after="0" w:line="21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GOODWILL AND INTANGIBLE ASSETS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The Company records goodwill when an acquisition is made and the purchase price is greater than the fair value assigned to the underlying tangible and intangible assets acquired and the liabilities assumed. As of March 31, 2018 and December 31, 2017, all of the Company’s goodwill is related to the Consumer Payments reporting unit. The Company’s intangible assets primarily include merchant portfolios and other intangible assets such as non-compete agreements, tradenames, acquired technology (developed internally by acquired companies prior to the business combination with the Company) and customer relationships.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r>
              <w:rPr>
                <w:rFonts w:ascii="Arial" w:cs="Arial" w:eastAsia="Arial" w:hAnsi="Arial"/>
                <w:sz w:val="18"/>
                <w:szCs w:val="18"/>
                <w:color w:val="222222"/>
              </w:rPr>
              <w:t>As of March 31, 2018 and December 31, 2017 goodwill and intangible assets consisted of the following:</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8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gridSpan w:val="3"/>
          </w:tcPr>
          <w:p>
            <w:pPr>
              <w:jc w:val="right"/>
              <w:ind w:right="162"/>
              <w:spacing w:after="0"/>
              <w:rPr>
                <w:sz w:val="20"/>
                <w:szCs w:val="20"/>
                <w:color w:val="auto"/>
              </w:rPr>
            </w:pPr>
            <w:r>
              <w:rPr>
                <w:rFonts w:ascii="Arial" w:cs="Arial" w:eastAsia="Arial" w:hAnsi="Arial"/>
                <w:sz w:val="18"/>
                <w:szCs w:val="18"/>
                <w:b w:val="1"/>
                <w:bCs w:val="1"/>
                <w:color w:val="auto"/>
                <w:w w:val="93"/>
              </w:rPr>
              <w:t>March 31, 2018</w:t>
            </w:r>
          </w:p>
        </w:tc>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22"/>
        </w:trPr>
        <w:tc>
          <w:tcPr>
            <w:tcW w:w="8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Other intangible assets:</w:t>
            </w: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4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Merchant portfolios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50,416</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Non-compete agreements</w:t>
            </w:r>
          </w:p>
        </w:tc>
        <w:tc>
          <w:tcPr>
            <w:tcW w:w="380" w:type="dxa"/>
            <w:vAlign w:val="bottom"/>
          </w:tcPr>
          <w:p>
            <w:pPr>
              <w:spacing w:after="0"/>
              <w:rPr>
                <w:sz w:val="18"/>
                <w:szCs w:val="18"/>
                <w:color w:val="auto"/>
              </w:rPr>
            </w:pPr>
          </w:p>
        </w:tc>
        <w:tc>
          <w:tcPr>
            <w:tcW w:w="1080" w:type="dxa"/>
            <w:vAlign w:val="bottom"/>
            <w:gridSpan w:val="2"/>
          </w:tcPr>
          <w:p>
            <w:pPr>
              <w:jc w:val="right"/>
              <w:ind w:right="142"/>
              <w:spacing w:after="0"/>
              <w:rPr>
                <w:sz w:val="20"/>
                <w:szCs w:val="20"/>
                <w:color w:val="auto"/>
              </w:rPr>
            </w:pPr>
            <w:r>
              <w:rPr>
                <w:rFonts w:ascii="Arial" w:cs="Arial" w:eastAsia="Arial" w:hAnsi="Arial"/>
                <w:sz w:val="18"/>
                <w:szCs w:val="18"/>
                <w:color w:val="auto"/>
              </w:rPr>
              <w:t>3,390</w:t>
            </w: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Tradename</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2,580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Acquired technology (developed internally)</w:t>
            </w:r>
          </w:p>
        </w:tc>
        <w:tc>
          <w:tcPr>
            <w:tcW w:w="380" w:type="dxa"/>
            <w:vAlign w:val="bottom"/>
          </w:tcPr>
          <w:p>
            <w:pPr>
              <w:spacing w:after="0"/>
              <w:rPr>
                <w:sz w:val="18"/>
                <w:szCs w:val="18"/>
                <w:color w:val="auto"/>
              </w:rPr>
            </w:pPr>
          </w:p>
        </w:tc>
        <w:tc>
          <w:tcPr>
            <w:tcW w:w="1080" w:type="dxa"/>
            <w:vAlign w:val="bottom"/>
            <w:gridSpan w:val="2"/>
          </w:tcPr>
          <w:p>
            <w:pPr>
              <w:jc w:val="right"/>
              <w:ind w:right="142"/>
              <w:spacing w:after="0"/>
              <w:rPr>
                <w:sz w:val="20"/>
                <w:szCs w:val="20"/>
                <w:color w:val="auto"/>
              </w:rPr>
            </w:pPr>
            <w:r>
              <w:rPr>
                <w:rFonts w:ascii="Arial" w:cs="Arial" w:eastAsia="Arial" w:hAnsi="Arial"/>
                <w:sz w:val="18"/>
                <w:szCs w:val="18"/>
                <w:color w:val="auto"/>
              </w:rPr>
              <w:t>13,200</w:t>
            </w: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51,090</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120,676</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Merchant portfolios</w:t>
            </w:r>
          </w:p>
        </w:tc>
        <w:tc>
          <w:tcPr>
            <w:tcW w:w="380" w:type="dxa"/>
            <w:vAlign w:val="bottom"/>
          </w:tcPr>
          <w:p>
            <w:pPr>
              <w:spacing w:after="0"/>
              <w:rPr>
                <w:sz w:val="18"/>
                <w:szCs w:val="18"/>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8"/>
                <w:szCs w:val="18"/>
                <w:color w:val="auto"/>
              </w:rPr>
              <w:t>(42,441)</w:t>
            </w:r>
          </w:p>
        </w:tc>
        <w:tc>
          <w:tcPr>
            <w:tcW w:w="4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(41,915)</w:t>
            </w: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Non-compete agreements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(3,318)</w:t>
            </w: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Tradename</w:t>
            </w:r>
          </w:p>
        </w:tc>
        <w:tc>
          <w:tcPr>
            <w:tcW w:w="380" w:type="dxa"/>
            <w:vAlign w:val="bottom"/>
          </w:tcPr>
          <w:p>
            <w:pPr>
              <w:spacing w:after="0"/>
              <w:rPr>
                <w:sz w:val="18"/>
                <w:szCs w:val="18"/>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8"/>
                <w:szCs w:val="18"/>
                <w:color w:val="auto"/>
              </w:rPr>
              <w:t>(830)</w:t>
            </w:r>
          </w:p>
        </w:tc>
        <w:tc>
          <w:tcPr>
            <w:tcW w:w="4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 technology (developed internally)</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(8,478)</w:t>
            </w: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(7,928)</w:t>
            </w:r>
          </w:p>
        </w:tc>
        <w:tc>
          <w:tcPr>
            <w:tcW w:w="0" w:type="dxa"/>
            <w:vAlign w:val="bottom"/>
          </w:tcPr>
          <w:p>
            <w:pPr>
              <w:spacing w:after="0"/>
              <w:rPr>
                <w:sz w:val="1"/>
                <w:szCs w:val="1"/>
                <w:color w:val="auto"/>
              </w:rPr>
            </w:pPr>
          </w:p>
        </w:tc>
      </w:tr>
      <w:tr>
        <w:trPr>
          <w:trHeight w:val="229"/>
        </w:trPr>
        <w:tc>
          <w:tcPr>
            <w:tcW w:w="842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19"/>
                <w:szCs w:val="19"/>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8"/>
                <w:szCs w:val="18"/>
                <w:color w:val="auto"/>
              </w:rPr>
              <w:t>(22,503)</w:t>
            </w:r>
          </w:p>
        </w:tc>
        <w:tc>
          <w:tcPr>
            <w:tcW w:w="4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(21,052)</w:t>
            </w:r>
          </w:p>
        </w:tc>
        <w:tc>
          <w:tcPr>
            <w:tcW w:w="0" w:type="dxa"/>
            <w:vAlign w:val="bottom"/>
          </w:tcPr>
          <w:p>
            <w:pPr>
              <w:spacing w:after="0"/>
              <w:rPr>
                <w:sz w:val="1"/>
                <w:szCs w:val="1"/>
                <w:color w:val="auto"/>
              </w:rPr>
            </w:pPr>
          </w:p>
        </w:tc>
      </w:tr>
      <w:tr>
        <w:trPr>
          <w:trHeight w:val="209"/>
        </w:trPr>
        <w:tc>
          <w:tcPr>
            <w:tcW w:w="8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(77,570</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84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43,106</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222222"/>
        </w:rPr>
        <w:t>The Company tests goodwill for impairment for the Consumer Payments reporting unit on an annual basis, or when events occur or circumstances indicate the fair value of a reporting unit is below its carrying value. The Company will perform its annual goodwill impairment test as of November 30, 2018 using market data and discounted cash flow analyses. The Company concluded there were no indicators of impairment as of March 31, 2018 or December 31, 2017. As such, there was no accumulated impairment loss as of March 31, 2018 and December 31, 2017.</w:t>
      </w:r>
    </w:p>
    <w:p>
      <w:pPr>
        <w:spacing w:after="0" w:line="166" w:lineRule="exact"/>
        <w:rPr>
          <w:sz w:val="20"/>
          <w:szCs w:val="20"/>
          <w:color w:val="auto"/>
        </w:rPr>
      </w:pPr>
    </w:p>
    <w:p>
      <w:pPr>
        <w:ind w:left="340" w:hanging="332"/>
        <w:spacing w:after="0"/>
        <w:tabs>
          <w:tab w:leader="none" w:pos="34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222222"/>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222222"/>
        </w:rPr>
        <w:t>A summary of property, equipment, and software as of March 31, 2018 and December 31, 2017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2018</w:t>
            </w:r>
          </w:p>
        </w:tc>
        <w:tc>
          <w:tcPr>
            <w:tcW w:w="1720" w:type="dxa"/>
            <w:vAlign w:val="bottom"/>
            <w:gridSpan w:val="4"/>
          </w:tcPr>
          <w:p>
            <w:pPr>
              <w:ind w:left="60"/>
              <w:spacing w:after="0"/>
              <w:rPr>
                <w:sz w:val="20"/>
                <w:szCs w:val="20"/>
                <w:color w:val="auto"/>
              </w:rPr>
            </w:pPr>
            <w:r>
              <w:rPr>
                <w:rFonts w:ascii="Arial" w:cs="Arial" w:eastAsia="Arial" w:hAnsi="Arial"/>
                <w:sz w:val="18"/>
                <w:szCs w:val="18"/>
                <w:b w:val="1"/>
                <w:bCs w:val="1"/>
                <w:color w:val="auto"/>
              </w:rPr>
              <w:t>December 31, 2017</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Equipment</w:t>
            </w: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6,772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6,256</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15"/>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22,165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20,443</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5,345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4,965</w:t>
            </w:r>
          </w:p>
        </w:tc>
        <w:tc>
          <w:tcPr>
            <w:tcW w:w="2260" w:type="dxa"/>
            <w:vAlign w:val="bottom"/>
          </w:tcPr>
          <w:p>
            <w:pPr>
              <w:jc w:val="center"/>
              <w:spacing w:after="0"/>
              <w:rPr>
                <w:sz w:val="20"/>
                <w:szCs w:val="20"/>
                <w:color w:val="auto"/>
              </w:rPr>
            </w:pPr>
            <w:r>
              <w:rPr>
                <w:rFonts w:ascii="Arial" w:cs="Arial" w:eastAsia="Arial" w:hAnsi="Arial"/>
                <w:sz w:val="18"/>
                <w:szCs w:val="18"/>
                <w:color w:val="auto"/>
                <w:w w:val="86"/>
              </w:rPr>
              <w:t>5-10 years</w:t>
            </w:r>
          </w:p>
        </w:tc>
      </w:tr>
      <w:tr>
        <w:trPr>
          <w:trHeight w:val="209"/>
        </w:trPr>
        <w:tc>
          <w:tcPr>
            <w:tcW w:w="60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(22,685)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(21,592)</w:t>
            </w:r>
          </w:p>
        </w:tc>
        <w:tc>
          <w:tcPr>
            <w:tcW w:w="2260" w:type="dxa"/>
            <w:vAlign w:val="bottom"/>
          </w:tcPr>
          <w:p>
            <w:pPr>
              <w:spacing w:after="0"/>
              <w:rPr>
                <w:sz w:val="19"/>
                <w:szCs w:val="19"/>
                <w:color w:val="auto"/>
              </w:rPr>
            </w:pPr>
          </w:p>
        </w:tc>
      </w:tr>
      <w:tr>
        <w:trPr>
          <w:trHeight w:val="222"/>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$1.1 million and $0.8 million for the three months ended March 31, 2018 and 2017, respectively.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222222"/>
        </w:rPr>
        <w:t>The Company accrues for certain expenses that have been incurred, which are classified within accounts payable and accrued expenses in the accompanying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22222"/>
        </w:rPr>
        <w:t>Accounts payable and accrued expenses as of March 31, 2018 and December 31, 2017 consists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620" w:type="dxa"/>
            <w:vAlign w:val="bottom"/>
            <w:gridSpan w:val="4"/>
          </w:tcPr>
          <w:p>
            <w:pPr>
              <w:ind w:left="2280"/>
              <w:spacing w:after="0"/>
              <w:rPr>
                <w:sz w:val="20"/>
                <w:szCs w:val="20"/>
                <w:color w:val="auto"/>
              </w:rPr>
            </w:pPr>
            <w:r>
              <w:rPr>
                <w:rFonts w:ascii="Arial" w:cs="Arial" w:eastAsia="Arial" w:hAnsi="Arial"/>
                <w:sz w:val="18"/>
                <w:szCs w:val="18"/>
                <w:b w:val="1"/>
                <w:bCs w:val="1"/>
                <w:color w:val="auto"/>
              </w:rPr>
              <w:t>March 31, 2018</w:t>
            </w: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w w:val="92"/>
              </w:rPr>
              <w:t>December 31, 2017</w:t>
            </w: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Accrued compensation</w:t>
            </w:r>
          </w:p>
        </w:tc>
        <w:tc>
          <w:tcPr>
            <w:tcW w:w="2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6,865</w:t>
            </w:r>
          </w:p>
        </w:tc>
        <w:tc>
          <w:tcPr>
            <w:tcW w:w="5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6,136</w:t>
            </w:r>
          </w:p>
        </w:tc>
        <w:tc>
          <w:tcPr>
            <w:tcW w:w="60" w:type="dxa"/>
            <w:vAlign w:val="bottom"/>
          </w:tcPr>
          <w:p>
            <w:pPr>
              <w:spacing w:after="0"/>
              <w:rPr>
                <w:sz w:val="18"/>
                <w:szCs w:val="18"/>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795</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3,716</w:t>
            </w:r>
          </w:p>
        </w:tc>
        <w:tc>
          <w:tcPr>
            <w:tcW w:w="60" w:type="dxa"/>
            <w:vAlign w:val="bottom"/>
            <w:shd w:val="clear" w:color="auto" w:fill="CCEEFF"/>
          </w:tcPr>
          <w:p>
            <w:pPr>
              <w:spacing w:after="0"/>
              <w:rPr>
                <w:sz w:val="19"/>
                <w:szCs w:val="19"/>
                <w:color w:val="auto"/>
              </w:rPr>
            </w:pPr>
          </w:p>
        </w:tc>
      </w:tr>
      <w:tr>
        <w:trPr>
          <w:trHeight w:val="222"/>
        </w:trPr>
        <w:tc>
          <w:tcPr>
            <w:tcW w:w="4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18,736</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ectPr>
          <w:pgSz w:w="11900" w:h="16838" w:orient="portrait"/>
          <w:cols w:equalWidth="0" w:num="1">
            <w:col w:w="11380"/>
          </w:cols>
          <w:pgMar w:left="240" w:top="892" w:right="27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March 31, 2018 and December 31, 2017 consists of the following: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Term Loan - Senior, matures January 3, 2023 and bears interest at LIBOR plus 5.0% for March 31, 2018 and 6.0% for December 31, 2017 (Actual rate of 6.7% at March 31, 2018 and 7.4%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7255" cy="273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7255" cy="273050"/>
                    </a:xfrm>
                    <a:prstGeom prst="rect">
                      <a:avLst/>
                    </a:prstGeom>
                    <a:noFill/>
                  </pic:spPr>
                </pic:pic>
              </a:graphicData>
            </a:graphic>
          </wp:anchor>
        </w:drawing>
      </w:r>
    </w:p>
    <w:p>
      <w:pPr>
        <w:ind w:right="100"/>
        <w:spacing w:after="0" w:line="249" w:lineRule="auto"/>
        <w:rPr>
          <w:sz w:val="20"/>
          <w:szCs w:val="20"/>
          <w:color w:val="auto"/>
        </w:rPr>
      </w:pPr>
      <w:r>
        <w:rPr>
          <w:rFonts w:ascii="Arial" w:cs="Arial" w:eastAsia="Arial" w:hAnsi="Arial"/>
          <w:sz w:val="18"/>
          <w:szCs w:val="18"/>
          <w:color w:val="auto"/>
        </w:rPr>
        <w:t>Term Loan - Subordinated, matures July 3, 2023 and bears interest at 5.0% plus payment-in-kind interest (Actual rate of 10.5% at March 31, 2018 and 11.3% at December 31, 2017)</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7255" cy="145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1365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unamortized debt discounts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Less: deferred financing costs</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7255" cy="1619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u w:val="single" w:color="auto"/>
          <w:color w:val="auto"/>
        </w:rPr>
        <w:t>March 31, 2018</w:t>
      </w:r>
      <w:r>
        <w:rPr>
          <w:sz w:val="20"/>
          <w:szCs w:val="20"/>
          <w:color w:val="auto"/>
        </w:rPr>
        <w:tab/>
      </w:r>
      <w:r>
        <w:rPr>
          <w:rFonts w:ascii="Arial" w:cs="Arial" w:eastAsia="Arial" w:hAnsi="Arial"/>
          <w:sz w:val="15"/>
          <w:szCs w:val="15"/>
          <w:b w:val="1"/>
          <w:bCs w:val="1"/>
          <w:u w:val="single" w:color="auto"/>
          <w:color w:val="auto"/>
        </w:rPr>
        <w:t>December 31,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264,830</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198,000</w:t>
            </w:r>
          </w:p>
        </w:tc>
        <w:tc>
          <w:tcPr>
            <w:tcW w:w="60" w:type="dxa"/>
            <w:vAlign w:val="bottom"/>
          </w:tcPr>
          <w:p>
            <w:pPr>
              <w:spacing w:after="0"/>
              <w:rPr>
                <w:sz w:val="19"/>
                <w:szCs w:val="19"/>
                <w:color w:val="auto"/>
              </w:rPr>
            </w:pPr>
          </w:p>
        </w:tc>
      </w:tr>
      <w:tr>
        <w:trPr>
          <w:trHeight w:val="443"/>
        </w:trPr>
        <w:tc>
          <w:tcPr>
            <w:tcW w:w="3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86,312</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85,118</w:t>
            </w:r>
          </w:p>
        </w:tc>
        <w:tc>
          <w:tcPr>
            <w:tcW w:w="60" w:type="dxa"/>
            <w:vAlign w:val="bottom"/>
          </w:tcPr>
          <w:p>
            <w:pPr>
              <w:spacing w:after="0"/>
              <w:rPr>
                <w:sz w:val="24"/>
                <w:szCs w:val="24"/>
                <w:color w:val="auto"/>
              </w:rPr>
            </w:pPr>
          </w:p>
        </w:tc>
      </w:tr>
      <w:tr>
        <w:trPr>
          <w:trHeight w:val="209"/>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351,142</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283,118</w:t>
            </w:r>
          </w:p>
        </w:tc>
        <w:tc>
          <w:tcPr>
            <w:tcW w:w="60" w:type="dxa"/>
            <w:vAlign w:val="bottom"/>
          </w:tcPr>
          <w:p>
            <w:pPr>
              <w:spacing w:after="0"/>
              <w:rPr>
                <w:sz w:val="18"/>
                <w:szCs w:val="18"/>
                <w:color w:val="auto"/>
              </w:rPr>
            </w:pPr>
          </w:p>
        </w:tc>
      </w:tr>
      <w:tr>
        <w:trPr>
          <w:trHeight w:val="194"/>
        </w:trPr>
        <w:tc>
          <w:tcPr>
            <w:tcW w:w="38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(2,682)</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(7,582)</w:t>
            </w:r>
          </w:p>
        </w:tc>
        <w:tc>
          <w:tcPr>
            <w:tcW w:w="60" w:type="dxa"/>
            <w:vAlign w:val="bottom"/>
          </w:tcPr>
          <w:p>
            <w:pPr>
              <w:spacing w:after="0"/>
              <w:rPr>
                <w:sz w:val="16"/>
                <w:szCs w:val="16"/>
                <w:color w:val="auto"/>
              </w:rPr>
            </w:pPr>
          </w:p>
        </w:tc>
      </w:tr>
      <w:tr>
        <w:trPr>
          <w:trHeight w:val="215"/>
        </w:trPr>
        <w:tc>
          <w:tcPr>
            <w:tcW w:w="3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(3,470)</w:t>
            </w:r>
          </w:p>
        </w:tc>
        <w:tc>
          <w:tcPr>
            <w:tcW w:w="4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(3,212)</w:t>
            </w:r>
          </w:p>
        </w:tc>
      </w:tr>
      <w:tr>
        <w:trPr>
          <w:trHeight w:val="243"/>
        </w:trPr>
        <w:tc>
          <w:tcPr>
            <w:tcW w:w="3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(4,533)</w:t>
            </w:r>
          </w:p>
        </w:tc>
        <w:tc>
          <w:tcPr>
            <w:tcW w:w="4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(4,385)</w:t>
            </w:r>
          </w:p>
        </w:tc>
      </w:tr>
      <w:tr>
        <w:trPr>
          <w:trHeight w:val="222"/>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340,457</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267,939</w:t>
            </w:r>
          </w:p>
        </w:tc>
        <w:tc>
          <w:tcPr>
            <w:tcW w:w="60" w:type="dxa"/>
            <w:vAlign w:val="bottom"/>
          </w:tcPr>
          <w:p>
            <w:pPr>
              <w:spacing w:after="0"/>
              <w:rPr>
                <w:sz w:val="19"/>
                <w:szCs w:val="19"/>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20" w:space="200"/>
            <w:col w:w="2960"/>
          </w:cols>
          <w:pgMar w:left="240" w:top="892" w:right="279" w:bottom="1440" w:gutter="0" w:footer="0" w:header="0"/>
          <w:type w:val="continuous"/>
        </w:sect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7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40" w:top="892" w:right="279" w:bottom="1440" w:gutter="0" w:footer="0" w:header="0"/>
          <w:type w:val="continuous"/>
        </w:sectPr>
      </w:pPr>
    </w:p>
    <w:bookmarkStart w:id="242" w:name="page243"/>
    <w:bookmarkEnd w:id="242"/>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had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and, together with the GS Agreement, the “Original Agreements”)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Company determined that the 2017 debt restructuring should be accounted for as a debt extinguishment. The Company recorded an extinguishment loss of approximately $1.8 million, which consisted primarily of lender fees incurred in connection with the refinancing and the write-off of unamortized deferred financing fees and original issue discount associated with the previous debt. Amounts expensed in connection with the refinancing were recorded as a component of interest and other expense in the consolidated statement of operations for the three months ended March 31, 2018.</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11, 2018, the Company modified its long-term debt by amending the GS Credit Agreement and the Credit Agreement (collectively, the “2018 Amendment”).</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2018 Amendment increased the Credit Agreement term loans by $67.5 million and lowered the applicable margin under the Credit Agreement. The $67.5 million in additional borrowings under the Credit Agreement was issued at a discount of $0.4 million, which is being amortized to interest expense over the lives of the term loans using the effective interest method. Borrowings under the Credit Agreement were subject to an applicable margin, or percentage per annum, equal to: (i) with respect to Initial Term Loans, (a) for LIBOR Rate Loans, 6.00% per annum and (b) for Base Rate Loans, 5.00% per annum; and (ii) with respect to Revolving Loans (a) for LIBOR Rate Loans and Letter of Credit fees, 6.00%, (b) for Base Rate Loans, 5.00% and (c) for unused commitment fees, 0.50%. As a result of the 2018 Amendment, borrowings under the Credit Agreement are subject to an applicable margin, or percentage per annum, equal to: (i) with respect to Initial Term Loans, (a) for LIBOR Rate Loans, 5.00% per annum and (b) for Base Rate Loans, 4.00% per annum; and (ii) with respect to Revolving Loans (a) for LIBOR Rate Loans and Letter of Credit fees, 5.00%, (b) for Base Rate Loans, 4.00% and (c) for unused commitment fees, 0.50%.</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determined that the 2018 Amendment should be accounted for as a debt modification. Therefore, all previously deferred fees and costs continue to be amortized to interest expense using the effective interest method over the respective terms of the amended loans. The Company incurred $0.8 million in issuance costs related to the 2018 Amendment, which were expensed as incurred and recorded as a component of interest and other expense in the accompanying consolidated statement of operations for the three months ended March 31, 2018. In connection with the new lenders to the Credit Agreement as a result of the 2018 Amendment, the Company capitalized incremental deferred financing costs of $0.3 million and fees paid to lenders of $0.4 million. The Company is amortizing these amounts to interest and other expense using the effective interest method over the terms of the Credit Agreement.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a result of the 2018 Amendment, the Credit Agreement has a maximum borrowing amount of $292.5 million, consisting of a $267.5 million Term Loan and a $25.0 million revolving credit facility. The Credit Agreement matures on January 3, 2023, with the exception of the revolving credit facility which expires on January 2, 2022. Any amounts outstanding under the revolving credit facility must be paid in full before the maturity date of January 2, 2022. There were no amounts outstanding under the revolving credit facility as of March 31, 2018 or December 31, 2017.</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as amended, contains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 of an amended Total Net Leverage Ratio, as defined in the Amended SunTrust Term Loan Agreement and GS Agreement. As of March 31, 2018 and December 31, 2017, the Company was in compliance with the financial covenant.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terms of the GS Agreement were amended to allow for the increase in borrowings under the Credit Agreement but otherwise the terms of the GS Agreement were not substantively changed by the 2018 Amendment. The borrowing amount under the GS Agreement is $80.0 million and was not changed in the 2018 Amendment. The GS Agreement matures on July 3, 2023.</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Under the credit agreement the Company is required to make quarterly principal payments of $0.7 million. As of December 31, 2017, the Company was obligated to make certain additional mandatory prepayments based on Excess Cash Flow, as defined in the Credit Agreement. As of December 31, 2017, the mandatory prepayment based on Excess Cash Flow was $5.6 million, which was included in current portion of long-term debt. On April 26, 2018, the Company entered into a Limited Waiver and Consent, which waived the mandatory prepayment for 2017. See Note 14 - Subsequent Events.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222222"/>
        </w:rPr>
        <w:t>Principal contractual maturities on long-term debt at March 31, 2018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3980" w:type="dxa"/>
            <w:vAlign w:val="bottom"/>
            <w:gridSpan w:val="2"/>
          </w:tcPr>
          <w:p>
            <w:pPr>
              <w:ind w:left="960"/>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Maturities</w:t>
            </w:r>
          </w:p>
        </w:tc>
      </w:tr>
      <w:tr>
        <w:trPr>
          <w:trHeight w:val="209"/>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2,682</w:t>
            </w:r>
          </w:p>
        </w:tc>
      </w:tr>
      <w:tr>
        <w:trPr>
          <w:trHeight w:val="215"/>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2,682</w:t>
            </w: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2,682</w:t>
            </w:r>
          </w:p>
        </w:tc>
      </w:tr>
      <w:tr>
        <w:trPr>
          <w:trHeight w:val="215"/>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2,682</w:t>
            </w:r>
          </w:p>
        </w:tc>
      </w:tr>
      <w:tr>
        <w:trPr>
          <w:trHeight w:val="229"/>
        </w:trPr>
        <w:tc>
          <w:tcPr>
            <w:tcW w:w="39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337,732</w:t>
            </w:r>
          </w:p>
        </w:tc>
      </w:tr>
      <w:tr>
        <w:trPr>
          <w:trHeight w:val="222"/>
        </w:trPr>
        <w:tc>
          <w:tcPr>
            <w:tcW w:w="39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351,142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three months ended March, 31, 2018, the payment-in-kind (PIK) interest added $1.2 million to the principal amount of the subordinated debt, which totaled $86.3 million as of March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$6.6 million and $5.7 million of interest expense for the three months ended March 31, 2018 and 2017,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prior GS Credit Agreement, the Company issued warrants to GS to purchase 1.0% of the Company’s outstanding Class A Common units. As part of the 2017 debt restructuring, the 1.0% warrant with GS was extinguished and the Company issued new warrants to GS to purchase 1.8% of the Company’s outstanding Class A Common units.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11, 2018, the 1.8% warrant was amended to provide GS with warrants to purchase 2.2% of the Company’s outstanding Class A Common units. The change in the warrant percentage was the result of anti-dilution provisions in the agreement, which were triggered by the Class A Common unit redemptions that occurred during the three months ended March 31, 2018 as discussed in Note 9 – Members Equity. The warrants have a term of 7 years, an exercise price of $0 and may be exercised at any time prior to expiration date. Since the obligation is based solely on the fact that the 2.2% interest in equity of the Company is fixed and known at inception as well as the fact that GS may exercise the warrants, with a settlement in cash, any time prior to the expiration date of December 31, 2023, the warrants are required to be recorded as a liability.</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As of March 31, 2018 and December 31, 2017, the warrants have a fair value of $12.2 million and $8.7 million, respectively, and are presented as a warrant liability in the accompanying consolidated balance sheets. The increases in fair value of the warrants of $3.5 million and $0.1 million for the three months ended March 31, 2018 and 2017, respectively, are included in interest and other expense in the consolidated statements of operations. Interest and other expense includes $0.1 million and $0.1 million of debt discount amortization for the three months ended March 31, 2018 and 2017, respectively.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Capitalized deferred financing costs related to the Company’s credit facilities totaled $4.5 million and $4.4 million at March 31, 2018 and December 31, 2017, respectively. Deferred financing costs are being amortized using the effective interest method over the remaining term of the respective debt and are recorded as a component of interest expense. The Company recognized interest expense related to the amortization of deferred financing costs of $0.2 million and $0.2 million for the three months ended March 31, 2018 and 2017, respectively. Deferred financing costs are included in long-term debt in the consolidated balance sheets.</w:t>
      </w:r>
    </w:p>
    <w:p>
      <w:pPr>
        <w:spacing w:after="0" w:line="187" w:lineRule="exact"/>
        <w:rPr>
          <w:sz w:val="20"/>
          <w:szCs w:val="20"/>
          <w:color w:val="auto"/>
        </w:rPr>
      </w:pPr>
    </w:p>
    <w:p>
      <w:pPr>
        <w:ind w:left="340" w:hanging="332"/>
        <w:spacing w:after="0"/>
        <w:tabs>
          <w:tab w:leader="none" w:pos="3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22222"/>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87" w:lineRule="exact"/>
        <w:rPr>
          <w:sz w:val="20"/>
          <w:szCs w:val="20"/>
          <w:color w:val="auto"/>
        </w:rPr>
      </w:pPr>
    </w:p>
    <w:p>
      <w:pPr>
        <w:ind w:left="340" w:hanging="332"/>
        <w:spacing w:after="0"/>
        <w:tabs>
          <w:tab w:leader="none" w:pos="3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22222"/>
        </w:rPr>
        <w:t>The Company has a management services agreement and an annual bonus payout with PSD Partners, which is owned by a member of Priority Investment Holdings, LLC, which is the member owner of Priority Holdings, LLC. For the three months ended March 31, 2018 and 2017, the Company incurred a total of $0.4 million and $0.2 million, respectively, for costs related to management service fees, annual bonus payout, and occupancy fees, which are recorded in selling, general and administrative expenses in the accompanying consolidated statement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22222"/>
        </w:rPr>
        <w:t>On January 3, 2017, the Company used the proceeds from the 2017 debt restructuring to redeem 4,681,590 Class A Common units for $200.0 million (the “Redemption”). Concurrent with the Redemption, (i) the Company and its members entered into an amended and restated operating agreement that eliminated the Class A Preferred units and the Class C Common units and (ii) the Plan of Merger was terminated which resulted in the cancellation of related contingent consideration due to the Preferred A unitholders.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On January 31, 2017, the Company entered into a redemption agreement with one of its minority unitholders to redeem their Class A common membership units for a total redemption price of $12.2 million. The Company accounted for the Common Unit Repurchase Obligation as a liability because it is required to redeem these Class A Common units for cash. The liability was recorded at fair value at the date of the redemption agreement, which was equal to the redemption value. Under this agreement, the Company redeemed $3.0 million of Class A Common units in April 2017. As of December 31, 2017, the Common Unit Repurchase Obligation had a redemption value of $9.2 million.</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22222"/>
        </w:rPr>
        <w:t>The remaining $9.2 million was redeemed through the January 17, 2018 redemption of 115,751 Class A Common units for $5.0 million and the February 23, 2018 redemption of 96,999 Class A Common Units for $4.2 million. Therefore, the Company no longer had a Common Unit Repurchase Obligation as of March 31, 2018.</w:t>
      </w:r>
    </w:p>
    <w:p>
      <w:pPr>
        <w:spacing w:after="0" w:line="182"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222222"/>
        </w:rPr>
        <w:t>In addition to the aforementioned redemptions, the Company redeemed 295,834 Class A Common units for $26.0 million on January 17, 2018 and 445,410 Class A Common Units for $39.0 million on January 19, 2018. As a result of the aforementioned redemptions, the Company is 100% owned by PIH.</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222222"/>
        </w:rPr>
        <w:t>The Class A common units redeemed in January and February 2018 were then cancelled by the Company. The redemption transactions and the amended and restated operating agreement resulted in a one unitholder gaining control and becoming the majority unitholder of the Company. These changes in the equity structure of the Company have been recorded in the Statement of Changes in Members’ Deficit as capital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222222"/>
        </w:rPr>
        <w:t>The equity structure of the Company is as follows as of March 31, 2018 and 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72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March 31, 2018</w:t>
            </w:r>
          </w:p>
        </w:tc>
        <w:tc>
          <w:tcPr>
            <w:tcW w:w="25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22"/>
        </w:trPr>
        <w:tc>
          <w:tcPr>
            <w:tcW w:w="5040" w:type="dxa"/>
            <w:vAlign w:val="bottom"/>
            <w:vMerge w:val="continue"/>
          </w:tcPr>
          <w:p>
            <w:pPr>
              <w:spacing w:after="0"/>
              <w:rPr>
                <w:sz w:val="19"/>
                <w:szCs w:val="19"/>
                <w:color w:val="auto"/>
              </w:rPr>
            </w:pPr>
          </w:p>
        </w:tc>
        <w:tc>
          <w:tcPr>
            <w:tcW w:w="13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Authorized</w:t>
            </w: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220" w:type="dxa"/>
            <w:vAlign w:val="bottom"/>
          </w:tcPr>
          <w:p>
            <w:pPr>
              <w:spacing w:after="0"/>
              <w:rPr>
                <w:sz w:val="19"/>
                <w:szCs w:val="19"/>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Authorized</w:t>
            </w: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Units, voting</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Class B Common Units, non-voting</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5"/>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Class C Common Units, non-voting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paid distributions of $4.0 million to the members during the three months ended March 31, 2018. No distributions were paid to members during the three months ended March 31,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INCENTIVE INTEREST PLAN</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2014, as part of the merger with Pipeline Cynergy Holdings, the Company established the Priority Holdings Management Incentive Plan (the “Plan”) pursuant to the Operating Agreement of Priority Holdings, LLC, for which selected Company employees and contractors may be awarded Management Incentive Units representing a fractional part of the interests in Profits, Losses and Distributions of the Company and having the rights and obligations specified with respect to Class B Common Units or such other class of Units as the Board may establish from time to time in the Operating Agreement.</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management incentive interest units are intended to qualify as a compensatory benefit plan within the meaning of Rule 701 of the U.S. Securities Act of 1933 and the issuance of Management Incentive Units pursuant thereto is intended to qualify for the exemption from registration under the Securities Act provided by Rule 701; provided that the foregoing shall not restrict or limit the Company’s ability to issue any Management Incentive Units pursuant to any other exemption from registration under the Securities Act available to the Company. The Management Incentive Units are intended for U.S. federal income tax purposes to be “profits interests” within the meaning of Internal Revenue Service Revenue Procedures 93-27 and 2001-43.</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Under the Plan, the Board of Managers determines the terms and conditions of the profits interests granted. The majority of awards vest over the requisite service period or periods during which an employee is required to provide service in exchange for an award under the incentive interest plan. The profits interest units will vest at a rate of 40% or 20% as of September 21, 2016 and then in evenly across the remaining 3-5 years.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Concurrent with the redemptions disclosed in Note 9 – Members’ Equity, the Management Incentive Units were adjusted to maintain their pro-rata participation with the remaining membership interests by reducing the total number of units available and outstanding. The adjustments did not impact the value, terms, or vesting conditions of the Management Incentive Units. All employee units forfeited are eligible to be reissued in subsequent grants. Therefore, forfeited units are included in shares available for grant as of the end of each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activity of the Plan for the three months ended March 31,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Units Available for Grant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Units Granted</w:t>
            </w:r>
          </w:p>
        </w:tc>
        <w:tc>
          <w:tcPr>
            <w:tcW w:w="1140" w:type="dxa"/>
            <w:vAlign w:val="bottom"/>
          </w:tcPr>
          <w:p>
            <w:pPr>
              <w:spacing w:after="0"/>
              <w:rPr>
                <w:sz w:val="20"/>
                <w:szCs w:val="20"/>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8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33,504</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301,536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880" w:type="dxa"/>
            <w:vAlign w:val="bottom"/>
          </w:tcPr>
          <w:p>
            <w:pPr>
              <w:ind w:left="160"/>
              <w:spacing w:after="0"/>
              <w:rPr>
                <w:sz w:val="20"/>
                <w:szCs w:val="20"/>
                <w:color w:val="auto"/>
              </w:rPr>
            </w:pPr>
            <w:r>
              <w:rPr>
                <w:rFonts w:ascii="Arial" w:cs="Arial" w:eastAsia="Arial" w:hAnsi="Arial"/>
                <w:sz w:val="18"/>
                <w:szCs w:val="18"/>
                <w:color w:val="auto"/>
              </w:rPr>
              <w:t>Pro rata adjustment</w:t>
            </w:r>
          </w:p>
        </w:tc>
        <w:tc>
          <w:tcPr>
            <w:tcW w:w="5000" w:type="dxa"/>
            <w:vAlign w:val="bottom"/>
            <w:gridSpan w:val="3"/>
          </w:tcPr>
          <w:p>
            <w:pPr>
              <w:jc w:val="right"/>
              <w:ind w:right="120"/>
              <w:spacing w:after="0"/>
              <w:rPr>
                <w:sz w:val="20"/>
                <w:szCs w:val="20"/>
                <w:color w:val="auto"/>
              </w:rPr>
            </w:pPr>
            <w:r>
              <w:rPr>
                <w:rFonts w:ascii="Arial" w:cs="Arial" w:eastAsia="Arial" w:hAnsi="Arial"/>
                <w:sz w:val="18"/>
                <w:szCs w:val="18"/>
                <w:color w:val="auto"/>
              </w:rPr>
              <w:t>(6,089)</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(54,804)</w:t>
            </w:r>
          </w:p>
        </w:tc>
        <w:tc>
          <w:tcPr>
            <w:tcW w:w="1140" w:type="dxa"/>
            <w:vAlign w:val="bottom"/>
          </w:tcPr>
          <w:p>
            <w:pPr>
              <w:spacing w:after="0"/>
              <w:rPr>
                <w:sz w:val="19"/>
                <w:szCs w:val="19"/>
                <w:color w:val="auto"/>
              </w:rPr>
            </w:pPr>
          </w:p>
        </w:tc>
      </w:tr>
      <w:tr>
        <w:trPr>
          <w:trHeight w:val="222"/>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2860" w:type="dxa"/>
            <w:vAlign w:val="bottom"/>
            <w:tcBorders>
              <w:top w:val="single" w:sz="8" w:color="CCEEFF"/>
              <w:bottom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6"/>
        </w:trPr>
        <w:tc>
          <w:tcPr>
            <w:tcW w:w="38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3"/>
          </w:tcPr>
          <w:p>
            <w:pPr>
              <w:jc w:val="right"/>
              <w:ind w:right="2980"/>
              <w:spacing w:after="0"/>
              <w:rPr>
                <w:sz w:val="20"/>
                <w:szCs w:val="20"/>
                <w:color w:val="auto"/>
              </w:rPr>
            </w:pPr>
            <w:r>
              <w:rPr>
                <w:rFonts w:ascii="Arial" w:cs="Arial" w:eastAsia="Arial" w:hAnsi="Arial"/>
                <w:sz w:val="18"/>
                <w:szCs w:val="18"/>
                <w:color w:val="auto"/>
              </w:rPr>
              <w:t>F-49</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2" w:right="2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Weighted-Average Grant-</w:t>
            </w:r>
          </w:p>
        </w:tc>
      </w:tr>
      <w:tr>
        <w:trPr>
          <w:trHeight w:val="233"/>
        </w:trPr>
        <w:tc>
          <w:tcPr>
            <w:tcW w:w="6760" w:type="dxa"/>
            <w:vAlign w:val="bottom"/>
          </w:tcPr>
          <w:p>
            <w:pPr>
              <w:spacing w:after="0"/>
              <w:rPr>
                <w:sz w:val="20"/>
                <w:szCs w:val="20"/>
                <w:color w:val="auto"/>
              </w:rPr>
            </w:pPr>
          </w:p>
        </w:tc>
        <w:tc>
          <w:tcPr>
            <w:tcW w:w="2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Number of Units</w:t>
            </w:r>
          </w:p>
        </w:tc>
        <w:tc>
          <w:tcPr>
            <w:tcW w:w="28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 Fair Value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2017</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183,938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60" w:type="dxa"/>
            <w:vAlign w:val="bottom"/>
          </w:tcPr>
          <w:p>
            <w:pPr>
              <w:ind w:left="160"/>
              <w:spacing w:after="0"/>
              <w:rPr>
                <w:sz w:val="20"/>
                <w:szCs w:val="20"/>
                <w:color w:val="auto"/>
              </w:rPr>
            </w:pPr>
            <w:r>
              <w:rPr>
                <w:rFonts w:ascii="Arial" w:cs="Arial" w:eastAsia="Arial" w:hAnsi="Arial"/>
                <w:sz w:val="18"/>
                <w:szCs w:val="18"/>
                <w:color w:val="auto"/>
              </w:rPr>
              <w:t>Pro rata adjustment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(33,431)</w:t>
            </w:r>
          </w:p>
        </w:tc>
        <w:tc>
          <w:tcPr>
            <w:tcW w:w="2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18.55</w:t>
            </w:r>
          </w:p>
        </w:tc>
      </w:tr>
      <w:tr>
        <w:trPr>
          <w:trHeight w:val="222"/>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March 31, 2018</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Weighted-Average Grant-</w:t>
            </w:r>
          </w:p>
        </w:tc>
      </w:tr>
      <w:tr>
        <w:trPr>
          <w:trHeight w:val="233"/>
        </w:trPr>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 Units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 Fair Value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December 31, 2017</w:t>
            </w:r>
          </w:p>
        </w:tc>
        <w:tc>
          <w:tcPr>
            <w:tcW w:w="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Pro rata adjustment</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(21,373)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18.55</w:t>
            </w:r>
          </w:p>
        </w:tc>
      </w:tr>
      <w:tr>
        <w:trPr>
          <w:trHeight w:val="222"/>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March 31, 2018</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1"/>
        </w:trPr>
        <w:tc>
          <w:tcPr>
            <w:tcW w:w="6840" w:type="dxa"/>
            <w:vAlign w:val="bottom"/>
            <w:gridSpan w:val="2"/>
          </w:tcPr>
          <w:p>
            <w:pPr>
              <w:spacing w:after="0"/>
              <w:rPr>
                <w:sz w:val="20"/>
                <w:szCs w:val="20"/>
                <w:color w:val="auto"/>
              </w:rPr>
            </w:pPr>
            <w:r>
              <w:rPr>
                <w:rFonts w:ascii="Arial" w:cs="Arial" w:eastAsia="Arial" w:hAnsi="Arial"/>
                <w:sz w:val="18"/>
                <w:szCs w:val="18"/>
                <w:color w:val="auto"/>
                <w:w w:val="91"/>
              </w:rPr>
              <w:t>The following summarizes the activity of the Plan for the three months ended March 31, 2017:</w:t>
            </w: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Units Available for Grant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Units Granted</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Pro rata adjustment</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(298,824)</w:t>
            </w:r>
          </w:p>
        </w:tc>
      </w:tr>
      <w:tr>
        <w:trPr>
          <w:trHeight w:val="229"/>
        </w:trPr>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Units forfeited</w:t>
            </w:r>
          </w:p>
        </w:tc>
        <w:tc>
          <w:tcPr>
            <w:tcW w:w="2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(6,111)</w:t>
            </w: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Balance at March 31, 2017</w:t>
            </w:r>
          </w:p>
        </w:tc>
        <w:tc>
          <w:tcPr>
            <w:tcW w:w="8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333,362</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Weighted-Average Grant-</w:t>
            </w:r>
          </w:p>
        </w:tc>
      </w:tr>
      <w:tr>
        <w:trPr>
          <w:trHeight w:val="233"/>
        </w:trPr>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 Units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 Fair Value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2016</w:t>
            </w:r>
          </w:p>
        </w:tc>
        <w:tc>
          <w:tcPr>
            <w:tcW w:w="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Pro rata adjustment</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(86,360)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14.98</w:t>
            </w:r>
          </w:p>
        </w:tc>
      </w:tr>
      <w:tr>
        <w:trPr>
          <w:trHeight w:val="222"/>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March 31, 2017</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6"/>
        </w:trPr>
        <w:tc>
          <w:tcPr>
            <w:tcW w:w="6840" w:type="dxa"/>
            <w:vAlign w:val="bottom"/>
            <w:tcBorders>
              <w:bottom w:val="single" w:sz="8" w:color="auto"/>
            </w:tcBorders>
            <w:gridSpan w:val="2"/>
          </w:tcPr>
          <w:p>
            <w:pPr>
              <w:ind w:left="5560"/>
              <w:spacing w:after="0"/>
              <w:rPr>
                <w:sz w:val="20"/>
                <w:szCs w:val="20"/>
                <w:color w:val="auto"/>
              </w:rPr>
            </w:pPr>
            <w:r>
              <w:rPr>
                <w:rFonts w:ascii="Arial" w:cs="Arial" w:eastAsia="Arial" w:hAnsi="Arial"/>
                <w:sz w:val="18"/>
                <w:szCs w:val="18"/>
                <w:color w:val="auto"/>
              </w:rPr>
              <w:t>F-50</w:t>
            </w:r>
          </w:p>
        </w:tc>
        <w:tc>
          <w:tcPr>
            <w:tcW w:w="2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2" w:right="23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Weighted-Average Grant-</w:t>
            </w:r>
          </w:p>
        </w:tc>
      </w:tr>
      <w:tr>
        <w:trPr>
          <w:trHeight w:val="233"/>
        </w:trPr>
        <w:tc>
          <w:tcPr>
            <w:tcW w:w="6760" w:type="dxa"/>
            <w:vAlign w:val="bottom"/>
          </w:tcPr>
          <w:p>
            <w:pPr>
              <w:spacing w:after="0"/>
              <w:rPr>
                <w:sz w:val="20"/>
                <w:szCs w:val="20"/>
                <w:color w:val="auto"/>
              </w:rPr>
            </w:pPr>
          </w:p>
        </w:tc>
        <w:tc>
          <w:tcPr>
            <w:tcW w:w="2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Number of Units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Date Fair Value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December 31, 2016</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453,829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6760" w:type="dxa"/>
            <w:vAlign w:val="bottom"/>
          </w:tcPr>
          <w:p>
            <w:pPr>
              <w:ind w:left="160"/>
              <w:spacing w:after="0"/>
              <w:rPr>
                <w:sz w:val="20"/>
                <w:szCs w:val="20"/>
                <w:color w:val="auto"/>
              </w:rPr>
            </w:pPr>
            <w:r>
              <w:rPr>
                <w:rFonts w:ascii="Arial" w:cs="Arial" w:eastAsia="Arial" w:hAnsi="Arial"/>
                <w:sz w:val="18"/>
                <w:szCs w:val="18"/>
                <w:color w:val="auto"/>
              </w:rPr>
              <w:t>Pro rata adjustment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(212,464)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14.98</w:t>
            </w:r>
          </w:p>
        </w:tc>
        <w:tc>
          <w:tcPr>
            <w:tcW w:w="80" w:type="dxa"/>
            <w:vAlign w:val="bottom"/>
          </w:tcPr>
          <w:p>
            <w:pPr>
              <w:spacing w:after="0"/>
              <w:rPr>
                <w:sz w:val="18"/>
                <w:szCs w:val="18"/>
                <w:color w:val="auto"/>
              </w:rPr>
            </w:pPr>
          </w:p>
        </w:tc>
      </w:tr>
      <w:tr>
        <w:trPr>
          <w:trHeight w:val="229"/>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forfeited</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14.98</w:t>
            </w:r>
          </w:p>
        </w:tc>
        <w:tc>
          <w:tcPr>
            <w:tcW w:w="80" w:type="dxa"/>
            <w:vAlign w:val="bottom"/>
            <w:shd w:val="clear" w:color="auto" w:fill="CCEEFF"/>
          </w:tcPr>
          <w:p>
            <w:pPr>
              <w:spacing w:after="0"/>
              <w:rPr>
                <w:sz w:val="19"/>
                <w:szCs w:val="19"/>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Non-vested units at March 31, 2017</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235,254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Unit-based compensation expense was $0.2 million and $0.3 million for three months ended March 31, 2018 and 2017, respectively. As of March 31, 2018, there is approximately $1.1 million of total unrecognized compensation cost related to non-vested share units granted under the plan. Under the plan there is no stated exercise price per unit.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fair value measurements to record fair value adjustments to certain assets and liabilities and to determine fair value disclosures.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 2017, the warrants of 1.0% were cancelled and replaced by the issuance of warrants to purchase Class A Common Units representing 1.8% of the outstanding Class A Common Units of the Company. On January 11, 2018, the debt warrants of 1.8% were cancelled and replaced by the issuance of warrants to purchase Class A Common Units representing 2.2% of the outstanding Class A Common Units of the Company. See Note 6 – Long-Term Debt. The Company estimates the fair value of the Company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The Company adjusts the carrying value of the warrant to fair value as determined by the valuation model and recognizes the change in fair value as an increase or decrease in interest and other expense. As such, the Company classifies the warrant subjected to recurring fair value measurement as Level 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 Preferred A Units Earnout</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conjunction with the merger disclosed in Note 1 – Nature of Business and Summary of Significant Accounting Policies, the Company provided a contingent preferred equity earnout plan. A current market valuation model, as described above, is used to estimate the fair value of the Company which, in turn, establishes the value of the preferred equity earnout contingent consideration. The Company adjusts the carrying value of the contingent consideration to fair value as determined by the valuation model and recognizes the change in fair value as “Change in fair value of contingent consideration.” The Company used a multiple of ten times the adjusted EBITDA, and applied a discount of 30% for lack of control and marketability in determining the value of the units. As such, the Company classifies the contingent consideration subjected to recurring fair value measurement as Level 3.</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table below presents the recorded amount of the warrants classified as liabilities measured at fair value on a recurring basis as of March 31, 2018 and December 31,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1"/>
                <w:szCs w:val="21"/>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2018</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12,182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12,182</w:t>
            </w:r>
          </w:p>
        </w:tc>
      </w:tr>
      <w:tr>
        <w:trPr>
          <w:trHeight w:val="222"/>
        </w:trPr>
        <w:tc>
          <w:tcPr>
            <w:tcW w:w="4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280" w:type="dxa"/>
            <w:vAlign w:val="bottom"/>
          </w:tcPr>
          <w:p>
            <w:pPr>
              <w:spacing w:after="0"/>
              <w:rPr>
                <w:sz w:val="20"/>
                <w:szCs w:val="20"/>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510"/>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8,701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8,701</w:t>
            </w:r>
          </w:p>
        </w:tc>
        <w:tc>
          <w:tcPr>
            <w:tcW w:w="2280" w:type="dxa"/>
            <w:vAlign w:val="bottom"/>
          </w:tcPr>
          <w:p>
            <w:pPr>
              <w:spacing w:after="0"/>
              <w:rPr>
                <w:sz w:val="19"/>
                <w:szCs w:val="19"/>
                <w:color w:val="auto"/>
              </w:rPr>
            </w:pPr>
          </w:p>
        </w:tc>
      </w:tr>
      <w:tr>
        <w:trPr>
          <w:trHeight w:val="222"/>
        </w:trPr>
        <w:tc>
          <w:tcPr>
            <w:tcW w:w="44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center"/>
              <w:ind w:right="6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26"/>
        </w:trPr>
        <w:tc>
          <w:tcPr>
            <w:tcW w:w="4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1"/>
              </w:rPr>
              <w:t>F-52</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2" w:right="23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22222"/>
        </w:rPr>
        <w:t>The following table shows a reconciliation of the beginning and ending balances for liabilities measured at fair value on a recurring basis using significant unobservable inputs that are classified as Level 3 in the fair value hierarchy for the three months ended March 31,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00" w:type="dxa"/>
            <w:vAlign w:val="bottom"/>
          </w:tcPr>
          <w:p>
            <w:pPr>
              <w:spacing w:after="0"/>
              <w:rPr>
                <w:sz w:val="20"/>
                <w:szCs w:val="20"/>
                <w:color w:val="auto"/>
              </w:rPr>
            </w:pPr>
          </w:p>
        </w:tc>
        <w:tc>
          <w:tcPr>
            <w:tcW w:w="1440" w:type="dxa"/>
            <w:vAlign w:val="bottom"/>
            <w:gridSpan w:val="5"/>
          </w:tcPr>
          <w:p>
            <w:pPr>
              <w:spacing w:after="0"/>
              <w:rPr>
                <w:sz w:val="20"/>
                <w:szCs w:val="20"/>
                <w:color w:val="auto"/>
              </w:rPr>
            </w:pPr>
            <w:r>
              <w:rPr>
                <w:rFonts w:ascii="Arial" w:cs="Arial" w:eastAsia="Arial" w:hAnsi="Arial"/>
                <w:sz w:val="18"/>
                <w:szCs w:val="18"/>
                <w:b w:val="1"/>
                <w:bCs w:val="1"/>
                <w:color w:val="auto"/>
              </w:rPr>
              <w:t>Warrant Liability</w:t>
            </w: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7700" w:type="dxa"/>
            <w:vAlign w:val="bottom"/>
          </w:tcPr>
          <w:p>
            <w:pPr>
              <w:ind w:left="180"/>
              <w:spacing w:after="0"/>
              <w:rPr>
                <w:sz w:val="20"/>
                <w:szCs w:val="20"/>
                <w:color w:val="auto"/>
              </w:rPr>
            </w:pPr>
            <w:r>
              <w:rPr>
                <w:rFonts w:ascii="Arial" w:cs="Arial" w:eastAsia="Arial" w:hAnsi="Arial"/>
                <w:sz w:val="18"/>
                <w:szCs w:val="18"/>
                <w:color w:val="auto"/>
              </w:rPr>
              <w:t>Extinguishment of GS 1.8% warrant liability (Note 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(8,701)</w:t>
            </w:r>
          </w:p>
        </w:tc>
      </w:tr>
      <w:tr>
        <w:trPr>
          <w:trHeight w:val="229"/>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GS 2.2% warrant liability (Note 6)</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12,182</w:t>
            </w:r>
          </w:p>
        </w:tc>
        <w:tc>
          <w:tcPr>
            <w:tcW w:w="60" w:type="dxa"/>
            <w:vAlign w:val="bottom"/>
            <w:shd w:val="clear" w:color="auto" w:fill="CCEEFF"/>
          </w:tcPr>
          <w:p>
            <w:pPr>
              <w:spacing w:after="0"/>
              <w:rPr>
                <w:sz w:val="19"/>
                <w:szCs w:val="19"/>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Contingent</w:t>
            </w:r>
          </w:p>
        </w:tc>
      </w:tr>
      <w:tr>
        <w:trPr>
          <w:trHeight w:val="233"/>
        </w:trPr>
        <w:tc>
          <w:tcPr>
            <w:tcW w:w="5900" w:type="dxa"/>
            <w:vAlign w:val="bottom"/>
          </w:tcPr>
          <w:p>
            <w:pPr>
              <w:spacing w:after="0"/>
              <w:rPr>
                <w:sz w:val="20"/>
                <w:szCs w:val="20"/>
                <w:color w:val="auto"/>
              </w:rPr>
            </w:pPr>
          </w:p>
        </w:tc>
        <w:tc>
          <w:tcPr>
            <w:tcW w:w="3160" w:type="dxa"/>
            <w:vAlign w:val="bottom"/>
            <w:gridSpan w:val="4"/>
          </w:tcPr>
          <w:p>
            <w:pPr>
              <w:ind w:left="1620"/>
              <w:spacing w:after="0"/>
              <w:rPr>
                <w:sz w:val="20"/>
                <w:szCs w:val="20"/>
                <w:color w:val="auto"/>
              </w:rPr>
            </w:pPr>
            <w:r>
              <w:rPr>
                <w:rFonts w:ascii="Arial" w:cs="Arial" w:eastAsia="Arial" w:hAnsi="Arial"/>
                <w:sz w:val="18"/>
                <w:szCs w:val="18"/>
                <w:b w:val="1"/>
                <w:bCs w:val="1"/>
                <w:color w:val="auto"/>
              </w:rPr>
              <w:t>Warrant Liability</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Consideration</w:t>
            </w: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900" w:type="dxa"/>
            <w:vAlign w:val="bottom"/>
          </w:tcPr>
          <w:p>
            <w:pPr>
              <w:ind w:left="180"/>
              <w:spacing w:after="0"/>
              <w:rPr>
                <w:sz w:val="20"/>
                <w:szCs w:val="20"/>
                <w:color w:val="auto"/>
              </w:rPr>
            </w:pPr>
            <w:r>
              <w:rPr>
                <w:rFonts w:ascii="Arial" w:cs="Arial" w:eastAsia="Arial" w:hAnsi="Arial"/>
                <w:sz w:val="18"/>
                <w:szCs w:val="18"/>
                <w:color w:val="auto"/>
              </w:rPr>
              <w:t>Extinguishment of GS 1.0% warrant liability (Note 6)</w:t>
            </w: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GS 1.8% warrant liability (Note 6)</w:t>
            </w: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5900" w:type="dxa"/>
            <w:vAlign w:val="bottom"/>
          </w:tcPr>
          <w:p>
            <w:pPr>
              <w:ind w:left="180"/>
              <w:spacing w:after="0"/>
              <w:rPr>
                <w:sz w:val="20"/>
                <w:szCs w:val="20"/>
                <w:color w:val="auto"/>
              </w:rPr>
            </w:pPr>
            <w:r>
              <w:rPr>
                <w:rFonts w:ascii="Arial" w:cs="Arial" w:eastAsia="Arial" w:hAnsi="Arial"/>
                <w:sz w:val="18"/>
                <w:szCs w:val="18"/>
                <w:color w:val="auto"/>
              </w:rPr>
              <w:t>Adjustment to ACCPC contingent consideration</w:t>
            </w: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r>
      <w:tr>
        <w:trPr>
          <w:trHeight w:val="215"/>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Release of Preferred A contingent consideration (Note 9)</w:t>
            </w: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(3,812)</w:t>
            </w: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Adjustment to fair value included in earnings</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22222"/>
        </w:rPr>
        <w:t>There were no transfers among the fair value levels during the three months ended March 31, 2018 and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To manage the business, the Company’s Chairman and Chief Executive Officer (“CEO”) both collectively serve as the chief operating decision makers (“CODM”). The CODM evaluates the performance and allocate resources based on the operating income of each segment. The Company operates in two reportable segments, Consumer Payments and Commercial Payments and Managed Services. For a detailed discussion of the Company’s reportable segments refer to Note 16 – Segment Information in the Company’s audited consolidated financial statements as of and for the year ended December 31, 2017.</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Information on segments and reconciliations to consolidated revenues, consolidated operating income and consolidated depreciation and amortization are as follows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7820" w:type="dxa"/>
            <w:vAlign w:val="bottom"/>
            <w:tcBorders>
              <w:bottom w:val="single" w:sz="8" w:color="CCEEFF"/>
            </w:tcBorders>
            <w:vMerge w:val="continue"/>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108,981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6,615</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Consolidated Revenues</w:t>
            </w:r>
          </w:p>
        </w:tc>
        <w:tc>
          <w:tcPr>
            <w:tcW w:w="7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115,596</w:t>
            </w:r>
          </w:p>
        </w:tc>
        <w:tc>
          <w:tcPr>
            <w:tcW w:w="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93,092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7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Payments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7,962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Consolidated operating income</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3,649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340"/>
              <w:spacing w:after="0"/>
              <w:rPr>
                <w:sz w:val="20"/>
                <w:szCs w:val="20"/>
                <w:color w:val="auto"/>
              </w:rPr>
            </w:pPr>
            <w:r>
              <w:rPr>
                <w:rFonts w:ascii="Arial" w:cs="Arial" w:eastAsia="Arial" w:hAnsi="Arial"/>
                <w:sz w:val="18"/>
                <w:szCs w:val="18"/>
                <w:color w:val="auto"/>
              </w:rPr>
              <w:t>Consolidated depreciation and amortization</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222222"/>
              </w:rPr>
              <w:t>A reconciliation of total operating income (loss) to the Company’s net income (loss) is as follows:</w:t>
            </w: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8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160"/>
              <w:spacing w:after="0"/>
              <w:rPr>
                <w:sz w:val="20"/>
                <w:szCs w:val="20"/>
                <w:color w:val="auto"/>
              </w:rPr>
            </w:pPr>
            <w:r>
              <w:rPr>
                <w:rFonts w:ascii="Arial" w:cs="Arial" w:eastAsia="Arial" w:hAnsi="Arial"/>
                <w:sz w:val="18"/>
                <w:szCs w:val="18"/>
                <w:color w:val="auto"/>
              </w:rPr>
              <w:t>Less: interest and other expense, net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(11,001)</w:t>
            </w: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equity in income (loss) of unconsolidated entities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22222"/>
        </w:rPr>
        <w:t>The Company’s results of operations and financial condition are not significantly reliant upon any single customer for the three months ended March 31, 2018 and 2017. Substantially all revenues are generated in the United States.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13. EARNINGS PER UNIT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880" w:type="dxa"/>
            <w:vAlign w:val="bottom"/>
          </w:tcPr>
          <w:p>
            <w:pPr>
              <w:spacing w:after="0"/>
              <w:rPr>
                <w:sz w:val="20"/>
                <w:szCs w:val="20"/>
                <w:color w:val="auto"/>
              </w:rPr>
            </w:pPr>
            <w:r>
              <w:rPr>
                <w:rFonts w:ascii="Arial" w:cs="Arial" w:eastAsia="Arial" w:hAnsi="Arial"/>
                <w:sz w:val="18"/>
                <w:szCs w:val="18"/>
                <w:color w:val="222222"/>
                <w:w w:val="99"/>
              </w:rPr>
              <w:t>The following table sets forth the computation of the Company's basic and diluted earnings per unit: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8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unit data)</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right"/>
              <w:ind w:right="162"/>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7880" w:type="dxa"/>
            <w:vAlign w:val="bottom"/>
            <w:tcBorders>
              <w:bottom w:val="single" w:sz="8" w:color="CCEEFF"/>
            </w:tcBorders>
            <w:vMerge w:val="continue"/>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(3,177)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Distributions to participating securities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available to common unitholders</w:t>
            </w:r>
          </w:p>
        </w:tc>
        <w:tc>
          <w:tcPr>
            <w:tcW w:w="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(3,222</w:t>
            </w:r>
          </w:p>
        </w:tc>
        <w:tc>
          <w:tcPr>
            <w:tcW w:w="240" w:type="dxa"/>
            <w:vAlign w:val="bottom"/>
            <w:tcBorders>
              <w:bottom w:val="single" w:sz="8" w:color="CCEEFF"/>
            </w:tcBorders>
          </w:tcPr>
          <w:p>
            <w:pPr>
              <w:jc w:val="right"/>
              <w:ind w:right="102"/>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Weighted average units outstanding – basic and diluted</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4,445</w:t>
            </w:r>
          </w:p>
        </w:tc>
        <w:tc>
          <w:tcPr>
            <w:tcW w:w="260" w:type="dxa"/>
            <w:vAlign w:val="bottom"/>
          </w:tcPr>
          <w:p>
            <w:pPr>
              <w:spacing w:after="0"/>
              <w:rPr>
                <w:sz w:val="19"/>
                <w:szCs w:val="19"/>
                <w:color w:val="auto"/>
              </w:rPr>
            </w:pPr>
          </w:p>
        </w:tc>
        <w:tc>
          <w:tcPr>
            <w:tcW w:w="1080" w:type="dxa"/>
            <w:vAlign w:val="bottom"/>
            <w:gridSpan w:val="2"/>
          </w:tcPr>
          <w:p>
            <w:pPr>
              <w:jc w:val="right"/>
              <w:ind w:right="22"/>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22"/>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(loss) per unit</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24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222222"/>
        </w:rPr>
        <w:t>As of March 31, 2018 and 2017, there were 246,732 and 333,362 non-voting Class B units as well as warrants to issue 2.2% and 1.8% of the outstanding Class A Common units of the Company that are anti-dilutive. There were no dilutive common unit equivalents for the three months ended March 31, 2018 and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22222"/>
        </w:rPr>
        <w:t>Subsequent events have been evaluated from the balance sheet date through May 24, 2018, the date on which the unaudited condensed consolidated financial statements were available to be issued.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30, 2018, the Company entered into a Limited Waiver and Consent and is no longer obligated to make the 2017 mandatory prepayment based on Excess Cash Flow, as defined in the Credit Agreement. As of March 31, 2018, the amount of the excess cash flow payment previously classified as current portion of long-term debt has been classified as long-term debt as the amount is no longer callable by the creditor as of the date of the issuance of the quarterly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54" w:name="page255"/>
    <w:bookmarkEnd w:id="254"/>
    <w:p>
      <w:pPr>
        <w:ind w:left="34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Unitholders and Board of Directors of Priority Holdings, LLC and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audited the accompanying consolidated balance sheets of Priority Holdings, LLC and Subsidiaries (the “Company”) as of December 31, 2017 and 2016, the related consolidated statements of operations, changes in members’ equity (deficit) and cash flows for each of the three years in the period ended December 31, 2017, and the related notes to the consolidated financial statements (collectively,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26, 2018, as amended, the unitholders of the Company entered into a contribution agreement with M I Acquisitions, Inc. (“M I”), a special purpose acquisition corporation, pursuant to which M I will acquire all of the outstanding equity interests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conducted our audits in accordance with the auditing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18, 2018</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ind w:left="340"/>
              <w:spacing w:after="0"/>
              <w:rPr>
                <w:sz w:val="20"/>
                <w:szCs w:val="20"/>
                <w:color w:val="auto"/>
              </w:rPr>
            </w:pPr>
            <w:r>
              <w:rPr>
                <w:rFonts w:ascii="Arial" w:cs="Arial" w:eastAsia="Arial" w:hAnsi="Arial"/>
                <w:sz w:val="18"/>
                <w:szCs w:val="18"/>
                <w:b w:val="1"/>
                <w:bCs w:val="1"/>
                <w:color w:val="auto"/>
              </w:rPr>
              <w:t>As of December 31,</w:t>
            </w:r>
          </w:p>
        </w:tc>
      </w:tr>
      <w:tr>
        <w:trPr>
          <w:trHeight w:val="222"/>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13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27,966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32,279</w:t>
            </w:r>
          </w:p>
        </w:tc>
      </w:tr>
      <w:tr>
        <w:trPr>
          <w:trHeight w:val="215"/>
        </w:trPr>
        <w:tc>
          <w:tcPr>
            <w:tcW w:w="72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16,193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9,423</w:t>
            </w:r>
          </w:p>
        </w:tc>
      </w:tr>
      <w:tr>
        <w:trPr>
          <w:trHeight w:val="201"/>
        </w:trPr>
        <w:tc>
          <w:tcPr>
            <w:tcW w:w="7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accounts of $484 and $727,</w:t>
            </w: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47,433</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33,746</w:t>
            </w:r>
          </w:p>
        </w:tc>
      </w:tr>
      <w:tr>
        <w:trPr>
          <w:trHeight w:val="215"/>
        </w:trPr>
        <w:tc>
          <w:tcPr>
            <w:tcW w:w="7280" w:type="dxa"/>
            <w:vAlign w:val="bottom"/>
          </w:tcPr>
          <w:p>
            <w:pPr>
              <w:ind w:left="360"/>
              <w:spacing w:after="0"/>
              <w:rPr>
                <w:sz w:val="20"/>
                <w:szCs w:val="20"/>
                <w:color w:val="auto"/>
              </w:rPr>
            </w:pPr>
            <w:r>
              <w:rPr>
                <w:rFonts w:ascii="Arial" w:cs="Arial" w:eastAsia="Arial" w:hAnsi="Arial"/>
                <w:sz w:val="18"/>
                <w:szCs w:val="18"/>
                <w:color w:val="auto"/>
              </w:rPr>
              <w:t>Due from related parties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r>
        <w:trPr>
          <w:trHeight w:val="215"/>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w:t>
            </w:r>
          </w:p>
        </w:tc>
      </w:tr>
      <w:tr>
        <w:trPr>
          <w:trHeight w:val="215"/>
        </w:trPr>
        <w:tc>
          <w:tcPr>
            <w:tcW w:w="7280" w:type="dxa"/>
            <w:vAlign w:val="bottom"/>
          </w:tcPr>
          <w:p>
            <w:pPr>
              <w:ind w:left="360"/>
              <w:spacing w:after="0"/>
              <w:rPr>
                <w:sz w:val="20"/>
                <w:szCs w:val="20"/>
                <w:color w:val="auto"/>
              </w:rPr>
            </w:pPr>
            <w:r>
              <w:rPr>
                <w:rFonts w:ascii="Arial" w:cs="Arial" w:eastAsia="Arial" w:hAnsi="Arial"/>
                <w:sz w:val="18"/>
                <w:szCs w:val="18"/>
                <w:color w:val="auto"/>
              </w:rPr>
              <w:t>Current portion of notes receivable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3,442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assets</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7,207</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5,690</w:t>
            </w:r>
          </w:p>
        </w:tc>
      </w:tr>
      <w:tr>
        <w:trPr>
          <w:trHeight w:val="209"/>
        </w:trPr>
        <w:tc>
          <w:tcPr>
            <w:tcW w:w="7280" w:type="dxa"/>
            <w:vAlign w:val="bottom"/>
            <w:tcBorders>
              <w:bottom w:val="single" w:sz="8" w:color="CCEEFF"/>
            </w:tcBorders>
          </w:tcPr>
          <w:p>
            <w:pPr>
              <w:ind w:left="1260"/>
              <w:spacing w:after="0"/>
              <w:rPr>
                <w:sz w:val="20"/>
                <w:szCs w:val="20"/>
                <w:color w:val="auto"/>
              </w:rPr>
            </w:pPr>
            <w:r>
              <w:rPr>
                <w:rFonts w:ascii="Arial" w:cs="Arial" w:eastAsia="Arial" w:hAnsi="Arial"/>
                <w:sz w:val="18"/>
                <w:szCs w:val="18"/>
                <w:color w:val="auto"/>
              </w:rPr>
              <w:t>Total current assets</w:t>
            </w:r>
          </w:p>
        </w:tc>
        <w:tc>
          <w:tcPr>
            <w:tcW w:w="1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105,988</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88,405</w:t>
            </w:r>
          </w:p>
        </w:tc>
        <w:tc>
          <w:tcPr>
            <w:tcW w:w="100" w:type="dxa"/>
            <w:vAlign w:val="bottom"/>
            <w:tcBorders>
              <w:bottom w:val="single" w:sz="8" w:color="CCEEFF"/>
            </w:tcBorders>
          </w:tcPr>
          <w:p>
            <w:pPr>
              <w:spacing w:after="0"/>
              <w:rPr>
                <w:sz w:val="18"/>
                <w:szCs w:val="18"/>
                <w:color w:val="auto"/>
              </w:rPr>
            </w:pPr>
          </w:p>
        </w:tc>
      </w:tr>
      <w:tr>
        <w:trPr>
          <w:trHeight w:val="209"/>
        </w:trPr>
        <w:tc>
          <w:tcPr>
            <w:tcW w:w="7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Notes receivable, less current portion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3,807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3,991</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Goodwill</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101,532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101,532</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42,062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50,037</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1,361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r>
      <w:tr>
        <w:trPr>
          <w:trHeight w:val="22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r>
      <w:tr>
        <w:trPr>
          <w:trHeight w:val="262"/>
        </w:trPr>
        <w:tc>
          <w:tcPr>
            <w:tcW w:w="7280" w:type="dxa"/>
            <w:vAlign w:val="bottom"/>
            <w:tcBorders>
              <w:bottom w:val="single" w:sz="8" w:color="CCEEFF"/>
            </w:tcBorders>
          </w:tcPr>
          <w:p>
            <w:pPr>
              <w:ind w:left="1260"/>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266,707</w:t>
            </w:r>
          </w:p>
        </w:tc>
        <w:tc>
          <w:tcPr>
            <w:tcW w:w="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256,050</w:t>
            </w:r>
          </w:p>
        </w:tc>
        <w:tc>
          <w:tcPr>
            <w:tcW w:w="100" w:type="dxa"/>
            <w:vAlign w:val="bottom"/>
            <w:tcBorders>
              <w:bottom w:val="single" w:sz="8" w:color="CCEEFF"/>
            </w:tcBorders>
          </w:tcPr>
          <w:p>
            <w:pPr>
              <w:spacing w:after="0"/>
              <w:rPr>
                <w:sz w:val="22"/>
                <w:szCs w:val="22"/>
                <w:color w:val="auto"/>
              </w:rPr>
            </w:pPr>
          </w:p>
        </w:tc>
      </w:tr>
      <w:tr>
        <w:trPr>
          <w:trHeight w:val="195"/>
        </w:trPr>
        <w:tc>
          <w:tcPr>
            <w:tcW w:w="7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b w:val="1"/>
                <w:bCs w:val="1"/>
                <w:color w:val="auto"/>
              </w:rPr>
              <w:t>LIABILITIES AND MEMBERS’ EQUITY (DEFICIT)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18,603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11,162</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Accrued residual commissions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23,470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18,926</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Customer deposits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4,853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4,139</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Current portion of notes payable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7,582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Settlement obligations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w:t>
            </w: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Current portion of common unit repurchase obligation</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280" w:type="dxa"/>
            <w:vAlign w:val="bottom"/>
            <w:tcBorders>
              <w:top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1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discounts and deferred financing costs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267,939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87,094</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Warrant liability</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8,701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4,353</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Common unit repurchase obligation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7,690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r>
      <w:tr>
        <w:trPr>
          <w:trHeight w:val="209"/>
        </w:trPr>
        <w:tc>
          <w:tcPr>
            <w:tcW w:w="7280" w:type="dxa"/>
            <w:vAlign w:val="bottom"/>
            <w:tcBorders>
              <w:bottom w:val="single" w:sz="8" w:color="CCEEFF"/>
            </w:tcBorders>
          </w:tcPr>
          <w:p>
            <w:pPr>
              <w:ind w:left="1080"/>
              <w:spacing w:after="0"/>
              <w:rPr>
                <w:sz w:val="20"/>
                <w:szCs w:val="20"/>
                <w:color w:val="auto"/>
              </w:rPr>
            </w:pPr>
            <w:r>
              <w:rPr>
                <w:rFonts w:ascii="Arial" w:cs="Arial" w:eastAsia="Arial" w:hAnsi="Arial"/>
                <w:sz w:val="18"/>
                <w:szCs w:val="18"/>
                <w:color w:val="auto"/>
              </w:rPr>
              <w:t>Total long term liabilities</w:t>
            </w:r>
          </w:p>
        </w:tc>
        <w:tc>
          <w:tcPr>
            <w:tcW w:w="1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290,380</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101,084</w:t>
            </w:r>
          </w:p>
        </w:tc>
        <w:tc>
          <w:tcPr>
            <w:tcW w:w="100" w:type="dxa"/>
            <w:vAlign w:val="bottom"/>
            <w:tcBorders>
              <w:bottom w:val="single" w:sz="8" w:color="CCEEFF"/>
            </w:tcBorders>
          </w:tcPr>
          <w:p>
            <w:pPr>
              <w:spacing w:after="0"/>
              <w:rPr>
                <w:sz w:val="18"/>
                <w:szCs w:val="18"/>
                <w:color w:val="auto"/>
              </w:rPr>
            </w:pPr>
          </w:p>
        </w:tc>
      </w:tr>
      <w:tr>
        <w:trPr>
          <w:trHeight w:val="209"/>
        </w:trPr>
        <w:tc>
          <w:tcPr>
            <w:tcW w:w="72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w:t>
            </w:r>
          </w:p>
        </w:tc>
        <w:tc>
          <w:tcPr>
            <w:tcW w:w="1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356,862</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140,043</w:t>
            </w:r>
          </w:p>
        </w:tc>
        <w:tc>
          <w:tcPr>
            <w:tcW w:w="100" w:type="dxa"/>
            <w:vAlign w:val="bottom"/>
            <w:shd w:val="clear" w:color="auto" w:fill="CCEEFF"/>
          </w:tcPr>
          <w:p>
            <w:pPr>
              <w:spacing w:after="0"/>
              <w:rPr>
                <w:sz w:val="18"/>
                <w:szCs w:val="18"/>
                <w:color w:val="auto"/>
              </w:rPr>
            </w:pPr>
          </w:p>
        </w:tc>
      </w:tr>
      <w:tr>
        <w:trPr>
          <w:trHeight w:val="209"/>
        </w:trPr>
        <w:tc>
          <w:tcPr>
            <w:tcW w:w="7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10, 12, and 14)</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Members’ equity (deficit)</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(90,155)</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116,007</w:t>
            </w:r>
          </w:p>
        </w:tc>
      </w:tr>
      <w:tr>
        <w:trPr>
          <w:trHeight w:val="222"/>
        </w:trPr>
        <w:tc>
          <w:tcPr>
            <w:tcW w:w="7280" w:type="dxa"/>
            <w:vAlign w:val="bottom"/>
            <w:tcBorders>
              <w:top w:val="single" w:sz="8" w:color="CCEEFF"/>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members’ equity (deficit)</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266,707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 except per unit data)</w:t>
            </w:r>
          </w:p>
        </w:tc>
        <w:tc>
          <w:tcPr>
            <w:tcW w:w="1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Merchant card fees revenue</w:t>
            </w:r>
          </w:p>
        </w:tc>
        <w:tc>
          <w:tcPr>
            <w:tcW w:w="19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398,988</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321,091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268,221</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Outsourced services revenue</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23,308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20,061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14,815</w:t>
            </w: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2,962</w:t>
            </w:r>
          </w:p>
        </w:tc>
        <w:tc>
          <w:tcPr>
            <w:tcW w:w="28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3,208</w:t>
            </w:r>
          </w:p>
        </w:tc>
      </w:tr>
      <w:tr>
        <w:trPr>
          <w:trHeight w:val="209"/>
        </w:trPr>
        <w:tc>
          <w:tcPr>
            <w:tcW w:w="538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revenue</w:t>
            </w: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344,114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Costs of merchant card fees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305,461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243,049</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199,067</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costs of services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15,743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13,971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13,133</w:t>
            </w: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32,357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32,330</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27,258</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14,674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14,733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15,633</w:t>
            </w: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7,790</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7,294</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(2,665)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13,457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9,066</w:t>
            </w:r>
          </w:p>
        </w:tc>
        <w:tc>
          <w:tcPr>
            <w:tcW w:w="28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9,875</w:t>
            </w:r>
          </w:p>
        </w:tc>
      </w:tr>
      <w:tr>
        <w:trPr>
          <w:trHeight w:val="209"/>
        </w:trPr>
        <w:tc>
          <w:tcPr>
            <w:tcW w:w="538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318,274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38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Income from operations</w:t>
            </w:r>
          </w:p>
        </w:tc>
        <w:tc>
          <w:tcPr>
            <w:tcW w:w="17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25,840</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tcBorders>
              <w:bottom w:val="single" w:sz="8" w:color="CCEEFF"/>
            </w:tcBorders>
          </w:tcPr>
          <w:p>
            <w:pPr>
              <w:spacing w:after="0"/>
              <w:rPr>
                <w:sz w:val="18"/>
                <w:szCs w:val="18"/>
                <w:color w:val="auto"/>
              </w:rPr>
            </w:pPr>
          </w:p>
        </w:tc>
      </w:tr>
      <w:tr>
        <w:trPr>
          <w:trHeight w:val="209"/>
        </w:trPr>
        <w:tc>
          <w:tcPr>
            <w:tcW w:w="5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268</w:t>
            </w: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Interest and other expense</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(31,159)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(5,980)</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(5,490)</w:t>
            </w: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loss of unconsolidated entities</w:t>
            </w: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538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other expenses</w:t>
            </w:r>
          </w:p>
        </w:tc>
        <w:tc>
          <w:tcPr>
            <w:tcW w:w="17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22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2"/>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unit:</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Basic earnings per unit</w:t>
            </w:r>
          </w:p>
        </w:tc>
        <w:tc>
          <w:tcPr>
            <w:tcW w:w="19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0.85</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2.01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0.92</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unit</w:t>
            </w:r>
          </w:p>
        </w:tc>
        <w:tc>
          <w:tcPr>
            <w:tcW w:w="19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0.85</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0.92</w:t>
            </w:r>
          </w:p>
        </w:tc>
      </w:tr>
      <w:tr>
        <w:trPr>
          <w:trHeight w:val="215"/>
        </w:trPr>
        <w:tc>
          <w:tcPr>
            <w:tcW w:w="5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Basic</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10,000</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5,098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10,000</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Members’ Equity (Deficit)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Preferred</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4"/>
                <w:szCs w:val="14"/>
                <w:color w:val="auto"/>
              </w:rPr>
            </w:pPr>
          </w:p>
        </w:tc>
        <w:tc>
          <w:tcPr>
            <w:tcW w:w="80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2"/>
              </w:rPr>
              <w:t>Common</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Common</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Units - A</w:t>
            </w:r>
          </w:p>
        </w:tc>
        <w:tc>
          <w:tcPr>
            <w:tcW w:w="104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7"/>
              </w:rPr>
              <w:t>Units - A</w:t>
            </w:r>
          </w:p>
        </w:tc>
        <w:tc>
          <w:tcPr>
            <w:tcW w:w="220" w:type="dxa"/>
            <w:vAlign w:val="bottom"/>
          </w:tcPr>
          <w:p>
            <w:pPr>
              <w:spacing w:after="0"/>
              <w:rPr>
                <w:sz w:val="12"/>
                <w:szCs w:val="12"/>
                <w:color w:val="auto"/>
              </w:rPr>
            </w:pPr>
          </w:p>
        </w:tc>
        <w:tc>
          <w:tcPr>
            <w:tcW w:w="800" w:type="dxa"/>
            <w:vAlign w:val="bottom"/>
            <w:gridSpan w:val="2"/>
          </w:tcPr>
          <w:p>
            <w:pPr>
              <w:jc w:val="center"/>
              <w:ind w:right="148"/>
              <w:spacing w:after="0" w:line="148" w:lineRule="exact"/>
              <w:rPr>
                <w:sz w:val="20"/>
                <w:szCs w:val="20"/>
                <w:color w:val="auto"/>
              </w:rPr>
            </w:pPr>
            <w:r>
              <w:rPr>
                <w:rFonts w:ascii="Arial" w:cs="Arial" w:eastAsia="Arial" w:hAnsi="Arial"/>
                <w:sz w:val="14"/>
                <w:szCs w:val="14"/>
                <w:b w:val="1"/>
                <w:bCs w:val="1"/>
                <w:color w:val="auto"/>
                <w:w w:val="93"/>
              </w:rPr>
              <w:t>Units - A</w:t>
            </w:r>
          </w:p>
        </w:tc>
        <w:tc>
          <w:tcPr>
            <w:tcW w:w="9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3"/>
              </w:rPr>
              <w:t>Units - A</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97"/>
              </w:rPr>
              <w:t>Units - B</w:t>
            </w:r>
          </w:p>
        </w:tc>
        <w:tc>
          <w:tcPr>
            <w:tcW w:w="100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7"/>
              </w:rPr>
              <w:t>Units - B</w:t>
            </w:r>
          </w:p>
        </w:tc>
        <w:tc>
          <w:tcPr>
            <w:tcW w:w="180" w:type="dxa"/>
            <w:vAlign w:val="bottom"/>
          </w:tcPr>
          <w:p>
            <w:pPr>
              <w:spacing w:after="0"/>
              <w:rPr>
                <w:sz w:val="12"/>
                <w:szCs w:val="12"/>
                <w:color w:val="auto"/>
              </w:rPr>
            </w:pPr>
          </w:p>
        </w:tc>
        <w:tc>
          <w:tcPr>
            <w:tcW w:w="8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Units - C</w:t>
            </w:r>
          </w:p>
        </w:tc>
        <w:tc>
          <w:tcPr>
            <w:tcW w:w="100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3"/>
              </w:rPr>
              <w:t>Units - C</w:t>
            </w: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4"/>
                <w:szCs w:val="14"/>
                <w:color w:val="auto"/>
              </w:rPr>
            </w:pPr>
          </w:p>
        </w:tc>
        <w:tc>
          <w:tcPr>
            <w:tcW w:w="80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Units</w:t>
            </w:r>
          </w:p>
        </w:tc>
        <w:tc>
          <w:tcPr>
            <w:tcW w:w="2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1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Units</w:t>
            </w:r>
          </w:p>
        </w:tc>
        <w:tc>
          <w:tcPr>
            <w:tcW w:w="1160" w:type="dxa"/>
            <w:vAlign w:val="bottom"/>
            <w:gridSpan w:val="4"/>
          </w:tcPr>
          <w:p>
            <w:pPr>
              <w:ind w:left="120"/>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Balance - December 31, 2014</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2,325</w:t>
            </w:r>
          </w:p>
        </w:tc>
        <w:tc>
          <w:tcPr>
            <w:tcW w:w="10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2,701</w:t>
            </w:r>
          </w:p>
        </w:tc>
        <w:tc>
          <w:tcPr>
            <w:tcW w:w="2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94,282</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10,000</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1,334</w:t>
            </w:r>
          </w:p>
        </w:tc>
        <w:tc>
          <w:tcPr>
            <w:tcW w:w="10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97,941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rPr>
              <w:t>Member distributions</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(3,682)</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61"/>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8,356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1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Balance - December 31, 2015</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2,556</w:t>
            </w:r>
          </w:p>
        </w:tc>
        <w:tc>
          <w:tcPr>
            <w:tcW w:w="1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2,701</w:t>
            </w:r>
          </w:p>
        </w:tc>
        <w:tc>
          <w:tcPr>
            <w:tcW w:w="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98,956</w:t>
            </w:r>
          </w:p>
        </w:tc>
        <w:tc>
          <w:tcPr>
            <w:tcW w:w="1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103,526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Member distributions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(10,019)</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ind w:left="84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(10,019)</w:t>
            </w:r>
          </w:p>
        </w:tc>
        <w:tc>
          <w:tcPr>
            <w:tcW w:w="1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rPr>
              <w:t>Unit-based compensation</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2,314</w:t>
            </w:r>
          </w:p>
        </w:tc>
        <w:tc>
          <w:tcPr>
            <w:tcW w:w="1000" w:type="dxa"/>
            <w:vAlign w:val="bottom"/>
            <w:gridSpan w:val="2"/>
          </w:tcPr>
          <w:p>
            <w:pPr>
              <w:ind w:left="680"/>
              <w:spacing w:after="0" w:line="148" w:lineRule="exact"/>
              <w:rPr>
                <w:sz w:val="20"/>
                <w:szCs w:val="20"/>
                <w:color w:val="auto"/>
              </w:rPr>
            </w:pPr>
            <w:r>
              <w:rPr>
                <w:rFonts w:ascii="Arial" w:cs="Arial" w:eastAsia="Arial" w:hAnsi="Arial"/>
                <w:sz w:val="14"/>
                <w:szCs w:val="14"/>
                <w:color w:val="auto"/>
              </w:rPr>
              <w:t>638</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2,314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20,033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1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Balance - December 31, 2016</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2,709</w:t>
            </w:r>
          </w:p>
        </w:tc>
        <w:tc>
          <w:tcPr>
            <w:tcW w:w="1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2,701</w:t>
            </w:r>
          </w:p>
        </w:tc>
        <w:tc>
          <w:tcPr>
            <w:tcW w:w="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108,970</w:t>
            </w:r>
          </w:p>
        </w:tc>
        <w:tc>
          <w:tcPr>
            <w:tcW w:w="1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2,314</w:t>
            </w:r>
          </w:p>
        </w:tc>
        <w:tc>
          <w:tcPr>
            <w:tcW w:w="1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ind w:left="680"/>
              <w:spacing w:after="0" w:line="141" w:lineRule="exact"/>
              <w:rPr>
                <w:sz w:val="20"/>
                <w:szCs w:val="20"/>
                <w:color w:val="auto"/>
              </w:rPr>
            </w:pPr>
            <w:r>
              <w:rPr>
                <w:rFonts w:ascii="Arial" w:cs="Arial" w:eastAsia="Arial" w:hAnsi="Arial"/>
                <w:sz w:val="14"/>
                <w:szCs w:val="14"/>
                <w:color w:val="auto"/>
                <w:w w:val="76"/>
              </w:rPr>
              <w:t>638</w:t>
            </w: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116,007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Member distributions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(3,399)</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ind w:left="84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(3,399)</w:t>
            </w:r>
          </w:p>
        </w:tc>
        <w:tc>
          <w:tcPr>
            <w:tcW w:w="1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rPr>
              <w:t>Unit-based compensation</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1,021</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4,594</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4,594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w w:val="97"/>
              </w:rPr>
              <w:t>Redemption of membership interest</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(203,000)</w:t>
            </w: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(4,751)</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(203,000)</w:t>
            </w:r>
          </w:p>
        </w:tc>
        <w:tc>
          <w:tcPr>
            <w:tcW w:w="0" w:type="dxa"/>
            <w:vAlign w:val="bottom"/>
          </w:tcPr>
          <w:p>
            <w:pPr>
              <w:spacing w:after="0"/>
              <w:rPr>
                <w:sz w:val="1"/>
                <w:szCs w:val="1"/>
                <w:color w:val="auto"/>
              </w:rPr>
            </w:pPr>
          </w:p>
        </w:tc>
      </w:tr>
      <w:tr>
        <w:trPr>
          <w:trHeight w:val="129"/>
        </w:trPr>
        <w:tc>
          <w:tcPr>
            <w:tcW w:w="21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4"/>
              </w:rPr>
              <w:t>Reclass for common unit repurchase</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obligation</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(9,190)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(9,190)</w:t>
            </w: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w w:val="97"/>
              </w:rPr>
              <w:t>Release of contingent consideration</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48"/>
              <w:spacing w:after="0" w:line="148" w:lineRule="exact"/>
              <w:rPr>
                <w:sz w:val="20"/>
                <w:szCs w:val="20"/>
                <w:color w:val="auto"/>
              </w:rPr>
            </w:pPr>
            <w:r>
              <w:rPr>
                <w:rFonts w:ascii="Arial" w:cs="Arial" w:eastAsia="Arial" w:hAnsi="Arial"/>
                <w:sz w:val="14"/>
                <w:szCs w:val="14"/>
                <w:color w:val="auto"/>
              </w:rPr>
              <w:t>3,812</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3,812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Elimination of Class C Units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2,014</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(2,014)</w:t>
            </w:r>
          </w:p>
        </w:tc>
        <w:tc>
          <w:tcPr>
            <w:tcW w:w="10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rPr>
              <w:t>Elimination of Preferred Units</w:t>
            </w:r>
          </w:p>
        </w:tc>
        <w:tc>
          <w:tcPr>
            <w:tcW w:w="200" w:type="dxa"/>
            <w:vAlign w:val="bottom"/>
          </w:tcPr>
          <w:p>
            <w:pPr>
              <w:spacing w:after="0"/>
              <w:rPr>
                <w:sz w:val="12"/>
                <w:szCs w:val="12"/>
                <w:color w:val="auto"/>
              </w:rPr>
            </w:pPr>
          </w:p>
        </w:tc>
        <w:tc>
          <w:tcPr>
            <w:tcW w:w="86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(2,709)</w:t>
            </w:r>
          </w:p>
        </w:tc>
        <w:tc>
          <w:tcPr>
            <w:tcW w:w="104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(2,701)</w:t>
            </w:r>
          </w:p>
        </w:tc>
        <w:tc>
          <w:tcPr>
            <w:tcW w:w="220" w:type="dxa"/>
            <w:vAlign w:val="bottom"/>
          </w:tcPr>
          <w:p>
            <w:pPr>
              <w:spacing w:after="0"/>
              <w:rPr>
                <w:sz w:val="12"/>
                <w:szCs w:val="12"/>
                <w:color w:val="auto"/>
              </w:rPr>
            </w:pPr>
          </w:p>
        </w:tc>
        <w:tc>
          <w:tcPr>
            <w:tcW w:w="800" w:type="dxa"/>
            <w:vAlign w:val="bottom"/>
            <w:gridSpan w:val="2"/>
          </w:tcPr>
          <w:p>
            <w:pPr>
              <w:jc w:val="right"/>
              <w:ind w:right="48"/>
              <w:spacing w:after="0" w:line="148" w:lineRule="exact"/>
              <w:rPr>
                <w:sz w:val="20"/>
                <w:szCs w:val="20"/>
                <w:color w:val="auto"/>
              </w:rPr>
            </w:pPr>
            <w:r>
              <w:rPr>
                <w:rFonts w:ascii="Arial" w:cs="Arial" w:eastAsia="Arial" w:hAnsi="Arial"/>
                <w:sz w:val="14"/>
                <w:szCs w:val="14"/>
                <w:color w:val="auto"/>
              </w:rPr>
              <w:t>2,709</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Pro rata adjustment and forfeitures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(336)</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2017</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(93,490</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5,249</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3,335</w:t>
            </w:r>
          </w:p>
        </w:tc>
        <w:tc>
          <w:tcPr>
            <w:tcW w:w="100" w:type="dxa"/>
            <w:vAlign w:val="bottom"/>
          </w:tcPr>
          <w:p>
            <w:pPr>
              <w:spacing w:after="0"/>
              <w:rPr>
                <w:sz w:val="13"/>
                <w:szCs w:val="13"/>
                <w:color w:val="auto"/>
              </w:rPr>
            </w:pPr>
          </w:p>
        </w:tc>
        <w:tc>
          <w:tcPr>
            <w:tcW w:w="880" w:type="dxa"/>
            <w:vAlign w:val="bottom"/>
            <w:tcBorders>
              <w:top w:val="single" w:sz="8" w:color="auto"/>
            </w:tcBorders>
          </w:tcPr>
          <w:p>
            <w:pPr>
              <w:ind w:left="680"/>
              <w:spacing w:after="0" w:line="155" w:lineRule="exact"/>
              <w:rPr>
                <w:sz w:val="20"/>
                <w:szCs w:val="20"/>
                <w:color w:val="auto"/>
              </w:rPr>
            </w:pPr>
            <w:r>
              <w:rPr>
                <w:rFonts w:ascii="Arial" w:cs="Arial" w:eastAsia="Arial" w:hAnsi="Arial"/>
                <w:sz w:val="14"/>
                <w:szCs w:val="14"/>
                <w:color w:val="auto"/>
                <w:w w:val="76"/>
              </w:rPr>
              <w:t>302</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(90,155</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4,594</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20,186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9,267</w:t>
            </w: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14,674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14,733</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15,633</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Unit-based compensation expense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2,314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Amortization of debt issuance costs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324</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debt discount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274</w:t>
            </w: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Equity in loss of unconsolidated affiliates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70</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fair value of warrant liability</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1,204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1,435</w:t>
            </w: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Change in fair value of contingent consideration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(2,665)</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(575)</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debt extinguishment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Payment in kind interest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non-cash change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694</w:t>
            </w: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(13,687)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8,388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w:t>
            </w:r>
          </w:p>
        </w:tc>
      </w:tr>
      <w:tr>
        <w:trPr>
          <w:trHeight w:val="215"/>
        </w:trPr>
        <w:tc>
          <w:tcPr>
            <w:tcW w:w="6520" w:type="dxa"/>
            <w:vAlign w:val="bottom"/>
          </w:tcPr>
          <w:p>
            <w:pPr>
              <w:ind w:left="820"/>
              <w:spacing w:after="0"/>
              <w:rPr>
                <w:sz w:val="20"/>
                <w:szCs w:val="20"/>
                <w:color w:val="auto"/>
              </w:rPr>
            </w:pPr>
            <w:r>
              <w:rPr>
                <w:rFonts w:ascii="Arial" w:cs="Arial" w:eastAsia="Arial" w:hAnsi="Arial"/>
                <w:sz w:val="18"/>
                <w:szCs w:val="18"/>
                <w:color w:val="auto"/>
              </w:rPr>
              <w:t>Settlement assets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1,296</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(6,987)</w:t>
            </w:r>
          </w:p>
        </w:tc>
      </w:tr>
      <w:tr>
        <w:trPr>
          <w:trHeight w:val="215"/>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(3,754)</w:t>
            </w:r>
          </w:p>
        </w:tc>
      </w:tr>
      <w:tr>
        <w:trPr>
          <w:trHeight w:val="215"/>
        </w:trPr>
        <w:tc>
          <w:tcPr>
            <w:tcW w:w="6520" w:type="dxa"/>
            <w:vAlign w:val="bottom"/>
          </w:tcPr>
          <w:p>
            <w:pPr>
              <w:ind w:left="820"/>
              <w:spacing w:after="0"/>
              <w:rPr>
                <w:sz w:val="20"/>
                <w:szCs w:val="20"/>
                <w:color w:val="auto"/>
              </w:rPr>
            </w:pPr>
            <w:r>
              <w:rPr>
                <w:rFonts w:ascii="Arial" w:cs="Arial" w:eastAsia="Arial" w:hAnsi="Arial"/>
                <w:sz w:val="18"/>
                <w:szCs w:val="18"/>
                <w:color w:val="auto"/>
              </w:rPr>
              <w:t>Notes receivable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(2,855)</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(1,527)</w:t>
            </w:r>
          </w:p>
        </w:tc>
      </w:tr>
      <w:tr>
        <w:trPr>
          <w:trHeight w:val="215"/>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Related parties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820"/>
              <w:spacing w:after="0"/>
              <w:rPr>
                <w:sz w:val="20"/>
                <w:szCs w:val="20"/>
                <w:color w:val="auto"/>
              </w:rPr>
            </w:pPr>
            <w:r>
              <w:rPr>
                <w:rFonts w:ascii="Arial" w:cs="Arial" w:eastAsia="Arial" w:hAnsi="Arial"/>
                <w:sz w:val="18"/>
                <w:szCs w:val="18"/>
                <w:color w:val="auto"/>
                <w:w w:val="98"/>
              </w:rPr>
              <w:t>Accounts payable, accrued expenses and accrued residual commissions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12,317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(14,938)</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8,878</w:t>
            </w:r>
          </w:p>
        </w:tc>
      </w:tr>
      <w:tr>
        <w:trPr>
          <w:trHeight w:val="215"/>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Settlement obligations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5,986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(8,831)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5,374</w:t>
            </w:r>
          </w:p>
        </w:tc>
      </w:tr>
      <w:tr>
        <w:trPr>
          <w:trHeight w:val="215"/>
        </w:trPr>
        <w:tc>
          <w:tcPr>
            <w:tcW w:w="6520" w:type="dxa"/>
            <w:vAlign w:val="bottom"/>
          </w:tcPr>
          <w:p>
            <w:pPr>
              <w:ind w:left="820"/>
              <w:spacing w:after="0"/>
              <w:rPr>
                <w:sz w:val="20"/>
                <w:szCs w:val="20"/>
                <w:color w:val="auto"/>
              </w:rPr>
            </w:pPr>
            <w:r>
              <w:rPr>
                <w:rFonts w:ascii="Arial" w:cs="Arial" w:eastAsia="Arial" w:hAnsi="Arial"/>
                <w:sz w:val="18"/>
                <w:szCs w:val="18"/>
                <w:color w:val="auto"/>
              </w:rPr>
              <w:t>Customer deposits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2,084</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875</w:t>
            </w:r>
          </w:p>
        </w:tc>
      </w:tr>
      <w:tr>
        <w:trPr>
          <w:trHeight w:val="229"/>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 liabilities</w:t>
            </w: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331</w:t>
            </w:r>
          </w:p>
        </w:tc>
      </w:tr>
      <w:tr>
        <w:trPr>
          <w:trHeight w:val="209"/>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22,275</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25,308</w:t>
            </w:r>
          </w:p>
        </w:tc>
        <w:tc>
          <w:tcPr>
            <w:tcW w:w="100" w:type="dxa"/>
            <w:vAlign w:val="bottom"/>
            <w:tcBorders>
              <w:bottom w:val="single" w:sz="8" w:color="CCEEFF"/>
            </w:tcBorders>
          </w:tcPr>
          <w:p>
            <w:pPr>
              <w:spacing w:after="0"/>
              <w:rPr>
                <w:sz w:val="18"/>
                <w:szCs w:val="18"/>
                <w:color w:val="auto"/>
              </w:rPr>
            </w:pPr>
          </w:p>
        </w:tc>
      </w:tr>
      <w:tr>
        <w:trPr>
          <w:trHeight w:val="209"/>
        </w:trPr>
        <w:tc>
          <w:tcPr>
            <w:tcW w:w="6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 acquisitions, net of cash acquired</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(26,724)</w:t>
            </w:r>
          </w:p>
        </w:tc>
      </w:tr>
      <w:tr>
        <w:trPr>
          <w:trHeight w:val="215"/>
        </w:trPr>
        <w:tc>
          <w:tcPr>
            <w:tcW w:w="6520" w:type="dxa"/>
            <w:vAlign w:val="bottom"/>
          </w:tcPr>
          <w:p>
            <w:pPr>
              <w:ind w:left="180"/>
              <w:spacing w:after="0"/>
              <w:rPr>
                <w:sz w:val="20"/>
                <w:szCs w:val="20"/>
                <w:color w:val="auto"/>
              </w:rPr>
            </w:pPr>
            <w:r>
              <w:rPr>
                <w:rFonts w:ascii="Arial" w:cs="Arial" w:eastAsia="Arial" w:hAnsi="Arial"/>
                <w:sz w:val="18"/>
                <w:szCs w:val="18"/>
                <w:color w:val="auto"/>
              </w:rPr>
              <w:t>Investment of unconsolidated entity</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(903)</w:t>
            </w:r>
          </w:p>
        </w:tc>
      </w:tr>
      <w:tr>
        <w:trPr>
          <w:trHeight w:val="215"/>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(4,098)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29"/>
        </w:trPr>
        <w:tc>
          <w:tcPr>
            <w:tcW w:w="6520" w:type="dxa"/>
            <w:vAlign w:val="bottom"/>
          </w:tcPr>
          <w:p>
            <w:pPr>
              <w:ind w:left="180"/>
              <w:spacing w:after="0"/>
              <w:rPr>
                <w:sz w:val="20"/>
                <w:szCs w:val="20"/>
                <w:color w:val="auto"/>
              </w:rPr>
            </w:pPr>
            <w:r>
              <w:rPr>
                <w:rFonts w:ascii="Arial" w:cs="Arial" w:eastAsia="Arial" w:hAnsi="Arial"/>
                <w:sz w:val="18"/>
                <w:szCs w:val="18"/>
                <w:color w:val="auto"/>
              </w:rPr>
              <w:t>Additions to intangible assets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(1,379)</w:t>
            </w:r>
          </w:p>
        </w:tc>
      </w:tr>
      <w:tr>
        <w:trPr>
          <w:trHeight w:val="222"/>
        </w:trPr>
        <w:tc>
          <w:tcPr>
            <w:tcW w:w="6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6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Proceeds from issuance of long term debt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276,290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22,696</w:t>
            </w: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 term debt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(90,696)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members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(10,019)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(3,682)</w:t>
            </w:r>
          </w:p>
        </w:tc>
      </w:tr>
      <w:tr>
        <w:trPr>
          <w:trHeight w:val="229"/>
        </w:trPr>
        <w:tc>
          <w:tcPr>
            <w:tcW w:w="6520" w:type="dxa"/>
            <w:vAlign w:val="bottom"/>
          </w:tcPr>
          <w:p>
            <w:pPr>
              <w:ind w:left="160"/>
              <w:spacing w:after="0"/>
              <w:rPr>
                <w:sz w:val="20"/>
                <w:szCs w:val="20"/>
                <w:color w:val="auto"/>
              </w:rPr>
            </w:pPr>
            <w:r>
              <w:rPr>
                <w:rFonts w:ascii="Arial" w:cs="Arial" w:eastAsia="Arial" w:hAnsi="Arial"/>
                <w:sz w:val="18"/>
                <w:szCs w:val="18"/>
                <w:color w:val="auto"/>
              </w:rPr>
              <w:t>Redemption of membership interests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09"/>
        </w:trPr>
        <w:tc>
          <w:tcPr>
            <w:tcW w:w="65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(25,375</w:t>
            </w:r>
          </w:p>
        </w:tc>
        <w:tc>
          <w:tcPr>
            <w:tcW w:w="140" w:type="dxa"/>
            <w:vAlign w:val="bottom"/>
            <w:tcBorders>
              <w:top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restricted cash:</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Net increase in cash and restricted cash</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5,365</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12,134</w:t>
            </w:r>
          </w:p>
        </w:tc>
      </w:tr>
      <w:tr>
        <w:trPr>
          <w:trHeight w:val="229"/>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restricted cash, at the beginning of year</w:t>
            </w: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41,702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36,337</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24,202</w:t>
            </w:r>
          </w:p>
        </w:tc>
      </w:tr>
      <w:tr>
        <w:trPr>
          <w:trHeight w:val="262"/>
        </w:trPr>
        <w:tc>
          <w:tcPr>
            <w:tcW w:w="6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and restricted cash, at the end of year</w:t>
            </w:r>
          </w:p>
        </w:tc>
        <w:tc>
          <w:tcPr>
            <w:tcW w:w="5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44,159</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41,702</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36,336</w:t>
            </w:r>
          </w:p>
        </w:tc>
        <w:tc>
          <w:tcPr>
            <w:tcW w:w="100" w:type="dxa"/>
            <w:vAlign w:val="bottom"/>
            <w:tcBorders>
              <w:bottom w:val="single" w:sz="8" w:color="CCEEFF"/>
            </w:tcBorders>
          </w:tcPr>
          <w:p>
            <w:pPr>
              <w:spacing w:after="0"/>
              <w:rPr>
                <w:sz w:val="22"/>
                <w:szCs w:val="22"/>
                <w:color w:val="auto"/>
              </w:rPr>
            </w:pPr>
          </w:p>
        </w:tc>
      </w:tr>
      <w:tr>
        <w:trPr>
          <w:trHeight w:val="195"/>
        </w:trPr>
        <w:tc>
          <w:tcPr>
            <w:tcW w:w="6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8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19,036</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3,716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3,458</w:t>
            </w:r>
          </w:p>
        </w:tc>
      </w:tr>
      <w:tr>
        <w:trPr>
          <w:trHeight w:val="215"/>
        </w:trPr>
        <w:tc>
          <w:tcPr>
            <w:tcW w:w="6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Purchase of property and equipment through accounts payable</w:t>
            </w:r>
          </w:p>
        </w:tc>
        <w:tc>
          <w:tcPr>
            <w:tcW w:w="8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60</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392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 repurchase obligation</w:t>
            </w:r>
          </w:p>
        </w:tc>
        <w:tc>
          <w:tcPr>
            <w:tcW w:w="8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9,190</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ind w:right="4140" w:firstLine="8"/>
        <w:spacing w:after="0" w:line="501" w:lineRule="auto"/>
        <w:tabs>
          <w:tab w:leader="none" w:pos="179"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 Nature of Business</w:t>
      </w:r>
    </w:p>
    <w:p>
      <w:pPr>
        <w:jc w:val="both"/>
        <w:spacing w:after="0" w:line="254" w:lineRule="auto"/>
        <w:rPr>
          <w:sz w:val="20"/>
          <w:szCs w:val="20"/>
          <w:color w:val="auto"/>
        </w:rPr>
      </w:pPr>
      <w:r>
        <w:rPr>
          <w:rFonts w:ascii="Arial" w:cs="Arial" w:eastAsia="Arial" w:hAnsi="Arial"/>
          <w:sz w:val="18"/>
          <w:szCs w:val="18"/>
          <w:color w:val="auto"/>
        </w:rPr>
        <w:t>Priority Holdings, LLC was organized as a limited liability company on May 21, 2014 in the state of Delaware in accordance with the provisions of the Delaware Limited Liability Company Act as a result of the merger between Pipeline Cynergy Holdings, LLC (“PCH”) and Priority Payment Systems Holdings, LLC (“PPSH”). Priority Holdings, LLC and its subsidiaries are hereinafter referred to as the Company. Until January 3, 2017, the Company was owned by a group of private equity investors led primarily by Priority Investment Holdings, LLC (“PIH”) and Comvest Pipeline Cynergy Holdings, LLC (“Comvest”). On January 3, 2017, the Company exercised a redemption of the majority of Comvest’s membership units resulting in a change in the majority-voting unitholder. See Note 12 – Members Equity.</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provides merchant transaction processing services to small and medium-sized merchants and operates in two reportable segments, Consumer Payments and Commercial Payments and Managed Services. For more information about the Company’s segments, refer to Note 16 – Segment Information.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a registered Independent Sales Organization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The Company uses a direct sales force and contracts with other ISOs and Independent Sales Agents (“ISA”) to attract merchant accounts. The Company develops and uses software to process and monitor merchant transactions, provide customer support and other back office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“Investment in unconsolidated entities”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(“U.S. GAAP”) and present our financial position,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Cash and cash equivalents include investments with original maturities of three months or less (when purchased) and cash on hand. Additionally, the Company classifies Company-owned cash accounts holding reserves for potential losses and customer settlement funds as restricted cash. Restricted cash is classified as current in the consolidated balance sheets and held for the purpose of either customer settlement in process activity or reserves held per contact terms. At December 31, 2017 and 2016, the Company maintained restricted cash of $16.2 million and $9.4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receivable are stated net of allowance for doubtful accounts and are amounts primarily due from the Company’s sponsor banks for revenues earned, net of related interchange and bank processing fees, and do not bear interest. Other types of accounts receivable are from agents, merchants and other customers. Amounts due from sponsor banks are typically paid within 30 days following the end of each month.</w:t>
      </w:r>
    </w:p>
    <w:p>
      <w:pPr>
        <w:spacing w:after="0" w:line="18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allowance for doubtful accounts at December 31, 2017 and 2016, was $0.5 million and $0.7 million, respectively. The Company records an allowance for doubtful accounts when it is probable that the accounts receivable balance will not be collected, based upon loss trends and an analysis of individual accounts. Accounts receivable are written off when deemed uncollectible. Recoveries of accounts receivable previously written off are recognized when received.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equipment and software, net</w:t>
      </w:r>
    </w:p>
    <w:p>
      <w:pPr>
        <w:spacing w:after="0" w:line="227"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Property and equipment are stated at cost, except for property and equipment acquired in a merger or business combination, which is recorded at fair value at the time of the transaction. Depreciation is calculated using the straight-line method over the estimated useful lives of the assets.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has multiple operating leases, all of which are related to office space. As operating leases do not involve transfer of risks and rewards of ownership of the leased asset to the lessee, the Company expenses the costs of its operating leases. The Company will make various alterations (leasehold improvements) to the office space and capitalize these costs as part of property and equipment. Leasehold improvements are amortized on a straight-line basis over the useful life of the improvement or the term of the lease, whichever is shorter.</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develop software for internal use</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costs incurred to develop computer software for internal use in accordance with U.S. GAAP. Internal-use software development costs are capitalized once: (1) the preliminary project stage is completed, (2) management authorizes and commits to funding a specific software project, and</w:t>
      </w:r>
    </w:p>
    <w:p>
      <w:pPr>
        <w:jc w:val="both"/>
        <w:ind w:firstLine="8"/>
        <w:spacing w:after="0" w:line="266" w:lineRule="auto"/>
        <w:tabs>
          <w:tab w:leader="none" w:pos="27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each of the years ended December 31, 2017 and 2016, the Company capitalized software development costs of $3.1 million. As of December 31, 2017 and 2016, capitalized software development costs, net of accumulated amortization, totaled $6.7 million and $5.1 million, respectively, and is included in property, equipment, and software, net on the consolidated balance sheets. Amortization expense for capitalized software development costs for the years ended December 31, 2017, 2016, and 2015 was $1.6 million, $1.0 million, and $0.8 million,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and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Settlement processing assets and obligations represent intermediary balances arising in the Company’s settlement process for merchants and other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3—Settlement Processing Assets and Obligations for further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utilizes the equity method of accounting for investments when it possesses the ability to exercise significant influence, but not control, over the operating and financial policies of the investee. In applying the equity method, the Company records its investment at cost and subsequently increases or decreases the carrying amount of the investment by its proportionate share of the net earnings or losses and other comprehensive income (loss) of the investee. Dividends or other equity distributions reduce the carrying value of the investment.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2017 and 2016, the Company holds two equity investments. The Company holds a 14.3% and 21.8% ownership interest in two entities with no voting control, but does have the ability to exercise significant influence over the investees. The nature of the Company’s contractual relationships with its unconsolidated entities are such that the Company does not direct, nor participate in, the activities that most significantly impact the unconsolidated entities economic performance, including but not limited to: (i) negotiating prices with the unconsolidated entities’ merchant customers, (ii) determining the commission structure for the unconsolidated entities’ sales force, (iii) developing and approving the unconsolidated entities’ annual operating budget, (iv) hiring and firing the unconsolidated entities’ chief executive, and (v) developing a business strategy, including the target market for the unconsolidated entities’ merchant portfolio. Accordingly, the Company has determined that it does not have a controlling financial interest in, and is therefore not the primary beneficiary of, its unconsolidated entities.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by acquired companies prior to the business combination with the Company) and customer relationships.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Portfolios</w:t>
      </w:r>
    </w:p>
    <w:p>
      <w:pPr>
        <w:spacing w:after="0" w:line="22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Merchant portfolios represent the value of the acquired merchant customer base at the time of acquisition. The Company amortizes the cost of its acquired merchant portfolios over their estimated useful lives, which range from one year to ten years, using either a straight-line or an accelerated method that most accurately reflects the pattern in which the economic benefits of the respective asset is consumed.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three years to 25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tests goodwill for impairment for each of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The Company performed its most recent annual goodwill impairment test as of November 30, 2017 using market data and discounted cash flow analyses. Based on this analysis, it was determined that the fair value exceeded the carrying value of each of its reporting units. The Company concluded there were no indicators of impairment for the years ended December 31, 2017,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The Company concluded there were no indications of impairment for the years ended December 31, 2017,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Residual Commissions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Accrued residual commissions consist of amounts due to ISOs and ISAs on the processing volume of the Company’s merchant customers. The commissions due are based on varying percentages of the volume processed by the Company on behalf of the merchants. Percentages vary based on the program type and transaction volume of each merchant. Residual commission expense was $249.9 million, $195.4 million and $157.0 million, respectively, for the years ended December 31, 2017, 2016 and 2015, and is included in costs of merchant card fees in the accompanying consolidated statements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ISO Deposit and Loss Reserve</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ISOs may partner with the Company in an executive partner program in which ISOs are given preferential pricing in exchange for bearing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Unit-Based Compensation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unit-based compensation plan, allows for the issuance of Management Incentive Units to employees and contractors. The Company measures and recognizes compensation expense for all unit-based awards based on estimated fair values at the time of grant. The Company estimates the fair value of unit-based awards using an option pricing valuation model. The Company expenses, on a straight-line basis, the portion of the award value expected to vest over the requisite service period, net of estimated forfeitures.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16 – Segment Information for further discussion of the Company’s reportable segments.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Services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Merchant Card Fees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revenues generated from merchant transactions.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Other costs of services include salaries directly related to outsourced services revenue, merchant supplies, and other service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expenses advertising and promotion costs as incurred. Advertising and promotion expense was approximately $0.5 million, $0.4 million, and $0.6 million for the years ended December 31, 2017, 2016 and 2015,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is organized as a Delaware limited liability company. The Company has elected to be treated as a limited liability corporation for the purpose of filing income tax returns, and as such, the income and losses of the Company flow through to the members. Accordingly, no provisions for federal income taxes are provided in the consolidated financial statements. However, management intends to distribute funds to cover the members’ Company-related tax liabilities.</w:t>
      </w:r>
    </w:p>
    <w:p>
      <w:pPr>
        <w:spacing w:after="0" w:line="185"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As of December 31, 2017 and 2016, the Company has no material uncertain tax positions. The Company recognizes interest and penalties associated with uncertain tax positions as a component of income tax expense when identified. The accrual for interest and penalties is zero at December 31, 2017 and 2016.</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22, 2017, the U.S. government enacted tax reform legislation (U.S. tax reform) that reduced the corporate income tax rate and included a broad range of complex provisions affecting the taxation of businesses. Certain effects of the new legislation would generally require financial statement recognition to be completed in the period of enactment; however, in response to the complexities of this new legislation, the Securities and Exchange Commission (“SEC”) staff issued Staff Accounting Bulletin No. 118 (SAB 118) to provide companies with transitional relief. Specifically, when the initial accounting for items under the new legislation is incomplete, the guidance allows the recognition of provisional amounts when reasonable estimates can be made or the continued application of the prior tax law if a reasonable estimate of the effect cannot be made. The SEC staff has provided up to one year for companies to finalize the accounting for the effects of this new legislation, and the Company anticipates finalizing its accounting within that period. The Company has not yet quantified the impact; therefore, the Company has not included the amount in the financial statements for the year ended December 31, 2017. The Company is in the process of performing an analysis to determine the impact and will record any necessary adjustment during the year ended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Comprehensive income represents the sum of net income and other amounts that are not included in the income statement as the amounts have not been realized. During the years ended December 31, 2017, 2016 and 2015, there were no differences between the Company’s net income and comprehensive income. Therefore, no separate Statement of Other Comprehensive Income in included in the financial statements for the reporting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market based inputs or unobservable inputs that are corroborated by market data.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the Company’s warrant liability and contingent consideration (Preferred A Units Earnout),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the Company’s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further discussed in Note 12 – Members Equity, in May 2014, the Company issued warrants to purchase Class A common units representing 1.0% of the outstanding common units. On January 3, 2017, these warrants were cancelled and replaced by the issuance of warrants to purchase Class A common units representing 1.8% of the outstanding common units of the Company. The warrants are accounted for as a liability and recorded at the estimated fair value. See Note 15 - Fair Value of Financial Instruments for further discussion of fair value methodology used to estimate this liability. At the end of each reporting period, the Company records changes in the estimated fair value during the period in interest and other expense. The Company adjusts the warrant liability for changes in fair value until the earlier of: (i) exercise of the warrants or (ii) expiration of the warrants.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follows the two class method when computing net income per common unit as the warrants issued meet the definition of participating securities. The two-class method determines net income (loss) per common unit for each class of common units and participating securities according to dividends declared or accumulated and participation rights in undistributed earnings. The two class method requires income available to common unitholders for the period to be allocated between common units and participating securities based upon their respective rights to receive dividends as if all income for the period had been distributed. The warrants are participating securities because they have a contractual right to participate in nonforfeitable dividends on a one-for-one basis with the Class A common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2015, the FASB issued ASU 2015-16, Business Combinations (Topic 805): Simplifying the Accounting for Measurement-Period Adjustments, which eliminates the requirement to retrospectively account for changes to provisional amounts initially recorded in a business combination. ASU 2015-16 requires that an acquirer recognize adjustments to provisional amounts that are identified during the measurement period in the reporting period in which the adjustments are determined, including the effect of the change in provisional amount as if the accounting had been completed at the acquisition date. ASU 2015-16 is effective for reporting periods beginning after December 15, 2016 and is applied prospectively. The adoption of this standard did not have a material impact on the Company’s consolidated financial statements.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2016, the FASB issued ASU 2016-18, Statement of Cash Flows (Topic 230): Restricted Cash (a consensus of the FASB Emerging Issues Task Force), which provides guidance on the presentation of restricted cash or restricted cash equivalents in the statement of cash flows. For nonpublic entities, ASU 2016-18 will be effective for financial statements issued for fiscal years beginning after December 15, 2018. ASU 2016-18 must be applied using a retrospective transition method with early adoption permitted. The adoption of this standard did not have a material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Pronouncements Not Yet Adopted</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May 2014, the FASB issued ASU 2014-09, amended in August 2015 by ASU 2015-14, Revenue from Contracts with Customers (Topic 606), requiring an entity to recognize the amount of revenue to which it expects to be entitled for the transfer of promised goods or services to customers. The FASB has issued several additional ASUs since this time that add additional clarification to certain issues existing after the original ASU was released. All of the new standards are effective for the Company on January 1, 2019. The standards permit the use of either the retrospective or cumulative effect transition method.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The Company has not yet selected a transition method and is currently evaluating the effect that the updated standard will have on its consolidated financial statements.</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2016, the FASB issued ASU 2016-01, Financial Instruments—Overall (Subtopic 825-10): Recognition and Measurement of Financial Assets and Financial Liabilities. This guidance changes how entities account for equity investments that do not result in consolidation and are not 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ASU 2016-01 will be effective for the Company for fiscal years beginning after December 15, 2018. The Company is currently evaluating the impact of the adoption of this standard on its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The Company is currently evaluating the impact of the adoption of this standard on its consolidated financial statements.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2016, the FASB issued ASU 2016-09, Compensation—Stock Compensation (Topic 718): Improvements to Employee Share-Based Payment Accounting. The ASU is intended to simplify various aspects of accounting for share-based compensation arrangements, including the income tax consequences, classification of awards as either equity or liabilities, and classification on the statement of cash flows. For example, the new guidance requires all excess tax benefits and tax deficiencies related to share-based payments to be recognized in income tax expense, and for those excess tax benefits to be recognized regardless of whether it reduces current taxes payable. The ASU also allows an entity-wide accounting policy election to either estimate the number of awards that are expected to vest or account for forfeitures as they occur. For nonpublic entities, ASU 2016-09 will be effective for annual periods beginning after December 15, 2017. Early adoption is permitted, in any interim or annual period, with any adjustments reflected as of the beginning of the fiscal year of adoption. The Company is currently evaluating the impact of the adoption of this guidance on its consolidated financial statements.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amendments in this update change how companies measure and recognize credit impairment for many financial assets. The new expected credit loss model will require companies to immediately recognize an estimate of credit losses expected to occur over the remaining life of the financial assets (including trade receivables) that are in the scope of the update. The update also made amendments to the current impairment model for held-to-maturity and available-for-sale debt securities and certain guarantees. The guidance will become effective for fiscal years beginning after December 15, 2020. Early adoption is permitted for fiscal years beginning after December 15, 2019. The company is currently evaluating the effect of ASU 2016-13 on its consolidated financial statements.</w:t>
      </w:r>
    </w:p>
    <w:p>
      <w:pPr>
        <w:spacing w:after="0" w:line="16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The update clarifies how cash receipts and cash payments in certain transactions are presented and classified in the statement of cash flows. The effective date of this update is for fiscal years, and interim periods within those fiscal years, beginning after December 15, 2018, with early adoption permitted. The update requires retrospective application to all periods presented but may be applied prospectively if retrospective application is impracticable. This guidance requires contingent cash payments to be classified as financing activities up to the amount of the initial contingent liability recognized, with any excess payments classified as operating activities. The Company is currently evaluating the impact of the adoption of this guidance on its statement of cash flows.</w:t>
      </w:r>
    </w:p>
    <w:p>
      <w:pPr>
        <w:spacing w:after="0" w:line="16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the Company after December 15, 2018. Early application of the amendments in this Update is allowed under certain circumstances. The Company is currently evaluating the impact of the adoption of this guidance on the Company’s consolidated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or ASU 2017-</w:t>
      </w:r>
    </w:p>
    <w:p>
      <w:pPr>
        <w:spacing w:after="0" w:line="46" w:lineRule="exact"/>
        <w:rPr>
          <w:sz w:val="20"/>
          <w:szCs w:val="20"/>
          <w:color w:val="auto"/>
        </w:rPr>
      </w:pPr>
    </w:p>
    <w:p>
      <w:pPr>
        <w:jc w:val="both"/>
        <w:ind w:firstLine="8"/>
        <w:spacing w:after="0" w:line="252" w:lineRule="auto"/>
        <w:tabs>
          <w:tab w:leader="none" w:pos="25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ASU 2017-04 simplifies the subsequent measurement of goodwill by eliminating “Step 2” from the goodwill impairment test. ASU 2017-04 is effective for nonpublic entities annual or interim goodwill impairment tests in fiscal years beginning after December 15, 2021. Early adoption is permitted for annual goodwill impairment tests performed on testing dates after January 1, 2017. The Company does not expect the adoption of this guidance to have a material impact on its consolidated financial statements.</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ind w:left="660" w:hanging="330"/>
        <w:spacing w:after="0" w:line="253"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8"/>
          <w:szCs w:val="18"/>
          <w:color w:val="auto"/>
        </w:rPr>
      </w:pPr>
    </w:p>
    <w:p>
      <w:pPr>
        <w:ind w:left="660" w:right="20" w:hanging="330"/>
        <w:spacing w:after="0" w:line="249"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ind w:left="660" w:hanging="330"/>
        <w:spacing w:after="0" w:line="258"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ASU is effective for the Company on January 1, 2018. Early adoption is permitted, The Company does not expect the adoption of this ASU to have a material impact on the Company’s consolidated financial statements.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The Company will assess the impact of the ASU while assessing the impact from implementing ASC 606 and 842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Company’s revenue is substantially derived from processing Visa® and MasterCard® bank card transactions. Because the Company is not a Member Bank, in order to process these bank card transactions, the Company maintains sponsorship agreements with three Member Banks as of December 31, 2017, which require, among other things, that the Company abide by the by-laws and regulations of the Card Associations.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Substantially all of the Company’s revenues and receivables are attributable to merchant customer transactions, which are processed primarily by two third-party payment processors.</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Certain prior year amounts in the consolidated financial statements have been reclassified to conform to the current year presentation, with no effect on net income or members’ equity.</w:t>
      </w:r>
    </w:p>
    <w:p>
      <w:pPr>
        <w:spacing w:after="0" w:line="167"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June 19, 2015, Priority Payment Systems Holdings, LLC (“PPSH”), a subsidiary of the Company, entered into a definitive agreement to purchase substantially all merchant acquiring related assets, except those identified as excluded, of American Credit Card Processing Corporation and their affiliates (collectively “ACCPC”). The Company purchased access to the ACCPC’s merchant portfolio (i.e., all merchant portfolios’ rights, title and interests in and to the residuals owed to expand our merchant footprint in the United States). The results of the acquired business are being reported by the Company as part of the Consumer Payments segment. The acquisition was financed via additional debt proceeds.</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transaction was accounted for using the acquisition method. Under the acquisition method, the purchase price was allocated to the underlying tangible and intangible assets acquired and the liabilities assumed based on their respective fair values, with the remainder allocated to goodwill. The goodwill is attributable to the general reputation of the business and the collective experience of the management and employees of the Company. The total amount of goodwill related to this transaction is deductible for tax purposes and included in the Consumer Payments reporting unit.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total purchase consideration was approximately $27.6 million and consisted of cash paid and contingent consideration related to an earnout. The earnout period is defined in the purchase agreement as the period beginning as of June 19, 2015, and for each of the three years thereafter. The minimum possible earnout is $0 and the maximum is $10 million. An earnout achieved, as defined in the purchase agreement, is when the annual growth rate of recurring net revenue received by PPSH with respect to an earnout period has increased over the baseline recurring net revenue by various criteria. The contingent consideration was determined by calculating the future value of the three earnout periods based on management’s expectation of performance of recurring net revenue meeting the various criteria. For the years ended December 31, 2017, 2016 and 2015, the Company recorded a change in fair value of contingent consideration related to ACCPC of $0.4 million, $0.4 million and $0.1 million, respectively, which are included in the consolidated change in fair value of contingent consideration included in the accompanying consolidated statement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acquisition-date fair value of the total consideration transferred:</w:t>
      </w:r>
    </w:p>
    <w:p>
      <w:pPr>
        <w:spacing w:after="0" w:line="21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Purchase consideration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r>
      <w:tr>
        <w:trPr>
          <w:trHeight w:val="215"/>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ACCPC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26,724</w:t>
            </w: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Contingent consideration to ACCPC</w:t>
            </w:r>
          </w:p>
        </w:tc>
        <w:tc>
          <w:tcPr>
            <w:tcW w:w="3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22"/>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27,624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acquisition-date fair value for the assets acquired and liabilities assumed on June 19, 2015 (the acquisition date):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deposits with sponsor banks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5"/>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17,700</w:t>
            </w:r>
          </w:p>
        </w:tc>
      </w:tr>
      <w:tr>
        <w:trPr>
          <w:trHeight w:val="22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9"/>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net assets acquired</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17,984</w:t>
            </w:r>
          </w:p>
        </w:tc>
        <w:tc>
          <w:tcPr>
            <w:tcW w:w="60" w:type="dxa"/>
            <w:vAlign w:val="bottom"/>
          </w:tcPr>
          <w:p>
            <w:pPr>
              <w:spacing w:after="0"/>
              <w:rPr>
                <w:sz w:val="18"/>
                <w:szCs w:val="18"/>
                <w:color w:val="auto"/>
              </w:rPr>
            </w:pPr>
          </w:p>
        </w:tc>
      </w:tr>
      <w:tr>
        <w:trPr>
          <w:trHeight w:val="215"/>
        </w:trPr>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9,640</w:t>
            </w:r>
          </w:p>
        </w:tc>
      </w:tr>
      <w:tr>
        <w:trPr>
          <w:trHeight w:val="222"/>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27,624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w w:val="90"/>
              </w:rPr>
              <w:t>The following table summarizes intangible asset values assigned as follows: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Indicated</w:t>
            </w:r>
          </w:p>
        </w:tc>
        <w:tc>
          <w:tcPr>
            <w:tcW w:w="1680" w:type="dxa"/>
            <w:vAlign w:val="bottom"/>
            <w:gridSpan w:val="2"/>
          </w:tcPr>
          <w:p>
            <w:pPr>
              <w:ind w:left="320"/>
              <w:spacing w:after="0"/>
              <w:rPr>
                <w:sz w:val="20"/>
                <w:szCs w:val="20"/>
                <w:color w:val="auto"/>
              </w:rPr>
            </w:pPr>
            <w:r>
              <w:rPr>
                <w:rFonts w:ascii="Arial" w:cs="Arial" w:eastAsia="Arial" w:hAnsi="Arial"/>
                <w:sz w:val="18"/>
                <w:szCs w:val="18"/>
                <w:b w:val="1"/>
                <w:bCs w:val="1"/>
                <w:color w:val="auto"/>
              </w:rPr>
              <w:t>Estimated</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at</w:t>
            </w:r>
          </w:p>
        </w:tc>
        <w:tc>
          <w:tcPr>
            <w:tcW w:w="1680" w:type="dxa"/>
            <w:vAlign w:val="bottom"/>
            <w:gridSpan w:val="2"/>
          </w:tcPr>
          <w:p>
            <w:pPr>
              <w:ind w:left="320"/>
              <w:spacing w:after="0"/>
              <w:rPr>
                <w:sz w:val="20"/>
                <w:szCs w:val="20"/>
                <w:color w:val="auto"/>
              </w:rPr>
            </w:pPr>
            <w:r>
              <w:rPr>
                <w:rFonts w:ascii="Arial" w:cs="Arial" w:eastAsia="Arial" w:hAnsi="Arial"/>
                <w:sz w:val="18"/>
                <w:szCs w:val="18"/>
                <w:b w:val="1"/>
                <w:bCs w:val="1"/>
                <w:color w:val="auto"/>
              </w:rPr>
              <w:t>Remaining</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3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19, 2015</w:t>
            </w:r>
          </w:p>
        </w:tc>
        <w:tc>
          <w:tcPr>
            <w:tcW w:w="1680" w:type="dxa"/>
            <w:vAlign w:val="bottom"/>
            <w:gridSpan w:val="2"/>
          </w:tcPr>
          <w:p>
            <w:pPr>
              <w:ind w:left="300"/>
              <w:spacing w:after="0"/>
              <w:rPr>
                <w:sz w:val="20"/>
                <w:szCs w:val="20"/>
                <w:color w:val="auto"/>
              </w:rPr>
            </w:pPr>
            <w:r>
              <w:rPr>
                <w:rFonts w:ascii="Arial" w:cs="Arial" w:eastAsia="Arial" w:hAnsi="Arial"/>
                <w:sz w:val="18"/>
                <w:szCs w:val="18"/>
                <w:b w:val="1"/>
                <w:bCs w:val="1"/>
                <w:color w:val="auto"/>
              </w:rPr>
              <w:t>Life (years)</w:t>
            </w:r>
          </w:p>
        </w:tc>
        <w:tc>
          <w:tcPr>
            <w:tcW w:w="2720" w:type="dxa"/>
            <w:vAlign w:val="bottom"/>
          </w:tcPr>
          <w:p>
            <w:pPr>
              <w:ind w:left="520"/>
              <w:spacing w:after="0"/>
              <w:rPr>
                <w:sz w:val="20"/>
                <w:szCs w:val="20"/>
                <w:color w:val="auto"/>
              </w:rPr>
            </w:pPr>
            <w:r>
              <w:rPr>
                <w:rFonts w:ascii="Arial" w:cs="Arial" w:eastAsia="Arial" w:hAnsi="Arial"/>
                <w:sz w:val="18"/>
                <w:szCs w:val="18"/>
                <w:b w:val="1"/>
                <w:bCs w:val="1"/>
                <w:color w:val="auto"/>
              </w:rPr>
              <w:t>Amortization Method</w:t>
            </w:r>
          </w:p>
        </w:tc>
        <w:tc>
          <w:tcPr>
            <w:tcW w:w="0" w:type="dxa"/>
            <w:vAlign w:val="bottom"/>
          </w:tcPr>
          <w:p>
            <w:pPr>
              <w:spacing w:after="0"/>
              <w:rPr>
                <w:sz w:val="1"/>
                <w:szCs w:val="1"/>
                <w:color w:val="auto"/>
              </w:rPr>
            </w:pPr>
          </w:p>
        </w:tc>
      </w:tr>
      <w:tr>
        <w:trPr>
          <w:trHeight w:val="209"/>
        </w:trPr>
        <w:tc>
          <w:tcPr>
            <w:tcW w:w="53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3.0</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Straight-line</w:t>
            </w: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 ISO/Agents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5"/>
              </w:rPr>
              <w:t>11.0</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0"/>
              </w:rPr>
              <w:t>Accelerated - sum-of-the-year’s digits</w:t>
            </w:r>
          </w:p>
        </w:tc>
        <w:tc>
          <w:tcPr>
            <w:tcW w:w="0" w:type="dxa"/>
            <w:vAlign w:val="bottom"/>
          </w:tcPr>
          <w:p>
            <w:pPr>
              <w:spacing w:after="0"/>
              <w:rPr>
                <w:sz w:val="1"/>
                <w:szCs w:val="1"/>
                <w:color w:val="auto"/>
              </w:rPr>
            </w:pP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rPr>
              <w:t>Relationships: Merchants</w:t>
            </w:r>
          </w:p>
        </w:tc>
        <w:tc>
          <w:tcPr>
            <w:tcW w:w="1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15,400</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85"/>
              </w:rPr>
              <w:t>11.0</w:t>
            </w:r>
          </w:p>
        </w:tc>
        <w:tc>
          <w:tcPr>
            <w:tcW w:w="2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0"/>
              </w:rPr>
              <w:t>Accelerated - sum-of-the-year’s digits</w:t>
            </w:r>
          </w:p>
        </w:tc>
        <w:tc>
          <w:tcPr>
            <w:tcW w:w="0" w:type="dxa"/>
            <w:vAlign w:val="bottom"/>
          </w:tcPr>
          <w:p>
            <w:pPr>
              <w:spacing w:after="0"/>
              <w:rPr>
                <w:sz w:val="1"/>
                <w:szCs w:val="1"/>
                <w:color w:val="auto"/>
              </w:rPr>
            </w:pPr>
          </w:p>
        </w:tc>
      </w:tr>
      <w:tr>
        <w:trPr>
          <w:trHeight w:val="222"/>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value of identified intangible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results of operations of ACCPC have been included in the Company’s results since the acquisition date and are not material to the Company’s consolidated financial results. Supplemental pro forma results of operations of the combined entities for the year ended December 31, 2015 have not been presented as the financial impact to the Company’s consolidated financial statements would be immaterial.</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ASSETS AND OBLIGATIONS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has relationships with Member Banks to facilitate payment transactions. These agreements allow the Company to route transactions under the Member Banks’ control and identification numbers to clear card transactions through card networks.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Settlement assets and obligations refer to the process of transferring funds for sales and credits between card issuers and merchants. The standards of the card networks restrict non-members from performing funds settlement or accessing merchant settlement funds, and, instead, require that these funds be in the possession of the Member Bank until the merchant is funded.</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Timing differences, interchange expense, merchant reserves, and exception items cause differences between the amount the Member Bank receives from the card networks and the amount funded to the merchants. Settlement processing assets and obligations represent intermediary balances arising in the settlement process.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terms of the merchant agreements, the sponsor bank has the sole control and primary responsibility for merchant reserve accounts held to minimize credit risk associated with disputed merchant charges. The Company records settlement obligations for amounts payable to merchants for funds not yet collected in settlement from the processor. The principal components of the Company’s settlement assets and obligations at December 31, 2017 and 2016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Settlement Assets</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Due from card processors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Card settlement due from merchants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9"/>
                <w:szCs w:val="19"/>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Settlement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6860" w:type="dxa"/>
            <w:vAlign w:val="bottom"/>
          </w:tcPr>
          <w:p>
            <w:pPr>
              <w:spacing w:after="0"/>
              <w:rPr>
                <w:sz w:val="20"/>
                <w:szCs w:val="20"/>
                <w:color w:val="auto"/>
              </w:rPr>
            </w:pPr>
            <w:r>
              <w:rPr>
                <w:rFonts w:ascii="Arial" w:cs="Arial" w:eastAsia="Arial" w:hAnsi="Arial"/>
                <w:sz w:val="18"/>
                <w:szCs w:val="18"/>
                <w:b w:val="1"/>
                <w:bCs w:val="1"/>
                <w:color w:val="auto"/>
              </w:rPr>
              <w:t>Settlement Obligations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Due to ACH payees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10,474</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4,488</w:t>
            </w:r>
          </w:p>
        </w:tc>
        <w:tc>
          <w:tcPr>
            <w:tcW w:w="60" w:type="dxa"/>
            <w:vAlign w:val="bottom"/>
            <w:shd w:val="clear" w:color="auto" w:fill="CCEEFF"/>
          </w:tcPr>
          <w:p>
            <w:pPr>
              <w:spacing w:after="0"/>
              <w:rPr>
                <w:sz w:val="19"/>
                <w:szCs w:val="19"/>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settlement assets (obligations),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ACH payees are offset by restricted cash.</w:t>
      </w:r>
    </w:p>
    <w:p>
      <w:pPr>
        <w:spacing w:after="0" w:line="219"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ENTITIES</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non-controlling ownership interests in two entities, AME Commerce, Inc. (“AME”) and PayRight Health Solutions, LLC (“PayRight”). AME sells on-demand website services to small sized merchants. PayRight sells online services and point of service offerings to small sized merchants in the healthcare industry. The Company is required to evaluate its unconsolidated affiliates periodically and as circumstances change to determine if an implied controlling interest exists. During the years ended December 31, 2017, 2016, and 2015 the Company evaluated its investments in unconsolidated entities and concluded that the entities are not variable interests and, therefore, are accounted for under the equity method.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Total Investment</w:t>
            </w:r>
          </w:p>
        </w:tc>
      </w:t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9"/>
              </w:rPr>
              <w:t>Ownership Percentage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As of December 31,</w:t>
            </w:r>
          </w:p>
        </w:tc>
      </w:tr>
      <w:tr>
        <w:trPr>
          <w:trHeight w:val="233"/>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88"/>
              </w:rPr>
              <w:t>As of December 31,</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i w:val="1"/>
                <w:iCs w:val="1"/>
                <w:color w:val="auto"/>
                <w:w w:val="89"/>
              </w:rPr>
              <w:t>(in thousands)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Unconsolidated Entity</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19"/>
                <w:szCs w:val="19"/>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AME Commerce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PayRight Health Solutions</w:t>
            </w:r>
          </w:p>
        </w:tc>
        <w:tc>
          <w:tcPr>
            <w:tcW w:w="8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21.8%</w:t>
            </w:r>
          </w:p>
        </w:tc>
        <w:tc>
          <w:tcPr>
            <w:tcW w:w="8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21.8%</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1,101</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r>
    </w:tbl>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an equity method investment in AME. On December 23, 2013, the Company purchased 375,000 shares of Series A Preferred Stock at a stock price of $0.50 per share for a total initial investment of $0.2 million. The Company has acquired additional shares of Series A Preferred Stock since its initial investment; (1) in 2014, 200,000 shares at a price of $0.50 per share for a total investment of $0.1 million and (2) in 2015, 175,000 shares at a price of $0.50 per share for a total investment of $0.1 million. At December 31, 2017 and 2016, the Company has invested $0.4 million in exchange for 750,000 shares for a 14.3% interest and is deemed to have significant influence as a Company unitholder also owns an interest in AME. AME experienced a net loss for the years ended December 31, 2017, 2016 and 2015 of which the Company recorded $16,671, $21,280, and $41,492, respectively, as equity loss in unconsolidated entity.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an equity method investment in PayRight Health Solutions. On September 18, 2015, the Company purchased 3,731,540 units of Class AA Member Units for a total investment of $1.1 million. In addition, $0.3 million in “in-kind” services were provided by Priority to PayRight, and PayRight issued 1,183,171 Units (“Service Units”) to Priority in exchange for these specified IT hosting and infrastructure services. The Service Units were issued and fully vested at closing. As of December 31, 2017 and 2016, the Company has invested $1.4 million in exchange for 3,731,540 shares for a 21.8% interest in PayRight. PayRight experienced a net loss for the years ended December 31, 2017 and 2016, of which the Company recorded $0.1 million and $0.1 million as equity in loss in unconsolidated entity. The net loss of PayRight for the year ended December 31, 2015 was $28,352 and was recorded by the Company as equity in loss of unconsolidated entity.</w:t>
      </w:r>
    </w:p>
    <w:p>
      <w:pPr>
        <w:spacing w:after="0" w:line="189"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notes receivable from sales agents of $7.2 million and $5.6 million as of December 31, 2017 and 2016, respectively. These notes bear an average interest rate of 10.5% and 12.2% as of December 31, 2017 and 2016, respectively. Interest and principal payments on the notes are due at various dates through April 2021.</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terms of the agreements, the Company preserves the right to holdback residual payments due to the applicable sales agents and apply such residuals against future payments due to the Company. Based on the terms of these agreements and historical experience, no reserve has been recorded for uncollectible amounts as of December 31, 2017 and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the notes receivable at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250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4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Maturities</w:t>
            </w:r>
          </w:p>
        </w:tc>
      </w:tr>
      <w:tr>
        <w:trPr>
          <w:trHeight w:val="209"/>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3,442</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w w:val="97"/>
              </w:rPr>
              <w:t>2,377</w:t>
            </w:r>
          </w:p>
        </w:tc>
      </w:tr>
      <w:tr>
        <w:trPr>
          <w:trHeight w:val="215"/>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1,251</w:t>
            </w: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99"/>
              </w:rPr>
              <w:t>179</w:t>
            </w:r>
          </w:p>
        </w:tc>
      </w:tr>
      <w:tr>
        <w:trPr>
          <w:trHeight w:val="222"/>
        </w:trPr>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7,249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7040" w:type="dxa"/>
            <w:vAlign w:val="bottom"/>
          </w:tcPr>
          <w:p>
            <w:pPr>
              <w:ind w:left="200"/>
              <w:spacing w:after="0"/>
              <w:rPr>
                <w:sz w:val="20"/>
                <w:szCs w:val="20"/>
                <w:color w:val="auto"/>
              </w:rPr>
            </w:pPr>
            <w:r>
              <w:rPr>
                <w:rFonts w:ascii="Arial" w:cs="Arial" w:eastAsia="Arial" w:hAnsi="Arial"/>
                <w:sz w:val="18"/>
                <w:szCs w:val="18"/>
                <w:b w:val="1"/>
                <w:bCs w:val="1"/>
                <w:color w:val="auto"/>
              </w:rPr>
              <w:t>GOODWILL AND INTANGIBLE ASSETS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300" w:type="dxa"/>
            <w:vAlign w:val="bottom"/>
            <w:gridSpan w:val="2"/>
          </w:tcPr>
          <w:p>
            <w:pPr>
              <w:spacing w:after="0"/>
              <w:rPr>
                <w:sz w:val="20"/>
                <w:szCs w:val="20"/>
                <w:color w:val="auto"/>
              </w:rPr>
            </w:pPr>
            <w:r>
              <w:rPr>
                <w:rFonts w:ascii="Arial" w:cs="Arial" w:eastAsia="Arial" w:hAnsi="Arial"/>
                <w:sz w:val="18"/>
                <w:szCs w:val="18"/>
                <w:color w:val="auto"/>
                <w:w w:val="97"/>
              </w:rPr>
              <w:t>As of December 31, 2017 and 2016, goodwill and intangible assets consisted of the following:</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0" w:type="dxa"/>
            <w:vAlign w:val="bottom"/>
            <w:shd w:val="clear" w:color="auto" w:fill="CCEEFF"/>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Merchant portfolios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46,716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18"/>
                <w:szCs w:val="18"/>
                <w:color w:val="auto"/>
              </w:rPr>
            </w:pPr>
          </w:p>
        </w:tc>
        <w:tc>
          <w:tcPr>
            <w:tcW w:w="1020" w:type="dxa"/>
            <w:vAlign w:val="bottom"/>
            <w:gridSpan w:val="2"/>
          </w:tcPr>
          <w:p>
            <w:pPr>
              <w:jc w:val="right"/>
              <w:ind w:right="102"/>
              <w:spacing w:after="0"/>
              <w:rPr>
                <w:sz w:val="20"/>
                <w:szCs w:val="20"/>
                <w:color w:val="auto"/>
              </w:rPr>
            </w:pPr>
            <w:r>
              <w:rPr>
                <w:rFonts w:ascii="Arial" w:cs="Arial" w:eastAsia="Arial" w:hAnsi="Arial"/>
                <w:sz w:val="18"/>
                <w:szCs w:val="18"/>
                <w:color w:val="auto"/>
              </w:rPr>
              <w:t>3,390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shd w:val="clear" w:color="auto" w:fill="CCEEFF"/>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Tradename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2,580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Acquired technology (developed internally)</w:t>
            </w:r>
          </w:p>
        </w:tc>
        <w:tc>
          <w:tcPr>
            <w:tcW w:w="220" w:type="dxa"/>
            <w:vAlign w:val="bottom"/>
          </w:tcPr>
          <w:p>
            <w:pPr>
              <w:spacing w:after="0"/>
              <w:rPr>
                <w:sz w:val="18"/>
                <w:szCs w:val="18"/>
                <w:color w:val="auto"/>
              </w:rPr>
            </w:pPr>
          </w:p>
        </w:tc>
        <w:tc>
          <w:tcPr>
            <w:tcW w:w="1020" w:type="dxa"/>
            <w:vAlign w:val="bottom"/>
            <w:gridSpan w:val="2"/>
          </w:tcPr>
          <w:p>
            <w:pPr>
              <w:jc w:val="right"/>
              <w:ind w:right="102"/>
              <w:spacing w:after="0"/>
              <w:rPr>
                <w:sz w:val="20"/>
                <w:szCs w:val="20"/>
                <w:color w:val="auto"/>
              </w:rPr>
            </w:pPr>
            <w:r>
              <w:rPr>
                <w:rFonts w:ascii="Arial" w:cs="Arial" w:eastAsia="Arial" w:hAnsi="Arial"/>
                <w:sz w:val="18"/>
                <w:szCs w:val="18"/>
                <w:color w:val="auto"/>
              </w:rPr>
              <w:t>13,200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51,090</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116,976</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114,493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Merchant portfolios</w:t>
            </w: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(41,915)</w:t>
            </w: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(40,411)</w:t>
            </w:r>
          </w:p>
        </w:tc>
        <w:tc>
          <w:tcPr>
            <w:tcW w:w="0" w:type="dxa"/>
            <w:vAlign w:val="bottom"/>
          </w:tcPr>
          <w:p>
            <w:pPr>
              <w:spacing w:after="0"/>
              <w:rPr>
                <w:sz w:val="1"/>
                <w:szCs w:val="1"/>
                <w:color w:val="auto"/>
              </w:rPr>
            </w:pPr>
          </w:p>
        </w:tc>
      </w:tr>
      <w:tr>
        <w:trPr>
          <w:trHeight w:val="215"/>
        </w:trPr>
        <w:tc>
          <w:tcPr>
            <w:tcW w:w="260" w:type="dxa"/>
            <w:vAlign w:val="bottom"/>
            <w:shd w:val="clear" w:color="auto" w:fill="CCEEFF"/>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Non-compete agreements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(3,243)</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Tradename</w:t>
            </w: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5"/>
        </w:trPr>
        <w:tc>
          <w:tcPr>
            <w:tcW w:w="260" w:type="dxa"/>
            <w:vAlign w:val="bottom"/>
            <w:shd w:val="clear" w:color="auto" w:fill="CCEEFF"/>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Acquired technology (developed internally)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(7,928)</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(21,052)</w:t>
            </w:r>
          </w:p>
        </w:tc>
        <w:tc>
          <w:tcPr>
            <w:tcW w:w="2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(15,107)</w:t>
            </w:r>
          </w:p>
        </w:tc>
        <w:tc>
          <w:tcPr>
            <w:tcW w:w="0" w:type="dxa"/>
            <w:vAlign w:val="bottom"/>
          </w:tcPr>
          <w:p>
            <w:pPr>
              <w:spacing w:after="0"/>
              <w:rPr>
                <w:sz w:val="1"/>
                <w:szCs w:val="1"/>
                <w:color w:val="auto"/>
              </w:rPr>
            </w:pPr>
          </w:p>
        </w:tc>
      </w:tr>
      <w:tr>
        <w:trPr>
          <w:trHeight w:val="209"/>
        </w:trPr>
        <w:tc>
          <w:tcPr>
            <w:tcW w:w="26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(74,914</w:t>
            </w:r>
          </w:p>
        </w:tc>
        <w:tc>
          <w:tcPr>
            <w:tcW w:w="180" w:type="dxa"/>
            <w:vAlign w:val="bottom"/>
            <w:tcBorders>
              <w:top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42,062</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amortization periods for intangible assets at December 31, 2017 and 2016 are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6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Amortization Method</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 Life</w:t>
            </w: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Merchant portfolios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10 years</w:t>
            </w:r>
          </w:p>
        </w:tc>
        <w:tc>
          <w:tcPr>
            <w:tcW w:w="1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Straight-line or double declining</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7.2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years</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years</w:t>
            </w:r>
          </w:p>
        </w:tc>
      </w:tr>
      <w:tr>
        <w:trPr>
          <w:trHeight w:val="215"/>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12 years</w:t>
            </w: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12 years</w:t>
            </w: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Internally developed technology</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6 years</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6 years</w:t>
            </w:r>
          </w:p>
        </w:tc>
      </w:tr>
      <w:tr>
        <w:trPr>
          <w:trHeight w:val="215"/>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10 – 25 years</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Sum of years digits</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14.9 years</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$10.5 million, $11.9 million, and $12.0 million for the years ended December 31, 2017, 2016 and 2015, respectively.</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recorded when an acquisition is made and the purchase price is greater than the fair value assigned to the underlying tangible and intangible assets acquired and the liabilities assumed. In connection with various acquisitions, the Company has recognized $101.5 million of goodwill, all related to the Consumer Payments reporting unit, as of December 31, 2017 and 2016. As the Commercial Payments and Managed Services reporting units have been developed internally and have not been impacted by the addition of goodwill through business combinations, there is no goodwill allocated to these reporting units. There have been no changes to the carrying value of goodwill for years ended December 31, 2017 and 2016. There was no accumulated impairment of goodwill recognized for the years ended December 31, 2017, 2016 or 2015.</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of intangible assets as of December 31, 2017 for the next five years and thereafter is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6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6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w w:val="98"/>
              </w:rPr>
              <w:t>Maturities</w:t>
            </w:r>
          </w:p>
        </w:tc>
      </w:tr>
      <w:tr>
        <w:trPr>
          <w:trHeight w:val="209"/>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8,435</w:t>
            </w: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6,326</w:t>
            </w: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4,736</w:t>
            </w: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3,279</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9,825</w:t>
            </w:r>
          </w:p>
        </w:tc>
      </w:tr>
      <w:tr>
        <w:trPr>
          <w:trHeight w:val="222"/>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Actual amortization expense to be reported in future periods could differ from these estimates as a result of new intangible asset acquisitions, changes in useful lives, and other relevant events or circumstances.</w:t>
      </w:r>
    </w:p>
    <w:p>
      <w:pPr>
        <w:spacing w:after="0" w:line="167"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software as of December 31, 2017 and 2016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15"/>
        </w:trPr>
        <w:tc>
          <w:tcPr>
            <w:tcW w:w="6740" w:type="dxa"/>
            <w:vAlign w:val="bottom"/>
          </w:tcPr>
          <w:p>
            <w:pPr>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6,256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5,658</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15"/>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17,017</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4,965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3,525</w:t>
            </w:r>
          </w:p>
        </w:tc>
        <w:tc>
          <w:tcPr>
            <w:tcW w:w="2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5-10 years</w:t>
            </w:r>
          </w:p>
        </w:tc>
      </w:tr>
      <w:tr>
        <w:trPr>
          <w:trHeight w:val="209"/>
        </w:trPr>
        <w:tc>
          <w:tcPr>
            <w:tcW w:w="6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27,313</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(21,592)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(17,429)</w:t>
            </w:r>
          </w:p>
        </w:tc>
        <w:tc>
          <w:tcPr>
            <w:tcW w:w="1280" w:type="dxa"/>
            <w:vAlign w:val="bottom"/>
          </w:tcPr>
          <w:p>
            <w:pPr>
              <w:spacing w:after="0"/>
              <w:rPr>
                <w:sz w:val="19"/>
                <w:szCs w:val="19"/>
                <w:color w:val="auto"/>
              </w:rPr>
            </w:pPr>
          </w:p>
        </w:tc>
      </w:tr>
      <w:tr>
        <w:trPr>
          <w:trHeight w:val="222"/>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Computer software represents purchased software and internally developed back office and merchant interfacing systems used to assist the reporting of merchant processing transactions and other related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$4.2 million, $2.8 million, and $3.6 million for the years ended December 31, 2017, 2016 and 2015, respectively.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ind w:left="440" w:hanging="432"/>
        <w:spacing w:after="0"/>
        <w:tabs>
          <w:tab w:leader="none" w:pos="4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7"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The Company accrues for certain expenses that have been incurred, which are classified within accounts payable and accrued expenses in the accompanying consolidated balance sheets. Accounts payable and accrued expenses as of December 31, 2017 and 2016 consists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5,101</w:t>
            </w:r>
          </w:p>
        </w:tc>
        <w:tc>
          <w:tcPr>
            <w:tcW w:w="40" w:type="dxa"/>
            <w:vAlign w:val="bottom"/>
          </w:tcPr>
          <w:p>
            <w:pPr>
              <w:spacing w:after="0"/>
              <w:rPr>
                <w:sz w:val="18"/>
                <w:szCs w:val="18"/>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2,581</w:t>
            </w:r>
          </w:p>
        </w:tc>
        <w:tc>
          <w:tcPr>
            <w:tcW w:w="40" w:type="dxa"/>
            <w:vAlign w:val="bottom"/>
            <w:shd w:val="clear" w:color="auto" w:fill="CCEEFF"/>
          </w:tcPr>
          <w:p>
            <w:pPr>
              <w:spacing w:after="0"/>
              <w:rPr>
                <w:sz w:val="19"/>
                <w:szCs w:val="19"/>
                <w:color w:val="auto"/>
              </w:rPr>
            </w:pPr>
          </w:p>
        </w:tc>
      </w:tr>
      <w:tr>
        <w:trPr>
          <w:trHeight w:val="222"/>
        </w:trPr>
        <w:tc>
          <w:tcPr>
            <w:tcW w:w="5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9.</w:t>
            </w:r>
          </w:p>
        </w:tc>
        <w:tc>
          <w:tcPr>
            <w:tcW w:w="8260" w:type="dxa"/>
            <w:vAlign w:val="bottom"/>
          </w:tcPr>
          <w:p>
            <w:pPr>
              <w:ind w:left="200"/>
              <w:spacing w:after="0"/>
              <w:rPr>
                <w:sz w:val="20"/>
                <w:szCs w:val="20"/>
                <w:color w:val="auto"/>
              </w:rPr>
            </w:pPr>
            <w:r>
              <w:rPr>
                <w:rFonts w:ascii="Arial" w:cs="Arial" w:eastAsia="Arial" w:hAnsi="Arial"/>
                <w:sz w:val="18"/>
                <w:szCs w:val="18"/>
                <w:b w:val="1"/>
                <w:bCs w:val="1"/>
                <w:color w:val="auto"/>
              </w:rPr>
              <w:t>LONG-TERM DEBT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8520" w:type="dxa"/>
            <w:vAlign w:val="bottom"/>
            <w:gridSpan w:val="2"/>
          </w:tcPr>
          <w:p>
            <w:pPr>
              <w:spacing w:after="0"/>
              <w:rPr>
                <w:sz w:val="20"/>
                <w:szCs w:val="20"/>
                <w:color w:val="auto"/>
              </w:rPr>
            </w:pPr>
            <w:r>
              <w:rPr>
                <w:rFonts w:ascii="Arial" w:cs="Arial" w:eastAsia="Arial" w:hAnsi="Arial"/>
                <w:sz w:val="18"/>
                <w:szCs w:val="18"/>
                <w:color w:val="auto"/>
              </w:rPr>
              <w:t>Long-term debt as of December 31, 2017 and 2016 consists of the following:</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8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181"/>
        </w:trPr>
        <w:tc>
          <w:tcPr>
            <w:tcW w:w="852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w w:val="92"/>
              </w:rPr>
              <w:t>Term Loan - Senior, matures January 3, 2023 and bears interest at LIBOR plus 6% for 2017 (Actual rate of 7.4% at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9"/>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520" w:type="dxa"/>
            <w:vAlign w:val="bottom"/>
            <w:gridSpan w:val="2"/>
          </w:tcPr>
          <w:p>
            <w:pPr>
              <w:spacing w:after="0" w:line="201" w:lineRule="exact"/>
              <w:rPr>
                <w:sz w:val="20"/>
                <w:szCs w:val="20"/>
                <w:color w:val="auto"/>
              </w:rPr>
            </w:pPr>
            <w:r>
              <w:rPr>
                <w:rFonts w:ascii="Arial" w:cs="Arial" w:eastAsia="Arial" w:hAnsi="Arial"/>
                <w:sz w:val="18"/>
                <w:szCs w:val="18"/>
                <w:color w:val="auto"/>
                <w:w w:val="95"/>
              </w:rPr>
              <w:t>Term Loan - Subordinated, matures July 3, 2023 and bears interest at 5% plus payment-in-kind interest for 2017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520" w:type="dxa"/>
            <w:vAlign w:val="bottom"/>
            <w:gridSpan w:val="2"/>
          </w:tcPr>
          <w:p>
            <w:pPr>
              <w:spacing w:after="0"/>
              <w:rPr>
                <w:sz w:val="20"/>
                <w:szCs w:val="20"/>
                <w:color w:val="auto"/>
              </w:rPr>
            </w:pPr>
            <w:r>
              <w:rPr>
                <w:rFonts w:ascii="Arial" w:cs="Arial" w:eastAsia="Arial" w:hAnsi="Arial"/>
                <w:sz w:val="18"/>
                <w:szCs w:val="18"/>
                <w:color w:val="auto"/>
              </w:rPr>
              <w:t>(Actual rate of 11.3% at December 31, 2017)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Note payable - Term Loan, matures May 21, 2019 and bears interest at Libor plus 3.8% for 2016 (Actual rate of 4.4%</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December 31, 2016)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r>
      <w:tr>
        <w:trPr>
          <w:trHeight w:val="201"/>
        </w:trPr>
        <w:tc>
          <w:tcPr>
            <w:tcW w:w="8520" w:type="dxa"/>
            <w:vAlign w:val="bottom"/>
            <w:gridSpan w:val="2"/>
          </w:tcPr>
          <w:p>
            <w:pPr>
              <w:spacing w:after="0" w:line="201" w:lineRule="exact"/>
              <w:rPr>
                <w:sz w:val="20"/>
                <w:szCs w:val="20"/>
                <w:color w:val="auto"/>
              </w:rPr>
            </w:pPr>
            <w:r>
              <w:rPr>
                <w:rFonts w:ascii="Arial" w:cs="Arial" w:eastAsia="Arial" w:hAnsi="Arial"/>
                <w:sz w:val="18"/>
                <w:szCs w:val="18"/>
                <w:color w:val="auto"/>
                <w:w w:val="93"/>
              </w:rPr>
              <w:t>Note payable - MDTL, matures May 21, 2019 and bears interest at Libor plus 3.8% for 2016 (Actual rate of 4.4% at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52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33,696</w:t>
            </w:r>
          </w:p>
        </w:tc>
      </w:tr>
      <w:tr>
        <w:trPr>
          <w:trHeight w:val="209"/>
        </w:trPr>
        <w:tc>
          <w:tcPr>
            <w:tcW w:w="260" w:type="dxa"/>
            <w:vAlign w:val="bottom"/>
            <w:tcBorders>
              <w:top w:val="single" w:sz="8" w:color="CCEEFF"/>
            </w:tcBorders>
            <w:shd w:val="clear" w:color="auto" w:fill="CCEEFF"/>
          </w:tcPr>
          <w:p>
            <w:pPr>
              <w:spacing w:after="0"/>
              <w:rPr>
                <w:sz w:val="18"/>
                <w:szCs w:val="18"/>
                <w:color w:val="auto"/>
              </w:rPr>
            </w:pPr>
          </w:p>
        </w:tc>
        <w:tc>
          <w:tcPr>
            <w:tcW w:w="82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Debt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283,118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52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5"/>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discounts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r>
      <w:tr>
        <w:trPr>
          <w:trHeight w:val="229"/>
        </w:trPr>
        <w:tc>
          <w:tcPr>
            <w:tcW w:w="8520" w:type="dxa"/>
            <w:vAlign w:val="bottom"/>
            <w:gridSpan w:val="2"/>
          </w:tcPr>
          <w:p>
            <w:pPr>
              <w:spacing w:after="0"/>
              <w:rPr>
                <w:sz w:val="20"/>
                <w:szCs w:val="20"/>
                <w:color w:val="auto"/>
              </w:rPr>
            </w:pPr>
            <w:r>
              <w:rPr>
                <w:rFonts w:ascii="Arial" w:cs="Arial" w:eastAsia="Arial" w:hAnsi="Arial"/>
                <w:sz w:val="18"/>
                <w:szCs w:val="18"/>
                <w:color w:val="auto"/>
              </w:rPr>
              <w:t>Less: deferred financing costs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(4,385)</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r>
      <w:tr>
        <w:trPr>
          <w:trHeight w:val="222"/>
        </w:trPr>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2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long-term debt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267,939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Debt Restructuring</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has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amounts outstanding under the GS Credit Agreement mature on July 3, 2023 and the Credit Agreement matures on January 3, 2023, with the exception of the revolving credit facility which expires on January 2, 2022. There were no amounts outstanding under the revolving credit facility as of December 31, 2017. The 2016 facility, which was refinanced, consisted of a $55.0 million Term Loan, a $45.0 million Multi Draw Term Loan (“MDTL”) and a $5.0 million Revolver, which was due on May 21, 2019.</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Borrowings under the Credit Agreement bear interest at a rate equal to, at the Company’s option, either: (i) the Base rate, as defined in the Credit Agreement, plus the applicable margin or (ii) the London Interbank Offered Rate (LIBOR), plus the applicable margin. The Company is required to make quarterly principal payments of $0.5 million. In addition, the Company is obligated to make certain additional mandatory prepayments based on Excess Cash Flow, as defined in the Credit Agreement. As of December 31, 2017, the mandatory prepayment based on Excess Cash Flow was $5.6 million, which has been included in current portion of long-term debt. Interest is payable monthly or quarterly, depending on the type of borrowing.</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Borrowings under the GS Credit Agreement bear interest at 5% plus the payment-in-kind (PIK) interest rate, as defined in the GS Credit Agreement. All amounts outstanding, under the GS Credit Agreement are due and payable at maturity. Interest is payable quarterly. As of December 31, 2017, the Company was in compliance with the financial covenants. For the year ended December, 31, 2017, the PIK interest added $5.1 million to the principal amount of the subordinated debt, which totaled $85.1 million as of December 31, 2017.</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and the GS Credit Agreement contain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consists of a Total Net Leverage Ratio, as defined in the Credit Agreement and GS Credit Agreement. As of December 31, 2017, the Company was in compliance with the financial covenant.</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determined that the 2017 debt restructuring should be accounted for as a debt extinguishment. The Company recorded an extinguishment loss of approximately $1.8 million, which consisted primarily of certain lender fees incurred in connection with the refinancing, write-offs of unamortized deferred financing fees and original issue discount associated with the extinguishment of the previous debt. Amounts expensed in connection with the refinancing are recorded as a component of interest and other expenses in the accompanying consolidated statement of operations for the year ended December 31, 2017.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On January 18, 2018, the Company amended the Credit Agreement. See Note 18 - Subsequent Events.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$23.8 million, $4.1 million and $3.5 million of interest expense for the years ended December 31, 2017, 2016, and 2015,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the Company’s long-term debt as of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6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6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w w:val="98"/>
              </w:rPr>
              <w:t>Maturities</w:t>
            </w:r>
          </w:p>
        </w:tc>
      </w:tr>
      <w:tr>
        <w:trPr>
          <w:trHeight w:val="209"/>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267,536</w:t>
            </w:r>
          </w:p>
        </w:tc>
      </w:tr>
      <w:tr>
        <w:trPr>
          <w:trHeight w:val="222"/>
        </w:trPr>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283,118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connection with the prior GS Credit Agreement, the Company issued warrants to GS to purchase 1.0% of the Company’s outstanding Class A Common units. The warrants had a term of 7 years, an exercise price of $0 and could have been exercised at any time prior to termination date. Since the obligation was based solely on the fact that the 1.0% interest in equity of the Company was fixed and known at inception as well as the fact that GS could exercise the warrants, with a settlement in cash, any time prior to the expiration date of May 21, 2021, the warrants were required to be recorded as a liability.</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2017 debt restructuring, the 1.0% warrant was extinguished and the Company issued new warrants to GS to purchase 1.8% of the Company’s outstanding Class A common units. The warrants have a term of 7 years, an exercise price of $0 and may be exercised at any time prior to expiration date. Since the obligation is based solely on the fact that the 1.8% interest in equity of the Company is fixed and known at inception as well as the fact that GS may exercise the warrants, with a settlement in cash, any time prior to the expiration date of December 31, 2023, the warrants are required to be recorded as a liability.</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2017 and 2016, the warrants have a fair value of $8.7 million and $4.4 million, respectively, and are presented as a warrant liability of the accompanying consolidated balance sheets. The $4.3 million, $1.2 million and $1.4 million increases in fair value of the warrants for the years ended December 31, 2017, 2016 and 2015, respectively, are included in interest and other expense in the consolidated statements of operations. The interest expense includes $0.5 million, $0.3 million, and $0.3 million of debt discount amortization in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financing costs consist of fees paid to the lenders, attorneys and third-party costs related to execution of the credit facilities. Capitalized deferred financing costs related to the Company’s credit facilities totaled $5.1 million and $1.9 million at December 31, 2017 and 2016, respectively. Deferred financing costs are being amortized using the effective interest method over the remaining term of the respective debt and are recorded as a component of interest expense. The Company recognized interest expense related to the amortization of deferred financing costs of $0.7 million, $0.4 million and $ 0.3 million for the years ended December 31, 2017, 2016 and 2015, respectively. Long-term debt is shown net of deferred financing costs in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has various operating leases for office space and equipment. These leases range in terms from 12 months to 16 years and have rates ranging from $36 per month to $25,840 per month and do not include any renewal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commitments under non-cancelable operating leases with initial or remaining terms in excess of one year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2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Years ending December 31,</w:t>
            </w:r>
          </w:p>
        </w:tc>
        <w:tc>
          <w:tcPr>
            <w:tcW w:w="144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Operating Leases</w:t>
            </w:r>
          </w:p>
        </w:tc>
        <w:tc>
          <w:tcPr>
            <w:tcW w:w="0" w:type="dxa"/>
            <w:vAlign w:val="bottom"/>
          </w:tcPr>
          <w:p>
            <w:pPr>
              <w:spacing w:after="0"/>
              <w:rPr>
                <w:sz w:val="1"/>
                <w:szCs w:val="1"/>
                <w:color w:val="auto"/>
              </w:rPr>
            </w:pPr>
          </w:p>
        </w:tc>
      </w:tr>
      <w:tr>
        <w:trPr>
          <w:trHeight w:val="229"/>
        </w:trPr>
        <w:tc>
          <w:tcPr>
            <w:tcW w:w="3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09"/>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5"/>
        </w:trPr>
        <w:tc>
          <w:tcPr>
            <w:tcW w:w="312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22"/>
        </w:trPr>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Total rent expense for the years ended December 31, 2017, 2016 and 2015 was $1.5 million, $1.3 million and $1.3 million, respectively, which is included in selling, general, and administrative expenses in the accompanying consolidated statements of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2013, Tigrent Group, Inc. et.al. (“Plaintiffs”), filed a complaint against both Cynergy Holdings, LLC et.al. (a subsidiary of the Company) and Bank of America (collectively “Defendants”). The state court complaint alleges, among other things, that the Defendants knowingly or negligently allowed non-party Process America, Inc. (“PA”) to misappropriate funds from Plaintiffs’ bank account. Plaintiffs also allege that the Defendants failed to fulfill their contractual obligations to Plaintiffs under written credit card processing agreements and Defendants willfully, fraudulently or negligently covered up such breaches. Defendants successfully obtained a partial dismissal of Plaintiffs’ claim for vicarious liability and portions of the claim for breach of contract. Remaining causes of action include breach of contract, common law fraud, and negligent misrepresentation. This matter has been settled and resulted in a loss to the Company of $2.2 million, which was recorded as other operating expenses in the accompanying consolidated statement of operations for the year ended December 31,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Through January 3, 2017, the Company had a management services agreement and an annual bonus payout with one of its member owners, Comvest. For the years ended December 31, 2016 and 2015, the Company incurred a total of $0.3 million and $0.4 million, respectively, for the management service fees and annual bonus payout, which are recorded in selling, general and administrative expenses in the accompanying consolidated statement of operations.</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has a management services agreement and an annual bonus payout with PSD Partners, which is owned by a member of Priority Investment Holdings, LLC, which is the member owner of Priority Holdings, LLC. For the years ended December 31, 2017, 2016 and 2015, the Company incurred a total of $0.8 million, $0.8 million and $0.8 million, respectively, for costs related to management service fees, annual bonus payout and occupancy fees, which are recorded in selling, general and administrative expenses in the accompanying consolidated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MEMBERS’ EQUITY</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May 21, 2014 Priority Payment Systems Holdings, LLC (“PPSH”) entered into a definitive agreement to merge with Pipeline Cynergy Holdings, LLC (“PCH”) (the “Plan of Merger”). The merger resulted in the formation of Priority Holdings, LLC (“PH”). The transaction resulted in a change in control effective on the day of the closing, May 21, 2014. As a result of the merger, the membership units in PPSH and PCH ceased to exist and were converted into Class A Preferred units, Class A Common units, Class C common units and cash consideration. Equity interest in the merged entity was issued to former PPSH equityholders in the form of 2,701,342 PH Class A Preferred units, 4,990,000 PH Class A Common units and 1,500,000 PH Class C Common units.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3, 2017, the Company used the proceeds from the 2017 debt restructuring (See Note 9 – Long-Term Debt) to redeem 4,681,590 Class A Common units for $200.0 million (the “Redemption”). Concurrently with the redemption, (i) the Company and its members entered into an amended and restated operating agreement that eliminated the Class A Preferred units and the Class C Common units and (ii) the Plan of Merger was terminated which resulted in the cancellation of related contingent consideration due to the Preferred A unitholders.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2017, the Company entered into a redemption agreement with one of its minority unitholders to redeem their Class A Common units for a total redemption price of $12.2 million. The Company accounted for the Common Unit Repurchase Obligation as a liability because it is required to redeem these Class A Common units for cash. The liability was recorded at fair value at the date of the redemption agreement, which was equal to the redemption value. Under this agreement, the Company redeemed $3.0 million of Class A Common units in April 2017. As of December 31, 2017, the Common Unit Repurchase Obligation had a redemption value of $9.2 million.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Class A common units redeemed in January and April 2017 were then cancelled by the Company. The redemption transactions and the amended and restated operating agreement resulted in a one unitholder gaining control and becoming the majority unitholder of the Company. These changes in the equity structure of the Company have been recorded in the Statement of Changes in Members’ Equity(Deficit) as capital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equity structure of the Company is as follows as of December 31, 2017 and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Authorized</w:t>
            </w: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220" w:type="dxa"/>
            <w:vAlign w:val="bottom"/>
          </w:tcPr>
          <w:p>
            <w:pPr>
              <w:spacing w:after="0"/>
              <w:rPr>
                <w:sz w:val="19"/>
                <w:szCs w:val="19"/>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Authorized</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19"/>
                <w:szCs w:val="19"/>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Preferred Units, non-voting</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Class A Common Units, voting</w:t>
            </w:r>
          </w:p>
        </w:tc>
        <w:tc>
          <w:tcPr>
            <w:tcW w:w="1160" w:type="dxa"/>
            <w:vAlign w:val="bottom"/>
          </w:tcPr>
          <w:p>
            <w:pPr>
              <w:jc w:val="right"/>
              <w:spacing w:after="0"/>
              <w:rPr>
                <w:sz w:val="20"/>
                <w:szCs w:val="20"/>
                <w:color w:val="auto"/>
              </w:rPr>
            </w:pPr>
            <w:r>
              <w:rPr>
                <w:rFonts w:ascii="Arial" w:cs="Arial" w:eastAsia="Arial" w:hAnsi="Arial"/>
                <w:sz w:val="18"/>
                <w:szCs w:val="18"/>
                <w:color w:val="auto"/>
              </w:rPr>
              <w:t>5,249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5,249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5"/>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Units, non-voting</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Class C Common Units, non-voting</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bl>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Members owning Class A Common Units that are vested units shall be entitled to one vote per vested Class A Common Unit. Members that own Class B and/or Class C Common Units shall have no voting rights with respect to such Class B Common Units or Class C Common Units. Member owning Preferred Units shall have no voting rights with respect to such Preferred Units. Members owning any Units will not be liable personally for any debt, obligation or liability of the Company, with the exception of the liability to make Capital Contributions to the Company pursuant to the terms and conditions of any agreements.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Distributions to Members must be approved by the board of directors. Rights to distributions are restricted by class of Unit as described in the Amended and Restated Limited Liability Company Agreement of Priority Holdings, LLC dated as of May 21, 2014. Members owning any Units will be required to return any distribution if made incorrectly. The Company paid distributions to members of $3.4 million, $10.0 million, and $3.7 million to the members during the years ended December 31, 2017, 2016, and 2015 respectively.</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per the Equity Distribution Agreement dated May 21, 2014, shall make the following distributions to PCH Holdings: 0.3% of the first $150.0 million of distributions in respect of the Class A Common Units held by the Priority Members and/or their respective successors and assigns (such distributions, the “reallocated distributions”); provided that each Priority Member shall bear its pro rata share of the reallocated distributions based on (x) the aggregate number of Class A Common Units held by such Priority Member divided by (y) the aggregate number Class A Common Units held by all the Priority Members. For purposes of clarity, the aggregate amount of the reallocated distributions shall not exceed $0.4 million.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Class A Preferred Units were contingently redeemable upon the qualified public offering of the Company of more than $25.0 million. The preferred units had a preferred return accruing daily at the rate of 6% per annum, compounded annually, and contingent upon a change in control as defined in the operating agreement. The redemption value of the Class A Preferred Units was $2.7 million as of December 31, 2016 and all Class A Preferred Units were cancelled on January 3, 2017.</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Subsequent to January 3, 2017, the amended and restated operating agreement calls for distributions on a liquidation basis to be paid first to Class A common unitholders up to amounts specified in the operating agreement, then to Class B (representing profits interests) holders based on amounts defined in the amended and restated operating agreement.</w:t>
      </w:r>
    </w:p>
    <w:p>
      <w:pPr>
        <w:spacing w:after="0" w:line="18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Prior to January 3, 2017, the operating agreement calls for distributions on a liquidation basis to be paid first to Class A common unitholders up to amounts specified in the operating agreement, then to Class B and C common unitholders based on amounts defined in the operating agreement. Upon a change of control distributions of any net proceeds received would be allocated first to Preferred Series A holders to receive distributions up to the sum of the Unreturned Capital of such Preferred Units and the Unpaid Preferred Return thereon, second to Class A Common holders up to amounts specified in the operating agreement, then to Class B (representing profits interests) and Class C common holders based on amounts defined in the operating agreement.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adopted the Pipeline 401(k) Profit Sharing Plan and Trust (“the Plan”) effective January 1, 2010. The Plan name has been changed to the Priority Payment Systems 401(k) Plan. The Plan is a defined contribution savings plan established by Pipeline, an affiliate under common ownership, but the terms of the Plan allow affiliates (including those of the Company) to participate in the plan in order to minimize administrative costs for both companies. The Company may match participant-elective deferrals at its discretion. Contributions may vary from year to year. Discretionary employer contributions to the Plan for the years ended December 31, 2017, 2016 and 2015 were $1.0 million, $0.8 million, and $0.8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INCENTIVE INTEREST PLAN</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2014, as part of the merger with Pipeline Cynergy Holdings, the Company established the Priority Holdings Management Incentive Plan (the “Plan”) pursuant to the Operating Agreement of Priority Holdings, LLC, for which selected Company employees and contractors may be awarded Management Incentive Units representing a fractional part of the interests in Profits, Losses and Distributions of the Company and having the rights and obligations specified with respect to Class B Common Units or such other class of Units as the Board may establish from time to time in the Operating Agreement.</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management incentive interest units are intended to qualify as a compensatory benefit plan within the meaning of Rule 701 of the U.S. Securities Act of 1933 and the issuance of Management Incentive Units pursuant thereto is intended to qualify for the exemption from registration under the Securities Act provided by Rule 701; provided that the foregoing shall not restrict or limit the Company’s ability to issue any Management Incentive Units pursuant to any other exemption from registration under the Securities Act available to the Company. The Management Incentive Units are intended for U.S. federal income tax purposes to be “profits interests” within the meaning of Internal Revenue Service Revenue Procedures 93-27 and 2001-43.</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Under the Plan, the Board of Managers determines the terms and conditions of the profits interests granted. The majority of awards vest over the requisite service period or periods during which an employee is required to provide service in exchange for an award under the incentive interest plan. The profits interest units will vest at a rate of 40% or 20% as of September 21, 2016 and then in evenly across the remaining 3-5 years.</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Concurrently with the Redemption disclosed in Note 12 – Members’ Equity, the Management Incentive Units were adjusted to maintain their pro-rata participation with the remaining membership interests by reducing the total number of units available and outstanding. The adjustment did not impact the value, terms, or vesting conditions of the Management Incentive Units. All employee units forfeited are eligible to be reissued in subsequent grants. Therefore, forfeited units are included in shares available for grant as of the end of each period. A summary of the activity under the plan is presented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Units Available for Grant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Units Granted</w:t>
            </w:r>
          </w:p>
        </w:tc>
        <w:tc>
          <w:tcPr>
            <w:tcW w:w="1140" w:type="dxa"/>
            <w:vAlign w:val="bottom"/>
          </w:tcPr>
          <w:p>
            <w:pPr>
              <w:spacing w:after="0"/>
              <w:rPr>
                <w:sz w:val="20"/>
                <w:szCs w:val="20"/>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9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4020" w:type="dxa"/>
            <w:vAlign w:val="bottom"/>
          </w:tcPr>
          <w:p>
            <w:pPr>
              <w:ind w:left="360"/>
              <w:spacing w:after="0"/>
              <w:rPr>
                <w:sz w:val="20"/>
                <w:szCs w:val="20"/>
                <w:color w:val="auto"/>
              </w:rPr>
            </w:pPr>
            <w:r>
              <w:rPr>
                <w:rFonts w:ascii="Arial" w:cs="Arial" w:eastAsia="Arial" w:hAnsi="Arial"/>
                <w:sz w:val="18"/>
                <w:szCs w:val="18"/>
                <w:color w:val="auto"/>
              </w:rPr>
              <w:t>Units authorized during 2016</w:t>
            </w:r>
          </w:p>
        </w:tc>
        <w:tc>
          <w:tcPr>
            <w:tcW w:w="5040" w:type="dxa"/>
            <w:vAlign w:val="bottom"/>
            <w:gridSpan w:val="3"/>
          </w:tcPr>
          <w:p>
            <w:pPr>
              <w:jc w:val="right"/>
              <w:ind w:right="180"/>
              <w:spacing w:after="0"/>
              <w:rPr>
                <w:sz w:val="20"/>
                <w:szCs w:val="20"/>
                <w:color w:val="auto"/>
              </w:rPr>
            </w:pPr>
            <w:r>
              <w:rPr>
                <w:rFonts w:ascii="Arial" w:cs="Arial" w:eastAsia="Arial" w:hAnsi="Arial"/>
                <w:sz w:val="18"/>
                <w:szCs w:val="18"/>
                <w:color w:val="auto"/>
              </w:rPr>
              <w:t>638,297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29"/>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Units granted during 2016</w:t>
            </w:r>
          </w:p>
        </w:tc>
        <w:tc>
          <w:tcPr>
            <w:tcW w:w="5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(638,297)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638,297</w:t>
            </w:r>
          </w:p>
        </w:tc>
        <w:tc>
          <w:tcPr>
            <w:tcW w:w="1140" w:type="dxa"/>
            <w:vAlign w:val="bottom"/>
          </w:tcPr>
          <w:p>
            <w:pPr>
              <w:spacing w:after="0"/>
              <w:rPr>
                <w:sz w:val="19"/>
                <w:szCs w:val="19"/>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2920" w:type="dxa"/>
            <w:vAlign w:val="bottom"/>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638,297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rata adjustment</w:t>
            </w:r>
          </w:p>
        </w:tc>
        <w:tc>
          <w:tcPr>
            <w:tcW w:w="5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(303,257)</w:t>
            </w:r>
          </w:p>
        </w:tc>
        <w:tc>
          <w:tcPr>
            <w:tcW w:w="1140" w:type="dxa"/>
            <w:vAlign w:val="bottom"/>
          </w:tcPr>
          <w:p>
            <w:pPr>
              <w:spacing w:after="0"/>
              <w:rPr>
                <w:sz w:val="18"/>
                <w:szCs w:val="18"/>
                <w:color w:val="auto"/>
              </w:rPr>
            </w:pPr>
          </w:p>
        </w:tc>
      </w:tr>
      <w:tr>
        <w:trPr>
          <w:trHeight w:val="229"/>
        </w:trPr>
        <w:tc>
          <w:tcPr>
            <w:tcW w:w="4020" w:type="dxa"/>
            <w:vAlign w:val="bottom"/>
          </w:tcPr>
          <w:p>
            <w:pPr>
              <w:ind w:left="360"/>
              <w:spacing w:after="0"/>
              <w:rPr>
                <w:sz w:val="20"/>
                <w:szCs w:val="20"/>
                <w:color w:val="auto"/>
              </w:rPr>
            </w:pPr>
            <w:r>
              <w:rPr>
                <w:rFonts w:ascii="Arial" w:cs="Arial" w:eastAsia="Arial" w:hAnsi="Arial"/>
                <w:sz w:val="18"/>
                <w:szCs w:val="18"/>
                <w:color w:val="auto"/>
              </w:rPr>
              <w:t>Units forfeited during 2017</w:t>
            </w:r>
          </w:p>
        </w:tc>
        <w:tc>
          <w:tcPr>
            <w:tcW w:w="5040" w:type="dxa"/>
            <w:vAlign w:val="bottom"/>
            <w:gridSpan w:val="3"/>
          </w:tcPr>
          <w:p>
            <w:pPr>
              <w:jc w:val="right"/>
              <w:ind w:right="180"/>
              <w:spacing w:after="0"/>
              <w:rPr>
                <w:sz w:val="20"/>
                <w:szCs w:val="20"/>
                <w:color w:val="auto"/>
              </w:rPr>
            </w:pPr>
            <w:r>
              <w:rPr>
                <w:rFonts w:ascii="Arial" w:cs="Arial" w:eastAsia="Arial" w:hAnsi="Arial"/>
                <w:sz w:val="18"/>
                <w:szCs w:val="18"/>
                <w:color w:val="auto"/>
              </w:rPr>
              <w:t>33,504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(33,504)</w:t>
            </w:r>
          </w:p>
        </w:tc>
        <w:tc>
          <w:tcPr>
            <w:tcW w:w="1140" w:type="dxa"/>
            <w:vAlign w:val="bottom"/>
          </w:tcPr>
          <w:p>
            <w:pPr>
              <w:spacing w:after="0"/>
              <w:rPr>
                <w:sz w:val="19"/>
                <w:szCs w:val="19"/>
                <w:color w:val="auto"/>
              </w:rPr>
            </w:pPr>
          </w:p>
        </w:tc>
      </w:tr>
      <w:tr>
        <w:trPr>
          <w:trHeight w:val="222"/>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6"/>
        </w:trPr>
        <w:tc>
          <w:tcPr>
            <w:tcW w:w="40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3"/>
          </w:tcPr>
          <w:p>
            <w:pPr>
              <w:jc w:val="right"/>
              <w:ind w:right="3160"/>
              <w:spacing w:after="0"/>
              <w:rPr>
                <w:sz w:val="20"/>
                <w:szCs w:val="20"/>
                <w:color w:val="auto"/>
              </w:rPr>
            </w:pPr>
            <w:r>
              <w:rPr>
                <w:rFonts w:ascii="Arial" w:cs="Arial" w:eastAsia="Arial" w:hAnsi="Arial"/>
                <w:sz w:val="18"/>
                <w:szCs w:val="18"/>
                <w:color w:val="auto"/>
              </w:rPr>
              <w:t>F-80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spacing w:after="0"/>
              <w:rPr>
                <w:sz w:val="20"/>
                <w:szCs w:val="20"/>
                <w:color w:val="auto"/>
              </w:rPr>
            </w:pPr>
            <w:r>
              <w:rPr>
                <w:rFonts w:ascii="Arial" w:cs="Arial" w:eastAsia="Arial" w:hAnsi="Arial"/>
                <w:sz w:val="18"/>
                <w:szCs w:val="18"/>
                <w:b w:val="1"/>
                <w:bCs w:val="1"/>
                <w:color w:val="auto"/>
                <w:w w:val="94"/>
              </w:rPr>
              <w:t>Weighted-Average Grant-</w:t>
            </w:r>
          </w:p>
        </w:tc>
      </w:tr>
      <w:tr>
        <w:trPr>
          <w:trHeight w:val="233"/>
        </w:trPr>
        <w:tc>
          <w:tcPr>
            <w:tcW w:w="5040" w:type="dxa"/>
            <w:vAlign w:val="bottom"/>
          </w:tcPr>
          <w:p>
            <w:pPr>
              <w:spacing w:after="0"/>
              <w:rPr>
                <w:sz w:val="20"/>
                <w:szCs w:val="20"/>
                <w:color w:val="auto"/>
              </w:rPr>
            </w:pPr>
          </w:p>
        </w:tc>
        <w:tc>
          <w:tcPr>
            <w:tcW w:w="37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Number of Units</w:t>
            </w:r>
          </w:p>
        </w:tc>
        <w:tc>
          <w:tcPr>
            <w:tcW w:w="240" w:type="dxa"/>
            <w:vAlign w:val="bottom"/>
          </w:tcPr>
          <w:p>
            <w:pPr>
              <w:spacing w:after="0"/>
              <w:rPr>
                <w:sz w:val="20"/>
                <w:szCs w:val="20"/>
                <w:color w:val="auto"/>
              </w:rPr>
            </w:pPr>
          </w:p>
        </w:tc>
        <w:tc>
          <w:tcPr>
            <w:tcW w:w="1840" w:type="dxa"/>
            <w:vAlign w:val="bottom"/>
            <w:gridSpan w:val="3"/>
          </w:tcPr>
          <w:p>
            <w:pPr>
              <w:ind w:left="140"/>
              <w:spacing w:after="0"/>
              <w:rPr>
                <w:sz w:val="20"/>
                <w:szCs w:val="20"/>
                <w:color w:val="auto"/>
              </w:rPr>
            </w:pPr>
            <w:r>
              <w:rPr>
                <w:rFonts w:ascii="Arial" w:cs="Arial" w:eastAsia="Arial" w:hAnsi="Arial"/>
                <w:sz w:val="18"/>
                <w:szCs w:val="18"/>
                <w:b w:val="1"/>
                <w:bCs w:val="1"/>
                <w:color w:val="auto"/>
              </w:rPr>
              <w:t>Date Fair Value</w:t>
            </w: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2015</w:t>
            </w:r>
          </w:p>
        </w:tc>
        <w:tc>
          <w:tcPr>
            <w:tcW w:w="2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Vested during 2016</w:t>
            </w:r>
          </w:p>
        </w:tc>
        <w:tc>
          <w:tcPr>
            <w:tcW w:w="3720" w:type="dxa"/>
            <w:vAlign w:val="bottom"/>
            <w:gridSpan w:val="3"/>
          </w:tcPr>
          <w:p>
            <w:pPr>
              <w:jc w:val="right"/>
              <w:ind w:right="220"/>
              <w:spacing w:after="0"/>
              <w:rPr>
                <w:sz w:val="20"/>
                <w:szCs w:val="20"/>
                <w:color w:val="auto"/>
              </w:rPr>
            </w:pPr>
            <w:r>
              <w:rPr>
                <w:rFonts w:ascii="Arial" w:cs="Arial" w:eastAsia="Arial" w:hAnsi="Arial"/>
                <w:sz w:val="18"/>
                <w:szCs w:val="18"/>
                <w:color w:val="auto"/>
              </w:rPr>
              <w:t>184,468</w:t>
            </w:r>
          </w:p>
        </w:tc>
        <w:tc>
          <w:tcPr>
            <w:tcW w:w="24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2016</w:t>
            </w:r>
          </w:p>
        </w:tc>
        <w:tc>
          <w:tcPr>
            <w:tcW w:w="2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184,468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5040" w:type="dxa"/>
            <w:vAlign w:val="bottom"/>
          </w:tcPr>
          <w:p>
            <w:pPr>
              <w:ind w:left="340"/>
              <w:spacing w:after="0"/>
              <w:rPr>
                <w:sz w:val="20"/>
                <w:szCs w:val="20"/>
                <w:color w:val="auto"/>
              </w:rPr>
            </w:pPr>
            <w:r>
              <w:rPr>
                <w:rFonts w:ascii="Arial" w:cs="Arial" w:eastAsia="Arial" w:hAnsi="Arial"/>
                <w:sz w:val="18"/>
                <w:szCs w:val="18"/>
                <w:color w:val="auto"/>
              </w:rPr>
              <w:t>Pro rata adjustment of Vested units</w:t>
            </w:r>
          </w:p>
        </w:tc>
        <w:tc>
          <w:tcPr>
            <w:tcW w:w="3720" w:type="dxa"/>
            <w:vAlign w:val="bottom"/>
            <w:gridSpan w:val="3"/>
          </w:tcPr>
          <w:p>
            <w:pPr>
              <w:jc w:val="right"/>
              <w:ind w:right="160"/>
              <w:spacing w:after="0"/>
              <w:rPr>
                <w:sz w:val="20"/>
                <w:szCs w:val="20"/>
                <w:color w:val="auto"/>
              </w:rPr>
            </w:pPr>
            <w:r>
              <w:rPr>
                <w:rFonts w:ascii="Arial" w:cs="Arial" w:eastAsia="Arial" w:hAnsi="Arial"/>
                <w:sz w:val="18"/>
                <w:szCs w:val="18"/>
                <w:color w:val="auto"/>
              </w:rPr>
              <w:t>(87,641)</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8"/>
                <w:szCs w:val="18"/>
                <w:color w:val="auto"/>
              </w:rPr>
            </w:pPr>
          </w:p>
        </w:tc>
      </w:tr>
      <w:tr>
        <w:trPr>
          <w:trHeight w:val="229"/>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during 2017</w:t>
            </w:r>
          </w:p>
        </w:tc>
        <w:tc>
          <w:tcPr>
            <w:tcW w:w="3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87,111</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9"/>
                <w:szCs w:val="19"/>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Vested units at December 31, 2017</w:t>
            </w:r>
          </w:p>
        </w:tc>
        <w:tc>
          <w:tcPr>
            <w:tcW w:w="22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183,938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spacing w:after="0"/>
              <w:rPr>
                <w:sz w:val="20"/>
                <w:szCs w:val="20"/>
                <w:color w:val="auto"/>
              </w:rPr>
            </w:pPr>
            <w:r>
              <w:rPr>
                <w:rFonts w:ascii="Arial" w:cs="Arial" w:eastAsia="Arial" w:hAnsi="Arial"/>
                <w:sz w:val="18"/>
                <w:szCs w:val="18"/>
                <w:b w:val="1"/>
                <w:bCs w:val="1"/>
                <w:color w:val="auto"/>
                <w:w w:val="94"/>
              </w:rPr>
              <w:t>Weighted-Average Grant-</w:t>
            </w:r>
          </w:p>
        </w:tc>
      </w:tr>
      <w:tr>
        <w:trPr>
          <w:trHeight w:val="233"/>
        </w:trPr>
        <w:tc>
          <w:tcPr>
            <w:tcW w:w="5060" w:type="dxa"/>
            <w:vAlign w:val="bottom"/>
          </w:tcPr>
          <w:p>
            <w:pPr>
              <w:spacing w:after="0"/>
              <w:rPr>
                <w:sz w:val="20"/>
                <w:szCs w:val="20"/>
                <w:color w:val="auto"/>
              </w:rPr>
            </w:pPr>
          </w:p>
        </w:tc>
        <w:tc>
          <w:tcPr>
            <w:tcW w:w="3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Number of Units</w:t>
            </w:r>
          </w:p>
        </w:tc>
        <w:tc>
          <w:tcPr>
            <w:tcW w:w="240" w:type="dxa"/>
            <w:vAlign w:val="bottom"/>
          </w:tcPr>
          <w:p>
            <w:pPr>
              <w:spacing w:after="0"/>
              <w:rPr>
                <w:sz w:val="20"/>
                <w:szCs w:val="20"/>
                <w:color w:val="auto"/>
              </w:rPr>
            </w:pPr>
          </w:p>
        </w:tc>
        <w:tc>
          <w:tcPr>
            <w:tcW w:w="1840" w:type="dxa"/>
            <w:vAlign w:val="bottom"/>
            <w:gridSpan w:val="3"/>
          </w:tcPr>
          <w:p>
            <w:pPr>
              <w:ind w:left="140"/>
              <w:spacing w:after="0"/>
              <w:rPr>
                <w:sz w:val="20"/>
                <w:szCs w:val="20"/>
                <w:color w:val="auto"/>
              </w:rPr>
            </w:pPr>
            <w:r>
              <w:rPr>
                <w:rFonts w:ascii="Arial" w:cs="Arial" w:eastAsia="Arial" w:hAnsi="Arial"/>
                <w:sz w:val="18"/>
                <w:szCs w:val="18"/>
                <w:b w:val="1"/>
                <w:bCs w:val="1"/>
                <w:color w:val="auto"/>
              </w:rPr>
              <w:t>Date Fair Value</w:t>
            </w: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December 31, 2015</w:t>
            </w:r>
          </w:p>
        </w:tc>
        <w:tc>
          <w:tcPr>
            <w:tcW w:w="2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8"/>
                <w:szCs w:val="18"/>
                <w:color w:val="auto"/>
              </w:rPr>
              <w:t>Issued during 2016</w:t>
            </w:r>
          </w:p>
        </w:tc>
        <w:tc>
          <w:tcPr>
            <w:tcW w:w="3700" w:type="dxa"/>
            <w:vAlign w:val="bottom"/>
            <w:gridSpan w:val="3"/>
          </w:tcPr>
          <w:p>
            <w:pPr>
              <w:jc w:val="right"/>
              <w:ind w:right="220"/>
              <w:spacing w:after="0"/>
              <w:rPr>
                <w:sz w:val="20"/>
                <w:szCs w:val="20"/>
                <w:color w:val="auto"/>
              </w:rPr>
            </w:pPr>
            <w:r>
              <w:rPr>
                <w:rFonts w:ascii="Arial" w:cs="Arial" w:eastAsia="Arial" w:hAnsi="Arial"/>
                <w:sz w:val="18"/>
                <w:szCs w:val="18"/>
                <w:color w:val="auto"/>
              </w:rPr>
              <w:t>638,297</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8"/>
                <w:szCs w:val="18"/>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 during 2016</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(184,468)</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9"/>
                <w:szCs w:val="19"/>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Non-vested units at December 31, 2016</w:t>
            </w:r>
          </w:p>
        </w:tc>
        <w:tc>
          <w:tcPr>
            <w:tcW w:w="22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453,829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rata adjustment</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(215,616)</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8"/>
                <w:szCs w:val="18"/>
                <w:color w:val="auto"/>
              </w:rPr>
              <w:t>Vested during 2017</w:t>
            </w:r>
          </w:p>
        </w:tc>
        <w:tc>
          <w:tcPr>
            <w:tcW w:w="3700" w:type="dxa"/>
            <w:vAlign w:val="bottom"/>
            <w:gridSpan w:val="3"/>
          </w:tcPr>
          <w:p>
            <w:pPr>
              <w:jc w:val="right"/>
              <w:ind w:right="160"/>
              <w:spacing w:after="0"/>
              <w:rPr>
                <w:sz w:val="20"/>
                <w:szCs w:val="20"/>
                <w:color w:val="auto"/>
              </w:rPr>
            </w:pPr>
            <w:r>
              <w:rPr>
                <w:rFonts w:ascii="Arial" w:cs="Arial" w:eastAsia="Arial" w:hAnsi="Arial"/>
                <w:sz w:val="18"/>
                <w:szCs w:val="18"/>
                <w:color w:val="auto"/>
              </w:rPr>
              <w:t>(87,111)</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8"/>
                <w:szCs w:val="18"/>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 during 2017</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(33,504)</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9"/>
                <w:szCs w:val="19"/>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Non-vested units at December 31, 2017</w:t>
            </w:r>
          </w:p>
        </w:tc>
        <w:tc>
          <w:tcPr>
            <w:tcW w:w="22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117,598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Unit-based compensation expense was $1.0 million and $2.3 million for years ended December 31, 2017 and 2016. There was no equity-based compensation expense for the year ended December 31, 2015 as the Plan was not active during the year. As of December 31, 2017 there is approximately $1.3 million of total unrecognized compensation cost related to non-vested share units granted under the plan. Under the plan there is no stated exercise price per unit.</w:t>
      </w:r>
    </w:p>
    <w:p>
      <w:pPr>
        <w:spacing w:after="0" w:line="14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To estimate the fair value of at date of grant, the Company utilized an option-pricing method based on the distribution of proceeds as described in the Operating Agreement. The option-pricing method treats common units and preferred units as call options on the equity value of the subject company, with exercise prices based on the liquidation preference of the common and preferred units. The common and preferred units are modeled as a call option that gives its owner the right but not the obligation to exercise the instrument at a pre-determined or exercise price. In the model, the exercise price is based on a comparison with the Company’s equity value rather than, in the case of a “regular” call option, a comparison with a per-share unit price. The option-pricing method has commonly used the Black-Scholes model to price these call options. Key inputs utilized in the method are shown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Grant Date –</w:t>
            </w: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p>
        </w:tc>
        <w:tc>
          <w:tcPr>
            <w:tcW w:w="2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September 2016</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Dividend yield</w:t>
            </w:r>
          </w:p>
        </w:tc>
        <w:tc>
          <w:tcPr>
            <w:tcW w:w="2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380" w:type="dxa"/>
            <w:vAlign w:val="bottom"/>
            <w:gridSpan w:val="3"/>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Risk-free interest rate — The risk-free rate for units granted during the period was determined by using a zero-coupon U.S. Treasury rate for the periods that coincided with the expected terms listed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Expected dividend yield — No routine dividends are currently being paid, or are expected to be paid in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 — The expected volatility is based on the historical volatilities of a group of guideline public companies.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Expected term—estimated time to a liquidity event.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fair value measurements to record fair value adjustments to certain assets and liabilities and to determine fair value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methodology used for the warrant and contingent consideration which are recorded at fair value.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warrant issued by the Company to GS in connection with the credit facility is recorded at fair value on a recurring basis. A current market valuation model is used to estimate the fair value of the Company as the warrant allows GS, as of December 31, 2016, to obtain Class A Common Units representing a 1% interest. In January 2017, these warrants were cancelled and replaced by the issuance of warrants to purchase Class A Common Units representing 1.8% of the outstanding Class A Common Units of the Company. See Note 9 – Long-Term Debt. The Company estimates the fair value of the Company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The Company adjusts the carrying value of the warrant to fair value as determined by the valuation model and recognizes the change in fair value as an increase or decrease in interest and other expense. As such, the Company classifies the warrant subjected to recurring fair value measurement as Level 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 Preferred A Units Earnout</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conjunction with the merger disclosed in Note 1 – Nature of Business and Summary of Significant Accounting Policies, the Company provided a contingent preferred equity earnout plan. A current market valuation model, as described above, is used to estimate the fair value of the Company which, in turn, establishes the value of the preferred equity earnout contingent consideration. The Company adjusts the carrying value of the contingent consideration to fair value as determined by the valuation model and recognizes the change in fair value as “Change in fair value of contingent consideration.” The Company used a multiple of ten times the adjusted EBITDA, and applied a discount of 30% for lack of control and marketability in determining the value of the units. As such, the Company classifies the contingent consideration subjected to recurring fair value measurement as Level 3.</w:t>
      </w:r>
    </w:p>
    <w:p>
      <w:pPr>
        <w:spacing w:after="0" w:line="16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table below presents the recorded amount of the warrants and contingent consideration classified as liabilities measured at fair value on a recurring basis as of December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Level 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Level 3</w:t>
            </w:r>
          </w:p>
        </w:tc>
        <w:tc>
          <w:tcPr>
            <w:tcW w:w="16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322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8,701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8,701</w:t>
            </w:r>
          </w:p>
        </w:tc>
      </w:tr>
      <w:tr>
        <w:trPr>
          <w:trHeight w:val="229"/>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62"/>
        </w:trPr>
        <w:tc>
          <w:tcPr>
            <w:tcW w:w="32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80" w:type="dxa"/>
            <w:vAlign w:val="bottom"/>
            <w:tcBorders>
              <w:bottom w:val="single" w:sz="8" w:color="CCEEFF"/>
            </w:tcBorders>
          </w:tcPr>
          <w:p>
            <w:pPr>
              <w:spacing w:after="0"/>
              <w:rPr>
                <w:sz w:val="22"/>
                <w:szCs w:val="22"/>
                <w:color w:val="auto"/>
              </w:rPr>
            </w:pPr>
          </w:p>
        </w:tc>
      </w:tr>
      <w:tr>
        <w:trPr>
          <w:trHeight w:val="195"/>
        </w:trPr>
        <w:tc>
          <w:tcPr>
            <w:tcW w:w="3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Level 3</w:t>
            </w:r>
          </w:p>
        </w:tc>
        <w:tc>
          <w:tcPr>
            <w:tcW w:w="2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3420" w:type="dxa"/>
            <w:vAlign w:val="bottom"/>
          </w:tcPr>
          <w:p>
            <w:pPr>
              <w:spacing w:after="0"/>
              <w:rPr>
                <w:sz w:val="19"/>
                <w:szCs w:val="19"/>
                <w:color w:val="auto"/>
              </w:rPr>
            </w:pP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2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5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4,353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4,353</w:t>
            </w:r>
          </w:p>
        </w:tc>
        <w:tc>
          <w:tcPr>
            <w:tcW w:w="3420" w:type="dxa"/>
            <w:vAlign w:val="bottom"/>
          </w:tcPr>
          <w:p>
            <w:pPr>
              <w:spacing w:after="0"/>
              <w:rPr>
                <w:sz w:val="18"/>
                <w:szCs w:val="18"/>
                <w:color w:val="auto"/>
              </w:rPr>
            </w:pPr>
          </w:p>
        </w:tc>
      </w:tr>
      <w:tr>
        <w:trPr>
          <w:trHeight w:val="229"/>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4,222</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4,222</w:t>
            </w:r>
          </w:p>
        </w:tc>
        <w:tc>
          <w:tcPr>
            <w:tcW w:w="3420" w:type="dxa"/>
            <w:vAlign w:val="bottom"/>
          </w:tcPr>
          <w:p>
            <w:pPr>
              <w:spacing w:after="0"/>
              <w:rPr>
                <w:sz w:val="19"/>
                <w:szCs w:val="19"/>
                <w:color w:val="auto"/>
              </w:rPr>
            </w:pPr>
          </w:p>
        </w:tc>
      </w:tr>
      <w:tr>
        <w:trPr>
          <w:trHeight w:val="222"/>
        </w:trPr>
        <w:tc>
          <w:tcPr>
            <w:tcW w:w="3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8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626"/>
        </w:trPr>
        <w:tc>
          <w:tcPr>
            <w:tcW w:w="3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F-82</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following table shows a reconciliation of the beginning and ending balances for liabilities measured at fair value on a recurring basis using significant unobservable inputs that are classified as Level 3 in the fair value hierarchy for the years ended December 31, 2017, 2016 and 2015: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2"/>
              <w:spacing w:after="0"/>
              <w:rPr>
                <w:sz w:val="20"/>
                <w:szCs w:val="20"/>
                <w:color w:val="auto"/>
              </w:rPr>
            </w:pPr>
            <w:r>
              <w:rPr>
                <w:rFonts w:ascii="Arial" w:cs="Arial" w:eastAsia="Arial" w:hAnsi="Arial"/>
                <w:sz w:val="18"/>
                <w:szCs w:val="18"/>
                <w:b w:val="1"/>
                <w:bCs w:val="1"/>
                <w:color w:val="auto"/>
                <w:w w:val="90"/>
              </w:rPr>
              <w:t>Contingent</w:t>
            </w:r>
          </w:p>
        </w:tc>
      </w:tr>
      <w:tr>
        <w:trPr>
          <w:trHeight w:val="233"/>
        </w:trPr>
        <w:tc>
          <w:tcPr>
            <w:tcW w:w="6160" w:type="dxa"/>
            <w:vAlign w:val="bottom"/>
          </w:tcPr>
          <w:p>
            <w:pPr>
              <w:spacing w:after="0"/>
              <w:rPr>
                <w:sz w:val="20"/>
                <w:szCs w:val="20"/>
                <w:color w:val="auto"/>
              </w:rPr>
            </w:pPr>
          </w:p>
        </w:tc>
        <w:tc>
          <w:tcPr>
            <w:tcW w:w="2900" w:type="dxa"/>
            <w:vAlign w:val="bottom"/>
            <w:gridSpan w:val="4"/>
          </w:tcPr>
          <w:p>
            <w:pPr>
              <w:ind w:left="1360"/>
              <w:spacing w:after="0"/>
              <w:rPr>
                <w:sz w:val="20"/>
                <w:szCs w:val="20"/>
                <w:color w:val="auto"/>
              </w:rPr>
            </w:pPr>
            <w:r>
              <w:rPr>
                <w:rFonts w:ascii="Arial" w:cs="Arial" w:eastAsia="Arial" w:hAnsi="Arial"/>
                <w:sz w:val="18"/>
                <w:szCs w:val="18"/>
                <w:b w:val="1"/>
                <w:bCs w:val="1"/>
                <w:color w:val="auto"/>
              </w:rPr>
              <w:t>Warrant Liability</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Consideration</w:t>
            </w: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8"/>
                <w:szCs w:val="18"/>
                <w:color w:val="auto"/>
              </w:rPr>
              <w:t>Additional contingent consideration</w:t>
            </w: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900</w:t>
            </w:r>
          </w:p>
        </w:tc>
      </w:tr>
      <w:tr>
        <w:trPr>
          <w:trHeight w:val="22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09"/>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2015</w:t>
            </w:r>
          </w:p>
        </w:tc>
        <w:tc>
          <w:tcPr>
            <w:tcW w:w="13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Borders>
              <w:bottom w:val="single" w:sz="8" w:color="CCEEFF"/>
            </w:tcBorders>
          </w:tcPr>
          <w:p>
            <w:pPr>
              <w:spacing w:after="0"/>
              <w:rPr>
                <w:sz w:val="18"/>
                <w:szCs w:val="18"/>
                <w:color w:val="auto"/>
              </w:rPr>
            </w:pPr>
          </w:p>
        </w:tc>
      </w:tr>
      <w:tr>
        <w:trPr>
          <w:trHeight w:val="20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2016</w:t>
            </w:r>
          </w:p>
        </w:tc>
        <w:tc>
          <w:tcPr>
            <w:tcW w:w="13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Borders>
              <w:bottom w:val="single" w:sz="8" w:color="CCEEFF"/>
            </w:tcBorders>
          </w:tcPr>
          <w:p>
            <w:pPr>
              <w:spacing w:after="0"/>
              <w:rPr>
                <w:sz w:val="18"/>
                <w:szCs w:val="18"/>
                <w:color w:val="auto"/>
              </w:rPr>
            </w:pPr>
          </w:p>
        </w:tc>
      </w:tr>
      <w:tr>
        <w:trPr>
          <w:trHeight w:val="20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Extinguishment of GS 1.0% warrant liability (Note 9)</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8"/>
                <w:szCs w:val="18"/>
                <w:color w:val="auto"/>
              </w:rPr>
              <w:t>GS 1.8% warrant liability (Note 9)</w:t>
            </w: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 and adjustment of contingent consideration (Note 12)</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(4,222)</w:t>
            </w:r>
          </w:p>
        </w:tc>
      </w:tr>
      <w:tr>
        <w:trPr>
          <w:trHeight w:val="229"/>
        </w:trPr>
        <w:tc>
          <w:tcPr>
            <w:tcW w:w="6160" w:type="dxa"/>
            <w:vAlign w:val="bottom"/>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9"/>
                <w:szCs w:val="19"/>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22"/>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the fair value levels during the years ended December 31, 2017, 2016 and 2015.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 To manage the business, the Company’s Chairman and Chief Executive Officer (“CEO”) both collectively serve as the chief operating decision makers (“CODM”). To manage the business, the CODM evaluates the performance and allocate resources based on the operating income of each segment. The operating income of the Consumer Payments segment includes the revenues of the segment less expenses that are directly related to those revenues as well as operating overhead, shared costs and certain compensation costs. The Commercial Payments and Managed Services segment includes the revenues of the segment less only the expenses that are directly related to those revenues. Interest and other income, interest and other expense and equity in income or loss of unconsolidated affiliates are not allocated to the individual segments. The Company does not evaluate the performance of or allocate resources to operating segments using asset data. The accounting policies of the reportable operating segments are the same as those described in the Summary of Significant Accounting Policies in Note 1 – Nature of Business and Summary of Significant Accounting Policies. Below is a summary of each segment:</w:t>
      </w:r>
    </w:p>
    <w:p>
      <w:pPr>
        <w:spacing w:after="0" w:line="169" w:lineRule="exact"/>
        <w:rPr>
          <w:sz w:val="20"/>
          <w:szCs w:val="20"/>
          <w:color w:val="auto"/>
        </w:rPr>
      </w:pPr>
    </w:p>
    <w:p>
      <w:pPr>
        <w:jc w:val="both"/>
        <w:ind w:left="660" w:hanging="330"/>
        <w:spacing w:after="0" w:line="254" w:lineRule="auto"/>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all consumer related services and offerings both merchant acquiring and transaction processing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MX enterprise suite. Either through acquisition of merchant portfolios or through resellers, the Company becomes a party or enters into contracts with a merchant and a sponsoring bank. Pursuant to the contracts, for each card transaction, the sponsoring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91" w:lineRule="exact"/>
        <w:rPr>
          <w:rFonts w:ascii="Arial" w:cs="Arial" w:eastAsia="Arial" w:hAnsi="Arial"/>
          <w:sz w:val="18"/>
          <w:szCs w:val="18"/>
          <w:color w:val="auto"/>
        </w:rPr>
      </w:pPr>
    </w:p>
    <w:p>
      <w:pPr>
        <w:jc w:val="both"/>
        <w:ind w:left="660" w:hanging="330"/>
        <w:spacing w:after="0" w:line="285" w:lineRule="auto"/>
        <w:tabs>
          <w:tab w:leader="none" w:pos="660"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 xml:space="preserve">Commercial Payments and Managed Services – </w:t>
      </w:r>
      <w:r>
        <w:rPr>
          <w:rFonts w:ascii="Arial" w:cs="Arial" w:eastAsia="Arial" w:hAnsi="Arial"/>
          <w:sz w:val="17"/>
          <w:szCs w:val="17"/>
          <w:color w:val="auto"/>
        </w:rPr>
        <w:t>represents services provided to certain enterprise customers. Commercial Payments and Managed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revenue is primarily derived from providing an outsourced sales force to those customers. Commercial Payments and Managed Services also includes accounts payable automation and other various services provided to commercial customers.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Information on segments and reconciliations to consolidated revenues, consolidated operating income and consolidated depreciation and amortization are as follows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400,320</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322,666</w:t>
            </w: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270,610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21,448</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Consolidated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425,619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344,114</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286,244</w:t>
            </w:r>
          </w:p>
        </w:tc>
        <w:tc>
          <w:tcPr>
            <w:tcW w:w="100" w:type="dxa"/>
            <w:vAlign w:val="bottom"/>
            <w:tcBorders>
              <w:bottom w:val="single" w:sz="8" w:color="CCEEFF"/>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33,363</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23,188</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Consolidated operating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14,324</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14,396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15,309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500"/>
              <w:spacing w:after="0"/>
              <w:rPr>
                <w:sz w:val="20"/>
                <w:szCs w:val="20"/>
                <w:color w:val="auto"/>
              </w:rPr>
            </w:pPr>
            <w:r>
              <w:rPr>
                <w:rFonts w:ascii="Arial" w:cs="Arial" w:eastAsia="Arial" w:hAnsi="Arial"/>
                <w:sz w:val="18"/>
                <w:szCs w:val="18"/>
                <w:color w:val="auto"/>
              </w:rPr>
              <w:t>Consolidated depreciation and amortization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14,733</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A reconciliation of total operating income to the Company’s net income is as follows: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80"/>
              <w:spacing w:after="0"/>
              <w:rPr>
                <w:sz w:val="20"/>
                <w:szCs w:val="20"/>
                <w:color w:val="auto"/>
              </w:rPr>
            </w:pPr>
            <w:r>
              <w:rPr>
                <w:rFonts w:ascii="Arial" w:cs="Arial" w:eastAsia="Arial" w:hAnsi="Arial"/>
                <w:sz w:val="18"/>
                <w:szCs w:val="18"/>
                <w:color w:val="auto"/>
              </w:rPr>
              <w:t>Total 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35,249</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25,840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Interest expense, net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rPr>
              <w:t>Less: Equity in loss of unconsolidated entities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5560"/>
              <w:spacing w:after="0"/>
              <w:rPr>
                <w:sz w:val="20"/>
                <w:szCs w:val="20"/>
                <w:color w:val="auto"/>
              </w:rPr>
            </w:pPr>
            <w:r>
              <w:rPr>
                <w:rFonts w:ascii="Arial" w:cs="Arial" w:eastAsia="Arial" w:hAnsi="Arial"/>
                <w:sz w:val="18"/>
                <w:szCs w:val="18"/>
                <w:color w:val="auto"/>
              </w:rPr>
              <w:t>F-84</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674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1" w:right="2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total assets for each reportable segment as of December 31, 2017 and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2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582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5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216,345</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213,351</w:t>
            </w:r>
          </w:p>
        </w:tc>
        <w:tc>
          <w:tcPr>
            <w:tcW w:w="80" w:type="dxa"/>
            <w:vAlign w:val="bottom"/>
          </w:tcPr>
          <w:p>
            <w:pPr>
              <w:spacing w:after="0"/>
              <w:rPr>
                <w:sz w:val="18"/>
                <w:szCs w:val="18"/>
                <w:color w:val="auto"/>
              </w:rPr>
            </w:pP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50,362</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42,699</w:t>
            </w:r>
          </w:p>
        </w:tc>
        <w:tc>
          <w:tcPr>
            <w:tcW w:w="80" w:type="dxa"/>
            <w:vAlign w:val="bottom"/>
            <w:shd w:val="clear" w:color="auto" w:fill="CCEEFF"/>
          </w:tcPr>
          <w:p>
            <w:pPr>
              <w:spacing w:after="0"/>
              <w:rPr>
                <w:sz w:val="19"/>
                <w:szCs w:val="19"/>
                <w:color w:val="auto"/>
              </w:rPr>
            </w:pPr>
          </w:p>
        </w:tc>
      </w:tr>
      <w:tr>
        <w:trPr>
          <w:trHeight w:val="222"/>
        </w:trPr>
        <w:tc>
          <w:tcPr>
            <w:tcW w:w="5820" w:type="dxa"/>
            <w:vAlign w:val="bottom"/>
          </w:tcPr>
          <w:p>
            <w:pPr>
              <w:ind w:left="500"/>
              <w:spacing w:after="0"/>
              <w:rPr>
                <w:sz w:val="20"/>
                <w:szCs w:val="20"/>
                <w:color w:val="auto"/>
              </w:rPr>
            </w:pPr>
            <w:r>
              <w:rPr>
                <w:rFonts w:ascii="Arial" w:cs="Arial" w:eastAsia="Arial" w:hAnsi="Arial"/>
                <w:sz w:val="18"/>
                <w:szCs w:val="18"/>
                <w:color w:val="auto"/>
              </w:rPr>
              <w:t>Consolidated assets</w:t>
            </w:r>
          </w:p>
        </w:tc>
        <w:tc>
          <w:tcPr>
            <w:tcW w:w="2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266,707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The Company’s results of operations and financial condition are not significantly reliant upon any single customer for the years ended December 31, 2017, 2016 and 2015. Substantially all revenues are generated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UNIT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the Company’s basic and diluted earnings per unit: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2"/>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 except per unit data)</w:t>
            </w:r>
          </w:p>
        </w:tc>
        <w:tc>
          <w:tcPr>
            <w:tcW w:w="1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4,594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20,186</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9,267</w:t>
            </w:r>
          </w:p>
        </w:tc>
        <w:tc>
          <w:tcPr>
            <w:tcW w:w="120" w:type="dxa"/>
            <w:vAlign w:val="bottom"/>
          </w:tcPr>
          <w:p>
            <w:pPr>
              <w:spacing w:after="0"/>
              <w:rPr>
                <w:sz w:val="18"/>
                <w:szCs w:val="18"/>
                <w:color w:val="auto"/>
              </w:rPr>
            </w:pPr>
          </w:p>
        </w:tc>
      </w:tr>
      <w:tr>
        <w:trPr>
          <w:trHeight w:val="22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Income allocated to participating securities</w:t>
            </w: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09"/>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available to common unitholders</w:t>
            </w:r>
          </w:p>
        </w:tc>
        <w:tc>
          <w:tcPr>
            <w:tcW w:w="1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20,085</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9,211</w:t>
            </w:r>
          </w:p>
        </w:tc>
        <w:tc>
          <w:tcPr>
            <w:tcW w:w="120" w:type="dxa"/>
            <w:vAlign w:val="bottom"/>
            <w:tcBorders>
              <w:bottom w:val="single" w:sz="8" w:color="CCEEFF"/>
            </w:tcBorders>
          </w:tcPr>
          <w:p>
            <w:pPr>
              <w:spacing w:after="0"/>
              <w:rPr>
                <w:sz w:val="18"/>
                <w:szCs w:val="18"/>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Weighted average units outstanding – basic and diluted</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5,098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r>
      <w:tr>
        <w:trPr>
          <w:trHeight w:val="222"/>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unit</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2017 and 2016, there were 301,536 and 638,297 non-voting Class B units as well as warrants to issue 1.8% and 1% of the outstanding Class A Common units of the Company that are anti-dilutive. There were no dilutive common unit equivalents for the years ended December 31, 2017, 2016 and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Subsequent events have been evaluated from the balance sheet date through April 18, 2018, the date on which the condensed consolidated financial statements were available to be issued.</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11, 2018, the Company increased its senior debt by $67.5 million and amended the GS warrant to increase from 1.8% to 2.2% of Class A Common units. The proceeds of the loan were used for the redemptions described below.</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January 17, 2018, the Company redeemed 115,751 Class A Common units for $5.0 million and 295,834 Class A Common units for $26.0 million. On January 19, 2018, the Company redeemed 445,410 Class A Common Units for $39.0 million. On February 23, 2018, the Company redeemed 96,999 Class A Common Units for $4.2 million. These redemptions resulted in Priority being 100% owned and held by one unitholder.</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26, 2018, as amended, the unitholders of the Company entered into a contribution agreement with M I Acquisitions, Inc. (“MI”), a special purpose acquisition corporation, pursuant to which MI agreed to acquire all of the outstanding equity interests of the Company.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22"/>
          <w:szCs w:val="22"/>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300990</wp:posOffset>
            </wp:positionV>
            <wp:extent cx="7247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SECOND AMENDED AND RESTATED</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CONTRIBUTION AGREEMENT</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2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April 17, 2018</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between</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PRIORITY INVESTMENT HOLDINGS, LLC,</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PRIORITY INCENTIVE EQUITY HOLDINGS, LLC</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M I ACQUISITIONS,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153670</wp:posOffset>
            </wp:positionV>
            <wp:extent cx="7247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605790</wp:posOffset>
            </wp:positionV>
            <wp:extent cx="7247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892" w:right="23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700" w:type="dxa"/>
            <w:vAlign w:val="bottom"/>
          </w:tcPr>
          <w:p>
            <w:pPr>
              <w:ind w:left="260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1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80" w:type="dxa"/>
            <w:vAlign w:val="bottom"/>
            <w:gridSpan w:val="2"/>
          </w:tcPr>
          <w:p>
            <w:pPr>
              <w:ind w:left="2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010000"/>
              </w:rPr>
              <w:t xml:space="preserve">ARTICLE I </w:t>
            </w:r>
            <w:r>
              <w:rPr>
                <w:rFonts w:ascii="Arial" w:cs="Arial" w:eastAsia="Arial" w:hAnsi="Arial"/>
                <w:sz w:val="18"/>
                <w:szCs w:val="18"/>
                <w:color w:val="000000"/>
              </w:rPr>
              <w:t>DEFINITIONS</w:t>
            </w:r>
          </w:p>
        </w:tc>
        <w:tc>
          <w:tcPr>
            <w:tcW w:w="67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 xml:space="preserve">ARTICLE II </w:t>
            </w:r>
            <w:r>
              <w:rPr>
                <w:rFonts w:ascii="Arial" w:cs="Arial" w:eastAsia="Arial" w:hAnsi="Arial"/>
                <w:sz w:val="18"/>
                <w:szCs w:val="18"/>
                <w:color w:val="000000"/>
              </w:rPr>
              <w:t>PURCHASE AND SALE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2.01</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and Sale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2.02</w:t>
            </w:r>
          </w:p>
        </w:tc>
        <w:tc>
          <w:tcPr>
            <w:tcW w:w="6700" w:type="dxa"/>
            <w:vAlign w:val="bottom"/>
          </w:tcPr>
          <w:p>
            <w:pPr>
              <w:ind w:left="140"/>
              <w:spacing w:after="0"/>
              <w:rPr>
                <w:sz w:val="20"/>
                <w:szCs w:val="20"/>
                <w:color w:val="auto"/>
              </w:rPr>
            </w:pPr>
            <w:r>
              <w:rPr>
                <w:rFonts w:ascii="Arial" w:cs="Arial" w:eastAsia="Arial" w:hAnsi="Arial"/>
                <w:sz w:val="18"/>
                <w:szCs w:val="18"/>
                <w:color w:val="auto"/>
              </w:rPr>
              <w:t>Consideration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2.03</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2.04</w:t>
            </w:r>
          </w:p>
        </w:tc>
        <w:tc>
          <w:tcPr>
            <w:tcW w:w="6700" w:type="dxa"/>
            <w:vAlign w:val="bottom"/>
          </w:tcPr>
          <w:p>
            <w:pPr>
              <w:ind w:left="140"/>
              <w:spacing w:after="0"/>
              <w:rPr>
                <w:sz w:val="20"/>
                <w:szCs w:val="20"/>
                <w:color w:val="auto"/>
              </w:rPr>
            </w:pPr>
            <w:r>
              <w:rPr>
                <w:rFonts w:ascii="Arial" w:cs="Arial" w:eastAsia="Arial" w:hAnsi="Arial"/>
                <w:sz w:val="18"/>
                <w:szCs w:val="18"/>
                <w:color w:val="auto"/>
              </w:rPr>
              <w:t>Pre-Closing Deliveries</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2.05</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Closing Deliveries and Payments by Buyer</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2.06</w:t>
            </w:r>
          </w:p>
        </w:tc>
        <w:tc>
          <w:tcPr>
            <w:tcW w:w="6700" w:type="dxa"/>
            <w:vAlign w:val="bottom"/>
          </w:tcPr>
          <w:p>
            <w:pPr>
              <w:ind w:left="140"/>
              <w:spacing w:after="0"/>
              <w:rPr>
                <w:sz w:val="20"/>
                <w:szCs w:val="20"/>
                <w:color w:val="auto"/>
              </w:rPr>
            </w:pPr>
            <w:r>
              <w:rPr>
                <w:rFonts w:ascii="Arial" w:cs="Arial" w:eastAsia="Arial" w:hAnsi="Arial"/>
                <w:sz w:val="18"/>
                <w:szCs w:val="18"/>
                <w:color w:val="auto"/>
              </w:rPr>
              <w:t>Closing Deliveries by Sellers</w:t>
            </w:r>
          </w:p>
        </w:tc>
        <w:tc>
          <w:tcPr>
            <w:tcW w:w="2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2.07</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Board of Directors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 xml:space="preserve">ARTICLE III </w:t>
            </w:r>
            <w:r>
              <w:rPr>
                <w:rFonts w:ascii="Arial" w:cs="Arial" w:eastAsia="Arial" w:hAnsi="Arial"/>
                <w:sz w:val="18"/>
                <w:szCs w:val="18"/>
                <w:color w:val="000000"/>
              </w:rPr>
              <w:t>REPRESENTATIONS AND WARRANTIES OF SELLERS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3.01</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Organization and Good Standing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3.02</w:t>
            </w:r>
          </w:p>
        </w:tc>
        <w:tc>
          <w:tcPr>
            <w:tcW w:w="6700" w:type="dxa"/>
            <w:vAlign w:val="bottom"/>
          </w:tcPr>
          <w:p>
            <w:pPr>
              <w:ind w:left="140"/>
              <w:spacing w:after="0"/>
              <w:rPr>
                <w:sz w:val="20"/>
                <w:szCs w:val="20"/>
                <w:color w:val="auto"/>
              </w:rPr>
            </w:pPr>
            <w:r>
              <w:rPr>
                <w:rFonts w:ascii="Arial" w:cs="Arial" w:eastAsia="Arial" w:hAnsi="Arial"/>
                <w:sz w:val="18"/>
                <w:szCs w:val="18"/>
                <w:color w:val="auto"/>
              </w:rPr>
              <w:t>Authorization; Validity of Agreements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3.03</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Consents and Approvals; No Violations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3.04</w:t>
            </w:r>
          </w:p>
        </w:tc>
        <w:tc>
          <w:tcPr>
            <w:tcW w:w="6700" w:type="dxa"/>
            <w:vAlign w:val="bottom"/>
          </w:tcPr>
          <w:p>
            <w:pPr>
              <w:ind w:left="140"/>
              <w:spacing w:after="0"/>
              <w:rPr>
                <w:sz w:val="20"/>
                <w:szCs w:val="20"/>
                <w:color w:val="auto"/>
              </w:rPr>
            </w:pPr>
            <w:r>
              <w:rPr>
                <w:rFonts w:ascii="Arial" w:cs="Arial" w:eastAsia="Arial" w:hAnsi="Arial"/>
                <w:sz w:val="18"/>
                <w:szCs w:val="18"/>
                <w:color w:val="auto"/>
              </w:rPr>
              <w:t>Capitalization and Ownership</w:t>
            </w:r>
          </w:p>
        </w:tc>
        <w:tc>
          <w:tcPr>
            <w:tcW w:w="25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3.05</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3.06</w:t>
            </w:r>
          </w:p>
        </w:tc>
        <w:tc>
          <w:tcPr>
            <w:tcW w:w="6700" w:type="dxa"/>
            <w:vAlign w:val="bottom"/>
          </w:tcPr>
          <w:p>
            <w:pPr>
              <w:ind w:left="140"/>
              <w:spacing w:after="0"/>
              <w:rPr>
                <w:sz w:val="20"/>
                <w:szCs w:val="20"/>
                <w:color w:val="auto"/>
              </w:rPr>
            </w:pPr>
            <w:r>
              <w:rPr>
                <w:rFonts w:ascii="Arial" w:cs="Arial" w:eastAsia="Arial" w:hAnsi="Arial"/>
                <w:sz w:val="18"/>
                <w:szCs w:val="18"/>
                <w:color w:val="auto"/>
              </w:rPr>
              <w:t>No Undisclosed Liabilities</w:t>
            </w:r>
          </w:p>
        </w:tc>
        <w:tc>
          <w:tcPr>
            <w:tcW w:w="25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3.07</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Absence of Certain Changes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3.08</w:t>
            </w:r>
          </w:p>
        </w:tc>
        <w:tc>
          <w:tcPr>
            <w:tcW w:w="6700" w:type="dxa"/>
            <w:vAlign w:val="bottom"/>
          </w:tcPr>
          <w:p>
            <w:pPr>
              <w:ind w:left="140"/>
              <w:spacing w:after="0"/>
              <w:rPr>
                <w:sz w:val="20"/>
                <w:szCs w:val="20"/>
                <w:color w:val="auto"/>
              </w:rPr>
            </w:pPr>
            <w:r>
              <w:rPr>
                <w:rFonts w:ascii="Arial" w:cs="Arial" w:eastAsia="Arial" w:hAnsi="Arial"/>
                <w:sz w:val="18"/>
                <w:szCs w:val="18"/>
                <w:color w:val="auto"/>
              </w:rPr>
              <w:t>Real Property</w:t>
            </w:r>
          </w:p>
        </w:tc>
        <w:tc>
          <w:tcPr>
            <w:tcW w:w="2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3.09</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Proceedings; Orders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3.10</w:t>
            </w:r>
          </w:p>
        </w:tc>
        <w:tc>
          <w:tcPr>
            <w:tcW w:w="6700" w:type="dxa"/>
            <w:vAlign w:val="bottom"/>
          </w:tcPr>
          <w:p>
            <w:pPr>
              <w:ind w:left="140"/>
              <w:spacing w:after="0"/>
              <w:rPr>
                <w:sz w:val="20"/>
                <w:szCs w:val="20"/>
                <w:color w:val="auto"/>
              </w:rPr>
            </w:pPr>
            <w:r>
              <w:rPr>
                <w:rFonts w:ascii="Arial" w:cs="Arial" w:eastAsia="Arial" w:hAnsi="Arial"/>
                <w:sz w:val="18"/>
                <w:szCs w:val="18"/>
                <w:color w:val="auto"/>
              </w:rPr>
              <w:t>Compliance with Laws; Permits</w:t>
            </w:r>
          </w:p>
        </w:tc>
        <w:tc>
          <w:tcPr>
            <w:tcW w:w="25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3.11</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Intellectual Property</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3.12</w:t>
            </w:r>
          </w:p>
        </w:tc>
        <w:tc>
          <w:tcPr>
            <w:tcW w:w="6700" w:type="dxa"/>
            <w:vAlign w:val="bottom"/>
          </w:tcPr>
          <w:p>
            <w:pPr>
              <w:ind w:left="140"/>
              <w:spacing w:after="0"/>
              <w:rPr>
                <w:sz w:val="20"/>
                <w:szCs w:val="20"/>
                <w:color w:val="auto"/>
              </w:rPr>
            </w:pPr>
            <w:r>
              <w:rPr>
                <w:rFonts w:ascii="Arial" w:cs="Arial" w:eastAsia="Arial" w:hAnsi="Arial"/>
                <w:sz w:val="18"/>
                <w:szCs w:val="18"/>
                <w:color w:val="auto"/>
              </w:rPr>
              <w:t>Title to Assets</w:t>
            </w:r>
          </w:p>
        </w:tc>
        <w:tc>
          <w:tcPr>
            <w:tcW w:w="25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3.13</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 Contracts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3.14</w:t>
            </w:r>
          </w:p>
        </w:tc>
        <w:tc>
          <w:tcPr>
            <w:tcW w:w="6700" w:type="dxa"/>
            <w:vAlign w:val="bottom"/>
          </w:tcPr>
          <w:p>
            <w:pPr>
              <w:ind w:left="140"/>
              <w:spacing w:after="0"/>
              <w:rPr>
                <w:sz w:val="20"/>
                <w:szCs w:val="20"/>
                <w:color w:val="auto"/>
              </w:rPr>
            </w:pPr>
            <w:r>
              <w:rPr>
                <w:rFonts w:ascii="Arial" w:cs="Arial" w:eastAsia="Arial" w:hAnsi="Arial"/>
                <w:sz w:val="18"/>
                <w:szCs w:val="18"/>
                <w:color w:val="auto"/>
              </w:rPr>
              <w:t>Insurance Coverage</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3.15</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Environmental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3.16</w:t>
            </w:r>
          </w:p>
        </w:tc>
        <w:tc>
          <w:tcPr>
            <w:tcW w:w="6700" w:type="dxa"/>
            <w:vAlign w:val="bottom"/>
          </w:tcPr>
          <w:p>
            <w:pPr>
              <w:ind w:left="140"/>
              <w:spacing w:after="0"/>
              <w:rPr>
                <w:sz w:val="20"/>
                <w:szCs w:val="20"/>
                <w:color w:val="auto"/>
              </w:rPr>
            </w:pPr>
            <w:r>
              <w:rPr>
                <w:rFonts w:ascii="Arial" w:cs="Arial" w:eastAsia="Arial" w:hAnsi="Arial"/>
                <w:sz w:val="18"/>
                <w:szCs w:val="18"/>
                <w:color w:val="auto"/>
              </w:rPr>
              <w:t>Employee Benefit Plans</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3.17</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Labor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3.18</w:t>
            </w:r>
          </w:p>
        </w:tc>
        <w:tc>
          <w:tcPr>
            <w:tcW w:w="6700" w:type="dxa"/>
            <w:vAlign w:val="bottom"/>
          </w:tcPr>
          <w:p>
            <w:pPr>
              <w:ind w:left="140"/>
              <w:spacing w:after="0"/>
              <w:rPr>
                <w:sz w:val="20"/>
                <w:szCs w:val="20"/>
                <w:color w:val="auto"/>
              </w:rPr>
            </w:pPr>
            <w:r>
              <w:rPr>
                <w:rFonts w:ascii="Arial" w:cs="Arial" w:eastAsia="Arial" w:hAnsi="Arial"/>
                <w:sz w:val="18"/>
                <w:szCs w:val="18"/>
                <w:color w:val="auto"/>
              </w:rPr>
              <w:t>Taxes</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3.19</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Brokers or Finders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3.20</w:t>
            </w:r>
          </w:p>
        </w:tc>
        <w:tc>
          <w:tcPr>
            <w:tcW w:w="6700" w:type="dxa"/>
            <w:vAlign w:val="bottom"/>
          </w:tcPr>
          <w:p>
            <w:pPr>
              <w:ind w:left="140"/>
              <w:spacing w:after="0"/>
              <w:rPr>
                <w:sz w:val="20"/>
                <w:szCs w:val="20"/>
                <w:color w:val="auto"/>
              </w:rPr>
            </w:pPr>
            <w:r>
              <w:rPr>
                <w:rFonts w:ascii="Arial" w:cs="Arial" w:eastAsia="Arial" w:hAnsi="Arial"/>
                <w:sz w:val="18"/>
                <w:szCs w:val="18"/>
                <w:color w:val="auto"/>
              </w:rPr>
              <w:t>Affiliate Transactions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3.21</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Suppliers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3.22</w:t>
            </w:r>
          </w:p>
        </w:tc>
        <w:tc>
          <w:tcPr>
            <w:tcW w:w="6700" w:type="dxa"/>
            <w:vAlign w:val="bottom"/>
          </w:tcPr>
          <w:p>
            <w:pPr>
              <w:ind w:left="140"/>
              <w:spacing w:after="0"/>
              <w:rPr>
                <w:sz w:val="20"/>
                <w:szCs w:val="20"/>
                <w:color w:val="auto"/>
              </w:rPr>
            </w:pPr>
            <w:r>
              <w:rPr>
                <w:rFonts w:ascii="Arial" w:cs="Arial" w:eastAsia="Arial" w:hAnsi="Arial"/>
                <w:sz w:val="18"/>
                <w:szCs w:val="18"/>
                <w:color w:val="auto"/>
              </w:rPr>
              <w:t>Merchants; Merchant Accounts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3.23</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ISOs; Sales Agent Contracts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3.24</w:t>
            </w:r>
          </w:p>
        </w:tc>
        <w:tc>
          <w:tcPr>
            <w:tcW w:w="6700" w:type="dxa"/>
            <w:vAlign w:val="bottom"/>
          </w:tcPr>
          <w:p>
            <w:pPr>
              <w:ind w:left="140"/>
              <w:spacing w:after="0"/>
              <w:rPr>
                <w:sz w:val="20"/>
                <w:szCs w:val="20"/>
                <w:color w:val="auto"/>
              </w:rPr>
            </w:pPr>
            <w:r>
              <w:rPr>
                <w:rFonts w:ascii="Arial" w:cs="Arial" w:eastAsia="Arial" w:hAnsi="Arial"/>
                <w:sz w:val="18"/>
                <w:szCs w:val="18"/>
                <w:color w:val="auto"/>
              </w:rPr>
              <w:t>Certain Business Practices</w:t>
            </w:r>
          </w:p>
        </w:tc>
        <w:tc>
          <w:tcPr>
            <w:tcW w:w="25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3.25</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Laundering Laws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3.26</w:t>
            </w:r>
          </w:p>
        </w:tc>
        <w:tc>
          <w:tcPr>
            <w:tcW w:w="6700" w:type="dxa"/>
            <w:vAlign w:val="bottom"/>
          </w:tcPr>
          <w:p>
            <w:pPr>
              <w:ind w:left="140"/>
              <w:spacing w:after="0"/>
              <w:rPr>
                <w:sz w:val="20"/>
                <w:szCs w:val="20"/>
                <w:color w:val="auto"/>
              </w:rPr>
            </w:pPr>
            <w:r>
              <w:rPr>
                <w:rFonts w:ascii="Arial" w:cs="Arial" w:eastAsia="Arial" w:hAnsi="Arial"/>
                <w:sz w:val="18"/>
                <w:szCs w:val="18"/>
                <w:color w:val="auto"/>
              </w:rPr>
              <w:t>OFAC</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3.27</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for Investment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660"/>
              <w:spacing w:after="0"/>
              <w:rPr>
                <w:sz w:val="20"/>
                <w:szCs w:val="20"/>
                <w:color w:val="auto"/>
              </w:rPr>
            </w:pPr>
            <w:r>
              <w:rPr>
                <w:rFonts w:ascii="Arial" w:cs="Arial" w:eastAsia="Arial" w:hAnsi="Arial"/>
                <w:sz w:val="18"/>
                <w:szCs w:val="18"/>
                <w:color w:val="010000"/>
              </w:rPr>
              <w:t>Section 3.28</w:t>
            </w:r>
          </w:p>
        </w:tc>
        <w:tc>
          <w:tcPr>
            <w:tcW w:w="6700" w:type="dxa"/>
            <w:vAlign w:val="bottom"/>
          </w:tcPr>
          <w:p>
            <w:pPr>
              <w:ind w:left="140"/>
              <w:spacing w:after="0"/>
              <w:rPr>
                <w:sz w:val="20"/>
                <w:szCs w:val="20"/>
                <w:color w:val="auto"/>
              </w:rPr>
            </w:pPr>
            <w:r>
              <w:rPr>
                <w:rFonts w:ascii="Arial" w:cs="Arial" w:eastAsia="Arial" w:hAnsi="Arial"/>
                <w:sz w:val="18"/>
                <w:szCs w:val="18"/>
                <w:color w:val="auto"/>
              </w:rPr>
              <w:t>No Additional Representations or Warranties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15"/>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 xml:space="preserve">ARTICLE IV </w:t>
            </w:r>
            <w:r>
              <w:rPr>
                <w:rFonts w:ascii="Arial" w:cs="Arial" w:eastAsia="Arial" w:hAnsi="Arial"/>
                <w:sz w:val="18"/>
                <w:szCs w:val="18"/>
                <w:color w:val="000000"/>
              </w:rPr>
              <w:t>REPRESENTATIONS AND WARRANTIES OF BUYER</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5"/>
        </w:trPr>
        <w:tc>
          <w:tcPr>
            <w:tcW w:w="21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4.01</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Organization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4.02</w:t>
            </w:r>
          </w:p>
        </w:tc>
        <w:tc>
          <w:tcPr>
            <w:tcW w:w="6640" w:type="dxa"/>
            <w:vAlign w:val="bottom"/>
          </w:tcPr>
          <w:p>
            <w:pPr>
              <w:ind w:left="120"/>
              <w:spacing w:after="0"/>
              <w:rPr>
                <w:sz w:val="20"/>
                <w:szCs w:val="20"/>
                <w:color w:val="auto"/>
              </w:rPr>
            </w:pPr>
            <w:r>
              <w:rPr>
                <w:rFonts w:ascii="Arial" w:cs="Arial" w:eastAsia="Arial" w:hAnsi="Arial"/>
                <w:sz w:val="18"/>
                <w:szCs w:val="18"/>
                <w:color w:val="auto"/>
              </w:rPr>
              <w:t>Authorization; Validity of Agreement</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4.03</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Consents and Approvals; No Violations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4.04</w:t>
            </w:r>
          </w:p>
        </w:tc>
        <w:tc>
          <w:tcPr>
            <w:tcW w:w="6640" w:type="dxa"/>
            <w:vAlign w:val="bottom"/>
          </w:tcPr>
          <w:p>
            <w:pPr>
              <w:ind w:left="120"/>
              <w:spacing w:after="0"/>
              <w:rPr>
                <w:sz w:val="20"/>
                <w:szCs w:val="20"/>
                <w:color w:val="auto"/>
              </w:rPr>
            </w:pPr>
            <w:r>
              <w:rPr>
                <w:rFonts w:ascii="Arial" w:cs="Arial" w:eastAsia="Arial" w:hAnsi="Arial"/>
                <w:sz w:val="18"/>
                <w:szCs w:val="18"/>
                <w:color w:val="auto"/>
              </w:rPr>
              <w:t>Proceedings; Orders</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4.05</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Capitalization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4.06</w:t>
            </w:r>
          </w:p>
        </w:tc>
        <w:tc>
          <w:tcPr>
            <w:tcW w:w="6640" w:type="dxa"/>
            <w:vAlign w:val="bottom"/>
          </w:tcPr>
          <w:p>
            <w:pPr>
              <w:ind w:left="120"/>
              <w:spacing w:after="0"/>
              <w:rPr>
                <w:sz w:val="20"/>
                <w:szCs w:val="20"/>
                <w:color w:val="auto"/>
              </w:rPr>
            </w:pPr>
            <w:r>
              <w:rPr>
                <w:rFonts w:ascii="Arial" w:cs="Arial" w:eastAsia="Arial" w:hAnsi="Arial"/>
                <w:sz w:val="18"/>
                <w:szCs w:val="18"/>
                <w:color w:val="auto"/>
              </w:rPr>
              <w:t>Trust Account</w:t>
            </w:r>
          </w:p>
        </w:tc>
        <w:tc>
          <w:tcPr>
            <w:tcW w:w="2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4.07</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Listing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4.08</w:t>
            </w:r>
          </w:p>
        </w:tc>
        <w:tc>
          <w:tcPr>
            <w:tcW w:w="6640" w:type="dxa"/>
            <w:vAlign w:val="bottom"/>
          </w:tcPr>
          <w:p>
            <w:pPr>
              <w:ind w:left="120"/>
              <w:spacing w:after="0"/>
              <w:rPr>
                <w:sz w:val="20"/>
                <w:szCs w:val="20"/>
                <w:color w:val="auto"/>
              </w:rPr>
            </w:pPr>
            <w:r>
              <w:rPr>
                <w:rFonts w:ascii="Arial" w:cs="Arial" w:eastAsia="Arial" w:hAnsi="Arial"/>
                <w:sz w:val="18"/>
                <w:szCs w:val="18"/>
                <w:color w:val="auto"/>
              </w:rPr>
              <w:t>Buyer Reports; Financial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4.09</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Company Act; JOBS Act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4.10</w:t>
            </w:r>
          </w:p>
        </w:tc>
        <w:tc>
          <w:tcPr>
            <w:tcW w:w="6640" w:type="dxa"/>
            <w:vAlign w:val="bottom"/>
          </w:tcPr>
          <w:p>
            <w:pPr>
              <w:ind w:left="120"/>
              <w:spacing w:after="0"/>
              <w:rPr>
                <w:sz w:val="20"/>
                <w:szCs w:val="20"/>
                <w:color w:val="auto"/>
              </w:rPr>
            </w:pPr>
            <w:r>
              <w:rPr>
                <w:rFonts w:ascii="Arial" w:cs="Arial" w:eastAsia="Arial" w:hAnsi="Arial"/>
                <w:sz w:val="18"/>
                <w:szCs w:val="18"/>
                <w:color w:val="auto"/>
              </w:rPr>
              <w:t>Affiliate Transactions</w:t>
            </w:r>
          </w:p>
        </w:tc>
        <w:tc>
          <w:tcPr>
            <w:tcW w:w="2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4.11</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Buyer Material Contracts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4.12</w:t>
            </w:r>
          </w:p>
        </w:tc>
        <w:tc>
          <w:tcPr>
            <w:tcW w:w="6640" w:type="dxa"/>
            <w:vAlign w:val="bottom"/>
          </w:tcPr>
          <w:p>
            <w:pPr>
              <w:ind w:left="120"/>
              <w:spacing w:after="0"/>
              <w:rPr>
                <w:sz w:val="20"/>
                <w:szCs w:val="20"/>
                <w:color w:val="auto"/>
              </w:rPr>
            </w:pPr>
            <w:r>
              <w:rPr>
                <w:rFonts w:ascii="Arial" w:cs="Arial" w:eastAsia="Arial" w:hAnsi="Arial"/>
                <w:sz w:val="18"/>
                <w:szCs w:val="18"/>
                <w:color w:val="auto"/>
              </w:rPr>
              <w:t>Information Supplied</w:t>
            </w:r>
          </w:p>
        </w:tc>
        <w:tc>
          <w:tcPr>
            <w:tcW w:w="2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4.13</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Buyer Tax Matters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4.14</w:t>
            </w:r>
          </w:p>
        </w:tc>
        <w:tc>
          <w:tcPr>
            <w:tcW w:w="6640" w:type="dxa"/>
            <w:vAlign w:val="bottom"/>
          </w:tcPr>
          <w:p>
            <w:pPr>
              <w:ind w:left="120"/>
              <w:spacing w:after="0"/>
              <w:rPr>
                <w:sz w:val="20"/>
                <w:szCs w:val="20"/>
                <w:color w:val="auto"/>
              </w:rPr>
            </w:pPr>
            <w:r>
              <w:rPr>
                <w:rFonts w:ascii="Arial" w:cs="Arial" w:eastAsia="Arial" w:hAnsi="Arial"/>
                <w:sz w:val="18"/>
                <w:szCs w:val="18"/>
                <w:color w:val="auto"/>
              </w:rPr>
              <w:t>Business Activities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4.15</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for Investment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4.16</w:t>
            </w:r>
          </w:p>
        </w:tc>
        <w:tc>
          <w:tcPr>
            <w:tcW w:w="6640" w:type="dxa"/>
            <w:vAlign w:val="bottom"/>
          </w:tcPr>
          <w:p>
            <w:pPr>
              <w:ind w:left="120"/>
              <w:spacing w:after="0"/>
              <w:rPr>
                <w:sz w:val="20"/>
                <w:szCs w:val="20"/>
                <w:color w:val="auto"/>
              </w:rPr>
            </w:pPr>
            <w:r>
              <w:rPr>
                <w:rFonts w:ascii="Arial" w:cs="Arial" w:eastAsia="Arial" w:hAnsi="Arial"/>
                <w:sz w:val="18"/>
                <w:szCs w:val="18"/>
                <w:color w:val="auto"/>
              </w:rPr>
              <w:t>Brokers or Finders</w:t>
            </w:r>
          </w:p>
        </w:tc>
        <w:tc>
          <w:tcPr>
            <w:tcW w:w="2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4.17</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Independent Investigation by Buyer; No Reliance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5"/>
        </w:trPr>
        <w:tc>
          <w:tcPr>
            <w:tcW w:w="21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010000"/>
              </w:rPr>
              <w:t xml:space="preserve">ARTICLE V </w:t>
            </w:r>
            <w:r>
              <w:rPr>
                <w:rFonts w:ascii="Arial" w:cs="Arial" w:eastAsia="Arial" w:hAnsi="Arial"/>
                <w:sz w:val="18"/>
                <w:szCs w:val="18"/>
                <w:color w:val="000000"/>
              </w:rPr>
              <w:t>COVENANTS</w:t>
            </w:r>
          </w:p>
        </w:tc>
        <w:tc>
          <w:tcPr>
            <w:tcW w:w="66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5"/>
        </w:trPr>
        <w:tc>
          <w:tcPr>
            <w:tcW w:w="21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5.01</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Conduct of the Company’s Business Pending the Closing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5.02</w:t>
            </w:r>
          </w:p>
        </w:tc>
        <w:tc>
          <w:tcPr>
            <w:tcW w:w="6640" w:type="dxa"/>
            <w:vAlign w:val="bottom"/>
          </w:tcPr>
          <w:p>
            <w:pPr>
              <w:ind w:left="120"/>
              <w:spacing w:after="0"/>
              <w:rPr>
                <w:sz w:val="20"/>
                <w:szCs w:val="20"/>
                <w:color w:val="auto"/>
              </w:rPr>
            </w:pPr>
            <w:r>
              <w:rPr>
                <w:rFonts w:ascii="Arial" w:cs="Arial" w:eastAsia="Arial" w:hAnsi="Arial"/>
                <w:sz w:val="18"/>
                <w:szCs w:val="18"/>
                <w:color w:val="auto"/>
              </w:rPr>
              <w:t>Conduct of Buyer’s Business Pending the Closing</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5.03</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Access to Information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5.04</w:t>
            </w:r>
          </w:p>
        </w:tc>
        <w:tc>
          <w:tcPr>
            <w:tcW w:w="6640" w:type="dxa"/>
            <w:vAlign w:val="bottom"/>
          </w:tcPr>
          <w:p>
            <w:pPr>
              <w:ind w:left="120"/>
              <w:spacing w:after="0"/>
              <w:rPr>
                <w:sz w:val="20"/>
                <w:szCs w:val="20"/>
                <w:color w:val="auto"/>
              </w:rPr>
            </w:pPr>
            <w:r>
              <w:rPr>
                <w:rFonts w:ascii="Arial" w:cs="Arial" w:eastAsia="Arial" w:hAnsi="Arial"/>
                <w:sz w:val="18"/>
                <w:szCs w:val="18"/>
                <w:color w:val="auto"/>
              </w:rPr>
              <w:t>Form 8-K Filings</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5.05</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Proxy Statement; Buyer Stockholders’ Meeting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5.06</w:t>
            </w:r>
          </w:p>
        </w:tc>
        <w:tc>
          <w:tcPr>
            <w:tcW w:w="6640" w:type="dxa"/>
            <w:vAlign w:val="bottom"/>
          </w:tcPr>
          <w:p>
            <w:pPr>
              <w:ind w:left="120"/>
              <w:spacing w:after="0"/>
              <w:rPr>
                <w:sz w:val="20"/>
                <w:szCs w:val="20"/>
                <w:color w:val="auto"/>
              </w:rPr>
            </w:pPr>
            <w:r>
              <w:rPr>
                <w:rFonts w:ascii="Arial" w:cs="Arial" w:eastAsia="Arial" w:hAnsi="Arial"/>
                <w:sz w:val="18"/>
                <w:szCs w:val="18"/>
                <w:color w:val="auto"/>
              </w:rPr>
              <w:t>Exclusivity</w:t>
            </w:r>
          </w:p>
        </w:tc>
        <w:tc>
          <w:tcPr>
            <w:tcW w:w="2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5.07</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Listing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5.08</w:t>
            </w:r>
          </w:p>
        </w:tc>
        <w:tc>
          <w:tcPr>
            <w:tcW w:w="6640" w:type="dxa"/>
            <w:vAlign w:val="bottom"/>
          </w:tcPr>
          <w:p>
            <w:pPr>
              <w:ind w:left="120"/>
              <w:spacing w:after="0"/>
              <w:rPr>
                <w:sz w:val="20"/>
                <w:szCs w:val="20"/>
                <w:color w:val="auto"/>
              </w:rPr>
            </w:pPr>
            <w:r>
              <w:rPr>
                <w:rFonts w:ascii="Arial" w:cs="Arial" w:eastAsia="Arial" w:hAnsi="Arial"/>
                <w:sz w:val="18"/>
                <w:szCs w:val="18"/>
                <w:color w:val="auto"/>
              </w:rPr>
              <w:t>Related Party Contracts</w:t>
            </w:r>
          </w:p>
        </w:tc>
        <w:tc>
          <w:tcPr>
            <w:tcW w:w="2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5.09</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Updates to the Disclosure Letter</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5.10</w:t>
            </w:r>
          </w:p>
        </w:tc>
        <w:tc>
          <w:tcPr>
            <w:tcW w:w="6640" w:type="dxa"/>
            <w:vAlign w:val="bottom"/>
          </w:tcPr>
          <w:p>
            <w:pPr>
              <w:ind w:left="120"/>
              <w:spacing w:after="0"/>
              <w:rPr>
                <w:sz w:val="20"/>
                <w:szCs w:val="20"/>
                <w:color w:val="auto"/>
              </w:rPr>
            </w:pPr>
            <w:r>
              <w:rPr>
                <w:rFonts w:ascii="Arial" w:cs="Arial" w:eastAsia="Arial" w:hAnsi="Arial"/>
                <w:sz w:val="18"/>
                <w:szCs w:val="18"/>
                <w:color w:val="auto"/>
              </w:rPr>
              <w:t>Reasonable Best Efforts; Further Assurances</w:t>
            </w:r>
          </w:p>
        </w:tc>
        <w:tc>
          <w:tcPr>
            <w:tcW w:w="2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5.11</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Filings/Consents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5.12</w:t>
            </w:r>
          </w:p>
        </w:tc>
        <w:tc>
          <w:tcPr>
            <w:tcW w:w="664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5.13</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Tax Matters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5.14</w:t>
            </w:r>
          </w:p>
        </w:tc>
        <w:tc>
          <w:tcPr>
            <w:tcW w:w="6640" w:type="dxa"/>
            <w:vAlign w:val="bottom"/>
          </w:tcPr>
          <w:p>
            <w:pPr>
              <w:ind w:left="120"/>
              <w:spacing w:after="0"/>
              <w:rPr>
                <w:sz w:val="20"/>
                <w:szCs w:val="20"/>
                <w:color w:val="auto"/>
              </w:rPr>
            </w:pPr>
            <w:r>
              <w:rPr>
                <w:rFonts w:ascii="Arial" w:cs="Arial" w:eastAsia="Arial" w:hAnsi="Arial"/>
                <w:sz w:val="18"/>
                <w:szCs w:val="18"/>
                <w:color w:val="auto"/>
              </w:rPr>
              <w:t>No Claim Against Trust Account</w:t>
            </w:r>
          </w:p>
        </w:tc>
        <w:tc>
          <w:tcPr>
            <w:tcW w:w="2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5.15</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Earnout Incentive Plan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5.16</w:t>
            </w:r>
          </w:p>
        </w:tc>
        <w:tc>
          <w:tcPr>
            <w:tcW w:w="6640" w:type="dxa"/>
            <w:vAlign w:val="bottom"/>
          </w:tcPr>
          <w:p>
            <w:pPr>
              <w:ind w:left="120"/>
              <w:spacing w:after="0"/>
              <w:rPr>
                <w:sz w:val="20"/>
                <w:szCs w:val="20"/>
                <w:color w:val="auto"/>
              </w:rPr>
            </w:pPr>
            <w:r>
              <w:rPr>
                <w:rFonts w:ascii="Arial" w:cs="Arial" w:eastAsia="Arial" w:hAnsi="Arial"/>
                <w:sz w:val="18"/>
                <w:szCs w:val="18"/>
                <w:color w:val="auto"/>
              </w:rPr>
              <w:t>D&amp;O Insurance</w:t>
            </w:r>
          </w:p>
        </w:tc>
        <w:tc>
          <w:tcPr>
            <w:tcW w:w="2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5.17</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Trust Extension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5.18</w:t>
            </w:r>
          </w:p>
        </w:tc>
        <w:tc>
          <w:tcPr>
            <w:tcW w:w="6640" w:type="dxa"/>
            <w:vAlign w:val="bottom"/>
          </w:tcPr>
          <w:p>
            <w:pPr>
              <w:ind w:left="120"/>
              <w:spacing w:after="0"/>
              <w:rPr>
                <w:sz w:val="20"/>
                <w:szCs w:val="20"/>
                <w:color w:val="auto"/>
              </w:rPr>
            </w:pPr>
            <w:r>
              <w:rPr>
                <w:rFonts w:ascii="Arial" w:cs="Arial" w:eastAsia="Arial" w:hAnsi="Arial"/>
                <w:sz w:val="18"/>
                <w:szCs w:val="18"/>
                <w:color w:val="auto"/>
              </w:rPr>
              <w:t>Goldman Warrant</w:t>
            </w: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8820" w:type="dxa"/>
            <w:vAlign w:val="bottom"/>
            <w:gridSpan w:val="2"/>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010000"/>
              </w:rPr>
              <w:t xml:space="preserve">ARTICLE VI </w:t>
            </w:r>
            <w:r>
              <w:rPr>
                <w:rFonts w:ascii="Arial" w:cs="Arial" w:eastAsia="Arial" w:hAnsi="Arial"/>
                <w:sz w:val="18"/>
                <w:szCs w:val="18"/>
                <w:color w:val="000000"/>
              </w:rPr>
              <w:t>CONDITIONS TO CLOSING</w:t>
            </w: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218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6.01</w:t>
            </w:r>
          </w:p>
        </w:tc>
        <w:tc>
          <w:tcPr>
            <w:tcW w:w="6640" w:type="dxa"/>
            <w:vAlign w:val="bottom"/>
          </w:tcPr>
          <w:p>
            <w:pPr>
              <w:ind w:left="120"/>
              <w:spacing w:after="0"/>
              <w:rPr>
                <w:sz w:val="20"/>
                <w:szCs w:val="20"/>
                <w:color w:val="auto"/>
              </w:rPr>
            </w:pPr>
            <w:r>
              <w:rPr>
                <w:rFonts w:ascii="Arial" w:cs="Arial" w:eastAsia="Arial" w:hAnsi="Arial"/>
                <w:sz w:val="18"/>
                <w:szCs w:val="18"/>
                <w:color w:val="auto"/>
              </w:rPr>
              <w:t>Conditions to Obligation of Each Party</w:t>
            </w: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6.02</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Conditions to Obligation of Buyer</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6.03</w:t>
            </w:r>
          </w:p>
        </w:tc>
        <w:tc>
          <w:tcPr>
            <w:tcW w:w="6640" w:type="dxa"/>
            <w:vAlign w:val="bottom"/>
          </w:tcPr>
          <w:p>
            <w:pPr>
              <w:ind w:left="120"/>
              <w:spacing w:after="0"/>
              <w:rPr>
                <w:sz w:val="20"/>
                <w:szCs w:val="20"/>
                <w:color w:val="auto"/>
              </w:rPr>
            </w:pPr>
            <w:r>
              <w:rPr>
                <w:rFonts w:ascii="Arial" w:cs="Arial" w:eastAsia="Arial" w:hAnsi="Arial"/>
                <w:sz w:val="18"/>
                <w:szCs w:val="18"/>
                <w:color w:val="auto"/>
              </w:rPr>
              <w:t>Conditions to Obligation of Sellers</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6.04</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Failure or Waiver of Conditions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215"/>
        </w:trPr>
        <w:tc>
          <w:tcPr>
            <w:tcW w:w="8920" w:type="dxa"/>
            <w:vAlign w:val="bottom"/>
            <w:gridSpan w:val="4"/>
            <w:shd w:val="clear" w:color="auto" w:fill="CCEEFF"/>
          </w:tcPr>
          <w:p>
            <w:pPr>
              <w:spacing w:after="0"/>
              <w:rPr>
                <w:sz w:val="20"/>
                <w:szCs w:val="20"/>
                <w:color w:val="auto"/>
              </w:rPr>
            </w:pPr>
            <w:r>
              <w:rPr>
                <w:rFonts w:ascii="Arial" w:cs="Arial" w:eastAsia="Arial" w:hAnsi="Arial"/>
                <w:sz w:val="18"/>
                <w:szCs w:val="18"/>
                <w:color w:val="010000"/>
              </w:rPr>
              <w:t xml:space="preserve">ARTICLE VII </w:t>
            </w:r>
            <w:r>
              <w:rPr>
                <w:rFonts w:ascii="Arial" w:cs="Arial" w:eastAsia="Arial" w:hAnsi="Arial"/>
                <w:sz w:val="18"/>
                <w:szCs w:val="18"/>
                <w:color w:val="000000"/>
              </w:rPr>
              <w:t>TERMINATION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6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7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7.01</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Grounds for Termination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7.02</w:t>
            </w:r>
          </w:p>
        </w:tc>
        <w:tc>
          <w:tcPr>
            <w:tcW w:w="7000" w:type="dxa"/>
            <w:vAlign w:val="bottom"/>
          </w:tcPr>
          <w:p>
            <w:pPr>
              <w:ind w:left="380"/>
              <w:spacing w:after="0"/>
              <w:rPr>
                <w:sz w:val="20"/>
                <w:szCs w:val="20"/>
                <w:color w:val="auto"/>
              </w:rPr>
            </w:pPr>
            <w:r>
              <w:rPr>
                <w:rFonts w:ascii="Arial" w:cs="Arial" w:eastAsia="Arial" w:hAnsi="Arial"/>
                <w:sz w:val="18"/>
                <w:szCs w:val="18"/>
                <w:color w:val="auto"/>
              </w:rPr>
              <w:t>Procedure and Effect of Termination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7.03</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Effect of Termination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00" w:type="dxa"/>
            <w:vAlign w:val="bottom"/>
          </w:tcPr>
          <w:p>
            <w:pPr>
              <w:spacing w:after="0"/>
              <w:rPr>
                <w:sz w:val="18"/>
                <w:szCs w:val="18"/>
                <w:color w:val="auto"/>
              </w:rPr>
            </w:pPr>
          </w:p>
        </w:tc>
        <w:tc>
          <w:tcPr>
            <w:tcW w:w="8320" w:type="dxa"/>
            <w:vAlign w:val="bottom"/>
            <w:gridSpan w:val="3"/>
          </w:tcPr>
          <w:p>
            <w:pPr>
              <w:spacing w:after="0"/>
              <w:rPr>
                <w:sz w:val="18"/>
                <w:szCs w:val="18"/>
                <w:color w:val="auto"/>
              </w:rPr>
            </w:pPr>
          </w:p>
        </w:tc>
        <w:tc>
          <w:tcPr>
            <w:tcW w:w="2500" w:type="dxa"/>
            <w:vAlign w:val="bottom"/>
          </w:tcPr>
          <w:p>
            <w:pPr>
              <w:spacing w:after="0"/>
              <w:rPr>
                <w:sz w:val="18"/>
                <w:szCs w:val="18"/>
                <w:color w:val="auto"/>
              </w:rPr>
            </w:pPr>
          </w:p>
        </w:tc>
      </w:tr>
      <w:tr>
        <w:trPr>
          <w:trHeight w:val="215"/>
        </w:trPr>
        <w:tc>
          <w:tcPr>
            <w:tcW w:w="8920" w:type="dxa"/>
            <w:vAlign w:val="bottom"/>
            <w:gridSpan w:val="4"/>
            <w:shd w:val="clear" w:color="auto" w:fill="CCEEFF"/>
          </w:tcPr>
          <w:p>
            <w:pPr>
              <w:spacing w:after="0"/>
              <w:rPr>
                <w:sz w:val="20"/>
                <w:szCs w:val="20"/>
                <w:color w:val="auto"/>
              </w:rPr>
            </w:pPr>
            <w:r>
              <w:rPr>
                <w:rFonts w:ascii="Arial" w:cs="Arial" w:eastAsia="Arial" w:hAnsi="Arial"/>
                <w:sz w:val="18"/>
                <w:szCs w:val="18"/>
                <w:color w:val="010000"/>
              </w:rPr>
              <w:t xml:space="preserve">ARTICLE VIII </w:t>
            </w:r>
            <w:r>
              <w:rPr>
                <w:rFonts w:ascii="Arial" w:cs="Arial" w:eastAsia="Arial" w:hAnsi="Arial"/>
                <w:sz w:val="18"/>
                <w:szCs w:val="18"/>
                <w:color w:val="000000"/>
              </w:rPr>
              <w:t>MISCELLANEOUS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7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8.01</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Notices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8.02</w:t>
            </w:r>
          </w:p>
        </w:tc>
        <w:tc>
          <w:tcPr>
            <w:tcW w:w="7000" w:type="dxa"/>
            <w:vAlign w:val="bottom"/>
          </w:tcPr>
          <w:p>
            <w:pPr>
              <w:ind w:left="380"/>
              <w:spacing w:after="0"/>
              <w:rPr>
                <w:sz w:val="20"/>
                <w:szCs w:val="20"/>
                <w:color w:val="auto"/>
              </w:rPr>
            </w:pPr>
            <w:r>
              <w:rPr>
                <w:rFonts w:ascii="Arial" w:cs="Arial" w:eastAsia="Arial" w:hAnsi="Arial"/>
                <w:sz w:val="18"/>
                <w:szCs w:val="18"/>
                <w:color w:val="auto"/>
              </w:rPr>
              <w:t>Amendments and Modifications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8.03</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Waiver</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8.04</w:t>
            </w:r>
          </w:p>
        </w:tc>
        <w:tc>
          <w:tcPr>
            <w:tcW w:w="7000" w:type="dxa"/>
            <w:vAlign w:val="bottom"/>
          </w:tcPr>
          <w:p>
            <w:pPr>
              <w:ind w:left="380"/>
              <w:spacing w:after="0"/>
              <w:rPr>
                <w:sz w:val="20"/>
                <w:szCs w:val="20"/>
                <w:color w:val="auto"/>
              </w:rPr>
            </w:pPr>
            <w:r>
              <w:rPr>
                <w:rFonts w:ascii="Arial" w:cs="Arial" w:eastAsia="Arial" w:hAnsi="Arial"/>
                <w:sz w:val="18"/>
                <w:szCs w:val="18"/>
                <w:color w:val="auto"/>
              </w:rPr>
              <w:t>Disclosure Letter and Buyer Disclosure Letter References</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8.05</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8.06</w:t>
            </w:r>
          </w:p>
        </w:tc>
        <w:tc>
          <w:tcPr>
            <w:tcW w:w="7000" w:type="dxa"/>
            <w:vAlign w:val="bottom"/>
          </w:tcPr>
          <w:p>
            <w:pPr>
              <w:ind w:left="380"/>
              <w:spacing w:after="0"/>
              <w:rPr>
                <w:sz w:val="20"/>
                <w:szCs w:val="20"/>
                <w:color w:val="auto"/>
              </w:rPr>
            </w:pPr>
            <w:r>
              <w:rPr>
                <w:rFonts w:ascii="Arial" w:cs="Arial" w:eastAsia="Arial" w:hAnsi="Arial"/>
                <w:sz w:val="18"/>
                <w:szCs w:val="18"/>
                <w:color w:val="auto"/>
              </w:rPr>
              <w:t>Assignment</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8.07</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Parties in Interest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8.08</w:t>
            </w:r>
          </w:p>
        </w:tc>
        <w:tc>
          <w:tcPr>
            <w:tcW w:w="7000" w:type="dxa"/>
            <w:vAlign w:val="bottom"/>
          </w:tcPr>
          <w:p>
            <w:pPr>
              <w:ind w:left="380"/>
              <w:spacing w:after="0"/>
              <w:rPr>
                <w:sz w:val="20"/>
                <w:szCs w:val="20"/>
                <w:color w:val="auto"/>
              </w:rPr>
            </w:pPr>
            <w:r>
              <w:rPr>
                <w:rFonts w:ascii="Arial" w:cs="Arial" w:eastAsia="Arial" w:hAnsi="Arial"/>
                <w:sz w:val="18"/>
                <w:szCs w:val="18"/>
                <w:color w:val="auto"/>
              </w:rPr>
              <w:t>Governing Law</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8.09</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Jurisdiction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8.10</w:t>
            </w:r>
          </w:p>
        </w:tc>
        <w:tc>
          <w:tcPr>
            <w:tcW w:w="7000" w:type="dxa"/>
            <w:vAlign w:val="bottom"/>
          </w:tcPr>
          <w:p>
            <w:pPr>
              <w:ind w:left="380"/>
              <w:spacing w:after="0"/>
              <w:rPr>
                <w:sz w:val="20"/>
                <w:szCs w:val="20"/>
                <w:color w:val="auto"/>
              </w:rPr>
            </w:pPr>
            <w:r>
              <w:rPr>
                <w:rFonts w:ascii="Arial" w:cs="Arial" w:eastAsia="Arial" w:hAnsi="Arial"/>
                <w:sz w:val="18"/>
                <w:szCs w:val="18"/>
                <w:color w:val="auto"/>
              </w:rPr>
              <w:t>Waiver of Jury Trial</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8.11</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Relationship of the Parties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8.12</w:t>
            </w:r>
          </w:p>
        </w:tc>
        <w:tc>
          <w:tcPr>
            <w:tcW w:w="7000" w:type="dxa"/>
            <w:vAlign w:val="bottom"/>
          </w:tcPr>
          <w:p>
            <w:pPr>
              <w:ind w:left="380"/>
              <w:spacing w:after="0"/>
              <w:rPr>
                <w:sz w:val="20"/>
                <w:szCs w:val="20"/>
                <w:color w:val="auto"/>
              </w:rPr>
            </w:pPr>
            <w:r>
              <w:rPr>
                <w:rFonts w:ascii="Arial" w:cs="Arial" w:eastAsia="Arial" w:hAnsi="Arial"/>
                <w:sz w:val="18"/>
                <w:szCs w:val="18"/>
                <w:color w:val="auto"/>
              </w:rPr>
              <w:t>Counterparts; Effectiveness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8.13</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Third-Party Beneficiaries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8.14</w:t>
            </w:r>
          </w:p>
        </w:tc>
        <w:tc>
          <w:tcPr>
            <w:tcW w:w="7000" w:type="dxa"/>
            <w:vAlign w:val="bottom"/>
          </w:tcPr>
          <w:p>
            <w:pPr>
              <w:ind w:left="380"/>
              <w:spacing w:after="0"/>
              <w:rPr>
                <w:sz w:val="20"/>
                <w:szCs w:val="20"/>
                <w:color w:val="auto"/>
              </w:rPr>
            </w:pPr>
            <w:r>
              <w:rPr>
                <w:rFonts w:ascii="Arial" w:cs="Arial" w:eastAsia="Arial" w:hAnsi="Arial"/>
                <w:sz w:val="18"/>
                <w:szCs w:val="18"/>
                <w:color w:val="auto"/>
              </w:rPr>
              <w:t>Entire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8.15</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Severability</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8.16</w:t>
            </w:r>
          </w:p>
        </w:tc>
        <w:tc>
          <w:tcPr>
            <w:tcW w:w="7000" w:type="dxa"/>
            <w:vAlign w:val="bottom"/>
          </w:tcPr>
          <w:p>
            <w:pPr>
              <w:ind w:left="380"/>
              <w:spacing w:after="0"/>
              <w:rPr>
                <w:sz w:val="20"/>
                <w:szCs w:val="20"/>
                <w:color w:val="auto"/>
              </w:rPr>
            </w:pPr>
            <w:r>
              <w:rPr>
                <w:rFonts w:ascii="Arial" w:cs="Arial" w:eastAsia="Arial" w:hAnsi="Arial"/>
                <w:sz w:val="18"/>
                <w:szCs w:val="18"/>
                <w:color w:val="auto"/>
              </w:rPr>
              <w:t>Non-Survival of Representations, Warranties and Covenants</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8.17</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Remedies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8.18</w:t>
            </w:r>
          </w:p>
        </w:tc>
        <w:tc>
          <w:tcPr>
            <w:tcW w:w="7000" w:type="dxa"/>
            <w:vAlign w:val="bottom"/>
          </w:tcPr>
          <w:p>
            <w:pPr>
              <w:ind w:left="380"/>
              <w:spacing w:after="0"/>
              <w:rPr>
                <w:sz w:val="20"/>
                <w:szCs w:val="20"/>
                <w:color w:val="auto"/>
              </w:rPr>
            </w:pPr>
            <w:r>
              <w:rPr>
                <w:rFonts w:ascii="Arial" w:cs="Arial" w:eastAsia="Arial" w:hAnsi="Arial"/>
                <w:sz w:val="18"/>
                <w:szCs w:val="18"/>
                <w:color w:val="auto"/>
              </w:rPr>
              <w:t>Representation by Counsel</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8.19</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Rules of Construction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8.20</w:t>
            </w:r>
          </w:p>
        </w:tc>
        <w:tc>
          <w:tcPr>
            <w:tcW w:w="7000" w:type="dxa"/>
            <w:vAlign w:val="bottom"/>
          </w:tcPr>
          <w:p>
            <w:pPr>
              <w:ind w:left="380"/>
              <w:spacing w:after="0"/>
              <w:rPr>
                <w:sz w:val="20"/>
                <w:szCs w:val="20"/>
                <w:color w:val="auto"/>
              </w:rPr>
            </w:pPr>
            <w:r>
              <w:rPr>
                <w:rFonts w:ascii="Arial" w:cs="Arial" w:eastAsia="Arial" w:hAnsi="Arial"/>
                <w:sz w:val="18"/>
                <w:szCs w:val="18"/>
                <w:color w:val="auto"/>
              </w:rPr>
              <w:t>Headings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8.21</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Non-Recourse</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8.22</w:t>
            </w:r>
          </w:p>
        </w:tc>
        <w:tc>
          <w:tcPr>
            <w:tcW w:w="7000" w:type="dxa"/>
            <w:vAlign w:val="bottom"/>
          </w:tcPr>
          <w:p>
            <w:pPr>
              <w:ind w:left="380"/>
              <w:spacing w:after="0"/>
              <w:rPr>
                <w:sz w:val="20"/>
                <w:szCs w:val="20"/>
                <w:color w:val="auto"/>
              </w:rPr>
            </w:pPr>
            <w:r>
              <w:rPr>
                <w:rFonts w:ascii="Arial" w:cs="Arial" w:eastAsia="Arial" w:hAnsi="Arial"/>
                <w:sz w:val="18"/>
                <w:szCs w:val="18"/>
                <w:color w:val="auto"/>
              </w:rPr>
              <w:t>Inconsistencies with Other Agreements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8.23</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Obligations of Buyer</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00" w:type="dxa"/>
            <w:vAlign w:val="bottom"/>
          </w:tcPr>
          <w:p>
            <w:pPr>
              <w:spacing w:after="0"/>
              <w:rPr>
                <w:sz w:val="19"/>
                <w:szCs w:val="19"/>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8.24</w:t>
            </w:r>
          </w:p>
        </w:tc>
        <w:tc>
          <w:tcPr>
            <w:tcW w:w="7000" w:type="dxa"/>
            <w:vAlign w:val="bottom"/>
          </w:tcPr>
          <w:p>
            <w:pPr>
              <w:ind w:left="380"/>
              <w:spacing w:after="0"/>
              <w:rPr>
                <w:sz w:val="20"/>
                <w:szCs w:val="20"/>
                <w:color w:val="auto"/>
              </w:rPr>
            </w:pPr>
            <w:r>
              <w:rPr>
                <w:rFonts w:ascii="Arial" w:cs="Arial" w:eastAsia="Arial" w:hAnsi="Arial"/>
                <w:sz w:val="18"/>
                <w:szCs w:val="18"/>
                <w:color w:val="auto"/>
              </w:rPr>
              <w:t>Interpretation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75"/>
        </w:trPr>
        <w:tc>
          <w:tcPr>
            <w:tcW w:w="104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36"/>
        </w:trPr>
        <w:tc>
          <w:tcPr>
            <w:tcW w:w="104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Form of Amended and Restated Operating Agreement</w:t>
            </w:r>
          </w:p>
        </w:tc>
        <w:tc>
          <w:tcPr>
            <w:tcW w:w="2500" w:type="dxa"/>
            <w:vAlign w:val="bottom"/>
          </w:tcPr>
          <w:p>
            <w:pPr>
              <w:spacing w:after="0"/>
              <w:rPr>
                <w:sz w:val="24"/>
                <w:szCs w:val="24"/>
                <w:color w:val="auto"/>
              </w:rPr>
            </w:pPr>
          </w:p>
        </w:tc>
      </w:tr>
      <w:tr>
        <w:trPr>
          <w:trHeight w:val="215"/>
        </w:trPr>
        <w:tc>
          <w:tcPr>
            <w:tcW w:w="104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Form of Buyer A&amp;R By-laws</w:t>
            </w:r>
          </w:p>
        </w:tc>
        <w:tc>
          <w:tcPr>
            <w:tcW w:w="2500" w:type="dxa"/>
            <w:vAlign w:val="bottom"/>
          </w:tcPr>
          <w:p>
            <w:pPr>
              <w:spacing w:after="0"/>
              <w:rPr>
                <w:sz w:val="18"/>
                <w:szCs w:val="18"/>
                <w:color w:val="auto"/>
              </w:rPr>
            </w:pPr>
          </w:p>
        </w:tc>
      </w:tr>
      <w:tr>
        <w:trPr>
          <w:trHeight w:val="215"/>
        </w:trPr>
        <w:tc>
          <w:tcPr>
            <w:tcW w:w="104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Form of Buyer A&amp;R Charter</w:t>
            </w:r>
          </w:p>
        </w:tc>
        <w:tc>
          <w:tcPr>
            <w:tcW w:w="2500" w:type="dxa"/>
            <w:vAlign w:val="bottom"/>
          </w:tcPr>
          <w:p>
            <w:pPr>
              <w:spacing w:after="0"/>
              <w:rPr>
                <w:sz w:val="18"/>
                <w:szCs w:val="18"/>
                <w:color w:val="auto"/>
              </w:rPr>
            </w:pPr>
          </w:p>
        </w:tc>
      </w:tr>
      <w:tr>
        <w:trPr>
          <w:trHeight w:val="215"/>
        </w:trPr>
        <w:tc>
          <w:tcPr>
            <w:tcW w:w="104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Form of Registration Rights Agreement</w:t>
            </w:r>
          </w:p>
        </w:tc>
        <w:tc>
          <w:tcPr>
            <w:tcW w:w="2500" w:type="dxa"/>
            <w:vAlign w:val="bottom"/>
          </w:tcPr>
          <w:p>
            <w:pPr>
              <w:spacing w:after="0"/>
              <w:rPr>
                <w:sz w:val="18"/>
                <w:szCs w:val="18"/>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Form of Earnout Incentive Plan</w:t>
            </w:r>
          </w:p>
        </w:tc>
        <w:tc>
          <w:tcPr>
            <w:tcW w:w="2500" w:type="dxa"/>
            <w:vAlign w:val="bottom"/>
          </w:tcPr>
          <w:p>
            <w:pPr>
              <w:spacing w:after="0"/>
              <w:rPr>
                <w:sz w:val="19"/>
                <w:szCs w:val="19"/>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AGREEMENT</w:t>
      </w:r>
    </w:p>
    <w:p>
      <w:pPr>
        <w:spacing w:after="0" w:line="205"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AMENDED AND RESTATED CONTRIBUTION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April 17, 2018, by and among Priority Investment Holdings, LLC, a Delaware limited liability company (“</w:t>
      </w:r>
      <w:r>
        <w:rPr>
          <w:rFonts w:ascii="Arial" w:cs="Arial" w:eastAsia="Arial" w:hAnsi="Arial"/>
          <w:sz w:val="18"/>
          <w:szCs w:val="18"/>
          <w:u w:val="single" w:color="auto"/>
          <w:color w:val="auto"/>
        </w:rPr>
        <w:t>PIH</w:t>
      </w:r>
      <w:r>
        <w:rPr>
          <w:rFonts w:ascii="Arial" w:cs="Arial" w:eastAsia="Arial" w:hAnsi="Arial"/>
          <w:sz w:val="18"/>
          <w:szCs w:val="18"/>
          <w:color w:val="auto"/>
        </w:rPr>
        <w:t>”), Priority Incentive Equity Holdings, LLC, a Delaware limited liability company (PIEH, and together with PIH, the “</w:t>
      </w:r>
      <w:r>
        <w:rPr>
          <w:rFonts w:ascii="Arial" w:cs="Arial" w:eastAsia="Arial" w:hAnsi="Arial"/>
          <w:sz w:val="18"/>
          <w:szCs w:val="18"/>
          <w:u w:val="single" w:color="auto"/>
          <w:color w:val="auto"/>
        </w:rPr>
        <w:t>Sellers</w:t>
      </w:r>
      <w:r>
        <w:rPr>
          <w:rFonts w:ascii="Arial" w:cs="Arial" w:eastAsia="Arial" w:hAnsi="Arial"/>
          <w:sz w:val="18"/>
          <w:szCs w:val="18"/>
          <w:color w:val="auto"/>
        </w:rPr>
        <w:t>”) and M I Acquisitions,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Each of Seller and Buyer is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3" w:lineRule="exact"/>
        <w:rPr>
          <w:sz w:val="20"/>
          <w:szCs w:val="20"/>
          <w:color w:val="auto"/>
        </w:rPr>
      </w:pPr>
    </w:p>
    <w:p>
      <w:pPr>
        <w:jc w:val="both"/>
        <w:ind w:right="20" w:firstLine="645"/>
        <w:spacing w:after="0" w:line="31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Sellers are collectively the record and beneficial owners of 100% of the issued and outstanding Equity Interests (as defined herein) of</w:t>
      </w:r>
      <w:r>
        <w:rPr>
          <w:rFonts w:ascii="Arial" w:cs="Arial" w:eastAsia="Arial" w:hAnsi="Arial"/>
          <w:sz w:val="17"/>
          <w:szCs w:val="17"/>
          <w:b w:val="1"/>
          <w:bCs w:val="1"/>
          <w:color w:val="auto"/>
        </w:rPr>
        <w:t xml:space="preserve"> </w:t>
      </w:r>
      <w:r>
        <w:rPr>
          <w:rFonts w:ascii="Arial" w:cs="Arial" w:eastAsia="Arial" w:hAnsi="Arial"/>
          <w:sz w:val="17"/>
          <w:szCs w:val="17"/>
          <w:color w:val="auto"/>
        </w:rPr>
        <w:t>Priority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and such Equity Interests, the “</w:t>
      </w:r>
      <w:r>
        <w:rPr>
          <w:rFonts w:ascii="Arial" w:cs="Arial" w:eastAsia="Arial" w:hAnsi="Arial"/>
          <w:sz w:val="17"/>
          <w:szCs w:val="17"/>
          <w:u w:val="single" w:color="auto"/>
          <w:color w:val="auto"/>
        </w:rPr>
        <w:t>Acquired Interests</w:t>
      </w:r>
      <w:r>
        <w:rPr>
          <w:rFonts w:ascii="Arial" w:cs="Arial" w:eastAsia="Arial" w:hAnsi="Arial"/>
          <w:sz w:val="17"/>
          <w:szCs w:val="17"/>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Buyer is a blank check company formed for the sole purpose of entering into a Business Combination (as defined herein);</w:t>
      </w:r>
    </w:p>
    <w:p>
      <w:pPr>
        <w:spacing w:after="0" w:line="223"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Sellers desire to contribute to Buyer, and Buyer desires to acquire from Seller, the Acquired Interests, in exchange for the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herein and otherwise upon the terms and subject to the conditions set forth herein;</w:t>
      </w:r>
    </w:p>
    <w:p>
      <w:pPr>
        <w:spacing w:after="0" w:line="162"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for Federal income tax purposes, it is intended that (a) the contribution of the Acquired Interests by Sellers to Buyer be treated as an</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by Sellers of all of the assets of the Company described in Section 351(a) of the Code, and (b) the acquisition of the Acquired Interests by Buyer be treated as an acquisition of the assets and assumption of the liabilities of the Company in accordance with IRS Revenue Ruling 99-6;</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that Contribution Agreement, dated as of February 26, 2018 (the “</w:t>
      </w:r>
      <w:r>
        <w:rPr>
          <w:rFonts w:ascii="Arial" w:cs="Arial" w:eastAsia="Arial" w:hAnsi="Arial"/>
          <w:sz w:val="18"/>
          <w:szCs w:val="18"/>
          <w:u w:val="single" w:color="auto"/>
          <w:color w:val="auto"/>
        </w:rPr>
        <w:t>Initial Contribution Agreement</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March 26, 2018, the Parties entered into that Amended and Restated Contribution Agreement (the “</w:t>
      </w:r>
      <w:r>
        <w:rPr>
          <w:rFonts w:ascii="Arial" w:cs="Arial" w:eastAsia="Arial" w:hAnsi="Arial"/>
          <w:sz w:val="18"/>
          <w:szCs w:val="18"/>
          <w:u w:val="single" w:color="auto"/>
          <w:color w:val="auto"/>
        </w:rPr>
        <w:t>First Amended Contribution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amending and restating the Initial Contribution Agreement in its entirety in accordance with the terms thereof;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desire to amend and restate the First Amended Contribution Agreement in its entirety in accordance with the terms hereof.</w:t>
      </w:r>
    </w:p>
    <w:p>
      <w:pPr>
        <w:spacing w:after="0" w:line="246" w:lineRule="exact"/>
        <w:rPr>
          <w:sz w:val="20"/>
          <w:szCs w:val="20"/>
          <w:color w:val="auto"/>
        </w:rPr>
      </w:pPr>
    </w:p>
    <w:p>
      <w:pPr>
        <w:jc w:val="both"/>
        <w:ind w:firstLine="645"/>
        <w:spacing w:after="0" w:line="345"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respective representations, warranties, covenants and agreements set forth herein and for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and sufficiency of which are hereby acknowledged, the Parties, intending to be legally bound hereby, agree as follows: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color w:val="010000"/>
        </w:rPr>
        <w:t>ARTICLE I</w:t>
      </w:r>
    </w:p>
    <w:p>
      <w:pPr>
        <w:spacing w:after="0" w:line="2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5.17(c)</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EBITDA</w:t>
      </w:r>
      <w:r>
        <w:rPr>
          <w:rFonts w:ascii="Arial" w:cs="Arial" w:eastAsia="Arial" w:hAnsi="Arial"/>
          <w:sz w:val="18"/>
          <w:szCs w:val="18"/>
          <w:color w:val="auto"/>
        </w:rPr>
        <w:t>” of any Person, business or enterprise, means, with respect to any fiscal year, the net income before interest, taxes, depreciation and amortization of such Person, business or enterprise, on a consolidated basis, determined in accordance with GAAP and the same accounting methodologies, assumptions, practices, policies, principles and procedures (with consistent classifications, reserves, judgments, valuations and estimation methodologies) used to prepare the Company’s audited financial statements for the applicable fiscal year, adjusted (a) by adding back customary one-time, non-recurring items or non-cash items and (b) to take into account the pro forma impact of acquisitions, on an annualized basis, by the Company or any of its Subsidiaries during the applicable period.</w:t>
      </w:r>
    </w:p>
    <w:p>
      <w:pPr>
        <w:spacing w:after="0" w:line="19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controlling, controlled by or under common control with such first Person, and “controlling”, “controlled by” or “under common control with” means the possession, directly or indirectly, of the power to direct the management and policies of a Person, whether through the ownership of voting securities, by contract or otherwise.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Operating Agreement</w:t>
      </w:r>
      <w:r>
        <w:rPr>
          <w:rFonts w:ascii="Arial" w:cs="Arial" w:eastAsia="Arial" w:hAnsi="Arial"/>
          <w:sz w:val="18"/>
          <w:szCs w:val="18"/>
          <w:color w:val="auto"/>
        </w:rPr>
        <w:t xml:space="preserve">” means the Amended and Restated Operating Agreement of the Company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xml:space="preserve">” means (a) the amount of the funds contained in the Trust Account as of immediately prior to the Closing without giving effect to the Buyer Stockholder Redemptions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amounts required to consummate any Buyer Stockholder Redemptions.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and Equity Exclusion</w:t>
      </w:r>
      <w:r>
        <w:rPr>
          <w:rFonts w:ascii="Arial" w:cs="Arial" w:eastAsia="Arial" w:hAnsi="Arial"/>
          <w:sz w:val="16"/>
          <w:szCs w:val="16"/>
          <w:color w:val="auto"/>
        </w:rPr>
        <w:t>” means, with respect to any Contract, the effect on the enforceability of such Contract as a result of (a) the application of bankruptcy, insolvency, reorganization, moratorium or other similar Laws, now or hereafter in effect, affecting creditors’ rights generally and</w:t>
      </w:r>
    </w:p>
    <w:p>
      <w:pPr>
        <w:ind w:firstLine="8"/>
        <w:spacing w:after="0" w:line="258" w:lineRule="auto"/>
        <w:tabs>
          <w:tab w:leader="none" w:pos="25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availability of the remedy of specific performance and injunctive and other forms of equitable relief as a result of the application of equitable defenses and the discretion of the court before which any Proceeding therefor may be brought.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Observer Period</w:t>
      </w:r>
      <w:r>
        <w:rPr>
          <w:rFonts w:ascii="Arial" w:cs="Arial" w:eastAsia="Arial" w:hAnsi="Arial"/>
          <w:sz w:val="18"/>
          <w:szCs w:val="18"/>
          <w:color w:val="auto"/>
        </w:rPr>
        <w:t>” means the period beginning on the Closing Date and ending on the later to occur of (a) the termination of the Call Right and ROFR Letter Agreement, dated as of the date hereof, by and among Buyer and Sellers or (b) the date on which the Founders Earnout Payment (as defined in the Purchase Agreement, dated as of the date hereof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by and among PIH, Buyer and the other entities party thereto) is paid in accordance with Section 2.06 of the Purchase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0" w:name="page291"/>
    <w:bookmarkEnd w:id="29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has the meaning set forth in Buyer’s Organizational Documents.</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Saturday, Sunday or any other day on which commercial banks in New York, New York are authorized or required by Law to close.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A&amp;R By-laws</w:t>
      </w:r>
      <w:r>
        <w:rPr>
          <w:rFonts w:ascii="Arial" w:cs="Arial" w:eastAsia="Arial" w:hAnsi="Arial"/>
          <w:sz w:val="18"/>
          <w:szCs w:val="18"/>
          <w:color w:val="auto"/>
        </w:rPr>
        <w:t xml:space="preserve">” means the amended and restated by-laws of Buyer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A&amp;R Charter</w:t>
      </w:r>
      <w:r>
        <w:rPr>
          <w:rFonts w:ascii="Arial" w:cs="Arial" w:eastAsia="Arial" w:hAnsi="Arial"/>
          <w:sz w:val="18"/>
          <w:szCs w:val="18"/>
          <w:color w:val="auto"/>
        </w:rPr>
        <w:t xml:space="preserve">” means the amended and restated certificate of incorporation of Buyer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Benefit Plan</w:t>
      </w:r>
      <w:r>
        <w:rPr>
          <w:rFonts w:ascii="Arial" w:cs="Arial" w:eastAsia="Arial" w:hAnsi="Arial"/>
          <w:sz w:val="18"/>
          <w:szCs w:val="18"/>
          <w:color w:val="auto"/>
        </w:rPr>
        <w:t>” means each “employee benefit plan” (as such term is defined in Section 3(3) of ERISA) and each other employee benefit plan, program or arrangement, in each case, that is maintained, sponsored or contributed to by Buyer for the benefit of any current or former employee or officer of Buyer.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Common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Disclosure Letter</w:t>
      </w:r>
      <w:r>
        <w:rPr>
          <w:rFonts w:ascii="Arial" w:cs="Arial" w:eastAsia="Arial" w:hAnsi="Arial"/>
          <w:sz w:val="18"/>
          <w:szCs w:val="18"/>
          <w:color w:val="auto"/>
        </w:rPr>
        <w:t>” means the disclosure letter delivered by Buyer to Sellers concurrently with the execution and delivery hereof.</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Incentive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Issued Securities</w:t>
      </w:r>
      <w:r>
        <w:rPr>
          <w:rFonts w:ascii="Arial" w:cs="Arial" w:eastAsia="Arial" w:hAnsi="Arial"/>
          <w:sz w:val="18"/>
          <w:szCs w:val="18"/>
          <w:color w:val="auto"/>
        </w:rPr>
        <w:t>” means the Buyer Issued Shares and the Buyer Warrants.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Issued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1" w:name="page292"/>
    <w:bookmarkEnd w:id="291"/>
    <w:p>
      <w:pPr>
        <w:jc w:val="both"/>
        <w:ind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Buyer Material Adverse Effect</w:t>
      </w:r>
      <w:r>
        <w:rPr>
          <w:rFonts w:ascii="Arial" w:cs="Arial" w:eastAsia="Arial" w:hAnsi="Arial"/>
          <w:sz w:val="16"/>
          <w:szCs w:val="16"/>
          <w:color w:val="auto"/>
        </w:rPr>
        <w:t>” means any event, development, or change that has a material adverse effect on the ability of Buyer to perform its obligations hereunder, or that would prevent, materially impede, interfere with, hinder or delay the consummation by Buyer of the Contemplated Transactions.</w:t>
      </w:r>
    </w:p>
    <w:p>
      <w:pPr>
        <w:spacing w:after="0" w:line="124"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Contract</w:t>
      </w:r>
      <w:r>
        <w:rPr>
          <w:rFonts w:ascii="Arial" w:cs="Arial" w:eastAsia="Arial" w:hAnsi="Arial"/>
          <w:sz w:val="18"/>
          <w:szCs w:val="18"/>
          <w:color w:val="auto"/>
        </w:rPr>
        <w:t>” means (a) a “material contract”, as such term is defined in Item 601(b)(10) of Regulation S-K as adopted by the SEC, to which Buyer is a party or (b) any Related Party Contract.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Preferred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Private Warrants</w:t>
      </w:r>
      <w:r>
        <w:rPr>
          <w:rFonts w:ascii="Arial" w:cs="Arial" w:eastAsia="Arial" w:hAnsi="Arial"/>
          <w:sz w:val="18"/>
          <w:szCs w:val="18"/>
          <w:color w:val="auto"/>
        </w:rPr>
        <w:t>” means the warrants that were sold as part of the units on a private placement basis upon consummation of the IPO, which are exercisable by the holders thereof on a cashless basis.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Public Warrants</w:t>
      </w:r>
      <w:r>
        <w:rPr>
          <w:rFonts w:ascii="Arial" w:cs="Arial" w:eastAsia="Arial" w:hAnsi="Arial"/>
          <w:sz w:val="18"/>
          <w:szCs w:val="18"/>
          <w:color w:val="auto"/>
        </w:rPr>
        <w:t>” means the warrants that were sold as part of the units in the IPO with an exercise price of $11.50 per share.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w:t>
      </w:r>
      <w:r>
        <w:rPr>
          <w:rFonts w:ascii="Arial" w:cs="Arial" w:eastAsia="Arial" w:hAnsi="Arial"/>
          <w:sz w:val="18"/>
          <w:szCs w:val="18"/>
          <w:color w:val="auto"/>
        </w:rPr>
        <w:t>” means, at a specified time, any Person who owns, beneficially and of record, any Buyer Issued Shares.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 Approval</w:t>
      </w:r>
      <w:r>
        <w:rPr>
          <w:rFonts w:ascii="Arial" w:cs="Arial" w:eastAsia="Arial" w:hAnsi="Arial"/>
          <w:sz w:val="18"/>
          <w:szCs w:val="18"/>
          <w:color w:val="auto"/>
        </w:rPr>
        <w:t>” has the meaning set forth in Section 5.05(b).</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 Redemptions</w:t>
      </w:r>
      <w:r>
        <w:rPr>
          <w:rFonts w:ascii="Arial" w:cs="Arial" w:eastAsia="Arial" w:hAnsi="Arial"/>
          <w:sz w:val="18"/>
          <w:szCs w:val="18"/>
          <w:color w:val="auto"/>
        </w:rPr>
        <w:t>” means, collectively, any redemption of Buyer Common Shares held by the Electing Stockholders in connection with the Contemplated Transactions and in accordance with Buyer’s Organizational Documents.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Tax Returns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Units</w:t>
      </w:r>
      <w:r>
        <w:rPr>
          <w:rFonts w:ascii="Arial" w:cs="Arial" w:eastAsia="Arial" w:hAnsi="Arial"/>
          <w:sz w:val="18"/>
          <w:szCs w:val="18"/>
          <w:color w:val="auto"/>
        </w:rPr>
        <w:t>” means the units issued by Buyer, consisting of one Buyer Common Share and one Buyer Public Warrant.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Warrantholders</w:t>
      </w:r>
      <w:r>
        <w:rPr>
          <w:rFonts w:ascii="Arial" w:cs="Arial" w:eastAsia="Arial" w:hAnsi="Arial"/>
          <w:sz w:val="18"/>
          <w:szCs w:val="18"/>
          <w:color w:val="auto"/>
        </w:rPr>
        <w:t>” means, at a specified time, any Person who holds any Buyer Warrants.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Warrants</w:t>
      </w:r>
      <w:r>
        <w:rPr>
          <w:rFonts w:ascii="Arial" w:cs="Arial" w:eastAsia="Arial" w:hAnsi="Arial"/>
          <w:sz w:val="18"/>
          <w:szCs w:val="18"/>
          <w:color w:val="auto"/>
        </w:rPr>
        <w:t>” means, collectively, the Buyer Public Warrants and the Buyer Private Warrants.</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Association</w:t>
      </w:r>
      <w:r>
        <w:rPr>
          <w:rFonts w:ascii="Arial" w:cs="Arial" w:eastAsia="Arial" w:hAnsi="Arial"/>
          <w:sz w:val="18"/>
          <w:szCs w:val="18"/>
          <w:color w:val="auto"/>
        </w:rPr>
        <w:t>” means MasterCard International, Inc., VISA International, Inc., VISA USA, Inc. or any other card association, debit card network, gateway service or other network or similar entity.</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Association Rules</w:t>
      </w:r>
      <w:r>
        <w:rPr>
          <w:rFonts w:ascii="Arial" w:cs="Arial" w:eastAsia="Arial" w:hAnsi="Arial"/>
          <w:sz w:val="18"/>
          <w:szCs w:val="18"/>
          <w:color w:val="auto"/>
        </w:rPr>
        <w:t>” means all rules, regulations, manuals, service levels, guidelines, policies, procedures or requirements that are issued or promulgated from time to time, and any interpretations thereof, by any Card Association.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Chargeback</w:t>
      </w:r>
      <w:r>
        <w:rPr>
          <w:rFonts w:ascii="Arial" w:cs="Arial" w:eastAsia="Arial" w:hAnsi="Arial"/>
          <w:sz w:val="17"/>
          <w:szCs w:val="17"/>
          <w:color w:val="auto"/>
        </w:rPr>
        <w:t xml:space="preserve">” means a charge on a credit card or debit card that is returned or unpaid by the financial or other institution that issued such card, and any chargeback as otherwise defined in the Card Association Rules of the applicable Card Association;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definition, Chargeback shall also include Card Association fines, penalties, fees, and losses related to or arising from Merchant transactions.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2" w:name="page293"/>
    <w:bookmarkEnd w:id="29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Value</w:t>
      </w:r>
      <w:r>
        <w:rPr>
          <w:rFonts w:ascii="Arial" w:cs="Arial" w:eastAsia="Arial" w:hAnsi="Arial"/>
          <w:sz w:val="18"/>
          <w:szCs w:val="18"/>
          <w:color w:val="auto"/>
        </w:rPr>
        <w:t xml:space="preserve">” means an amount equal to (a) the Company Enterprise Value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Net Assumed Debt.</w:t>
      </w:r>
    </w:p>
    <w:p>
      <w:pPr>
        <w:spacing w:after="0" w:line="223"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Enterprise Value</w:t>
      </w:r>
      <w:r>
        <w:rPr>
          <w:rFonts w:ascii="Arial" w:cs="Arial" w:eastAsia="Arial" w:hAnsi="Arial"/>
          <w:sz w:val="17"/>
          <w:szCs w:val="17"/>
          <w:color w:val="auto"/>
        </w:rPr>
        <w:t xml:space="preserve">” means $947,835,000;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shall be adjusted upward dollar for dollar by an amount equal to (a) 12.5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amount that Adjusted EBITDA of the Company and its Subsidiaries for fiscal year 2018 (calculated as of immediately prior to the Closing) is increased in excess of $9,000,000 as a result of (i) acquisitions consummated by the Company or any of its Subsidiaries between the date hereof and the Closing Date (“</w:t>
      </w:r>
      <w:r>
        <w:rPr>
          <w:rFonts w:ascii="Arial" w:cs="Arial" w:eastAsia="Arial" w:hAnsi="Arial"/>
          <w:sz w:val="17"/>
          <w:szCs w:val="17"/>
          <w:u w:val="single" w:color="auto"/>
          <w:color w:val="auto"/>
        </w:rPr>
        <w:t>Closed Acquisitions</w:t>
      </w:r>
      <w:r>
        <w:rPr>
          <w:rFonts w:ascii="Arial" w:cs="Arial" w:eastAsia="Arial" w:hAnsi="Arial"/>
          <w:sz w:val="17"/>
          <w:szCs w:val="17"/>
          <w:color w:val="auto"/>
        </w:rPr>
        <w:t>”) or (ii) acquisitions for which definitive agreements have been entered into by the Company or any of its Subsidiaries and for which the only factor preventing closing is that the cash and/or other consideration has not been paid to the target between the date hereof and the Closing Date (“</w:t>
      </w:r>
      <w:r>
        <w:rPr>
          <w:rFonts w:ascii="Arial" w:cs="Arial" w:eastAsia="Arial" w:hAnsi="Arial"/>
          <w:sz w:val="17"/>
          <w:szCs w:val="17"/>
          <w:u w:val="single" w:color="auto"/>
          <w:color w:val="auto"/>
        </w:rPr>
        <w:t>Proposed Acquisitions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(x) estimated synergies related to any Closed Acquisitions or Proposed Acquisitions included in the foregoing calculation of Adjusted EBITDA of the Company and its Subsidiaries shall be capped at 20% of the Adjusted EBITDA of the applicable acquired Person, business or enterprise with respect to the 12-month period immediately preceding the consummation of such acquisition, and (y) the Consideration Shares attributable to a Proposed Acquisition shall be returned to the Buyer for cancellation if the closing of such Proposed Acquisition has not taken place by 30 days.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Lease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Confidentiality Agreement, dated as of July 10, 2017 by and between Buyer and the Company, including any joinders or written amendments thereto.</w:t>
      </w:r>
    </w:p>
    <w:p>
      <w:pPr>
        <w:spacing w:after="0" w:line="171"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 Shares</w:t>
      </w:r>
      <w:r>
        <w:rPr>
          <w:rFonts w:ascii="Arial" w:cs="Arial" w:eastAsia="Arial" w:hAnsi="Arial"/>
          <w:sz w:val="18"/>
          <w:szCs w:val="18"/>
          <w:color w:val="auto"/>
        </w:rPr>
        <w:t xml:space="preserve">” means a number of shares of Common Stock, rounded to the nearest whole share, equal to (a) the Company Equity Value,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$10.30, subject to adjustment as specified elsewhere herein.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the transactions contemplated by the Transaction Documents.</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contract, lease, instrument, understanding, arrangement, or commitment, obligation, or undertaking (whether written or oral) that is legally binding.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3" w:name="page294"/>
    <w:bookmarkEnd w:id="293"/>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Underwriting Fees</w:t>
      </w:r>
      <w:r>
        <w:rPr>
          <w:rFonts w:ascii="Arial" w:cs="Arial" w:eastAsia="Arial" w:hAnsi="Arial"/>
          <w:sz w:val="18"/>
          <w:szCs w:val="18"/>
          <w:color w:val="auto"/>
        </w:rPr>
        <w:t>” means the amount of deferred underwriting fees and expenses incurred in connection with the IPO and payable to the Underwriters upon consummation of a Business Combination, the funds for which are held in the Trust Account and which such amount will equal not more than $1,062,022.</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 as amended, or any successor Law.</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means the disclosure letter delivered by Sellers and the Company to Buyer concurrently with the execution and delivery hereof, as the same may be amended from time to time in accordance with the terms hereof.</w:t>
      </w:r>
    </w:p>
    <w:p>
      <w:pPr>
        <w:spacing w:after="0" w:line="171"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Electing Stockholders</w:t>
      </w:r>
      <w:r>
        <w:rPr>
          <w:rFonts w:ascii="Arial" w:cs="Arial" w:eastAsia="Arial" w:hAnsi="Arial"/>
          <w:sz w:val="16"/>
          <w:szCs w:val="16"/>
          <w:color w:val="auto"/>
        </w:rPr>
        <w:t>” means the stockholders of Buyer holding Buyer Issued Securities who have, in connection with the Contemplated Transactions, elected to redeem their Buyer Issued Securities on the terms and subject to the conditions set forth in the Buyer’s Organizational Documents.</w:t>
      </w:r>
    </w:p>
    <w:p>
      <w:pPr>
        <w:spacing w:after="0" w:line="124"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each “employee benefit plan” (as such term is defined in Section 3(3) of ERISA) and each other employee benefit plan, program or arrangement, in each case, that is maintained, sponsored or contributed to by the Company or any of its Subsidiaries for the benefit of any current or former employee or officer of the Company or any of its Subsidiaries.</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Proceeding, complaint, notice of violation, action, claim, lien, demand, judgment, Order or directive by any Governmental Authority or any other Person involving alleged violations of Environmental Laws or any Release.</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means, to the extent applicable, the Comprehensive Environmental Response, Compensation and Liability Act, 42 U.S.C.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Resource Conservation and Recovery Act, 42 U.S.C.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as amended, the Clean Air Act, 42 U.S.C. 7401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Water Act, 33 U.S.C. 1251 </w:t>
      </w:r>
      <w:r>
        <w:rPr>
          <w:rFonts w:ascii="Arial" w:cs="Arial" w:eastAsia="Arial" w:hAnsi="Arial"/>
          <w:sz w:val="18"/>
          <w:szCs w:val="18"/>
          <w:i w:val="1"/>
          <w:iCs w:val="1"/>
          <w:color w:val="auto"/>
        </w:rPr>
        <w:t>et seq.</w:t>
      </w:r>
      <w:r>
        <w:rPr>
          <w:rFonts w:ascii="Arial" w:cs="Arial" w:eastAsia="Arial" w:hAnsi="Arial"/>
          <w:sz w:val="18"/>
          <w:szCs w:val="18"/>
          <w:color w:val="auto"/>
        </w:rPr>
        <w:t>, and any other Law imposing liability or establishing standards of conduct for protection of the environment, in each case as in effect as of the date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means any liabilities arising from or under any Environmental Law or Environmental Claim.</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 corporation, any and all shares of capital stock of such corporation, (b) with respect to a partnership, limited liability company, trust or similar Person, any and all units, interests or other partnership interests, limited liability company interests, or membership interests with respect thereto or (c) with respect to any other type of Person, any other direct or indirect equity ownership or participation in, other equity security of, or other ownership or profit interest in, such Person, whether voting or non-voting and whether or not such ownership, participation or interest is authorized or otherwise existing on any date of determination.</w:t>
      </w:r>
    </w:p>
    <w:p>
      <w:pPr>
        <w:spacing w:after="0" w:line="19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or any successor Law, and the regulations and rules issued pursuant to that statute or any successor Law.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4" w:name="page295"/>
    <w:bookmarkEnd w:id="294"/>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Evaluation Material</w:t>
      </w:r>
      <w:r>
        <w:rPr>
          <w:rFonts w:ascii="Arial" w:cs="Arial" w:eastAsia="Arial" w:hAnsi="Arial"/>
          <w:sz w:val="16"/>
          <w:szCs w:val="16"/>
          <w:color w:val="auto"/>
        </w:rPr>
        <w:t>” means any information, documents or materials regarding any Seller or the Company or any of its Subsidiaries furnished or made available to Buyer and its Representatives in any “data rooms”, “virtual data rooms” or management presentations or in any other form or manner (whether in writing, by e-mail, orally, visually or otherwise) in expectation of, or in connection with, the Contemplated Transactions, including the confidential information presentation and management presentation provided by the Financial Advisors and the legal summary provided by the Company.</w:t>
      </w:r>
    </w:p>
    <w:p>
      <w:pPr>
        <w:spacing w:after="0" w:line="15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law or statute, in each case, together with the rules and regulations promulgated thereunder.</w:t>
      </w:r>
    </w:p>
    <w:p>
      <w:pPr>
        <w:spacing w:after="0" w:line="171"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Agreements</w:t>
      </w:r>
      <w:r>
        <w:rPr>
          <w:rFonts w:ascii="Arial" w:cs="Arial" w:eastAsia="Arial" w:hAnsi="Arial"/>
          <w:sz w:val="16"/>
          <w:szCs w:val="16"/>
          <w:color w:val="auto"/>
        </w:rPr>
        <w:t>” means (a) that Credit and Guaranty Agreement dated as of January 3, 2017, among (i) Pipeline Cynergy Holdings, LLC, a Delaware limited liability company, Priority Institutional Partner Services, LLC, a Delaware limited liability company, and Priority Payment Systems Holdings, LLC, a Georgia limited liability company, as borrowers, (ii) the Company and certain other subsidiaries of the Company, (iii) the lenders from time to time party thereto, and (iv) SunTrust Bank, as administrative agent and collateral agent for such lenders, as amended by the First Amendment, dated as of November 14, 2017 and the Second Amendment, dated as of January 11, 2018 and as further amended, restated, amended and restated, supplemented, refinanced, replaced or otherwise modified from time to time and (b) that the Credit and Guaranty Agreement, dated as of January 3, 2017, by and among (i) the Company, as borrower, (ii) certain of its Subsidiaries, (iii) the lenders party thereto from time to time, and Goldman Sachs Specialty Lending Group, L.P., as agent, as amended by the First Amendment, dated as of November 14, 2017 and the Second Amendment, dated as of January 11, 2018 and as further amended, restated, amended and restated, supplemented, refinanced, replaced or otherwise modified from time to time.</w:t>
      </w:r>
    </w:p>
    <w:p>
      <w:pPr>
        <w:spacing w:after="0" w:line="164"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 Documents</w:t>
      </w:r>
      <w:r>
        <w:rPr>
          <w:rFonts w:ascii="Arial" w:cs="Arial" w:eastAsia="Arial" w:hAnsi="Arial"/>
          <w:sz w:val="18"/>
          <w:szCs w:val="18"/>
          <w:color w:val="auto"/>
        </w:rPr>
        <w:t>” means (a) the Existing Credit Agreements and (b) all other agreements, instruments and documents evidencing, governing, guaranteeing or securing the obligations from time to time arising under any Existing Credit Agreement or otherwise executed in connection with any Existing Credit Agreement, in each case as amended, restated, amended and restated, supplemented, refinanced, replaced or otherwise modified from time to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Deposit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Advisors</w:t>
      </w:r>
      <w:r>
        <w:rPr>
          <w:rFonts w:ascii="Arial" w:cs="Arial" w:eastAsia="Arial" w:hAnsi="Arial"/>
          <w:sz w:val="18"/>
          <w:szCs w:val="18"/>
          <w:color w:val="auto"/>
        </w:rPr>
        <w:t>” means Cowen and Company, LLC.</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Amended Contribution Agreement</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5" w:name="page296"/>
    <w:bookmarkEnd w:id="295"/>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of the date hereof and consistently applied throughout the periods involved.</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Goldman Warrant</w:t>
      </w:r>
      <w:r>
        <w:rPr>
          <w:rFonts w:ascii="Arial" w:cs="Arial" w:eastAsia="Arial" w:hAnsi="Arial"/>
          <w:sz w:val="18"/>
          <w:szCs w:val="18"/>
          <w:color w:val="auto"/>
        </w:rPr>
        <w:t>” means that Amended and Restated Unit Purchase Warrant No. 1, dated as of January 3, 2017, by and between the Company and GS &amp; Co., as amended by that Amendment, dated as of January 11, 2018.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Goldman Shares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court, tribunal, administrative agency or commission or other governmental or regulatory authority, agency, body or instrumentality of any federal, state, local or foreign government or any subdivision thereof.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 &amp; Co.</w:t>
      </w:r>
      <w:r>
        <w:rPr>
          <w:rFonts w:ascii="Arial" w:cs="Arial" w:eastAsia="Arial" w:hAnsi="Arial"/>
          <w:sz w:val="18"/>
          <w:szCs w:val="18"/>
          <w:color w:val="auto"/>
        </w:rPr>
        <w:t>” means Goldman Sachs &amp; Co. LLC, a New York limited liability company.</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hazardous or toxic substance, material or waste which is regulated, listed or identified by any Governmental Authority as a “hazardous waste”, “hazardous material”, “hazardous substance”, “extremely hazardous substance”, “restricted hazardous waste”, “contaminant”, “pollutant”, “toxic waste”, or “toxic substance”, under any provision of Environmental Law, and includes, without limitation, petroleum, petroleum products, (including, without limitation, crude oil and any fraction thereof), asbestos, asbestos-containing materials, ionizing and non-iodizing radioactive materials and substances, and polychlorinated biphenyls.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Contribution Agreement</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any of the following: (a) patents and patent applications; (b) trademarks, service marks, trade dress, logos and registrations and applications for registration thereof, together with all of the goodwill associated therewith; (c) copyrights (registered or unregistered) and registrations and applications for registration thereof; (d) internet domain names; and (e) trade secrets and know-how.</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the Common Stock of Buyer.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 or any successor agency.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ISOs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3.13(a)(xi)</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Buyer</w:t>
      </w:r>
      <w:r>
        <w:rPr>
          <w:rFonts w:ascii="Arial" w:cs="Arial" w:eastAsia="Arial" w:hAnsi="Arial"/>
          <w:sz w:val="18"/>
          <w:szCs w:val="18"/>
          <w:color w:val="auto"/>
        </w:rPr>
        <w:t>” or any similar phrase means the actual knowledge of the Persons identified in Section 1 (Knowledge of Buyer) of the Buyer Disclosure Letter.</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Sellers</w:t>
      </w:r>
      <w:r>
        <w:rPr>
          <w:rFonts w:ascii="Arial" w:cs="Arial" w:eastAsia="Arial" w:hAnsi="Arial"/>
          <w:sz w:val="18"/>
          <w:szCs w:val="18"/>
          <w:color w:val="auto"/>
        </w:rPr>
        <w:t>” or any similar phrase means the actual knowledge of the Persons identified in Section 1 (Knowledge of Sellers) of the Disclosure Letter.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6" w:name="page297"/>
    <w:bookmarkEnd w:id="296"/>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or foreign constitution, treaty, statute, ordinance, code, rule, law or regulation enacted, adopted, promulgated or applied by a Governmental Authority and includes any Orders.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 any mortgage, lien, pledge, charge, security interest, option, right of first refusal, or other encumbrance of any kind in respect of such property or asset.</w:t>
      </w:r>
    </w:p>
    <w:p>
      <w:pPr>
        <w:spacing w:after="0" w:line="171"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event, development, or change that (a) has had a material adverse effect on the business, financial condition or results of operations of the Company and its Subsidiaries, taken as a whole, other than any event, development or change relating to or arising out of: (i) general economic or regulatory conditions or conditions in the financial, credit or securities markets (including any disruption thereof, any decline in the price of any security or any market index, or any changes in interest or currency exchange rates); (ii) any acts of God, earthquakes, hurricanes, floods or any other natural disasters; (iii) national or international political or social conditions, including the engagement in or escalation of hostilities, whether or not pursuant to the declaration of a national emergency or war, or the occurrence of any actual or threatened military or terrorist attack; (iv) any event, development or change in any of the industries or markets in which the Company or any of its Subsidiaries operates, so long as such events, developments or changes do not adversely affect the Company and its Subsidiaries, taken as a whole, in a materially disproportionate manner relative to other similarly situated participants in the industries or markets in which they operate; (v) any enactment of, change in, or change in interpretation of applicable Law, Card Association Rules or GAAP or applicable accounting standards, so long as such changes do not adversely affect the Company and its Subsidiaries, taken as a whole, in a materially disproportionate manner relative to other similarly situated participants in the industries or markets in which they operate; (vi) the announcement, pendency or performance of the transactions contemplated hereby, including by reason of the identity of Buyer or any communication by Buyer regarding the plans or intentions of Buyer with respect to the conduct of the business of the Company or any of its Subsidiaries, and including the impact of any of the foregoing on any relationships, contractual or otherwise, with customers, suppliers, distributors, collaboration partners, employees or regulators; (vii) any action or omission taken (or omitted to be taken) pursuant to, or required by, the terms hereof or with the consent or at the direction of Buyer; (viii) any failure by the Company or any of its Subsidiaries to meet any projections, estimates or forecasts (financial, operational or otherwise) for any period (it being understood that the facts or occurrences giving rise or contributing to such failure, to the extent not otherwise excluded by another clause of this definition, may be taken into account in determining whether there has been a Material Adverse Effect); or (ix) any adverse change in or effect on the business of the Company and its Subsidiaries that is cured prior to the Closing; or (b) would reasonably be expected to have a material adverse effect on the ability of any Seller to consummate the Contemplated Transactions.</w:t>
      </w:r>
    </w:p>
    <w:p>
      <w:pPr>
        <w:spacing w:after="0" w:line="3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means those Contracts required to be and set forth on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Disclosure Letter.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Agents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3.23(a)</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7" w:name="page298"/>
    <w:bookmarkEnd w:id="29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ISOs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Merchant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Suppliers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 Account</w:t>
      </w:r>
      <w:r>
        <w:rPr>
          <w:rFonts w:ascii="Arial" w:cs="Arial" w:eastAsia="Arial" w:hAnsi="Arial"/>
          <w:sz w:val="18"/>
          <w:szCs w:val="18"/>
          <w:color w:val="auto"/>
        </w:rPr>
        <w:t>” means the account relationship established among the Company or any of its Subsidiaries, a sponsoring bank and a Merchant pursuant to an agreement to provide processing or other credit or debit card related services to such Merchant.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Cash Amount</w:t>
      </w:r>
      <w:r>
        <w:rPr>
          <w:rFonts w:ascii="Arial" w:cs="Arial" w:eastAsia="Arial" w:hAnsi="Arial"/>
          <w:sz w:val="18"/>
          <w:szCs w:val="18"/>
          <w:color w:val="auto"/>
        </w:rPr>
        <w:t>” means an amount equal to $20,000,000.</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3(37) of ERISA.</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3"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Assumed Debt</w:t>
      </w:r>
      <w:r>
        <w:rPr>
          <w:rFonts w:ascii="Arial" w:cs="Arial" w:eastAsia="Arial" w:hAnsi="Arial"/>
          <w:sz w:val="16"/>
          <w:szCs w:val="16"/>
          <w:color w:val="auto"/>
        </w:rPr>
        <w:t xml:space="preserve">” means (a) any amounts outstanding under the Existing Credit Agreements as of immediately prior to Closing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cash and cash equivalents as of immediately prior to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“cash and cash equivalents” shall be calculated to include (i) any amount in cash used to acquire any technology asset between the date hereof and the Closing Date to the extent that any such acquisition does not contribute to Adjusted EBITDA of the Company and its Subsidiaries and such acquisitions do not exceed $5,000,000 in the aggregate, (ii) the amount of the Purchase Price (as defined in the Purchase Agreement), and (iii) any Extension Deposit Amount paid by or on behalf of Sellers pursuant to </w:t>
      </w:r>
      <w:r>
        <w:rPr>
          <w:rFonts w:ascii="Arial" w:cs="Arial" w:eastAsia="Arial" w:hAnsi="Arial"/>
          <w:sz w:val="16"/>
          <w:szCs w:val="16"/>
          <w:u w:val="single" w:color="auto"/>
          <w:color w:val="auto"/>
        </w:rPr>
        <w:t>Section 5.17(b)</w:t>
      </w:r>
      <w:r>
        <w:rPr>
          <w:rFonts w:ascii="Arial" w:cs="Arial" w:eastAsia="Arial" w:hAnsi="Arial"/>
          <w:sz w:val="16"/>
          <w:szCs w:val="16"/>
          <w:color w:val="auto"/>
        </w:rPr>
        <w:t>.</w:t>
      </w:r>
    </w:p>
    <w:p>
      <w:pPr>
        <w:spacing w:after="0" w:line="16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award, decision, injunction, judgment, order, ruling, subpoena, stipulation, writ, decree, assessment, verdict or similar order entered, issued, made, or rendered by any court, administrative agency, or other Governmental Authority that is legally binding.</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with respect to any Person, the ordinary course of business of such Person. Unless otherwise expressly indicated, the term “Ordinary Course of Business”, when used herein, refers to the Ordinary Course of Business of the Company and its Subsidiaries, taken as a whole.</w:t>
      </w:r>
    </w:p>
    <w:p>
      <w:pPr>
        <w:spacing w:after="0" w:line="182"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w:t>
      </w:r>
    </w:p>
    <w:p>
      <w:pPr>
        <w:jc w:val="both"/>
        <w:ind w:firstLine="8"/>
        <w:spacing w:after="0" w:line="254" w:lineRule="auto"/>
        <w:tabs>
          <w:tab w:leader="none" w:pos="27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limited liability company operating agreement and the certificate of formation of a limited liability company, (e) any charter or similar document adopted or filed in connection with the creation, formation, or organization of any other Person and (f) any amendment, amendment and restatement, modification or supplement to any of the foregoing.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Filings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 set forth in the Preamble.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8" w:name="page299"/>
    <w:bookmarkEnd w:id="29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PCI-DSS</w:t>
      </w:r>
      <w:r>
        <w:rPr>
          <w:rFonts w:ascii="Arial" w:cs="Arial" w:eastAsia="Arial" w:hAnsi="Arial"/>
          <w:sz w:val="18"/>
          <w:szCs w:val="18"/>
          <w:color w:val="auto"/>
        </w:rPr>
        <w:t>” means the Payment Card Industry Data Security Standard, as amended from time to time.</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licenses, permits, exemptions, consents, authorizations, approvals, waivers, certificates and other authorizations issued, granted, given or otherwise made available by or under the authority of any Governmental Authority and/or Card Association, as applicable, that are material to the current conduct of the business of the Company and its Subsidiaries and that are required under any applicable Law in connection with the current conduct of the business of the Company and its Subsidiaries.</w:t>
      </w:r>
    </w:p>
    <w:p>
      <w:pPr>
        <w:spacing w:after="0" w:line="185" w:lineRule="exact"/>
        <w:rPr>
          <w:sz w:val="20"/>
          <w:szCs w:val="20"/>
          <w:color w:val="auto"/>
        </w:rPr>
      </w:pPr>
    </w:p>
    <w:p>
      <w:pPr>
        <w:jc w:val="both"/>
        <w:ind w:firstLine="64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Liens disclosed on the Current Balance Sheet or reflected in the notes thereto; (b) Liens under the Existing Loan Agreements, (c) Liens for Taxes and other governmental charges not yet delinquent or that are being contested in good faith by appropriate Proceedings; (d) mechanic’s, workmen’s, repairmen’s, materialmen’s, warehousemen’s, carrier’s and other similar statutory Liens arising or incurred in the Ordinary Course of Business not yet due and payable or that are being contested in good faith; (e) deposits or pledges made in connection with, or to secure payment of, worker’s compensation, unemployment insurance, old age pension programs mandated under applicable Law or other social security programs or other similar Law or to secure any public or statutory obligation; (f) Liens on goods in transit incurred pursuant to documentary letters of credit or otherwise securing payments under lease agreements; (g) zoning, entitlement, building and other land use regulations imposed by or on behalf of any Governmental Authority having jurisdiction over any real property; (h) the rights, if any, of suppliers or other vendors that are Third Parties and have possession of any properties or assets; (i) restrictions on the transfer of securities arising under applicable securities Laws; (j) title defects, easements and encroachments and similar Liens that would not, individually or in the aggregate, reasonably be expected to materially detract from the current value of, or materially interfere with any current or continued use of, any material property or material assets encumbered thereby; (k) the terms and conditions contained in the Leases; (l) utility easements for electricity, gas, water, sanitation, sewer, surface water drainage or other general easements granted to any Governmental Authority in the ordinary course of developing or operating real property; (m) any recorded utility company rights, easements or franchises for electricity, water, steam, gas, telephone or other service or the right to use and maintain poles, lines, wires, cables, pipes, boxes and other fixtures and facilities in, over, under and upon any real property;</w:t>
      </w:r>
    </w:p>
    <w:p>
      <w:pPr>
        <w:spacing w:after="0" w:line="10" w:lineRule="exact"/>
        <w:rPr>
          <w:sz w:val="20"/>
          <w:szCs w:val="20"/>
          <w:color w:val="auto"/>
        </w:rPr>
      </w:pPr>
    </w:p>
    <w:p>
      <w:pPr>
        <w:ind w:firstLine="8"/>
        <w:spacing w:after="0" w:line="258" w:lineRule="auto"/>
        <w:tabs>
          <w:tab w:leader="none" w:pos="25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Liens imposed by Law that relate to obligations that are not yet due and have arisen in the Ordinary Course of Business; and (o) the Liens listed in Section 1 (Permitted Liens) of the Disclosure Letter.</w:t>
      </w:r>
    </w:p>
    <w:p>
      <w:pPr>
        <w:spacing w:after="0" w:line="186"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any non-profit corporation), general or limited partnership, limited liability company, joint venture, estate, trust, association, organization, labor union, or other entity or Governmental Authority.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9" w:name="page300"/>
    <w:bookmarkEnd w:id="29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suit or other proceeding (whether civil, criminal, or administrative) commenced, brought, conducted, or heard, by or before any Governmental Authority.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agreement substantially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means, with respect to a Person, such Person and any of its former, current and future Affiliates, and each of their respective former, current and future direct or indirect directors, officers, “principals”, general or limited partners, employees, stockholders, other equityholders, members, managers, agents, successors, assignees, Affiliates, controlling Persons, or other Representatives.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the spilling, leaking, pumping, pouring, emitting, emptying, discharging, injecting, escaping, leaching, dumping, discarding, burying, abandoning or disposing of Hazardous Materials (including the abandonment or discarding of barrels, containers, or other closed receptacles containing Hazardous Materials) into the indoor or outdoor environment.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GS Warrant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 particular Person, any Affiliate thereof, and such Person’s and such Person’s Affiliates’ respective controlling shareholders, general partners, managing members, directors, officers, employees, agents, consultants, advisors, agents, and other representatives, including legal counsel, accountants, and financial advisors.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(a) any publicly available written or oral interpretations, questions and answers, guidance and forms of the SEC, (b) any written or oral comments, requirements or requests of the SEC or its staff, (c) the Securities Act and the Exchange Act and (d) any other rules, bulletins, releases, manuals and regulations of the SEC.</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Law, and the regulations and rules issued pursuant to that statute or any successor Law.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0" w:name="page301"/>
    <w:bookmarkEnd w:id="30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Form 8-K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entity of which (a) securities or other ownership interests having ordinary voting power to elect a majority of the board of directors or other persons performing similar functions or (b) 50% or more of the Equity Interests are at the time directly or indirectly owned by such Person.</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return, report, form, information return or other document (including schedules or any related or supporting information) required to be filed with any Governmental Authority relating to any Tax.</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taxes (whether federal, state, local or foreign), including net income, gross income, net receipts, gross receipts, profit, severance, property, production, sales, use, license, excise, occupation, franchise, employment, payroll, withholding, alternative or add-on minimum, ad valorem, value-added, transfer, stamp, estimated or other tax, custom, duty, governmental fee or other similar governmental charge, together with any interest, fine, penalty, addition to tax or additional amount imposed with respect thereto.</w:t>
      </w:r>
    </w:p>
    <w:p>
      <w:pPr>
        <w:spacing w:after="0" w:line="18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June 19, 2018;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deadline for Buyer to consummate a Business Combination is extended pursuant to </w:t>
      </w:r>
      <w:r>
        <w:rPr>
          <w:rFonts w:ascii="Arial" w:cs="Arial" w:eastAsia="Arial" w:hAnsi="Arial"/>
          <w:sz w:val="18"/>
          <w:szCs w:val="18"/>
          <w:u w:val="single" w:color="auto"/>
          <w:color w:val="auto"/>
        </w:rPr>
        <w:t>Section 5.17(c)</w:t>
      </w:r>
      <w:r>
        <w:rPr>
          <w:rFonts w:ascii="Arial" w:cs="Arial" w:eastAsia="Arial" w:hAnsi="Arial"/>
          <w:sz w:val="18"/>
          <w:szCs w:val="18"/>
          <w:color w:val="auto"/>
        </w:rPr>
        <w:t>, the Termination Date shall be automatically extended to the first Business Day immediately following the Additional Extension Deadline.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other than the Company, any Subsidiary of the Company, Buyer, or Sellers or any Affiliate of any of the foregoing.</w:t>
      </w:r>
    </w:p>
    <w:p>
      <w:pPr>
        <w:spacing w:after="0" w:line="24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Plan</w:t>
      </w:r>
      <w:r>
        <w:rPr>
          <w:rFonts w:ascii="Arial" w:cs="Arial" w:eastAsia="Arial" w:hAnsi="Arial"/>
          <w:sz w:val="18"/>
          <w:szCs w:val="18"/>
          <w:color w:val="auto"/>
        </w:rPr>
        <w:t>” means any employee pension benefit plan (as such term is defined in Section 3(2) of ERISA) that is subject to Title IV of ERISA, other than a Multiemployer Plan.</w:t>
      </w:r>
    </w:p>
    <w:p>
      <w:pPr>
        <w:spacing w:after="0" w:line="171"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Registration Rights Agreement, the Amended and Restated Operating Agreement and the Replacement GS Warrant, if applicable.</w:t>
      </w:r>
    </w:p>
    <w:p>
      <w:pPr>
        <w:spacing w:after="0" w:line="171"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means the aggregate amount of all reasonable out-of-pocket fees and expenses (whether or not yet invoiced), actually incurred by, or on behalf of, or to be paid by, a Party in connection with the or otherwise relating to the negotiation, preparation or execution hereof or any documents or agreements contemplated hereby or the performance or consummation of the Contemplated Transactions, in each case, to the extent unpaid and incurred by, or on behalf of, or to be paid by such Party as of the Closing, including reasonable fees and expenses of any Representatives engaged by, or on behalf of such Party in connection with the Contemplated Transactions and, with respect to Buyer, the Deferred Underwriting Fees, the D&amp;O Policy and any other amounts referenced as “Accounts Payable” or “Anticipated Liabilities” on Section 4.14 of the Buyer Disclosure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Form 8-K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1" w:name="page302"/>
    <w:bookmarkEnd w:id="30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Underwriters</w:t>
      </w:r>
      <w:r>
        <w:rPr>
          <w:rFonts w:ascii="Arial" w:cs="Arial" w:eastAsia="Arial" w:hAnsi="Arial"/>
          <w:sz w:val="18"/>
          <w:szCs w:val="18"/>
          <w:color w:val="auto"/>
        </w:rPr>
        <w:t>” means the underwriters of the IPO pursuant to the Prospectus.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23"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010000"/>
        </w:rPr>
        <w:t xml:space="preserve">Section 2.01 </w:t>
      </w:r>
      <w:r>
        <w:rPr>
          <w:rFonts w:ascii="Arial" w:cs="Arial" w:eastAsia="Arial" w:hAnsi="Arial"/>
          <w:sz w:val="17"/>
          <w:szCs w:val="17"/>
          <w:u w:val="single" w:color="auto"/>
          <w:color w:val="000000"/>
        </w:rPr>
        <w:t>Purchase and Sale</w:t>
      </w:r>
      <w:r>
        <w:rPr>
          <w:rFonts w:ascii="Arial" w:cs="Arial" w:eastAsia="Arial" w:hAnsi="Arial"/>
          <w:sz w:val="17"/>
          <w:szCs w:val="17"/>
          <w:color w:val="000000"/>
        </w:rPr>
        <w:t>. Upon the terms and subject to the conditions set forth herein, at the Closing, Sellers shall sell,</w:t>
      </w:r>
      <w:r>
        <w:rPr>
          <w:rFonts w:ascii="Arial" w:cs="Arial" w:eastAsia="Arial" w:hAnsi="Arial"/>
          <w:sz w:val="17"/>
          <w:szCs w:val="17"/>
          <w:color w:val="010000"/>
        </w:rPr>
        <w:t xml:space="preserve"> </w:t>
      </w:r>
      <w:r>
        <w:rPr>
          <w:rFonts w:ascii="Arial" w:cs="Arial" w:eastAsia="Arial" w:hAnsi="Arial"/>
          <w:sz w:val="17"/>
          <w:szCs w:val="17"/>
          <w:color w:val="000000"/>
        </w:rPr>
        <w:t>contribute, assign, transfer, convey and deliver to Buyer, and Buyer shall accept and acquire from Sellers, the Acquired Interests, free and clear of all Liens, other than restrictions on transfer of securities arising under applicable securities Laws or the Organizational Documents of the Company.</w:t>
      </w:r>
    </w:p>
    <w:p>
      <w:pPr>
        <w:spacing w:after="0" w:line="164"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u w:val="single" w:color="auto"/>
          <w:color w:val="000000"/>
        </w:rPr>
        <w:t>Consideration</w:t>
      </w:r>
      <w:r>
        <w:rPr>
          <w:rFonts w:ascii="Arial" w:cs="Arial" w:eastAsia="Arial" w:hAnsi="Arial"/>
          <w:sz w:val="18"/>
          <w:szCs w:val="18"/>
          <w:color w:val="000000"/>
        </w:rPr>
        <w:t>. The aggregate consideration payable by Buyer for the acquisition of the Acquired Interests shall be the</w:t>
      </w:r>
      <w:r>
        <w:rPr>
          <w:rFonts w:ascii="Arial" w:cs="Arial" w:eastAsia="Arial" w:hAnsi="Arial"/>
          <w:sz w:val="18"/>
          <w:szCs w:val="18"/>
          <w:color w:val="010000"/>
        </w:rPr>
        <w:t xml:space="preserve"> </w:t>
      </w:r>
      <w:r>
        <w:rPr>
          <w:rFonts w:ascii="Arial" w:cs="Arial" w:eastAsia="Arial" w:hAnsi="Arial"/>
          <w:sz w:val="18"/>
          <w:szCs w:val="18"/>
          <w:color w:val="000000"/>
        </w:rPr>
        <w:t xml:space="preserve">Consideration Shares payable pursuant to </w:t>
      </w:r>
      <w:r>
        <w:rPr>
          <w:rFonts w:ascii="Arial" w:cs="Arial" w:eastAsia="Arial" w:hAnsi="Arial"/>
          <w:sz w:val="18"/>
          <w:szCs w:val="18"/>
          <w:u w:val="single" w:color="auto"/>
          <w:color w:val="000000"/>
        </w:rPr>
        <w:t>Section 2.05(a)</w:t>
      </w:r>
      <w:r>
        <w:rPr>
          <w:rFonts w:ascii="Arial" w:cs="Arial" w:eastAsia="Arial" w:hAnsi="Arial"/>
          <w:sz w:val="18"/>
          <w:szCs w:val="18"/>
          <w:color w:val="000000"/>
        </w:rPr>
        <w:t xml:space="preserve"> and subject to adjustment as specified elsewhere herein.</w:t>
      </w:r>
    </w:p>
    <w:p>
      <w:pPr>
        <w:spacing w:after="0" w:line="171"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010000"/>
        </w:rPr>
        <w:t xml:space="preserve">Section 2.03 </w:t>
      </w:r>
      <w:r>
        <w:rPr>
          <w:rFonts w:ascii="Arial" w:cs="Arial" w:eastAsia="Arial" w:hAnsi="Arial"/>
          <w:sz w:val="18"/>
          <w:szCs w:val="18"/>
          <w:u w:val="single" w:color="auto"/>
          <w:color w:val="000000"/>
        </w:rPr>
        <w:t>Closing</w:t>
      </w:r>
      <w:r>
        <w:rPr>
          <w:rFonts w:ascii="Arial" w:cs="Arial" w:eastAsia="Arial" w:hAnsi="Arial"/>
          <w:sz w:val="18"/>
          <w:szCs w:val="18"/>
          <w:color w:val="000000"/>
        </w:rPr>
        <w:t>. The closing (the “</w:t>
      </w:r>
      <w:r>
        <w:rPr>
          <w:rFonts w:ascii="Arial" w:cs="Arial" w:eastAsia="Arial" w:hAnsi="Arial"/>
          <w:sz w:val="18"/>
          <w:szCs w:val="18"/>
          <w:u w:val="single" w:color="auto"/>
          <w:color w:val="000000"/>
        </w:rPr>
        <w:t>Closing</w:t>
      </w:r>
      <w:r>
        <w:rPr>
          <w:rFonts w:ascii="Arial" w:cs="Arial" w:eastAsia="Arial" w:hAnsi="Arial"/>
          <w:sz w:val="18"/>
          <w:szCs w:val="18"/>
          <w:color w:val="000000"/>
        </w:rPr>
        <w:t>”) of the purchase and sale of the Acquired Interests hereunder shall take place on the</w:t>
      </w:r>
      <w:r>
        <w:rPr>
          <w:rFonts w:ascii="Arial" w:cs="Arial" w:eastAsia="Arial" w:hAnsi="Arial"/>
          <w:sz w:val="18"/>
          <w:szCs w:val="18"/>
          <w:color w:val="010000"/>
        </w:rPr>
        <w:t xml:space="preserve"> </w:t>
      </w:r>
      <w:r>
        <w:rPr>
          <w:rFonts w:ascii="Arial" w:cs="Arial" w:eastAsia="Arial" w:hAnsi="Arial"/>
          <w:sz w:val="18"/>
          <w:szCs w:val="18"/>
          <w:color w:val="000000"/>
        </w:rPr>
        <w:t xml:space="preserve">third Business Day following the date on which all of the conditions set forth in </w:t>
      </w:r>
      <w:r>
        <w:rPr>
          <w:rFonts w:ascii="Arial" w:cs="Arial" w:eastAsia="Arial" w:hAnsi="Arial"/>
          <w:sz w:val="18"/>
          <w:szCs w:val="18"/>
          <w:u w:val="single" w:color="auto"/>
          <w:color w:val="000000"/>
        </w:rPr>
        <w:t>Article VI</w:t>
      </w:r>
      <w:r>
        <w:rPr>
          <w:rFonts w:ascii="Arial" w:cs="Arial" w:eastAsia="Arial" w:hAnsi="Arial"/>
          <w:sz w:val="18"/>
          <w:szCs w:val="18"/>
          <w:color w:val="000000"/>
        </w:rPr>
        <w:t xml:space="preserve"> (excluding those conditions that by their nature are to be satisfied as part of the Closing but subject to the satisfaction of such conditions at the Closing) have been satisfied or waived, at the offices of Schulte Roth &amp; Zabel LLP, 919 Third Avenue, New York, New York 10022, or at such other place, time or date as the Parties may agree (the date on which the Closing actually occurs, the “</w:t>
      </w:r>
      <w:r>
        <w:rPr>
          <w:rFonts w:ascii="Arial" w:cs="Arial" w:eastAsia="Arial" w:hAnsi="Arial"/>
          <w:sz w:val="18"/>
          <w:szCs w:val="18"/>
          <w:u w:val="single" w:color="auto"/>
          <w:color w:val="000000"/>
        </w:rPr>
        <w:t>Closing Date</w:t>
      </w:r>
      <w:r>
        <w:rPr>
          <w:rFonts w:ascii="Arial" w:cs="Arial" w:eastAsia="Arial" w:hAnsi="Arial"/>
          <w:sz w:val="18"/>
          <w:szCs w:val="18"/>
          <w:color w:val="000000"/>
        </w:rPr>
        <w:t>”).</w:t>
      </w:r>
    </w:p>
    <w:p>
      <w:pPr>
        <w:spacing w:after="0" w:line="19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2.04</w:t>
      </w:r>
      <w:r>
        <w:rPr>
          <w:sz w:val="20"/>
          <w:szCs w:val="20"/>
          <w:color w:val="auto"/>
        </w:rPr>
        <w:tab/>
      </w:r>
      <w:r>
        <w:rPr>
          <w:rFonts w:ascii="Arial" w:cs="Arial" w:eastAsia="Arial" w:hAnsi="Arial"/>
          <w:sz w:val="16"/>
          <w:szCs w:val="16"/>
          <w:u w:val="single" w:color="auto"/>
          <w:color w:val="auto"/>
        </w:rPr>
        <w:t>Pre-Closing Deliveries</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62" w:lineRule="auto"/>
        <w:tabs>
          <w:tab w:leader="none" w:pos="2058" w:val="left"/>
        </w:tabs>
        <w:numPr>
          <w:ilvl w:val="0"/>
          <w:numId w:val="221"/>
        </w:numPr>
        <w:rPr>
          <w:rFonts w:ascii="Arial" w:cs="Arial" w:eastAsia="Arial" w:hAnsi="Arial"/>
          <w:sz w:val="18"/>
          <w:szCs w:val="18"/>
          <w:color w:val="010000"/>
        </w:rPr>
      </w:pPr>
      <w:r>
        <w:rPr>
          <w:rFonts w:ascii="Arial" w:cs="Arial" w:eastAsia="Arial" w:hAnsi="Arial"/>
          <w:sz w:val="18"/>
          <w:szCs w:val="18"/>
          <w:color w:val="auto"/>
        </w:rPr>
        <w:t>At least two (2) Business Days prior to the Closing Date, Buyer shall deliver to Sellers a statement setting forth Buyer’s good faith estimate of (i) the aggregate amount of cash proceeds that will be required to satisfy any exercise of the Buyer Stockholder Redemptions as of immediately prior to Closing and (ii) the resulting amount of Available Cash.</w:t>
      </w:r>
    </w:p>
    <w:p>
      <w:pPr>
        <w:spacing w:after="0" w:line="182" w:lineRule="exact"/>
        <w:rPr>
          <w:rFonts w:ascii="Arial" w:cs="Arial" w:eastAsia="Arial" w:hAnsi="Arial"/>
          <w:sz w:val="18"/>
          <w:szCs w:val="18"/>
          <w:color w:val="010000"/>
        </w:rPr>
      </w:pPr>
    </w:p>
    <w:p>
      <w:pPr>
        <w:jc w:val="both"/>
        <w:ind w:left="900" w:firstLine="640"/>
        <w:spacing w:after="0" w:line="255" w:lineRule="auto"/>
        <w:tabs>
          <w:tab w:leader="none" w:pos="2081" w:val="left"/>
        </w:tabs>
        <w:numPr>
          <w:ilvl w:val="0"/>
          <w:numId w:val="221"/>
        </w:numPr>
        <w:rPr>
          <w:rFonts w:ascii="Arial" w:cs="Arial" w:eastAsia="Arial" w:hAnsi="Arial"/>
          <w:sz w:val="18"/>
          <w:szCs w:val="18"/>
          <w:color w:val="010000"/>
        </w:rPr>
      </w:pPr>
      <w:r>
        <w:rPr>
          <w:rFonts w:ascii="Arial" w:cs="Arial" w:eastAsia="Arial" w:hAnsi="Arial"/>
          <w:sz w:val="18"/>
          <w:szCs w:val="18"/>
          <w:color w:val="auto"/>
        </w:rPr>
        <w:t>At least two (2) Business Days prior to the Closing Date, Sellers shall deliver to Buyer a statement (the “</w:t>
      </w:r>
      <w:r>
        <w:rPr>
          <w:rFonts w:ascii="Arial" w:cs="Arial" w:eastAsia="Arial" w:hAnsi="Arial"/>
          <w:sz w:val="18"/>
          <w:szCs w:val="18"/>
          <w:u w:val="single" w:color="auto"/>
          <w:color w:val="auto"/>
        </w:rPr>
        <w:t>Pre-Closing Statement</w:t>
      </w:r>
      <w:r>
        <w:rPr>
          <w:rFonts w:ascii="Arial" w:cs="Arial" w:eastAsia="Arial" w:hAnsi="Arial"/>
          <w:sz w:val="18"/>
          <w:szCs w:val="18"/>
          <w:color w:val="auto"/>
        </w:rPr>
        <w:t xml:space="preserve">”) setting forth (i) Sellers’ good faith estimate of (A) the Company Equity Value and (B) all Transaction Expenses incurred by or on behalf of Sellers, (ii) the number of Consideration Shares to be issued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(iii) the identity of each Person entitled to receive any Consideration Shares to be issued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and (iv) the allocation of the Consideration Shares to be issued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2.05(a)</w:t>
      </w:r>
      <w:r>
        <w:rPr>
          <w:rFonts w:ascii="Arial" w:cs="Arial" w:eastAsia="Arial" w:hAnsi="Arial"/>
          <w:sz w:val="18"/>
          <w:szCs w:val="18"/>
          <w:color w:val="auto"/>
        </w:rPr>
        <w:t xml:space="preserve"> among such Persons.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2" w:name="page303"/>
    <w:bookmarkEnd w:id="302"/>
    <w:p>
      <w:pPr>
        <w:ind w:left="405"/>
        <w:spacing w:after="0"/>
        <w:tabs>
          <w:tab w:leader="none" w:pos="1585" w:val="left"/>
        </w:tabs>
        <w:rPr>
          <w:sz w:val="20"/>
          <w:szCs w:val="20"/>
          <w:color w:val="auto"/>
        </w:rPr>
      </w:pPr>
      <w:r>
        <w:rPr>
          <w:rFonts w:ascii="Arial" w:cs="Arial" w:eastAsia="Arial" w:hAnsi="Arial"/>
          <w:sz w:val="18"/>
          <w:szCs w:val="18"/>
          <w:color w:val="010000"/>
        </w:rPr>
        <w:t>Section 2.05</w:t>
      </w:r>
      <w:r>
        <w:rPr>
          <w:sz w:val="20"/>
          <w:szCs w:val="20"/>
          <w:color w:val="auto"/>
        </w:rPr>
        <w:tab/>
      </w:r>
      <w:r>
        <w:rPr>
          <w:rFonts w:ascii="Arial" w:cs="Arial" w:eastAsia="Arial" w:hAnsi="Arial"/>
          <w:sz w:val="16"/>
          <w:szCs w:val="16"/>
          <w:u w:val="single" w:color="auto"/>
          <w:color w:val="auto"/>
        </w:rPr>
        <w:t>Closing Deliveries and Payments by Buyer</w:t>
      </w:r>
      <w:r>
        <w:rPr>
          <w:rFonts w:ascii="Arial" w:cs="Arial" w:eastAsia="Arial" w:hAnsi="Arial"/>
          <w:sz w:val="16"/>
          <w:szCs w:val="16"/>
          <w:color w:val="auto"/>
        </w:rPr>
        <w:t>.</w:t>
      </w:r>
    </w:p>
    <w:p>
      <w:pPr>
        <w:spacing w:after="0" w:line="223" w:lineRule="exact"/>
        <w:rPr>
          <w:sz w:val="20"/>
          <w:szCs w:val="20"/>
          <w:color w:val="auto"/>
        </w:rPr>
      </w:pPr>
    </w:p>
    <w:p>
      <w:pPr>
        <w:ind w:left="5" w:firstLine="640"/>
        <w:spacing w:after="0" w:line="306" w:lineRule="auto"/>
        <w:tabs>
          <w:tab w:leader="none" w:pos="1230" w:val="left"/>
        </w:tabs>
        <w:numPr>
          <w:ilvl w:val="1"/>
          <w:numId w:val="222"/>
        </w:numPr>
        <w:rPr>
          <w:rFonts w:ascii="Arial" w:cs="Arial" w:eastAsia="Arial" w:hAnsi="Arial"/>
          <w:sz w:val="17"/>
          <w:szCs w:val="17"/>
          <w:color w:val="010000"/>
        </w:rPr>
      </w:pPr>
      <w:r>
        <w:rPr>
          <w:rFonts w:ascii="Arial" w:cs="Arial" w:eastAsia="Arial" w:hAnsi="Arial"/>
          <w:sz w:val="17"/>
          <w:szCs w:val="17"/>
          <w:color w:val="auto"/>
        </w:rPr>
        <w:t>At the Closing, Buyer shall issue and deliver to the applicable Person specified in the Pre-Closing Statement the Consideration Shares represented by stock certificates issued in the name of such Person in accordance with the Pre-Closing Statement.</w:t>
      </w:r>
    </w:p>
    <w:p>
      <w:pPr>
        <w:spacing w:after="0" w:line="146" w:lineRule="exact"/>
        <w:rPr>
          <w:rFonts w:ascii="Arial" w:cs="Arial" w:eastAsia="Arial" w:hAnsi="Arial"/>
          <w:sz w:val="17"/>
          <w:szCs w:val="17"/>
          <w:color w:val="010000"/>
        </w:rPr>
      </w:pPr>
    </w:p>
    <w:p>
      <w:pPr>
        <w:ind w:left="1165" w:hanging="520"/>
        <w:spacing w:after="0"/>
        <w:tabs>
          <w:tab w:leader="none" w:pos="1165" w:val="left"/>
        </w:tabs>
        <w:numPr>
          <w:ilvl w:val="1"/>
          <w:numId w:val="222"/>
        </w:numPr>
        <w:rPr>
          <w:rFonts w:ascii="Arial" w:cs="Arial" w:eastAsia="Arial" w:hAnsi="Arial"/>
          <w:sz w:val="18"/>
          <w:szCs w:val="18"/>
          <w:color w:val="010000"/>
        </w:rPr>
      </w:pPr>
      <w:r>
        <w:rPr>
          <w:rFonts w:ascii="Arial" w:cs="Arial" w:eastAsia="Arial" w:hAnsi="Arial"/>
          <w:sz w:val="18"/>
          <w:szCs w:val="18"/>
          <w:color w:val="auto"/>
        </w:rPr>
        <w:t>At the Closing, Buyer shall deliver, or cause to be delivered, to Sellers the following:</w:t>
      </w:r>
    </w:p>
    <w:p>
      <w:pPr>
        <w:spacing w:after="0" w:line="223" w:lineRule="exact"/>
        <w:rPr>
          <w:rFonts w:ascii="Arial" w:cs="Arial" w:eastAsia="Arial" w:hAnsi="Arial"/>
          <w:sz w:val="18"/>
          <w:szCs w:val="18"/>
          <w:color w:val="010000"/>
        </w:rPr>
      </w:pPr>
    </w:p>
    <w:p>
      <w:pPr>
        <w:ind w:left="1545" w:hanging="497"/>
        <w:spacing w:after="0"/>
        <w:tabs>
          <w:tab w:leader="none" w:pos="1545" w:val="left"/>
        </w:tabs>
        <w:numPr>
          <w:ilvl w:val="2"/>
          <w:numId w:val="222"/>
        </w:numPr>
        <w:rPr>
          <w:rFonts w:ascii="Arial" w:cs="Arial" w:eastAsia="Arial" w:hAnsi="Arial"/>
          <w:sz w:val="16"/>
          <w:szCs w:val="16"/>
          <w:color w:val="010000"/>
        </w:rPr>
      </w:pPr>
      <w:r>
        <w:rPr>
          <w:rFonts w:ascii="Arial" w:cs="Arial" w:eastAsia="Arial" w:hAnsi="Arial"/>
          <w:sz w:val="16"/>
          <w:szCs w:val="16"/>
          <w:color w:val="auto"/>
        </w:rPr>
        <w:t>a counterpart for each Transaction Document to which Buyer is specified to be a party executed by a duly authorized officer</w:t>
      </w:r>
    </w:p>
    <w:p>
      <w:pPr>
        <w:spacing w:after="0" w:line="45" w:lineRule="exact"/>
        <w:rPr>
          <w:rFonts w:ascii="Arial" w:cs="Arial" w:eastAsia="Arial" w:hAnsi="Arial"/>
          <w:sz w:val="16"/>
          <w:szCs w:val="16"/>
          <w:color w:val="010000"/>
        </w:rPr>
      </w:pPr>
    </w:p>
    <w:p>
      <w:pPr>
        <w:ind w:left="405"/>
        <w:spacing w:after="0"/>
        <w:rPr>
          <w:rFonts w:ascii="Arial" w:cs="Arial" w:eastAsia="Arial" w:hAnsi="Arial"/>
          <w:sz w:val="16"/>
          <w:szCs w:val="16"/>
          <w:color w:val="010000"/>
        </w:rPr>
      </w:pPr>
      <w:r>
        <w:rPr>
          <w:rFonts w:ascii="Arial" w:cs="Arial" w:eastAsia="Arial" w:hAnsi="Arial"/>
          <w:sz w:val="18"/>
          <w:szCs w:val="18"/>
          <w:color w:val="auto"/>
        </w:rPr>
        <w:t>of Buyer;</w:t>
      </w:r>
    </w:p>
    <w:p>
      <w:pPr>
        <w:spacing w:after="0" w:line="208" w:lineRule="exact"/>
        <w:rPr>
          <w:rFonts w:ascii="Arial" w:cs="Arial" w:eastAsia="Arial" w:hAnsi="Arial"/>
          <w:sz w:val="16"/>
          <w:szCs w:val="16"/>
          <w:color w:val="010000"/>
        </w:rPr>
      </w:pPr>
    </w:p>
    <w:p>
      <w:pPr>
        <w:ind w:left="405" w:firstLine="643"/>
        <w:spacing w:after="0" w:line="275" w:lineRule="auto"/>
        <w:tabs>
          <w:tab w:leader="none" w:pos="1623" w:val="left"/>
        </w:tabs>
        <w:numPr>
          <w:ilvl w:val="2"/>
          <w:numId w:val="222"/>
        </w:numPr>
        <w:rPr>
          <w:rFonts w:ascii="Arial" w:cs="Arial" w:eastAsia="Arial" w:hAnsi="Arial"/>
          <w:sz w:val="18"/>
          <w:szCs w:val="18"/>
          <w:color w:val="010000"/>
        </w:rPr>
      </w:pPr>
      <w:r>
        <w:rPr>
          <w:rFonts w:ascii="Arial" w:cs="Arial" w:eastAsia="Arial" w:hAnsi="Arial"/>
          <w:sz w:val="18"/>
          <w:szCs w:val="18"/>
          <w:color w:val="auto"/>
        </w:rPr>
        <w:t xml:space="preserve">a certificate executed by a duly authorized officer of Buyer that certifies as to the satisfaction of the conditions set forth in subsections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6.03</w:t>
      </w:r>
      <w:r>
        <w:rPr>
          <w:rFonts w:ascii="Arial" w:cs="Arial" w:eastAsia="Arial" w:hAnsi="Arial"/>
          <w:sz w:val="18"/>
          <w:szCs w:val="18"/>
          <w:color w:val="auto"/>
        </w:rPr>
        <w:t>; and</w:t>
      </w:r>
    </w:p>
    <w:p>
      <w:pPr>
        <w:spacing w:after="0" w:line="170" w:lineRule="exact"/>
        <w:rPr>
          <w:rFonts w:ascii="Arial" w:cs="Arial" w:eastAsia="Arial" w:hAnsi="Arial"/>
          <w:sz w:val="18"/>
          <w:szCs w:val="18"/>
          <w:color w:val="010000"/>
        </w:rPr>
      </w:pPr>
    </w:p>
    <w:p>
      <w:pPr>
        <w:ind w:left="1625" w:hanging="577"/>
        <w:spacing w:after="0"/>
        <w:tabs>
          <w:tab w:leader="none" w:pos="1625" w:val="left"/>
        </w:tabs>
        <w:numPr>
          <w:ilvl w:val="2"/>
          <w:numId w:val="222"/>
        </w:numPr>
        <w:rPr>
          <w:rFonts w:ascii="Arial" w:cs="Arial" w:eastAsia="Arial" w:hAnsi="Arial"/>
          <w:sz w:val="18"/>
          <w:szCs w:val="18"/>
          <w:color w:val="010000"/>
        </w:rPr>
      </w:pPr>
      <w:r>
        <w:rPr>
          <w:rFonts w:ascii="Arial" w:cs="Arial" w:eastAsia="Arial" w:hAnsi="Arial"/>
          <w:sz w:val="18"/>
          <w:szCs w:val="18"/>
          <w:color w:val="auto"/>
        </w:rPr>
        <w:t>resignations of each director and officer of Buyer, effective at the time of Closing.</w:t>
      </w:r>
    </w:p>
    <w:p>
      <w:pPr>
        <w:spacing w:after="0" w:line="223" w:lineRule="exact"/>
        <w:rPr>
          <w:rFonts w:ascii="Arial" w:cs="Arial" w:eastAsia="Arial" w:hAnsi="Arial"/>
          <w:sz w:val="18"/>
          <w:szCs w:val="18"/>
          <w:color w:val="010000"/>
        </w:rPr>
      </w:pPr>
    </w:p>
    <w:p>
      <w:pPr>
        <w:ind w:left="1225" w:hanging="580"/>
        <w:spacing w:after="0"/>
        <w:tabs>
          <w:tab w:leader="none" w:pos="1225" w:val="left"/>
        </w:tabs>
        <w:numPr>
          <w:ilvl w:val="1"/>
          <w:numId w:val="222"/>
        </w:numPr>
        <w:rPr>
          <w:rFonts w:ascii="Arial" w:cs="Arial" w:eastAsia="Arial" w:hAnsi="Arial"/>
          <w:sz w:val="16"/>
          <w:szCs w:val="16"/>
          <w:color w:val="010000"/>
        </w:rPr>
      </w:pPr>
      <w:r>
        <w:rPr>
          <w:rFonts w:ascii="Arial" w:cs="Arial" w:eastAsia="Arial" w:hAnsi="Arial"/>
          <w:sz w:val="16"/>
          <w:szCs w:val="16"/>
          <w:color w:val="auto"/>
        </w:rPr>
        <w:t>At the Closing, Buyer shall cause (i) the Buyer Charter to be amended and restated in the form of the Buyer A&amp;R Charter and</w:t>
      </w:r>
    </w:p>
    <w:p>
      <w:pPr>
        <w:spacing w:after="0" w:line="45" w:lineRule="exact"/>
        <w:rPr>
          <w:rFonts w:ascii="Arial" w:cs="Arial" w:eastAsia="Arial" w:hAnsi="Arial"/>
          <w:sz w:val="16"/>
          <w:szCs w:val="16"/>
          <w:color w:val="010000"/>
        </w:rPr>
      </w:pPr>
    </w:p>
    <w:p>
      <w:pPr>
        <w:ind w:left="265" w:hanging="265"/>
        <w:spacing w:after="0"/>
        <w:tabs>
          <w:tab w:leader="none" w:pos="26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by-laws of Buyer to be amended and restated in the form of the Buyer A&amp;R By-laws.</w:t>
      </w:r>
    </w:p>
    <w:p>
      <w:pPr>
        <w:spacing w:after="0" w:line="208" w:lineRule="exact"/>
        <w:rPr>
          <w:rFonts w:ascii="Arial" w:cs="Arial" w:eastAsia="Arial" w:hAnsi="Arial"/>
          <w:sz w:val="18"/>
          <w:szCs w:val="18"/>
          <w:color w:val="auto"/>
        </w:rPr>
      </w:pPr>
    </w:p>
    <w:p>
      <w:pPr>
        <w:ind w:left="1185" w:hanging="540"/>
        <w:spacing w:after="0"/>
        <w:tabs>
          <w:tab w:leader="none" w:pos="1185" w:val="left"/>
        </w:tabs>
        <w:numPr>
          <w:ilvl w:val="1"/>
          <w:numId w:val="223"/>
        </w:numPr>
        <w:rPr>
          <w:rFonts w:ascii="Arial" w:cs="Arial" w:eastAsia="Arial" w:hAnsi="Arial"/>
          <w:sz w:val="16"/>
          <w:szCs w:val="16"/>
          <w:color w:val="010000"/>
        </w:rPr>
      </w:pPr>
      <w:r>
        <w:rPr>
          <w:rFonts w:ascii="Arial" w:cs="Arial" w:eastAsia="Arial" w:hAnsi="Arial"/>
          <w:sz w:val="16"/>
          <w:szCs w:val="16"/>
          <w:color w:val="auto"/>
        </w:rPr>
        <w:t>At the Closing, Buyer shall pay, or cause to be paid, out of the Available Cash, all Transaction Expenses incurred by or on behalf</w:t>
      </w:r>
    </w:p>
    <w:p>
      <w:pPr>
        <w:spacing w:after="0" w:line="45" w:lineRule="exact"/>
        <w:rPr>
          <w:rFonts w:ascii="Arial" w:cs="Arial" w:eastAsia="Arial" w:hAnsi="Arial"/>
          <w:sz w:val="16"/>
          <w:szCs w:val="16"/>
          <w:color w:val="010000"/>
        </w:rPr>
      </w:pPr>
    </w:p>
    <w:p>
      <w:pPr>
        <w:ind w:left="5"/>
        <w:spacing w:after="0"/>
        <w:rPr>
          <w:rFonts w:ascii="Arial" w:cs="Arial" w:eastAsia="Arial" w:hAnsi="Arial"/>
          <w:sz w:val="16"/>
          <w:szCs w:val="16"/>
          <w:color w:val="010000"/>
        </w:rPr>
      </w:pPr>
      <w:r>
        <w:rPr>
          <w:rFonts w:ascii="Arial" w:cs="Arial" w:eastAsia="Arial" w:hAnsi="Arial"/>
          <w:sz w:val="18"/>
          <w:szCs w:val="18"/>
          <w:color w:val="auto"/>
        </w:rPr>
        <w:t>of the Parties.</w:t>
      </w:r>
    </w:p>
    <w:p>
      <w:pPr>
        <w:spacing w:after="0" w:line="209" w:lineRule="exact"/>
        <w:rPr>
          <w:sz w:val="20"/>
          <w:szCs w:val="20"/>
          <w:color w:val="auto"/>
        </w:rPr>
      </w:pPr>
    </w:p>
    <w:p>
      <w:pPr>
        <w:ind w:left="405"/>
        <w:spacing w:after="0"/>
        <w:tabs>
          <w:tab w:leader="none" w:pos="1585" w:val="left"/>
        </w:tabs>
        <w:rPr>
          <w:sz w:val="20"/>
          <w:szCs w:val="20"/>
          <w:color w:val="auto"/>
        </w:rPr>
      </w:pPr>
      <w:r>
        <w:rPr>
          <w:rFonts w:ascii="Arial" w:cs="Arial" w:eastAsia="Arial" w:hAnsi="Arial"/>
          <w:sz w:val="18"/>
          <w:szCs w:val="18"/>
          <w:color w:val="010000"/>
        </w:rPr>
        <w:t>Section 2.06</w:t>
      </w:r>
      <w:r>
        <w:rPr>
          <w:sz w:val="20"/>
          <w:szCs w:val="20"/>
          <w:color w:val="auto"/>
        </w:rPr>
        <w:tab/>
      </w:r>
      <w:r>
        <w:rPr>
          <w:rFonts w:ascii="Arial" w:cs="Arial" w:eastAsia="Arial" w:hAnsi="Arial"/>
          <w:sz w:val="16"/>
          <w:szCs w:val="16"/>
          <w:u w:val="single" w:color="auto"/>
          <w:color w:val="auto"/>
        </w:rPr>
        <w:t>Closing Deliveries by Sellers</w:t>
      </w:r>
      <w:r>
        <w:rPr>
          <w:rFonts w:ascii="Arial" w:cs="Arial" w:eastAsia="Arial" w:hAnsi="Arial"/>
          <w:sz w:val="16"/>
          <w:szCs w:val="16"/>
          <w:color w:val="auto"/>
        </w:rPr>
        <w:t>. At the Closing, Sellers shall deliver, or cause to be delivered, to Buyer the following:</w:t>
      </w:r>
    </w:p>
    <w:p>
      <w:pPr>
        <w:spacing w:after="0" w:line="223" w:lineRule="exact"/>
        <w:rPr>
          <w:sz w:val="20"/>
          <w:szCs w:val="20"/>
          <w:color w:val="auto"/>
        </w:rPr>
      </w:pPr>
    </w:p>
    <w:p>
      <w:pPr>
        <w:ind w:left="5" w:firstLine="640"/>
        <w:spacing w:after="0" w:line="275" w:lineRule="auto"/>
        <w:tabs>
          <w:tab w:leader="none" w:pos="1230" w:val="left"/>
        </w:tabs>
        <w:numPr>
          <w:ilvl w:val="0"/>
          <w:numId w:val="224"/>
        </w:numPr>
        <w:rPr>
          <w:rFonts w:ascii="Arial" w:cs="Arial" w:eastAsia="Arial" w:hAnsi="Arial"/>
          <w:sz w:val="18"/>
          <w:szCs w:val="18"/>
          <w:color w:val="010000"/>
        </w:rPr>
      </w:pPr>
      <w:r>
        <w:rPr>
          <w:rFonts w:ascii="Arial" w:cs="Arial" w:eastAsia="Arial" w:hAnsi="Arial"/>
          <w:sz w:val="18"/>
          <w:szCs w:val="18"/>
          <w:color w:val="auto"/>
        </w:rPr>
        <w:t>a counterpart for each Transaction Document to which each Seller is specified to be a party duly executed by a duly authorized representative of such Seller; and</w:t>
      </w:r>
    </w:p>
    <w:p>
      <w:pPr>
        <w:spacing w:after="0" w:line="170" w:lineRule="exact"/>
        <w:rPr>
          <w:rFonts w:ascii="Arial" w:cs="Arial" w:eastAsia="Arial" w:hAnsi="Arial"/>
          <w:sz w:val="18"/>
          <w:szCs w:val="18"/>
          <w:color w:val="010000"/>
        </w:rPr>
      </w:pPr>
    </w:p>
    <w:p>
      <w:pPr>
        <w:ind w:left="5" w:right="20" w:firstLine="640"/>
        <w:spacing w:after="0" w:line="275" w:lineRule="auto"/>
        <w:tabs>
          <w:tab w:leader="none" w:pos="1280" w:val="left"/>
        </w:tabs>
        <w:numPr>
          <w:ilvl w:val="0"/>
          <w:numId w:val="224"/>
        </w:numPr>
        <w:rPr>
          <w:rFonts w:ascii="Arial" w:cs="Arial" w:eastAsia="Arial" w:hAnsi="Arial"/>
          <w:sz w:val="18"/>
          <w:szCs w:val="18"/>
          <w:color w:val="010000"/>
        </w:rPr>
      </w:pPr>
      <w:r>
        <w:rPr>
          <w:rFonts w:ascii="Arial" w:cs="Arial" w:eastAsia="Arial" w:hAnsi="Arial"/>
          <w:sz w:val="18"/>
          <w:szCs w:val="18"/>
          <w:color w:val="auto"/>
        </w:rPr>
        <w:t xml:space="preserve">a certificate executed by a duly authorized officer of PIH that certifies (on behalf of both Sellers) as to the satisfaction of the conditions set forth in subsections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405"/>
        <w:spacing w:after="0"/>
        <w:tabs>
          <w:tab w:leader="none" w:pos="1585" w:val="left"/>
        </w:tabs>
        <w:rPr>
          <w:sz w:val="20"/>
          <w:szCs w:val="20"/>
          <w:color w:val="auto"/>
        </w:rPr>
      </w:pPr>
      <w:r>
        <w:rPr>
          <w:rFonts w:ascii="Arial" w:cs="Arial" w:eastAsia="Arial" w:hAnsi="Arial"/>
          <w:sz w:val="18"/>
          <w:szCs w:val="18"/>
          <w:color w:val="010000"/>
        </w:rPr>
        <w:t>Section 2.07</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3" w:lineRule="exact"/>
        <w:rPr>
          <w:sz w:val="20"/>
          <w:szCs w:val="20"/>
          <w:color w:val="auto"/>
        </w:rPr>
      </w:pPr>
    </w:p>
    <w:p>
      <w:pPr>
        <w:jc w:val="both"/>
        <w:ind w:left="5" w:firstLine="640"/>
        <w:spacing w:after="0" w:line="283" w:lineRule="auto"/>
        <w:tabs>
          <w:tab w:leader="none" w:pos="1230" w:val="left"/>
        </w:tabs>
        <w:numPr>
          <w:ilvl w:val="1"/>
          <w:numId w:val="225"/>
        </w:numPr>
        <w:rPr>
          <w:rFonts w:ascii="Arial" w:cs="Arial" w:eastAsia="Arial" w:hAnsi="Arial"/>
          <w:sz w:val="16"/>
          <w:szCs w:val="16"/>
          <w:color w:val="010000"/>
        </w:rPr>
      </w:pPr>
      <w:r>
        <w:rPr>
          <w:rFonts w:ascii="Arial" w:cs="Arial" w:eastAsia="Arial" w:hAnsi="Arial"/>
          <w:sz w:val="16"/>
          <w:szCs w:val="16"/>
          <w:color w:val="auto"/>
        </w:rPr>
        <w:t>Buyer shall take all necessary action to cause that, immediately after the Closing, Buyer’s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will consist of seven (7) directors, all designated by Sellers by written notice to Buyer, immediately prior to the Closing. During the Board Observer Period, the Company shall allow one representative designated by Magna Management, LLC to attend and participate in all meetings and other activities of the Board (a “</w:t>
      </w:r>
      <w:r>
        <w:rPr>
          <w:rFonts w:ascii="Arial" w:cs="Arial" w:eastAsia="Arial" w:hAnsi="Arial"/>
          <w:sz w:val="16"/>
          <w:szCs w:val="16"/>
          <w:u w:val="single" w:color="auto"/>
          <w:color w:val="auto"/>
        </w:rPr>
        <w:t>Board Observer</w:t>
      </w:r>
      <w:r>
        <w:rPr>
          <w:rFonts w:ascii="Arial" w:cs="Arial" w:eastAsia="Arial" w:hAnsi="Arial"/>
          <w:sz w:val="16"/>
          <w:szCs w:val="16"/>
          <w:color w:val="auto"/>
        </w:rPr>
        <w:t>”). The Company shall use reasonable efforts to (a) give Magna Management, LLC notice of all such meetings, at the same time as furnished to the directors, (b) provide to such Board Observer all notices, documents and information furnished to the directors, whether at or in anticipation of a meeting, an action by written consent or otherwise, at the same time furnished to such directors,</w:t>
      </w:r>
    </w:p>
    <w:p>
      <w:pPr>
        <w:spacing w:after="0" w:line="3" w:lineRule="exact"/>
        <w:rPr>
          <w:rFonts w:ascii="Arial" w:cs="Arial" w:eastAsia="Arial" w:hAnsi="Arial"/>
          <w:sz w:val="16"/>
          <w:szCs w:val="16"/>
          <w:color w:val="010000"/>
        </w:rPr>
      </w:pPr>
    </w:p>
    <w:p>
      <w:pPr>
        <w:jc w:val="both"/>
        <w:ind w:left="5" w:hanging="5"/>
        <w:spacing w:after="0" w:line="268" w:lineRule="auto"/>
        <w:tabs>
          <w:tab w:leader="none" w:pos="257"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notify the Board Observer and permit such Board Observer to participate by telephone in, emergency meetings of the Board, and (d) provide the Board Observer copies of the minutes of all such meetings at the time such minutes are furnished to the members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be entitled to exclude the Board Observer from (i) all or any portion of any executive session or (ii) all or any portion of any meeting to the extent the failure to exclude would, in the Board’s good faith determination, (A) adversely affect the attorney-client privilege between Buyer, the Company or any of its Subsidiaries and their respective counsel, (B) adversely affect Buyer, the Company or any of its Affiliates under governmental regulations or other applicable Law or Contract, or (C) result in a conflict of interest.</w:t>
      </w:r>
    </w:p>
    <w:p>
      <w:pPr>
        <w:spacing w:after="0" w:line="396" w:lineRule="exact"/>
        <w:rPr>
          <w:sz w:val="20"/>
          <w:szCs w:val="20"/>
          <w:color w:val="auto"/>
        </w:rPr>
      </w:pPr>
    </w:p>
    <w:p>
      <w:pPr>
        <w:ind w:left="4645"/>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7247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525"/>
          </w:cols>
          <w:pgMar w:left="1135" w:top="905" w:right="239" w:bottom="1440" w:gutter="0" w:footer="0" w:header="0"/>
        </w:sectPr>
      </w:pPr>
    </w:p>
    <w:bookmarkStart w:id="303" w:name="page304"/>
    <w:bookmarkEnd w:id="303"/>
    <w:p>
      <w:pPr>
        <w:jc w:val="both"/>
        <w:ind w:left="900" w:firstLine="640"/>
        <w:spacing w:after="0" w:line="262" w:lineRule="auto"/>
        <w:tabs>
          <w:tab w:leader="none" w:pos="2162" w:val="left"/>
        </w:tabs>
        <w:numPr>
          <w:ilvl w:val="0"/>
          <w:numId w:val="227"/>
        </w:numPr>
        <w:rPr>
          <w:rFonts w:ascii="Arial" w:cs="Arial" w:eastAsia="Arial" w:hAnsi="Arial"/>
          <w:sz w:val="18"/>
          <w:szCs w:val="18"/>
          <w:color w:val="010000"/>
        </w:rPr>
      </w:pPr>
      <w:r>
        <w:rPr>
          <w:rFonts w:ascii="Arial" w:cs="Arial" w:eastAsia="Arial" w:hAnsi="Arial"/>
          <w:sz w:val="18"/>
          <w:szCs w:val="18"/>
          <w:color w:val="auto"/>
        </w:rPr>
        <w:t>From and after the Closing and until such time as PIH or its Affiliates cease to hold at least twenty-five percent (25%) of the issued and outstanding Common Stock in the aggregate, Buyer shall take all necessary action to cause two (2) individuals designated in writing by PIH to be nominated and elected as directors of the Board.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SELLERS</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Except as set forth in the Disclosure Letter, Sellers represent and warrant to Buyer that all of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as of the date hereof or, if made as of a specified date, as of such date.</w:t>
      </w:r>
    </w:p>
    <w:p>
      <w:pPr>
        <w:spacing w:after="0" w:line="171"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010000"/>
        </w:rPr>
        <w:t xml:space="preserve">Section 3.01 </w:t>
      </w:r>
      <w:r>
        <w:rPr>
          <w:rFonts w:ascii="Arial" w:cs="Arial" w:eastAsia="Arial" w:hAnsi="Arial"/>
          <w:sz w:val="17"/>
          <w:szCs w:val="17"/>
          <w:u w:val="single" w:color="auto"/>
          <w:color w:val="000000"/>
        </w:rPr>
        <w:t>Organization and Good Standing</w:t>
      </w:r>
      <w:r>
        <w:rPr>
          <w:rFonts w:ascii="Arial" w:cs="Arial" w:eastAsia="Arial" w:hAnsi="Arial"/>
          <w:sz w:val="17"/>
          <w:szCs w:val="17"/>
          <w:color w:val="000000"/>
        </w:rPr>
        <w:t>. Each of Sellers, the Company and its Subsidiaries is a legal entity validly existing and in</w:t>
      </w:r>
      <w:r>
        <w:rPr>
          <w:rFonts w:ascii="Arial" w:cs="Arial" w:eastAsia="Arial" w:hAnsi="Arial"/>
          <w:sz w:val="17"/>
          <w:szCs w:val="17"/>
          <w:color w:val="010000"/>
        </w:rPr>
        <w:t xml:space="preserve"> </w:t>
      </w:r>
      <w:r>
        <w:rPr>
          <w:rFonts w:ascii="Arial" w:cs="Arial" w:eastAsia="Arial" w:hAnsi="Arial"/>
          <w:sz w:val="17"/>
          <w:szCs w:val="17"/>
          <w:color w:val="000000"/>
        </w:rPr>
        <w:t>good standing under the laws of the jurisdiction of its formation and has all requisite power and authority to own, lease and operate its properties and to carry on its business in all material respects as is now being conducted. Each of Sellers, the Company and its Subsidiaries is duly qualified or licensed and (if applicable)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reasonably be expected to have, individually or in the aggregate, a Material Adverse Effect.</w:t>
      </w:r>
    </w:p>
    <w:p>
      <w:pPr>
        <w:spacing w:after="0" w:line="176" w:lineRule="exact"/>
        <w:rPr>
          <w:sz w:val="20"/>
          <w:szCs w:val="20"/>
          <w:color w:val="auto"/>
        </w:rPr>
      </w:pPr>
    </w:p>
    <w:p>
      <w:pPr>
        <w:jc w:val="both"/>
        <w:ind w:firstLine="1290"/>
        <w:spacing w:after="0" w:line="268" w:lineRule="auto"/>
        <w:rPr>
          <w:sz w:val="20"/>
          <w:szCs w:val="20"/>
          <w:color w:val="auto"/>
        </w:rPr>
      </w:pPr>
      <w:r>
        <w:rPr>
          <w:rFonts w:ascii="Arial" w:cs="Arial" w:eastAsia="Arial" w:hAnsi="Arial"/>
          <w:sz w:val="17"/>
          <w:szCs w:val="17"/>
          <w:color w:val="010000"/>
        </w:rPr>
        <w:t xml:space="preserve">Section 3.02 </w:t>
      </w:r>
      <w:r>
        <w:rPr>
          <w:rFonts w:ascii="Arial" w:cs="Arial" w:eastAsia="Arial" w:hAnsi="Arial"/>
          <w:sz w:val="17"/>
          <w:szCs w:val="17"/>
          <w:u w:val="single" w:color="auto"/>
          <w:color w:val="000000"/>
        </w:rPr>
        <w:t>Authorization; Validity of Agreements</w:t>
      </w:r>
      <w:r>
        <w:rPr>
          <w:rFonts w:ascii="Arial" w:cs="Arial" w:eastAsia="Arial" w:hAnsi="Arial"/>
          <w:sz w:val="17"/>
          <w:szCs w:val="17"/>
          <w:color w:val="000000"/>
        </w:rPr>
        <w:t>. Each Seller has the requisite power and authority to execute and deliver, and</w:t>
      </w:r>
      <w:r>
        <w:rPr>
          <w:rFonts w:ascii="Arial" w:cs="Arial" w:eastAsia="Arial" w:hAnsi="Arial"/>
          <w:sz w:val="17"/>
          <w:szCs w:val="17"/>
          <w:color w:val="010000"/>
        </w:rPr>
        <w:t xml:space="preserve"> </w:t>
      </w:r>
      <w:r>
        <w:rPr>
          <w:rFonts w:ascii="Arial" w:cs="Arial" w:eastAsia="Arial" w:hAnsi="Arial"/>
          <w:sz w:val="17"/>
          <w:szCs w:val="17"/>
          <w:color w:val="000000"/>
        </w:rPr>
        <w:t>perform its obligations under, the Transaction Documents to which it is specified to be a party and to consummate the Contemplated Transactions thereunder. The execution, delivery and performance by such Seller of the Transaction Documents to which it is specified to be a party, and the consummation by such Seller of the Contemplated Transactions thereunder, have been duly authorized by such Seller, and no other company proceedings on the part of such Seller are necessary to authorize such Seller’s execution, delivery and performance of any Transaction Document to which it is specified to be a party or the consummation by such Seller of the Contemplated Transactions thereunder. This Agreement has been duly executed and delivered by each Seller. Assuming the due and valid authorization, execution and delivery of this Agreement by the other Parties hereto, this Agreement constitutes a legal, valid and binding obligation of each Seller, enforceable against such Seller in accordance with its terms, subject to the Bankruptcy and Equity Exclusion. Assuming the due and valid authorization, execution and delivery thereof by each other party thereto, each other Transaction Document to which each Seller is specified to be a party (when executed and delivered by such Seller) shall constitute a legal, valid and binding obligation of such Seller, enforceable against such Seller in accordance with its terms, subject to the Bankruptcy and Equity Exclusion.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4" w:name="page305"/>
    <w:bookmarkEnd w:id="304"/>
    <w:p>
      <w:pPr>
        <w:jc w:val="both"/>
        <w:ind w:firstLine="1290"/>
        <w:spacing w:after="0" w:line="268" w:lineRule="auto"/>
        <w:rPr>
          <w:sz w:val="20"/>
          <w:szCs w:val="20"/>
          <w:color w:val="auto"/>
        </w:rPr>
      </w:pPr>
      <w:r>
        <w:rPr>
          <w:rFonts w:ascii="Arial" w:cs="Arial" w:eastAsia="Arial" w:hAnsi="Arial"/>
          <w:sz w:val="17"/>
          <w:szCs w:val="17"/>
          <w:color w:val="010000"/>
        </w:rPr>
        <w:t xml:space="preserve">Section 3.03 </w:t>
      </w:r>
      <w:r>
        <w:rPr>
          <w:rFonts w:ascii="Arial" w:cs="Arial" w:eastAsia="Arial" w:hAnsi="Arial"/>
          <w:sz w:val="17"/>
          <w:szCs w:val="17"/>
          <w:u w:val="single" w:color="auto"/>
          <w:color w:val="000000"/>
        </w:rPr>
        <w:t>Consents and Approvals; No Violations</w:t>
      </w:r>
      <w:r>
        <w:rPr>
          <w:rFonts w:ascii="Arial" w:cs="Arial" w:eastAsia="Arial" w:hAnsi="Arial"/>
          <w:sz w:val="17"/>
          <w:szCs w:val="17"/>
          <w:color w:val="000000"/>
        </w:rPr>
        <w:t>. Except as listed on Section 3.03 of the Disclosure Letter, neither the execution,</w:t>
      </w:r>
      <w:r>
        <w:rPr>
          <w:rFonts w:ascii="Arial" w:cs="Arial" w:eastAsia="Arial" w:hAnsi="Arial"/>
          <w:sz w:val="17"/>
          <w:szCs w:val="17"/>
          <w:color w:val="010000"/>
        </w:rPr>
        <w:t xml:space="preserve"> </w:t>
      </w:r>
      <w:r>
        <w:rPr>
          <w:rFonts w:ascii="Arial" w:cs="Arial" w:eastAsia="Arial" w:hAnsi="Arial"/>
          <w:sz w:val="17"/>
          <w:szCs w:val="17"/>
          <w:color w:val="000000"/>
        </w:rPr>
        <w:t xml:space="preserve">delivery or performance by each Seller of any Transaction Document to which it is specified to be a party, nor the consummation by such Seller of the Contemplated Transactions thereunder, will (a) conflict with or violate any provision of any Organizational Documents of any Seller, the Company or any of its Subsidiaries; (b) result in a breach of, or constitute (with or without due notice or lapse of time or both) a default or give rise to any right of termination, cancellation or acceleration under, any of the terms, conditions or provisions of any Material Contract; (c) violate any material Laws applicable to any Seller, the Company or any of its Subsidiaries or any of the material properties or assets of the Company or any of its Subsidiaries; (d) require on the part of any Seller, the Company or any of its Subsidiaries any filing or registration with, notification to, or authorization, consent or approval of, any Governmental Authority or Card Association; or (e)result in the creation or imposition of any Lien (other than Permitted Liens) on any assets or properties of any Seller, the Company or any of its Subsidiaries, except, in the cases of clauses (b) through (e) of this </w:t>
      </w:r>
      <w:r>
        <w:rPr>
          <w:rFonts w:ascii="Arial" w:cs="Arial" w:eastAsia="Arial" w:hAnsi="Arial"/>
          <w:sz w:val="17"/>
          <w:szCs w:val="17"/>
          <w:u w:val="single" w:color="auto"/>
          <w:color w:val="000000"/>
        </w:rPr>
        <w:t>Section 3.03</w:t>
      </w:r>
      <w:r>
        <w:rPr>
          <w:rFonts w:ascii="Arial" w:cs="Arial" w:eastAsia="Arial" w:hAnsi="Arial"/>
          <w:sz w:val="17"/>
          <w:szCs w:val="17"/>
          <w:color w:val="000000"/>
        </w:rPr>
        <w:t>, as would not reasonably be expected to have, individually or in the aggregate, a Material Adverse Effect.</w:t>
      </w:r>
    </w:p>
    <w:p>
      <w:pPr>
        <w:spacing w:after="0" w:line="183"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3.04</w:t>
      </w:r>
      <w:r>
        <w:rPr>
          <w:sz w:val="20"/>
          <w:szCs w:val="20"/>
          <w:color w:val="auto"/>
        </w:rPr>
        <w:tab/>
      </w:r>
      <w:r>
        <w:rPr>
          <w:rFonts w:ascii="Arial" w:cs="Arial" w:eastAsia="Arial" w:hAnsi="Arial"/>
          <w:sz w:val="16"/>
          <w:szCs w:val="16"/>
          <w:u w:val="single" w:color="auto"/>
          <w:color w:val="auto"/>
        </w:rPr>
        <w:t>Capitalization and Ownership</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70" w:lineRule="auto"/>
        <w:tabs>
          <w:tab w:leader="none" w:pos="2058" w:val="left"/>
        </w:tabs>
        <w:numPr>
          <w:ilvl w:val="0"/>
          <w:numId w:val="228"/>
        </w:numPr>
        <w:rPr>
          <w:rFonts w:ascii="Arial" w:cs="Arial" w:eastAsia="Arial" w:hAnsi="Arial"/>
          <w:sz w:val="17"/>
          <w:szCs w:val="17"/>
          <w:color w:val="010000"/>
        </w:rPr>
      </w:pPr>
      <w:r>
        <w:rPr>
          <w:rFonts w:ascii="Arial" w:cs="Arial" w:eastAsia="Arial" w:hAnsi="Arial"/>
          <w:sz w:val="17"/>
          <w:szCs w:val="17"/>
          <w:color w:val="auto"/>
        </w:rPr>
        <w:t>Section 3.04(a) of the Disclosure Letter sets forth the following: the total number of issued and outstanding Equity Interests of the Company, the names of the holders of such issued and outstanding Equity Interests, and the number or percentage interests of such Equity Interests held by each such holder (the “</w:t>
      </w:r>
      <w:r>
        <w:rPr>
          <w:rFonts w:ascii="Arial" w:cs="Arial" w:eastAsia="Arial" w:hAnsi="Arial"/>
          <w:sz w:val="17"/>
          <w:szCs w:val="17"/>
          <w:u w:val="single" w:color="auto"/>
          <w:color w:val="auto"/>
        </w:rPr>
        <w:t>Company Interests</w:t>
      </w:r>
      <w:r>
        <w:rPr>
          <w:rFonts w:ascii="Arial" w:cs="Arial" w:eastAsia="Arial" w:hAnsi="Arial"/>
          <w:sz w:val="17"/>
          <w:szCs w:val="17"/>
          <w:color w:val="auto"/>
        </w:rPr>
        <w:t>”). Except for (i) this Agreement and (ii) the Organizational Documents of Sellers and the Company, the Company has not (A) granted any outstanding options, warrants, rights or other securities convertible into, or exchangeable or exercisable for, any Equity Interests of the Company; (B) entered into any Contracts relating to the issuance, sale, transfer, voting or registration of any Equity Interests of the Company, or options, warrants, rights or other securities convertible into, or exchangeable or exercisable for, any of the foregoing; or (C) granted or authorized any stock appreciation, phantom stock, profit participation or similar rights (in each case as to which the Company has any outstanding liabilities or obligations).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5" w:name="page306"/>
    <w:bookmarkEnd w:id="305"/>
    <w:p>
      <w:pPr>
        <w:jc w:val="both"/>
        <w:ind w:left="900" w:firstLine="640"/>
        <w:spacing w:after="0" w:line="252" w:lineRule="auto"/>
        <w:tabs>
          <w:tab w:leader="none" w:pos="2148" w:val="left"/>
        </w:tabs>
        <w:numPr>
          <w:ilvl w:val="0"/>
          <w:numId w:val="229"/>
        </w:numPr>
        <w:rPr>
          <w:rFonts w:ascii="Arial" w:cs="Arial" w:eastAsia="Arial" w:hAnsi="Arial"/>
          <w:sz w:val="18"/>
          <w:szCs w:val="18"/>
          <w:color w:val="010000"/>
        </w:rPr>
      </w:pPr>
      <w:r>
        <w:rPr>
          <w:rFonts w:ascii="Arial" w:cs="Arial" w:eastAsia="Arial" w:hAnsi="Arial"/>
          <w:sz w:val="18"/>
          <w:szCs w:val="18"/>
          <w:color w:val="auto"/>
        </w:rPr>
        <w:t>Section 3.04(b) of the Disclosure Letter sets forth, as of the date hereof, all of the Company’s Subsidiaries, and, for each such Subsidiary, the jurisdiction of incorporation or formation and the number or percentage interests of all of the issued and outstanding Equity Interests thereof. All outstanding Equity Interests of each of the Company’s Subsidiaries are duly authorized and validly issued and, if such Subsidiary is a corporation, are fully paid and non-assessable. Except for (i) this Agreement and (ii) the Organizational Documents of the Company’s Subsidiaries, none of the Subsidiaries of the Company has (A) granted any outstanding options, warrants, rights or other securities convertible into, or exchangeable or exercisable for, Equity Interests of a Subsidiary of the Company; (B) entered into any Contracts relating to the issuance, sale, transfer, voting or registration of Equity Interests of a Subsidiary of the Company, or options, warrants, rights or other securities convertible into, or exchangeable or exercisable for, any of the foregoing; or (C) granted or authorized any stock appreciation, phantom stock, profit participation or similar rights (in each case, as to which the Company or any of its Subsidiaries has any outstanding liabilities or obligations).</w:t>
      </w:r>
    </w:p>
    <w:p>
      <w:pPr>
        <w:spacing w:after="0" w:line="192" w:lineRule="exact"/>
        <w:rPr>
          <w:rFonts w:ascii="Arial" w:cs="Arial" w:eastAsia="Arial" w:hAnsi="Arial"/>
          <w:sz w:val="18"/>
          <w:szCs w:val="18"/>
          <w:color w:val="010000"/>
        </w:rPr>
      </w:pPr>
    </w:p>
    <w:p>
      <w:pPr>
        <w:jc w:val="both"/>
        <w:ind w:left="900" w:firstLine="640"/>
        <w:spacing w:after="0" w:line="262" w:lineRule="auto"/>
        <w:tabs>
          <w:tab w:leader="none" w:pos="2084" w:val="left"/>
        </w:tabs>
        <w:numPr>
          <w:ilvl w:val="0"/>
          <w:numId w:val="229"/>
        </w:numPr>
        <w:rPr>
          <w:rFonts w:ascii="Arial" w:cs="Arial" w:eastAsia="Arial" w:hAnsi="Arial"/>
          <w:sz w:val="18"/>
          <w:szCs w:val="18"/>
          <w:color w:val="010000"/>
        </w:rPr>
      </w:pPr>
      <w:r>
        <w:rPr>
          <w:rFonts w:ascii="Arial" w:cs="Arial" w:eastAsia="Arial" w:hAnsi="Arial"/>
          <w:sz w:val="18"/>
          <w:szCs w:val="18"/>
          <w:color w:val="auto"/>
        </w:rPr>
        <w:t xml:space="preserve">Each Seller is the holder of the Acquired Interests set forth across such Seller’s name on Section 3.04(a) of the Disclosure Letter, and, at the Closing, assuming the performance by Buyer of its obligations under </w:t>
      </w:r>
      <w:r>
        <w:rPr>
          <w:rFonts w:ascii="Arial" w:cs="Arial" w:eastAsia="Arial" w:hAnsi="Arial"/>
          <w:sz w:val="18"/>
          <w:szCs w:val="18"/>
          <w:u w:val="single" w:color="auto"/>
          <w:color w:val="auto"/>
        </w:rPr>
        <w:t>Section 2.05</w:t>
      </w:r>
      <w:r>
        <w:rPr>
          <w:rFonts w:ascii="Arial" w:cs="Arial" w:eastAsia="Arial" w:hAnsi="Arial"/>
          <w:sz w:val="18"/>
          <w:szCs w:val="18"/>
          <w:color w:val="auto"/>
        </w:rPr>
        <w:t>, the Acquired Interests will be free and clear of all Liens (other than Permitted Liens).</w:t>
      </w:r>
    </w:p>
    <w:p>
      <w:pPr>
        <w:spacing w:after="0" w:line="182" w:lineRule="exact"/>
        <w:rPr>
          <w:sz w:val="20"/>
          <w:szCs w:val="20"/>
          <w:color w:val="auto"/>
        </w:rPr>
      </w:pPr>
    </w:p>
    <w:p>
      <w:pPr>
        <w:jc w:val="right"/>
        <w:spacing w:after="0"/>
        <w:tabs>
          <w:tab w:leader="none" w:pos="8760" w:val="left"/>
        </w:tabs>
        <w:rPr>
          <w:sz w:val="20"/>
          <w:szCs w:val="20"/>
          <w:color w:val="auto"/>
        </w:rPr>
      </w:pPr>
      <w:r>
        <w:rPr>
          <w:rFonts w:ascii="Arial" w:cs="Arial" w:eastAsia="Arial" w:hAnsi="Arial"/>
          <w:sz w:val="18"/>
          <w:szCs w:val="18"/>
          <w:color w:val="010000"/>
        </w:rPr>
        <w:t>Section 3.05</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Section 3.05 of the Disclosure Letter sets forth the following financial statements (the “</w:t>
      </w:r>
      <w:r>
        <w:rPr>
          <w:rFonts w:ascii="Arial" w:cs="Arial" w:eastAsia="Arial" w:hAnsi="Arial"/>
          <w:sz w:val="16"/>
          <w:szCs w:val="16"/>
          <w:u w:val="single" w:color="auto"/>
          <w:color w:val="auto"/>
        </w:rPr>
        <w:t>Financial</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u w:val="single" w:color="auto"/>
          <w:color w:val="auto"/>
        </w:rPr>
        <w:t>Statements</w:t>
      </w:r>
      <w:r>
        <w:rPr>
          <w:rFonts w:ascii="Arial" w:cs="Arial" w:eastAsia="Arial" w:hAnsi="Arial"/>
          <w:sz w:val="17"/>
          <w:szCs w:val="17"/>
          <w:color w:val="auto"/>
        </w:rPr>
        <w:t>”): (a) the consolidated audited consolidated balance sheet of the Company and its Subsidiaries as of December 31, 2016 and the related statements of operations, stockholder’s equity and cash flows of the Company for the year then ended, including any related notes, schedules and other supplementary information attached thereto, (b) the consolidated audited consolidated balance sheet of the Company and its Subsidiaries as of December 31, 2015 and the related statements of operations, stockholder’s equity and cash flows of the Company for the year then ended, including any related notes, schedules and other supplementary information attached thereto, and (c) the consolidated unaudited balance sheet of the Company and its Subsidiaries as of September 30, 2017 (such balance sheet, the “</w:t>
      </w:r>
      <w:r>
        <w:rPr>
          <w:rFonts w:ascii="Arial" w:cs="Arial" w:eastAsia="Arial" w:hAnsi="Arial"/>
          <w:sz w:val="17"/>
          <w:szCs w:val="17"/>
          <w:u w:val="single" w:color="auto"/>
          <w:color w:val="auto"/>
        </w:rPr>
        <w:t>Current Balance Sheet</w:t>
      </w:r>
      <w:r>
        <w:rPr>
          <w:rFonts w:ascii="Arial" w:cs="Arial" w:eastAsia="Arial" w:hAnsi="Arial"/>
          <w:sz w:val="17"/>
          <w:szCs w:val="17"/>
          <w:color w:val="auto"/>
        </w:rPr>
        <w:t>”; and such date,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and the related statements of operations, stockholder’s equity and cash flows of the Company for the period covered thereby. Except as set forth in the notes (if any) thereto, the Financial Statements present fairly, in all material respects, the consolidated financial position of the Company as of the respective dates referred to therein, and the consolidated results of operations and cash flows of the Company, and, the consolidated stockholder’s equity of the Company, for the respective periods referred to therein, in accordance with GAAP consistently applied in the periods covered thereby, except, in the case of the interim and/or unaudited Financial Statements, for the absence of footnotes and subject to normal year-end adjustments.</w:t>
      </w:r>
    </w:p>
    <w:p>
      <w:pPr>
        <w:spacing w:after="0" w:line="183"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010000"/>
        </w:rPr>
        <w:t xml:space="preserve">Section 3.06 </w:t>
      </w:r>
      <w:r>
        <w:rPr>
          <w:rFonts w:ascii="Arial" w:cs="Arial" w:eastAsia="Arial" w:hAnsi="Arial"/>
          <w:sz w:val="16"/>
          <w:szCs w:val="16"/>
          <w:u w:val="single" w:color="auto"/>
          <w:color w:val="000000"/>
        </w:rPr>
        <w:t>No Undisclosed Liabilities</w:t>
      </w:r>
      <w:r>
        <w:rPr>
          <w:rFonts w:ascii="Arial" w:cs="Arial" w:eastAsia="Arial" w:hAnsi="Arial"/>
          <w:sz w:val="16"/>
          <w:szCs w:val="16"/>
          <w:color w:val="000000"/>
        </w:rPr>
        <w:t>. Except (a) as set forth in the Current Balance Sheet; (b) for liabilities and obligations incurred</w:t>
      </w:r>
      <w:r>
        <w:rPr>
          <w:rFonts w:ascii="Arial" w:cs="Arial" w:eastAsia="Arial" w:hAnsi="Arial"/>
          <w:sz w:val="16"/>
          <w:szCs w:val="16"/>
          <w:color w:val="010000"/>
        </w:rPr>
        <w:t xml:space="preserve"> </w:t>
      </w:r>
      <w:r>
        <w:rPr>
          <w:rFonts w:ascii="Arial" w:cs="Arial" w:eastAsia="Arial" w:hAnsi="Arial"/>
          <w:sz w:val="16"/>
          <w:szCs w:val="16"/>
          <w:color w:val="000000"/>
        </w:rPr>
        <w:t>by the Company or any of its Subsidiaries in the Ordinary Course of Business consistent with past practices, judgments and estimation methodologies of the Company since the Balance Sheet Date; (c) for liabilities incurred in connection with this Agreement, the other Transaction Documents or the Contemplated Transactions; (d) for liabilities and obligations that would not be reasonably expected to have, individually or in the aggregate, a Material Adverse Effect; and</w:t>
      </w:r>
    </w:p>
    <w:p>
      <w:pPr>
        <w:spacing w:after="0" w:line="1" w:lineRule="exact"/>
        <w:rPr>
          <w:sz w:val="20"/>
          <w:szCs w:val="20"/>
          <w:color w:val="auto"/>
        </w:rPr>
      </w:pPr>
    </w:p>
    <w:p>
      <w:pPr>
        <w:jc w:val="both"/>
        <w:ind w:firstLine="8"/>
        <w:spacing w:after="0" w:line="252" w:lineRule="auto"/>
        <w:tabs>
          <w:tab w:leader="none" w:pos="24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for liabilities and obligations incurred at the request or with the consent of Buyer, neither the Company nor any of its Subsidiaries has any liabilities of the kind required to be disclosed on a balance sheet prepared in accordance with GAAP. Notwithstanding anything to the contrary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6" w:name="page307"/>
    <w:bookmarkEnd w:id="306"/>
    <w:p>
      <w:pPr>
        <w:jc w:val="both"/>
        <w:ind w:firstLine="1290"/>
        <w:spacing w:after="0" w:line="290" w:lineRule="auto"/>
        <w:rPr>
          <w:sz w:val="20"/>
          <w:szCs w:val="20"/>
          <w:color w:val="auto"/>
        </w:rPr>
      </w:pPr>
      <w:r>
        <w:rPr>
          <w:rFonts w:ascii="Arial" w:cs="Arial" w:eastAsia="Arial" w:hAnsi="Arial"/>
          <w:sz w:val="16"/>
          <w:szCs w:val="16"/>
          <w:color w:val="010000"/>
        </w:rPr>
        <w:t xml:space="preserve">Section 3.07 </w:t>
      </w:r>
      <w:r>
        <w:rPr>
          <w:rFonts w:ascii="Arial" w:cs="Arial" w:eastAsia="Arial" w:hAnsi="Arial"/>
          <w:sz w:val="16"/>
          <w:szCs w:val="16"/>
          <w:u w:val="single" w:color="auto"/>
          <w:color w:val="000000"/>
        </w:rPr>
        <w:t>Absence of Certain Changes</w:t>
      </w:r>
      <w:r>
        <w:rPr>
          <w:rFonts w:ascii="Arial" w:cs="Arial" w:eastAsia="Arial" w:hAnsi="Arial"/>
          <w:sz w:val="16"/>
          <w:szCs w:val="16"/>
          <w:color w:val="000000"/>
        </w:rPr>
        <w:t>. Except in connection with the Contemplated Transactions, since the Balance Sheet Date</w:t>
      </w:r>
      <w:r>
        <w:rPr>
          <w:rFonts w:ascii="Arial" w:cs="Arial" w:eastAsia="Arial" w:hAnsi="Arial"/>
          <w:sz w:val="16"/>
          <w:szCs w:val="16"/>
          <w:color w:val="010000"/>
        </w:rPr>
        <w:t xml:space="preserve"> </w:t>
      </w:r>
      <w:r>
        <w:rPr>
          <w:rFonts w:ascii="Arial" w:cs="Arial" w:eastAsia="Arial" w:hAnsi="Arial"/>
          <w:sz w:val="16"/>
          <w:szCs w:val="16"/>
          <w:color w:val="000000"/>
        </w:rPr>
        <w:t>through the date hereof, (a) the business of the Company and its Subsidiaries has been conducted, in all material respects, in the Ordinary Course of Business;</w:t>
      </w:r>
    </w:p>
    <w:p>
      <w:pPr>
        <w:ind w:firstLine="8"/>
        <w:spacing w:after="0" w:line="258" w:lineRule="auto"/>
        <w:tabs>
          <w:tab w:leader="none" w:pos="25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there has not been a Material Adverse Effect; and (c) since the Balance Sheet Date through the date hereof, neither the Company nor any of its Subsidiaries has taken any action that if taken after the date hereof would constitute a violation of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86"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3.08</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3" w:lineRule="exact"/>
        <w:rPr>
          <w:sz w:val="20"/>
          <w:szCs w:val="20"/>
          <w:color w:val="auto"/>
        </w:rPr>
      </w:pPr>
    </w:p>
    <w:p>
      <w:pPr>
        <w:ind w:left="2060" w:hanging="520"/>
        <w:spacing w:after="0"/>
        <w:tabs>
          <w:tab w:leader="none" w:pos="2060" w:val="left"/>
        </w:tabs>
        <w:numPr>
          <w:ilvl w:val="0"/>
          <w:numId w:val="232"/>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owns any real property.</w:t>
      </w:r>
    </w:p>
    <w:p>
      <w:pPr>
        <w:spacing w:after="0" w:line="223" w:lineRule="exact"/>
        <w:rPr>
          <w:rFonts w:ascii="Arial" w:cs="Arial" w:eastAsia="Arial" w:hAnsi="Arial"/>
          <w:sz w:val="18"/>
          <w:szCs w:val="18"/>
          <w:color w:val="010000"/>
        </w:rPr>
      </w:pPr>
    </w:p>
    <w:p>
      <w:pPr>
        <w:jc w:val="both"/>
        <w:ind w:left="900" w:firstLine="640"/>
        <w:spacing w:after="0" w:line="285" w:lineRule="auto"/>
        <w:tabs>
          <w:tab w:leader="none" w:pos="2162" w:val="left"/>
        </w:tabs>
        <w:numPr>
          <w:ilvl w:val="0"/>
          <w:numId w:val="232"/>
        </w:numPr>
        <w:rPr>
          <w:rFonts w:ascii="Arial" w:cs="Arial" w:eastAsia="Arial" w:hAnsi="Arial"/>
          <w:sz w:val="16"/>
          <w:szCs w:val="16"/>
          <w:color w:val="010000"/>
        </w:rPr>
      </w:pPr>
      <w:r>
        <w:rPr>
          <w:rFonts w:ascii="Arial" w:cs="Arial" w:eastAsia="Arial" w:hAnsi="Arial"/>
          <w:sz w:val="16"/>
          <w:szCs w:val="16"/>
          <w:color w:val="auto"/>
        </w:rPr>
        <w:t>Section 3.08(b) of the Disclosure Letter sets forth all material real property leased or subleased by the Company or any of its Subsidiaries as lessee or lessor as of the date hereof (the “</w:t>
      </w:r>
      <w:r>
        <w:rPr>
          <w:rFonts w:ascii="Arial" w:cs="Arial" w:eastAsia="Arial" w:hAnsi="Arial"/>
          <w:sz w:val="16"/>
          <w:szCs w:val="16"/>
          <w:u w:val="single" w:color="auto"/>
          <w:color w:val="auto"/>
        </w:rPr>
        <w:t>Premises</w:t>
      </w:r>
      <w:r>
        <w:rPr>
          <w:rFonts w:ascii="Arial" w:cs="Arial" w:eastAsia="Arial" w:hAnsi="Arial"/>
          <w:sz w:val="16"/>
          <w:szCs w:val="16"/>
          <w:color w:val="auto"/>
        </w:rPr>
        <w:t>”). Sellers have made available to Buyer true, correct and complete copies of all leases relating to the Premises (the “</w:t>
      </w:r>
      <w:r>
        <w:rPr>
          <w:rFonts w:ascii="Arial" w:cs="Arial" w:eastAsia="Arial" w:hAnsi="Arial"/>
          <w:sz w:val="16"/>
          <w:szCs w:val="16"/>
          <w:u w:val="single" w:color="auto"/>
          <w:color w:val="auto"/>
        </w:rPr>
        <w:t>Leases</w:t>
      </w:r>
      <w:r>
        <w:rPr>
          <w:rFonts w:ascii="Arial" w:cs="Arial" w:eastAsia="Arial" w:hAnsi="Arial"/>
          <w:sz w:val="16"/>
          <w:szCs w:val="16"/>
          <w:color w:val="auto"/>
        </w:rPr>
        <w:t>”). Neither the Company nor any of its Subsidiaries has entered into any material sublease or material option granting to any Person (other than the Company or any of its Subsidiaries, as applicable) the right to use or occupy the Premises or any portion thereof or interest therein, other than those entered into in the Ordinary Course of Business or that do not materially or adversely impact the current use of the Premises by the Company or any of its Subsidiaries, as applicable. With respect to each Lease, (i) such Lease is a valid and binding obligation of the Company and its Subsidiaries, in each case, to the extent such Person is a party thereto (collectively, the Company and its Subsidiaries that are a party thereto, the “</w:t>
      </w:r>
      <w:r>
        <w:rPr>
          <w:rFonts w:ascii="Arial" w:cs="Arial" w:eastAsia="Arial" w:hAnsi="Arial"/>
          <w:sz w:val="16"/>
          <w:szCs w:val="16"/>
          <w:u w:val="single" w:color="auto"/>
          <w:color w:val="auto"/>
        </w:rPr>
        <w:t>Company Lease Party</w:t>
      </w:r>
      <w:r>
        <w:rPr>
          <w:rFonts w:ascii="Arial" w:cs="Arial" w:eastAsia="Arial" w:hAnsi="Arial"/>
          <w:sz w:val="16"/>
          <w:szCs w:val="16"/>
          <w:color w:val="auto"/>
        </w:rPr>
        <w:t>”), and, to the Knowledge of Sellers, each other party thereto, and is in full force and effect; (ii) the Company Lease Party is not, and, to the Knowledge of Sellers, all other parties thereto are not, in material breach or material default in any respect under the terms thereof and, to the Knowledge of Sellers, no event has occurred that, with notice or lapse of time or both, would constitute a material breach or material default or permit termination, modification or acceleration thereunder; and (iii) the Company Lease Party has not assigned, transferred, conveyed, mortgaged, or deeded in trust any interest in the leasehold or sub-leasehold of any Lease. None of the Company or any of its Subsidiaries has received any written notice that any Premises is subject to any Order to be sold, condemned, expropriated or otherwise taken by any Governmental Authority, with or without payment of compensation therefor.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7" w:name="page308"/>
    <w:bookmarkEnd w:id="307"/>
    <w:p>
      <w:pPr>
        <w:jc w:val="both"/>
        <w:ind w:firstLine="1290"/>
        <w:spacing w:after="0" w:line="271" w:lineRule="auto"/>
        <w:rPr>
          <w:sz w:val="20"/>
          <w:szCs w:val="20"/>
          <w:color w:val="auto"/>
        </w:rPr>
      </w:pPr>
      <w:r>
        <w:rPr>
          <w:rFonts w:ascii="Arial" w:cs="Arial" w:eastAsia="Arial" w:hAnsi="Arial"/>
          <w:sz w:val="17"/>
          <w:szCs w:val="17"/>
          <w:color w:val="010000"/>
        </w:rPr>
        <w:t xml:space="preserve">Section 3.09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As of the date hereof, (a) there are no Proceedings pending or, to the Knowledge of Sellers,</w:t>
      </w:r>
      <w:r>
        <w:rPr>
          <w:rFonts w:ascii="Arial" w:cs="Arial" w:eastAsia="Arial" w:hAnsi="Arial"/>
          <w:sz w:val="17"/>
          <w:szCs w:val="17"/>
          <w:color w:val="010000"/>
        </w:rPr>
        <w:t xml:space="preserve"> </w:t>
      </w:r>
      <w:r>
        <w:rPr>
          <w:rFonts w:ascii="Arial" w:cs="Arial" w:eastAsia="Arial" w:hAnsi="Arial"/>
          <w:sz w:val="17"/>
          <w:szCs w:val="17"/>
          <w:color w:val="000000"/>
        </w:rPr>
        <w:t xml:space="preserve">threatened, against any Seller, the Company or any of its Subsidiaries, nor are there any Orders naming any Seller, the Company or any of its Subsidiaries, except as would not reasonably be expected to have, individually or in the aggregate, a Material Adverse Effect; and (b) there are no material Orders naming any Seller, the Company or any of its Subsidiaries, or by which any Seller, the Company or any of its Subsidiaries is bound, which remain outstanding or unsatisfied, except as would not reasonably be expected to have, individually or in the aggregate, a Material Adverse Effect. Notwithstanding anything to the contrary in this </w:t>
      </w:r>
      <w:r>
        <w:rPr>
          <w:rFonts w:ascii="Arial" w:cs="Arial" w:eastAsia="Arial" w:hAnsi="Arial"/>
          <w:sz w:val="17"/>
          <w:szCs w:val="17"/>
          <w:u w:val="single" w:color="auto"/>
          <w:color w:val="000000"/>
        </w:rPr>
        <w:t>Article III</w:t>
      </w:r>
      <w:r>
        <w:rPr>
          <w:rFonts w:ascii="Arial" w:cs="Arial" w:eastAsia="Arial" w:hAnsi="Arial"/>
          <w:sz w:val="17"/>
          <w:szCs w:val="17"/>
          <w:color w:val="000000"/>
        </w:rPr>
        <w:t xml:space="preserve">, this </w:t>
      </w:r>
      <w:r>
        <w:rPr>
          <w:rFonts w:ascii="Arial" w:cs="Arial" w:eastAsia="Arial" w:hAnsi="Arial"/>
          <w:sz w:val="17"/>
          <w:szCs w:val="17"/>
          <w:u w:val="single" w:color="auto"/>
          <w:color w:val="000000"/>
        </w:rPr>
        <w:t>Section 3.09</w:t>
      </w:r>
      <w:r>
        <w:rPr>
          <w:rFonts w:ascii="Arial" w:cs="Arial" w:eastAsia="Arial" w:hAnsi="Arial"/>
          <w:sz w:val="17"/>
          <w:szCs w:val="17"/>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000000"/>
        </w:rPr>
        <w:t>Section 3.09</w:t>
      </w:r>
      <w:r>
        <w:rPr>
          <w:rFonts w:ascii="Arial" w:cs="Arial" w:eastAsia="Arial" w:hAnsi="Arial"/>
          <w:sz w:val="17"/>
          <w:szCs w:val="17"/>
          <w:color w:val="000000"/>
        </w:rPr>
        <w:t>.</w:t>
      </w:r>
    </w:p>
    <w:p>
      <w:pPr>
        <w:spacing w:after="0" w:line="176" w:lineRule="exact"/>
        <w:rPr>
          <w:sz w:val="20"/>
          <w:szCs w:val="20"/>
          <w:color w:val="auto"/>
        </w:rPr>
      </w:pPr>
    </w:p>
    <w:p>
      <w:pPr>
        <w:jc w:val="both"/>
        <w:ind w:firstLine="1290"/>
        <w:spacing w:after="0" w:line="283" w:lineRule="auto"/>
        <w:rPr>
          <w:sz w:val="20"/>
          <w:szCs w:val="20"/>
          <w:color w:val="auto"/>
        </w:rPr>
      </w:pPr>
      <w:r>
        <w:rPr>
          <w:rFonts w:ascii="Arial" w:cs="Arial" w:eastAsia="Arial" w:hAnsi="Arial"/>
          <w:sz w:val="16"/>
          <w:szCs w:val="16"/>
          <w:color w:val="010000"/>
        </w:rPr>
        <w:t xml:space="preserve">Section 3.10 </w:t>
      </w:r>
      <w:r>
        <w:rPr>
          <w:rFonts w:ascii="Arial" w:cs="Arial" w:eastAsia="Arial" w:hAnsi="Arial"/>
          <w:sz w:val="16"/>
          <w:szCs w:val="16"/>
          <w:u w:val="single" w:color="auto"/>
          <w:color w:val="000000"/>
        </w:rPr>
        <w:t>Compliance with Laws; Permits</w:t>
      </w:r>
      <w:r>
        <w:rPr>
          <w:rFonts w:ascii="Arial" w:cs="Arial" w:eastAsia="Arial" w:hAnsi="Arial"/>
          <w:sz w:val="16"/>
          <w:szCs w:val="16"/>
          <w:color w:val="000000"/>
        </w:rPr>
        <w:t>. Except for such matters as would not reasonably be expected to have, individually or in</w:t>
      </w:r>
      <w:r>
        <w:rPr>
          <w:rFonts w:ascii="Arial" w:cs="Arial" w:eastAsia="Arial" w:hAnsi="Arial"/>
          <w:sz w:val="16"/>
          <w:szCs w:val="16"/>
          <w:color w:val="010000"/>
        </w:rPr>
        <w:t xml:space="preserve"> </w:t>
      </w:r>
      <w:r>
        <w:rPr>
          <w:rFonts w:ascii="Arial" w:cs="Arial" w:eastAsia="Arial" w:hAnsi="Arial"/>
          <w:sz w:val="16"/>
          <w:szCs w:val="16"/>
          <w:color w:val="000000"/>
        </w:rPr>
        <w:t>the aggregate, a Material Adverse Effect, (a) the Company and its Subsidiaries are in material compliance with, and during the past 12 months have been in material compliance with, all applicable Laws; (b) the Company and its Subsidiaries have in force, and their business is being conducted in compliance with the terms and conditions of, all Permits; (c) neither the Company nor any of its Subsidiaries is in violation or breach of, no event has occurred that would constitute (with or without due notice or lapse of time or both) a default (or give rise to any right of termination, cancellation, modification or acceleration) of, and no Proceedings are pending or, to the Knowledge of Sellers, threatened, relating to the Company’s or any of its Subsidiaries’ compliance with, any Permit;</w:t>
      </w:r>
    </w:p>
    <w:p>
      <w:pPr>
        <w:spacing w:after="0" w:line="3" w:lineRule="exact"/>
        <w:rPr>
          <w:sz w:val="20"/>
          <w:szCs w:val="20"/>
          <w:color w:val="auto"/>
        </w:rPr>
      </w:pPr>
    </w:p>
    <w:p>
      <w:pPr>
        <w:jc w:val="both"/>
        <w:ind w:firstLine="8"/>
        <w:spacing w:after="0" w:line="272" w:lineRule="auto"/>
        <w:tabs>
          <w:tab w:leader="none" w:pos="28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none of the Permits will be terminated or impaired or become terminable, in whole or in part, as a result of the occurrence of the Contemplated Transactions; and (e) the Company and its Subsidiaries are, and have been since January 1, 2017, in compliance, in all material respects, with all applicable Card Association Rules. 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3.10</w:t>
      </w:r>
      <w:r>
        <w:rPr>
          <w:rFonts w:ascii="Arial" w:cs="Arial" w:eastAsia="Arial" w:hAnsi="Arial"/>
          <w:sz w:val="17"/>
          <w:szCs w:val="17"/>
          <w:color w:val="auto"/>
        </w:rPr>
        <w:t>.</w:t>
      </w:r>
    </w:p>
    <w:p>
      <w:pPr>
        <w:spacing w:after="0" w:line="175" w:lineRule="exact"/>
        <w:rPr>
          <w:sz w:val="20"/>
          <w:szCs w:val="20"/>
          <w:color w:val="auto"/>
        </w:rPr>
      </w:pPr>
    </w:p>
    <w:p>
      <w:pPr>
        <w:jc w:val="both"/>
        <w:ind w:firstLine="1290"/>
        <w:spacing w:after="0" w:line="268" w:lineRule="auto"/>
        <w:rPr>
          <w:sz w:val="20"/>
          <w:szCs w:val="20"/>
          <w:color w:val="auto"/>
        </w:rPr>
      </w:pPr>
      <w:r>
        <w:rPr>
          <w:rFonts w:ascii="Arial" w:cs="Arial" w:eastAsia="Arial" w:hAnsi="Arial"/>
          <w:sz w:val="17"/>
          <w:szCs w:val="17"/>
          <w:color w:val="010000"/>
        </w:rPr>
        <w:t xml:space="preserve">Section 3.11 </w:t>
      </w:r>
      <w:r>
        <w:rPr>
          <w:rFonts w:ascii="Arial" w:cs="Arial" w:eastAsia="Arial" w:hAnsi="Arial"/>
          <w:sz w:val="17"/>
          <w:szCs w:val="17"/>
          <w:u w:val="single" w:color="auto"/>
          <w:color w:val="000000"/>
        </w:rPr>
        <w:t>Intellectual Property</w:t>
      </w:r>
      <w:r>
        <w:rPr>
          <w:rFonts w:ascii="Arial" w:cs="Arial" w:eastAsia="Arial" w:hAnsi="Arial"/>
          <w:sz w:val="17"/>
          <w:szCs w:val="17"/>
          <w:color w:val="000000"/>
        </w:rPr>
        <w:t>. Section 3.11 of the Disclosure Letter sets forth all material patents, trademarks and copyrights owned</w:t>
      </w:r>
      <w:r>
        <w:rPr>
          <w:rFonts w:ascii="Arial" w:cs="Arial" w:eastAsia="Arial" w:hAnsi="Arial"/>
          <w:sz w:val="17"/>
          <w:szCs w:val="17"/>
          <w:color w:val="010000"/>
        </w:rPr>
        <w:t xml:space="preserve"> </w:t>
      </w:r>
      <w:r>
        <w:rPr>
          <w:rFonts w:ascii="Arial" w:cs="Arial" w:eastAsia="Arial" w:hAnsi="Arial"/>
          <w:sz w:val="17"/>
          <w:szCs w:val="17"/>
          <w:color w:val="000000"/>
        </w:rPr>
        <w:t xml:space="preserve">by the Company and its Subsidiaries and for which applications for registration have been filed or registrations have been obtained, whether in the United States or internationally, as of the date hereof. To the Knowledge of Sellers, the Company and its Subsidiaries own or have the right to use (but not necessarily the exclusive right to use) pursuant to license, sublicense, agreement or permission, all Intellectual Property used in the Company’s and its Subsidiaries’ operation of their respective business, as presently conducted, except where the failure to have such right would not be reasonably expected to have, individually or in the aggregate, a Material Adverse Effect. To the Knowledge of Sellers, the Company’s and its Subsidiaries’ operation of their respective business, as presently conducted, does not infringe or otherwise violate the Intellectual Property of any other Person, except for such infringement as would not be reasonably expected to have, individually or in the aggregate, a Material Adverse Effect. Notwithstanding anything to the contrary in this </w:t>
      </w:r>
      <w:r>
        <w:rPr>
          <w:rFonts w:ascii="Arial" w:cs="Arial" w:eastAsia="Arial" w:hAnsi="Arial"/>
          <w:sz w:val="17"/>
          <w:szCs w:val="17"/>
          <w:u w:val="single" w:color="auto"/>
          <w:color w:val="000000"/>
        </w:rPr>
        <w:t>Article III</w:t>
      </w:r>
      <w:r>
        <w:rPr>
          <w:rFonts w:ascii="Arial" w:cs="Arial" w:eastAsia="Arial" w:hAnsi="Arial"/>
          <w:sz w:val="17"/>
          <w:szCs w:val="17"/>
          <w:color w:val="000000"/>
        </w:rPr>
        <w:t xml:space="preserve">, this </w:t>
      </w:r>
      <w:r>
        <w:rPr>
          <w:rFonts w:ascii="Arial" w:cs="Arial" w:eastAsia="Arial" w:hAnsi="Arial"/>
          <w:sz w:val="17"/>
          <w:szCs w:val="17"/>
          <w:u w:val="single" w:color="auto"/>
          <w:color w:val="000000"/>
        </w:rPr>
        <w:t>Section 3.11</w:t>
      </w:r>
      <w:r>
        <w:rPr>
          <w:rFonts w:ascii="Arial" w:cs="Arial" w:eastAsia="Arial" w:hAnsi="Arial"/>
          <w:sz w:val="17"/>
          <w:szCs w:val="17"/>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000000"/>
        </w:rPr>
        <w:t>Section 3.11</w:t>
      </w:r>
      <w:r>
        <w:rPr>
          <w:rFonts w:ascii="Arial" w:cs="Arial" w:eastAsia="Arial" w:hAnsi="Arial"/>
          <w:sz w:val="17"/>
          <w:szCs w:val="17"/>
          <w:color w:val="000000"/>
        </w:rPr>
        <w:t>.</w:t>
      </w:r>
    </w:p>
    <w:p>
      <w:pPr>
        <w:spacing w:after="0" w:line="18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3.12 </w:t>
      </w:r>
      <w:r>
        <w:rPr>
          <w:rFonts w:ascii="Arial" w:cs="Arial" w:eastAsia="Arial" w:hAnsi="Arial"/>
          <w:sz w:val="18"/>
          <w:szCs w:val="18"/>
          <w:u w:val="single" w:color="auto"/>
          <w:color w:val="000000"/>
        </w:rPr>
        <w:t>Title to Assets</w:t>
      </w:r>
      <w:r>
        <w:rPr>
          <w:rFonts w:ascii="Arial" w:cs="Arial" w:eastAsia="Arial" w:hAnsi="Arial"/>
          <w:sz w:val="18"/>
          <w:szCs w:val="18"/>
          <w:color w:val="000000"/>
        </w:rPr>
        <w:t>. The Company and its Subsidiaries have good and valid title to their material tangible properties and assets,</w:t>
      </w:r>
      <w:r>
        <w:rPr>
          <w:rFonts w:ascii="Arial" w:cs="Arial" w:eastAsia="Arial" w:hAnsi="Arial"/>
          <w:sz w:val="18"/>
          <w:szCs w:val="18"/>
          <w:color w:val="010000"/>
        </w:rPr>
        <w:t xml:space="preserve"> </w:t>
      </w:r>
      <w:r>
        <w:rPr>
          <w:rFonts w:ascii="Arial" w:cs="Arial" w:eastAsia="Arial" w:hAnsi="Arial"/>
          <w:sz w:val="18"/>
          <w:szCs w:val="18"/>
          <w:color w:val="000000"/>
        </w:rPr>
        <w:t>free and clear of all Liens, except for Permitted Liens.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8" w:name="page309"/>
    <w:bookmarkEnd w:id="308"/>
    <w:p>
      <w:pPr>
        <w:ind w:left="100"/>
        <w:spacing w:after="0"/>
        <w:tabs>
          <w:tab w:leader="none" w:pos="1280" w:val="left"/>
        </w:tabs>
        <w:rPr>
          <w:sz w:val="20"/>
          <w:szCs w:val="20"/>
          <w:color w:val="auto"/>
        </w:rPr>
      </w:pPr>
      <w:r>
        <w:rPr>
          <w:rFonts w:ascii="Arial" w:cs="Arial" w:eastAsia="Arial" w:hAnsi="Arial"/>
          <w:sz w:val="18"/>
          <w:szCs w:val="18"/>
          <w:color w:val="010000"/>
        </w:rPr>
        <w:t>Section 3.13</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3" w:lineRule="exact"/>
        <w:rPr>
          <w:sz w:val="20"/>
          <w:szCs w:val="20"/>
          <w:color w:val="auto"/>
        </w:rPr>
      </w:pPr>
    </w:p>
    <w:p>
      <w:pPr>
        <w:jc w:val="both"/>
        <w:ind w:left="-300" w:firstLine="640"/>
        <w:spacing w:after="0" w:line="262" w:lineRule="auto"/>
        <w:tabs>
          <w:tab w:leader="none" w:pos="952" w:val="left"/>
        </w:tabs>
        <w:numPr>
          <w:ilvl w:val="0"/>
          <w:numId w:val="234"/>
        </w:numPr>
        <w:rPr>
          <w:rFonts w:ascii="Arial" w:cs="Arial" w:eastAsia="Arial" w:hAnsi="Arial"/>
          <w:sz w:val="18"/>
          <w:szCs w:val="18"/>
          <w:color w:val="010000"/>
        </w:rPr>
      </w:pPr>
      <w:r>
        <w:rPr>
          <w:rFonts w:ascii="Arial" w:cs="Arial" w:eastAsia="Arial" w:hAnsi="Arial"/>
          <w:sz w:val="18"/>
          <w:szCs w:val="18"/>
          <w:color w:val="auto"/>
        </w:rPr>
        <w:t>Section 3.13(a) of the Disclosure Letter includes the following Contracts to which the Company or any of its Subsidiaries is a party, or by which the Company or any of its Subsidiaries or the Company’s or any of its Subsidiaries’ assets are bound, in each case, as in effect as of the date hereof:</w:t>
      </w:r>
    </w:p>
    <w:p>
      <w:pPr>
        <w:spacing w:after="0" w:line="178" w:lineRule="exact"/>
        <w:rPr>
          <w:rFonts w:ascii="Arial" w:cs="Arial" w:eastAsia="Arial" w:hAnsi="Arial"/>
          <w:sz w:val="18"/>
          <w:szCs w:val="18"/>
          <w:color w:val="010000"/>
        </w:rPr>
      </w:pPr>
    </w:p>
    <w:p>
      <w:pPr>
        <w:ind w:left="100" w:firstLine="643"/>
        <w:spacing w:after="0" w:line="280" w:lineRule="auto"/>
        <w:tabs>
          <w:tab w:leader="none" w:pos="1241" w:val="left"/>
        </w:tabs>
        <w:numPr>
          <w:ilvl w:val="1"/>
          <w:numId w:val="234"/>
        </w:numPr>
        <w:rPr>
          <w:rFonts w:ascii="Arial" w:cs="Arial" w:eastAsia="Arial" w:hAnsi="Arial"/>
          <w:sz w:val="18"/>
          <w:szCs w:val="18"/>
          <w:color w:val="010000"/>
        </w:rPr>
      </w:pPr>
      <w:r>
        <w:rPr>
          <w:rFonts w:ascii="Arial" w:cs="Arial" w:eastAsia="Arial" w:hAnsi="Arial"/>
          <w:sz w:val="18"/>
          <w:szCs w:val="18"/>
          <w:color w:val="auto"/>
        </w:rPr>
        <w:t>each Contract for the employment of any officer, individual employee or other person on a full</w:t>
      </w:r>
      <w:r>
        <w:rPr>
          <w:rFonts w:ascii="Arial" w:cs="Arial" w:eastAsia="Arial" w:hAnsi="Arial"/>
          <w:sz w:val="18"/>
          <w:szCs w:val="18"/>
          <w:b w:val="1"/>
          <w:bCs w:val="1"/>
          <w:color w:val="auto"/>
        </w:rPr>
        <w:t>-</w:t>
      </w:r>
      <w:r>
        <w:rPr>
          <w:rFonts w:ascii="Arial" w:cs="Arial" w:eastAsia="Arial" w:hAnsi="Arial"/>
          <w:sz w:val="18"/>
          <w:szCs w:val="18"/>
          <w:color w:val="auto"/>
        </w:rPr>
        <w:t>time, part</w:t>
      </w:r>
      <w:r>
        <w:rPr>
          <w:rFonts w:ascii="Arial" w:cs="Arial" w:eastAsia="Arial" w:hAnsi="Arial"/>
          <w:sz w:val="18"/>
          <w:szCs w:val="18"/>
          <w:b w:val="1"/>
          <w:bCs w:val="1"/>
          <w:color w:val="auto"/>
        </w:rPr>
        <w:t>-</w:t>
      </w:r>
      <w:r>
        <w:rPr>
          <w:rFonts w:ascii="Arial" w:cs="Arial" w:eastAsia="Arial" w:hAnsi="Arial"/>
          <w:sz w:val="18"/>
          <w:szCs w:val="18"/>
          <w:color w:val="auto"/>
        </w:rPr>
        <w:t>time, consulting or other basis providing annual compensation in excess of $200,000;</w:t>
      </w:r>
    </w:p>
    <w:p>
      <w:pPr>
        <w:spacing w:after="0" w:line="166" w:lineRule="exact"/>
        <w:rPr>
          <w:rFonts w:ascii="Arial" w:cs="Arial" w:eastAsia="Arial" w:hAnsi="Arial"/>
          <w:sz w:val="18"/>
          <w:szCs w:val="18"/>
          <w:color w:val="010000"/>
        </w:rPr>
      </w:pPr>
    </w:p>
    <w:p>
      <w:pPr>
        <w:ind w:left="1240" w:hanging="497"/>
        <w:spacing w:after="0"/>
        <w:tabs>
          <w:tab w:leader="none" w:pos="1240" w:val="left"/>
        </w:tabs>
        <w:numPr>
          <w:ilvl w:val="1"/>
          <w:numId w:val="234"/>
        </w:numPr>
        <w:rPr>
          <w:rFonts w:ascii="Arial" w:cs="Arial" w:eastAsia="Arial" w:hAnsi="Arial"/>
          <w:sz w:val="18"/>
          <w:szCs w:val="18"/>
          <w:color w:val="010000"/>
        </w:rPr>
      </w:pPr>
      <w:r>
        <w:rPr>
          <w:rFonts w:ascii="Arial" w:cs="Arial" w:eastAsia="Arial" w:hAnsi="Arial"/>
          <w:sz w:val="18"/>
          <w:szCs w:val="18"/>
          <w:color w:val="auto"/>
        </w:rPr>
        <w:t>each Contract that constitutes a partnership agreement or joint venture agreement;</w:t>
      </w:r>
    </w:p>
    <w:p>
      <w:pPr>
        <w:spacing w:after="0" w:line="223" w:lineRule="exact"/>
        <w:rPr>
          <w:rFonts w:ascii="Arial" w:cs="Arial" w:eastAsia="Arial" w:hAnsi="Arial"/>
          <w:sz w:val="18"/>
          <w:szCs w:val="18"/>
          <w:color w:val="010000"/>
        </w:rPr>
      </w:pPr>
    </w:p>
    <w:p>
      <w:pPr>
        <w:jc w:val="both"/>
        <w:ind w:left="100" w:firstLine="643"/>
        <w:spacing w:after="0" w:line="262" w:lineRule="auto"/>
        <w:tabs>
          <w:tab w:leader="none" w:pos="1319" w:val="left"/>
        </w:tabs>
        <w:numPr>
          <w:ilvl w:val="1"/>
          <w:numId w:val="234"/>
        </w:numPr>
        <w:rPr>
          <w:rFonts w:ascii="Arial" w:cs="Arial" w:eastAsia="Arial" w:hAnsi="Arial"/>
          <w:sz w:val="18"/>
          <w:szCs w:val="18"/>
          <w:color w:val="010000"/>
        </w:rPr>
      </w:pPr>
      <w:r>
        <w:rPr>
          <w:rFonts w:ascii="Arial" w:cs="Arial" w:eastAsia="Arial" w:hAnsi="Arial"/>
          <w:sz w:val="18"/>
          <w:szCs w:val="18"/>
          <w:color w:val="auto"/>
        </w:rPr>
        <w:t>each Contract which: (A) restricts the ability of the Company or any of its Subsidiaries to engage in any line or type of business or from competing with any Person or in any geographical area, or (B) commits the Company or any of its Subsidiaries to an exclusive arrangement or relationship with any Person;</w:t>
      </w:r>
    </w:p>
    <w:p>
      <w:pPr>
        <w:spacing w:after="0" w:line="182" w:lineRule="exact"/>
        <w:rPr>
          <w:rFonts w:ascii="Arial" w:cs="Arial" w:eastAsia="Arial" w:hAnsi="Arial"/>
          <w:sz w:val="18"/>
          <w:szCs w:val="18"/>
          <w:color w:val="010000"/>
        </w:rPr>
      </w:pPr>
    </w:p>
    <w:p>
      <w:pPr>
        <w:jc w:val="both"/>
        <w:ind w:left="100" w:firstLine="643"/>
        <w:spacing w:after="0" w:line="262" w:lineRule="auto"/>
        <w:tabs>
          <w:tab w:leader="none" w:pos="1268" w:val="left"/>
        </w:tabs>
        <w:numPr>
          <w:ilvl w:val="1"/>
          <w:numId w:val="234"/>
        </w:numPr>
        <w:rPr>
          <w:rFonts w:ascii="Arial" w:cs="Arial" w:eastAsia="Arial" w:hAnsi="Arial"/>
          <w:sz w:val="18"/>
          <w:szCs w:val="18"/>
          <w:color w:val="010000"/>
        </w:rPr>
      </w:pPr>
      <w:r>
        <w:rPr>
          <w:rFonts w:ascii="Arial" w:cs="Arial" w:eastAsia="Arial" w:hAnsi="Arial"/>
          <w:sz w:val="18"/>
          <w:szCs w:val="18"/>
          <w:color w:val="auto"/>
        </w:rPr>
        <w:t>each Contract which obligates the Company or any of its Subsidiaries to provide for any right of first refusal, right of first offer, preferred pricing (including “most favored nation”) or similar provisions, performance guarantees, minimum referral volumes, rebates, discounts, or incentive or volume purchase credits;</w:t>
      </w:r>
    </w:p>
    <w:p>
      <w:pPr>
        <w:spacing w:after="0" w:line="182" w:lineRule="exact"/>
        <w:rPr>
          <w:rFonts w:ascii="Arial" w:cs="Arial" w:eastAsia="Arial" w:hAnsi="Arial"/>
          <w:sz w:val="18"/>
          <w:szCs w:val="18"/>
          <w:color w:val="010000"/>
        </w:rPr>
      </w:pPr>
    </w:p>
    <w:p>
      <w:pPr>
        <w:ind w:left="1220" w:hanging="477"/>
        <w:spacing w:after="0"/>
        <w:tabs>
          <w:tab w:leader="none" w:pos="1220" w:val="left"/>
        </w:tabs>
        <w:numPr>
          <w:ilvl w:val="1"/>
          <w:numId w:val="234"/>
        </w:numPr>
        <w:rPr>
          <w:rFonts w:ascii="Arial" w:cs="Arial" w:eastAsia="Arial" w:hAnsi="Arial"/>
          <w:sz w:val="18"/>
          <w:szCs w:val="18"/>
          <w:color w:val="010000"/>
        </w:rPr>
      </w:pPr>
      <w:r>
        <w:rPr>
          <w:rFonts w:ascii="Arial" w:cs="Arial" w:eastAsia="Arial" w:hAnsi="Arial"/>
          <w:sz w:val="18"/>
          <w:szCs w:val="18"/>
          <w:color w:val="auto"/>
        </w:rPr>
        <w:t>each Contract with any Governmental Authority;</w:t>
      </w:r>
    </w:p>
    <w:p>
      <w:pPr>
        <w:spacing w:after="0" w:line="223" w:lineRule="exact"/>
        <w:rPr>
          <w:rFonts w:ascii="Arial" w:cs="Arial" w:eastAsia="Arial" w:hAnsi="Arial"/>
          <w:sz w:val="18"/>
          <w:szCs w:val="18"/>
          <w:color w:val="010000"/>
        </w:rPr>
      </w:pPr>
    </w:p>
    <w:p>
      <w:pPr>
        <w:ind w:left="1220" w:hanging="477"/>
        <w:spacing w:after="0"/>
        <w:tabs>
          <w:tab w:leader="none" w:pos="1220" w:val="left"/>
        </w:tabs>
        <w:numPr>
          <w:ilvl w:val="1"/>
          <w:numId w:val="234"/>
        </w:numPr>
        <w:rPr>
          <w:rFonts w:ascii="Arial" w:cs="Arial" w:eastAsia="Arial" w:hAnsi="Arial"/>
          <w:sz w:val="18"/>
          <w:szCs w:val="18"/>
          <w:color w:val="010000"/>
        </w:rPr>
      </w:pPr>
      <w:r>
        <w:rPr>
          <w:rFonts w:ascii="Arial" w:cs="Arial" w:eastAsia="Arial" w:hAnsi="Arial"/>
          <w:sz w:val="18"/>
          <w:szCs w:val="18"/>
          <w:color w:val="auto"/>
        </w:rPr>
        <w:t>each Contract relating to indebtedness of the Company or any of its Subsidiaries;</w:t>
      </w:r>
    </w:p>
    <w:p>
      <w:pPr>
        <w:spacing w:after="0" w:line="223" w:lineRule="exact"/>
        <w:rPr>
          <w:rFonts w:ascii="Arial" w:cs="Arial" w:eastAsia="Arial" w:hAnsi="Arial"/>
          <w:sz w:val="18"/>
          <w:szCs w:val="18"/>
          <w:color w:val="010000"/>
        </w:rPr>
      </w:pPr>
    </w:p>
    <w:p>
      <w:pPr>
        <w:jc w:val="both"/>
        <w:ind w:left="100" w:firstLine="643"/>
        <w:spacing w:after="0" w:line="262" w:lineRule="auto"/>
        <w:tabs>
          <w:tab w:leader="none" w:pos="1327" w:val="left"/>
        </w:tabs>
        <w:numPr>
          <w:ilvl w:val="1"/>
          <w:numId w:val="234"/>
        </w:numPr>
        <w:rPr>
          <w:rFonts w:ascii="Arial" w:cs="Arial" w:eastAsia="Arial" w:hAnsi="Arial"/>
          <w:sz w:val="18"/>
          <w:szCs w:val="18"/>
          <w:color w:val="010000"/>
        </w:rPr>
      </w:pPr>
      <w:r>
        <w:rPr>
          <w:rFonts w:ascii="Arial" w:cs="Arial" w:eastAsia="Arial" w:hAnsi="Arial"/>
          <w:sz w:val="18"/>
          <w:szCs w:val="18"/>
          <w:color w:val="auto"/>
        </w:rPr>
        <w:t>each lease or other Contract under which the Company or any of its Subsidiaries is lessee of or holds or operates any property (other than real property), owned by any other party, except for any lease or agreement under which the aggregate annual rental payments do not exceed $50,000;</w:t>
      </w:r>
    </w:p>
    <w:p>
      <w:pPr>
        <w:spacing w:after="0" w:line="182" w:lineRule="exact"/>
        <w:rPr>
          <w:rFonts w:ascii="Arial" w:cs="Arial" w:eastAsia="Arial" w:hAnsi="Arial"/>
          <w:sz w:val="18"/>
          <w:szCs w:val="18"/>
          <w:color w:val="010000"/>
        </w:rPr>
      </w:pPr>
    </w:p>
    <w:p>
      <w:pPr>
        <w:jc w:val="both"/>
        <w:ind w:left="100" w:firstLine="643"/>
        <w:spacing w:after="0" w:line="262" w:lineRule="auto"/>
        <w:tabs>
          <w:tab w:leader="none" w:pos="1278" w:val="left"/>
        </w:tabs>
        <w:numPr>
          <w:ilvl w:val="1"/>
          <w:numId w:val="234"/>
        </w:numPr>
        <w:rPr>
          <w:rFonts w:ascii="Arial" w:cs="Arial" w:eastAsia="Arial" w:hAnsi="Arial"/>
          <w:sz w:val="18"/>
          <w:szCs w:val="18"/>
          <w:color w:val="010000"/>
        </w:rPr>
      </w:pPr>
      <w:r>
        <w:rPr>
          <w:rFonts w:ascii="Arial" w:cs="Arial" w:eastAsia="Arial" w:hAnsi="Arial"/>
          <w:sz w:val="18"/>
          <w:szCs w:val="18"/>
          <w:color w:val="auto"/>
        </w:rPr>
        <w:t>each lease or other Contract under which the Company or any of its Subsidiaries is lessor of or permits any third party to hold or operate any property (other than real property), owned or controlled by the Company or any of its Subsidiaries, except for any lease or agreement under which the aggregate annual rental payments do not exceed $50,000;</w:t>
      </w:r>
    </w:p>
    <w:p>
      <w:pPr>
        <w:spacing w:after="0" w:line="182" w:lineRule="exact"/>
        <w:rPr>
          <w:rFonts w:ascii="Arial" w:cs="Arial" w:eastAsia="Arial" w:hAnsi="Arial"/>
          <w:sz w:val="18"/>
          <w:szCs w:val="18"/>
          <w:color w:val="010000"/>
        </w:rPr>
      </w:pPr>
    </w:p>
    <w:p>
      <w:pPr>
        <w:jc w:val="both"/>
        <w:ind w:left="100" w:firstLine="643"/>
        <w:spacing w:after="0" w:line="262" w:lineRule="auto"/>
        <w:tabs>
          <w:tab w:leader="none" w:pos="1241" w:val="left"/>
        </w:tabs>
        <w:numPr>
          <w:ilvl w:val="1"/>
          <w:numId w:val="234"/>
        </w:numPr>
        <w:rPr>
          <w:rFonts w:ascii="Arial" w:cs="Arial" w:eastAsia="Arial" w:hAnsi="Arial"/>
          <w:sz w:val="18"/>
          <w:szCs w:val="18"/>
          <w:color w:val="010000"/>
        </w:rPr>
      </w:pPr>
      <w:r>
        <w:rPr>
          <w:rFonts w:ascii="Arial" w:cs="Arial" w:eastAsia="Arial" w:hAnsi="Arial"/>
          <w:sz w:val="18"/>
          <w:szCs w:val="18"/>
          <w:color w:val="auto"/>
        </w:rPr>
        <w:t>each Contract or group of related Contracts with the same Third Party or group of Affiliates of such Third Party, pursuant to which the Company or any of its Subsidiaries, individually or in the aggregate, received or agreed to receive, or paid or agreed to pay, in excess of $1,000,000, in cash, in the fiscal year ended December 31, 2017;</w:t>
      </w:r>
    </w:p>
    <w:p>
      <w:pPr>
        <w:spacing w:after="0" w:line="39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09" w:name="page310"/>
    <w:bookmarkEnd w:id="309"/>
    <w:p>
      <w:pPr>
        <w:ind w:left="100" w:firstLine="643"/>
        <w:spacing w:after="0" w:line="340" w:lineRule="auto"/>
        <w:tabs>
          <w:tab w:leader="none" w:pos="1308" w:val="left"/>
        </w:tabs>
        <w:numPr>
          <w:ilvl w:val="2"/>
          <w:numId w:val="235"/>
        </w:numPr>
        <w:rPr>
          <w:rFonts w:ascii="Arial" w:cs="Arial" w:eastAsia="Arial" w:hAnsi="Arial"/>
          <w:sz w:val="16"/>
          <w:szCs w:val="16"/>
          <w:color w:val="010000"/>
        </w:rPr>
      </w:pPr>
      <w:r>
        <w:rPr>
          <w:rFonts w:ascii="Arial" w:cs="Arial" w:eastAsia="Arial" w:hAnsi="Arial"/>
          <w:sz w:val="16"/>
          <w:szCs w:val="16"/>
          <w:color w:val="auto"/>
        </w:rPr>
        <w:t>BIN sponsorship agreement, processing agreement or similar or related agreement that provides access to banking systems or enables the Company or any of its Subsidiaries to participate in or provide services under or with respect to any Card Association;</w:t>
      </w:r>
    </w:p>
    <w:p>
      <w:pPr>
        <w:spacing w:after="0" w:line="123" w:lineRule="exact"/>
        <w:rPr>
          <w:rFonts w:ascii="Arial" w:cs="Arial" w:eastAsia="Arial" w:hAnsi="Arial"/>
          <w:sz w:val="16"/>
          <w:szCs w:val="16"/>
          <w:color w:val="010000"/>
        </w:rPr>
      </w:pPr>
    </w:p>
    <w:p>
      <w:pPr>
        <w:ind w:left="1360" w:hanging="617"/>
        <w:spacing w:after="0"/>
        <w:tabs>
          <w:tab w:leader="none" w:pos="1360" w:val="left"/>
        </w:tabs>
        <w:numPr>
          <w:ilvl w:val="2"/>
          <w:numId w:val="235"/>
        </w:numPr>
        <w:rPr>
          <w:rFonts w:ascii="Arial" w:cs="Arial" w:eastAsia="Arial" w:hAnsi="Arial"/>
          <w:sz w:val="16"/>
          <w:szCs w:val="16"/>
          <w:color w:val="010000"/>
        </w:rPr>
      </w:pPr>
      <w:r>
        <w:rPr>
          <w:rFonts w:ascii="Arial" w:cs="Arial" w:eastAsia="Arial" w:hAnsi="Arial"/>
          <w:sz w:val="16"/>
          <w:szCs w:val="16"/>
          <w:color w:val="auto"/>
        </w:rPr>
        <w:t>any Contract with any independent sales organizations (“</w:t>
      </w:r>
      <w:r>
        <w:rPr>
          <w:rFonts w:ascii="Arial" w:cs="Arial" w:eastAsia="Arial" w:hAnsi="Arial"/>
          <w:sz w:val="16"/>
          <w:szCs w:val="16"/>
          <w:u w:val="single" w:color="auto"/>
          <w:color w:val="auto"/>
        </w:rPr>
        <w:t>ISOs</w:t>
      </w:r>
      <w:r>
        <w:rPr>
          <w:rFonts w:ascii="Arial" w:cs="Arial" w:eastAsia="Arial" w:hAnsi="Arial"/>
          <w:sz w:val="16"/>
          <w:szCs w:val="16"/>
          <w:color w:val="auto"/>
        </w:rPr>
        <w:t>”) or sales agents of the Company or any of its Subsidiaries</w:t>
      </w:r>
    </w:p>
    <w:p>
      <w:pPr>
        <w:spacing w:after="0" w:line="45" w:lineRule="exact"/>
        <w:rPr>
          <w:rFonts w:ascii="Arial" w:cs="Arial" w:eastAsia="Arial" w:hAnsi="Arial"/>
          <w:sz w:val="16"/>
          <w:szCs w:val="16"/>
          <w:color w:val="010000"/>
        </w:rPr>
      </w:pPr>
    </w:p>
    <w:p>
      <w:pPr>
        <w:jc w:val="both"/>
        <w:ind w:left="100" w:hanging="2"/>
        <w:spacing w:after="0" w:line="270" w:lineRule="auto"/>
        <w:tabs>
          <w:tab w:leader="none" w:pos="40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under which the Company and/or any of its Subsidiaries made residual or other payments to or on behalf of (or otherwise directly or indirectly conveyed value to) such ISO or sales agent, in each case, in excess of $500,000 in the aggregate during the fiscal year ended December 31, 2017 or reasonably expects to incur annual expenses in excess of $500,000 in the aggregate during the fiscal year ending December 31, 2018 or during any fiscal year thereafter or (B) under which the Company or any of its Subsidiaries made annual payments in excess of $500,000 thereunder in connection with any loan or residual buyout payment to any such ISO;</w:t>
      </w:r>
    </w:p>
    <w:p>
      <w:pPr>
        <w:spacing w:after="0" w:line="176" w:lineRule="exact"/>
        <w:rPr>
          <w:rFonts w:ascii="Arial" w:cs="Arial" w:eastAsia="Arial" w:hAnsi="Arial"/>
          <w:sz w:val="17"/>
          <w:szCs w:val="17"/>
          <w:color w:val="auto"/>
        </w:rPr>
      </w:pPr>
    </w:p>
    <w:p>
      <w:pPr>
        <w:ind w:left="1320" w:hanging="577"/>
        <w:spacing w:after="0"/>
        <w:tabs>
          <w:tab w:leader="none" w:pos="1320" w:val="left"/>
        </w:tabs>
        <w:numPr>
          <w:ilvl w:val="2"/>
          <w:numId w:val="236"/>
        </w:numPr>
        <w:rPr>
          <w:rFonts w:ascii="Arial" w:cs="Arial" w:eastAsia="Arial" w:hAnsi="Arial"/>
          <w:sz w:val="16"/>
          <w:szCs w:val="16"/>
          <w:color w:val="010000"/>
        </w:rPr>
      </w:pPr>
      <w:r>
        <w:rPr>
          <w:rFonts w:ascii="Arial" w:cs="Arial" w:eastAsia="Arial" w:hAnsi="Arial"/>
          <w:sz w:val="16"/>
          <w:szCs w:val="16"/>
          <w:color w:val="auto"/>
        </w:rPr>
        <w:t>any collective bargaining agreement, labor Contract or other Contract with any labor union or any employee organization;</w:t>
      </w:r>
    </w:p>
    <w:p>
      <w:pPr>
        <w:spacing w:after="0" w:line="246" w:lineRule="exact"/>
        <w:rPr>
          <w:rFonts w:ascii="Arial" w:cs="Arial" w:eastAsia="Arial" w:hAnsi="Arial"/>
          <w:sz w:val="16"/>
          <w:szCs w:val="16"/>
          <w:color w:val="010000"/>
        </w:rPr>
      </w:pPr>
    </w:p>
    <w:p>
      <w:pPr>
        <w:ind w:left="100" w:firstLine="643"/>
        <w:spacing w:after="0" w:line="275" w:lineRule="auto"/>
        <w:tabs>
          <w:tab w:leader="none" w:pos="1341" w:val="left"/>
        </w:tabs>
        <w:numPr>
          <w:ilvl w:val="2"/>
          <w:numId w:val="236"/>
        </w:numPr>
        <w:rPr>
          <w:rFonts w:ascii="Arial" w:cs="Arial" w:eastAsia="Arial" w:hAnsi="Arial"/>
          <w:sz w:val="18"/>
          <w:szCs w:val="18"/>
          <w:color w:val="010000"/>
        </w:rPr>
      </w:pPr>
      <w:r>
        <w:rPr>
          <w:rFonts w:ascii="Arial" w:cs="Arial" w:eastAsia="Arial" w:hAnsi="Arial"/>
          <w:sz w:val="18"/>
          <w:szCs w:val="18"/>
          <w:color w:val="auto"/>
        </w:rPr>
        <w:t xml:space="preserve">any agreement not disclosed pursuant to any other clause of this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that would constitute a “material contract” as defined in Item 601(b)(10) of Regulation S-K of the SEC; and</w:t>
      </w:r>
    </w:p>
    <w:p>
      <w:pPr>
        <w:spacing w:after="0" w:line="170" w:lineRule="exact"/>
        <w:rPr>
          <w:rFonts w:ascii="Arial" w:cs="Arial" w:eastAsia="Arial" w:hAnsi="Arial"/>
          <w:sz w:val="18"/>
          <w:szCs w:val="18"/>
          <w:color w:val="010000"/>
        </w:rPr>
      </w:pPr>
    </w:p>
    <w:p>
      <w:pPr>
        <w:jc w:val="both"/>
        <w:ind w:left="100" w:firstLine="643"/>
        <w:spacing w:after="0" w:line="254" w:lineRule="auto"/>
        <w:tabs>
          <w:tab w:leader="none" w:pos="1452" w:val="left"/>
        </w:tabs>
        <w:numPr>
          <w:ilvl w:val="2"/>
          <w:numId w:val="236"/>
        </w:numPr>
        <w:rPr>
          <w:rFonts w:ascii="Arial" w:cs="Arial" w:eastAsia="Arial" w:hAnsi="Arial"/>
          <w:sz w:val="18"/>
          <w:szCs w:val="18"/>
          <w:color w:val="010000"/>
        </w:rPr>
      </w:pPr>
      <w:r>
        <w:rPr>
          <w:rFonts w:ascii="Arial" w:cs="Arial" w:eastAsia="Arial" w:hAnsi="Arial"/>
          <w:sz w:val="18"/>
          <w:szCs w:val="18"/>
          <w:color w:val="auto"/>
        </w:rPr>
        <w:t>any agreement (A) by which the Company or any of its Subsidiaries licenses or permits any other Person to use, or covenants not to sue with respect to the use by such Person of, any Intellectual Property owned by the Company or its Subsidiaries (other than non-exclusive software licenses granted by the Company or any of its Subsidiaries with respect to such Intellectual Property in the Ordinary Course of Business); or (B) by which the Company or any of its Subsidiaries licenses or is otherwise granted the right to use the Intellectual Property of any other Person, (other than licenses for commercial off-the-shelf software, the total fees associated with which are less than $50,000).</w:t>
      </w:r>
    </w:p>
    <w:p>
      <w:pPr>
        <w:spacing w:after="0" w:line="191" w:lineRule="exact"/>
        <w:rPr>
          <w:rFonts w:ascii="Arial" w:cs="Arial" w:eastAsia="Arial" w:hAnsi="Arial"/>
          <w:sz w:val="18"/>
          <w:szCs w:val="18"/>
          <w:color w:val="010000"/>
        </w:rPr>
      </w:pPr>
    </w:p>
    <w:p>
      <w:pPr>
        <w:jc w:val="both"/>
        <w:ind w:left="-300" w:firstLine="640"/>
        <w:spacing w:after="0" w:line="292" w:lineRule="auto"/>
        <w:tabs>
          <w:tab w:leader="none" w:pos="894" w:val="left"/>
        </w:tabs>
        <w:numPr>
          <w:ilvl w:val="1"/>
          <w:numId w:val="236"/>
        </w:numPr>
        <w:rPr>
          <w:rFonts w:ascii="Arial" w:cs="Arial" w:eastAsia="Arial" w:hAnsi="Arial"/>
          <w:sz w:val="16"/>
          <w:szCs w:val="16"/>
          <w:color w:val="010000"/>
        </w:rPr>
      </w:pPr>
      <w:r>
        <w:rPr>
          <w:rFonts w:ascii="Arial" w:cs="Arial" w:eastAsia="Arial" w:hAnsi="Arial"/>
          <w:sz w:val="16"/>
          <w:szCs w:val="16"/>
          <w:color w:val="auto"/>
        </w:rPr>
        <w:t>Except for the Material Contracts that expire by their terms on or prior to the Closing Date, each Material Contract is a valid and binding obligation of the Company and its Subsidiaries, as applicable, that is a party thereto and, to the Knowledge of Sellers, of each other party thereto, and, to the Knowledge of Sellers, is in full force and effect and enforceable in accordance with its terms (subject to the Bankruptcy and Equity Exclusion), and neither the Company nor any of its Subsidiaries, in each case, that is a party thereto, and to the Knowledge of Sellers, no other party thereto is (with or without the lapse of time or the giving of notice, or both) in material breach or material default thereunder, except for such breaches or defaults as would not reasonably be expected to have, individually or in the aggregate, a Material Adverse Effect.</w:t>
      </w:r>
    </w:p>
    <w:p>
      <w:pPr>
        <w:spacing w:after="0" w:line="37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10" w:name="page311"/>
    <w:bookmarkEnd w:id="310"/>
    <w:p>
      <w:pPr>
        <w:jc w:val="both"/>
        <w:ind w:firstLine="1290"/>
        <w:spacing w:after="0" w:line="272" w:lineRule="auto"/>
        <w:rPr>
          <w:sz w:val="20"/>
          <w:szCs w:val="20"/>
          <w:color w:val="auto"/>
        </w:rPr>
      </w:pPr>
      <w:r>
        <w:rPr>
          <w:rFonts w:ascii="Arial" w:cs="Arial" w:eastAsia="Arial" w:hAnsi="Arial"/>
          <w:sz w:val="17"/>
          <w:szCs w:val="17"/>
          <w:color w:val="010000"/>
        </w:rPr>
        <w:t xml:space="preserve">Section 3.14 </w:t>
      </w:r>
      <w:r>
        <w:rPr>
          <w:rFonts w:ascii="Arial" w:cs="Arial" w:eastAsia="Arial" w:hAnsi="Arial"/>
          <w:sz w:val="17"/>
          <w:szCs w:val="17"/>
          <w:u w:val="single" w:color="auto"/>
          <w:color w:val="000000"/>
        </w:rPr>
        <w:t>Insurance Coverage</w:t>
      </w:r>
      <w:r>
        <w:rPr>
          <w:rFonts w:ascii="Arial" w:cs="Arial" w:eastAsia="Arial" w:hAnsi="Arial"/>
          <w:sz w:val="17"/>
          <w:szCs w:val="17"/>
          <w:color w:val="000000"/>
        </w:rPr>
        <w:t>. Section 3.14 of the Disclosure Letter sets forth, as of the date hereof, all material insurance policies</w:t>
      </w:r>
      <w:r>
        <w:rPr>
          <w:rFonts w:ascii="Arial" w:cs="Arial" w:eastAsia="Arial" w:hAnsi="Arial"/>
          <w:sz w:val="17"/>
          <w:szCs w:val="17"/>
          <w:color w:val="010000"/>
        </w:rPr>
        <w:t xml:space="preserve"> </w:t>
      </w:r>
      <w:r>
        <w:rPr>
          <w:rFonts w:ascii="Arial" w:cs="Arial" w:eastAsia="Arial" w:hAnsi="Arial"/>
          <w:sz w:val="17"/>
          <w:szCs w:val="17"/>
          <w:color w:val="000000"/>
        </w:rPr>
        <w:t>and fidelity bonds maintained by the Company or any of its Subsidiaries. Except as would not reasonably be expected to have a Material Adverse Effect, all such insurance policies are in full force and effect, all premiums due and payable thereon have been paid, and no written notice of cancellation or termination has been received by the Company or any of its Subsidiaries, as applicable, with respect to any such policy. To the Knowledge of Sellers, such insurance policies, in light of the nature of the Company’s business, assets and properties, are in amounts and have coverage that are reasonable and customary for similarly-situated Persons engaged in such business and having such assets and properties.</w:t>
      </w:r>
    </w:p>
    <w:p>
      <w:pPr>
        <w:spacing w:after="0" w:line="176"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010000"/>
        </w:rPr>
        <w:t xml:space="preserve">Section 3.15 </w:t>
      </w:r>
      <w:r>
        <w:rPr>
          <w:rFonts w:ascii="Arial" w:cs="Arial" w:eastAsia="Arial" w:hAnsi="Arial"/>
          <w:sz w:val="18"/>
          <w:szCs w:val="18"/>
          <w:u w:val="single" w:color="auto"/>
          <w:color w:val="000000"/>
        </w:rPr>
        <w:t>Environmental Matters</w:t>
      </w:r>
      <w:r>
        <w:rPr>
          <w:rFonts w:ascii="Arial" w:cs="Arial" w:eastAsia="Arial" w:hAnsi="Arial"/>
          <w:sz w:val="18"/>
          <w:szCs w:val="18"/>
          <w:color w:val="000000"/>
        </w:rPr>
        <w:t>. Except as would not reasonably be expected to have, individually or in the aggregate, a Material</w:t>
      </w:r>
      <w:r>
        <w:rPr>
          <w:rFonts w:ascii="Arial" w:cs="Arial" w:eastAsia="Arial" w:hAnsi="Arial"/>
          <w:sz w:val="18"/>
          <w:szCs w:val="18"/>
          <w:color w:val="010000"/>
        </w:rPr>
        <w:t xml:space="preserve"> </w:t>
      </w:r>
      <w:r>
        <w:rPr>
          <w:rFonts w:ascii="Arial" w:cs="Arial" w:eastAsia="Arial" w:hAnsi="Arial"/>
          <w:sz w:val="18"/>
          <w:szCs w:val="18"/>
          <w:color w:val="000000"/>
        </w:rPr>
        <w:t xml:space="preserve">Adverse Effect, (a) the Company and its Subsidiaries are in compliance with all Environmental Laws, (b) the Company and its Subsidiaries have obtained or caused to be obtained all Permits necessary for their business and operations as required to comply with all applicable Environmental Laws, and the Company and its Subsidiaries are in compliance with the terms and conditions of such Permits, (c) to the Knowledge of Sellers, there has been no Release or threatened Release at any of the Leased Premises that would reasonably be expected to result in Environmental Liabilities or an Environmental Claim, and (d) there are no Environmental Claims pending against the Company or its Subsidiaries. Notwithstanding anything to the contrary in this </w:t>
      </w:r>
      <w:r>
        <w:rPr>
          <w:rFonts w:ascii="Arial" w:cs="Arial" w:eastAsia="Arial" w:hAnsi="Arial"/>
          <w:sz w:val="18"/>
          <w:szCs w:val="18"/>
          <w:u w:val="single" w:color="auto"/>
          <w:color w:val="000000"/>
        </w:rPr>
        <w:t>Article III</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3.15</w:t>
      </w:r>
      <w:r>
        <w:rPr>
          <w:rFonts w:ascii="Arial" w:cs="Arial" w:eastAsia="Arial" w:hAnsi="Arial"/>
          <w:sz w:val="18"/>
          <w:szCs w:val="18"/>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8"/>
          <w:szCs w:val="18"/>
          <w:u w:val="single" w:color="auto"/>
          <w:color w:val="000000"/>
        </w:rPr>
        <w:t>Section 3.15</w:t>
      </w:r>
      <w:r>
        <w:rPr>
          <w:rFonts w:ascii="Arial" w:cs="Arial" w:eastAsia="Arial" w:hAnsi="Arial"/>
          <w:sz w:val="18"/>
          <w:szCs w:val="18"/>
          <w:color w:val="000000"/>
        </w:rPr>
        <w:t>.</w:t>
      </w:r>
    </w:p>
    <w:p>
      <w:pPr>
        <w:spacing w:after="0" w:line="190"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3.16</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85" w:lineRule="auto"/>
        <w:tabs>
          <w:tab w:leader="none" w:pos="2111" w:val="left"/>
        </w:tabs>
        <w:numPr>
          <w:ilvl w:val="0"/>
          <w:numId w:val="237"/>
        </w:numPr>
        <w:rPr>
          <w:rFonts w:ascii="Arial" w:cs="Arial" w:eastAsia="Arial" w:hAnsi="Arial"/>
          <w:sz w:val="16"/>
          <w:szCs w:val="16"/>
          <w:color w:val="010000"/>
        </w:rPr>
      </w:pPr>
      <w:r>
        <w:rPr>
          <w:rFonts w:ascii="Arial" w:cs="Arial" w:eastAsia="Arial" w:hAnsi="Arial"/>
          <w:sz w:val="16"/>
          <w:szCs w:val="16"/>
          <w:color w:val="auto"/>
        </w:rPr>
        <w:t>Section 3.16(a) of the Disclosure Letter sets forth, as of the date hereof, a complete and accurate list of each material Employee Benefit Plan. Each Employee Benefit Plan has been maintained, funded and administered in all material respects in accordance with its terms and in compliance in all material respects with the applicable requirements of ERISA, the Code and other applicable Laws, in each case, except for such instances of non-compliance as would not reasonably be expected to have, individually or in the aggregate, a Material Adverse Effect. Except for routine claims for benefits, there is no Proceeding pending or, to the Knowledge of Sellers, threatened against or arising out of an Employee Benefit Plan, except for those Proceedings that would not reasonably be expected to have, individually or in the aggregate, a Material Adverse Effect. Each Employee Benefit Plan that is intended to meet the requirements of Section 401(a) of the Code has received a favorable determination letter or favorable opinion letter from the IRS and, to the Knowledge of the Sellers, no fact or event has occurred since the date of such letter that would reasonably be expected to materially and adversely affect the qualified status of such Employee Benefit Plan. Except as would not reasonably be expected to have, individually or in the aggregate, a Material Adverse Effect, all contributions and premiums required by applicable Law or by the terms of any Employee Benefit Plan or any agreement relating thereto have been timely made to any funds or trusts established thereunder or in connection therewith. Neither the Company nor any of its Subsidiaries, or any other entity which, together with the Company or any of its Subsidiaries, would be treated as a single employer under Section 4001 of ERISA or Section 414 of the Code contributes to, or has any obligation to contribute to, or has any material liability with respect to, any Title IV Plan or any Multiemployer Plan.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11" w:name="page312"/>
    <w:bookmarkEnd w:id="311"/>
    <w:p>
      <w:pPr>
        <w:jc w:val="both"/>
        <w:ind w:left="5" w:firstLine="640"/>
        <w:spacing w:after="0" w:line="290" w:lineRule="auto"/>
        <w:tabs>
          <w:tab w:leader="none" w:pos="1227" w:val="left"/>
        </w:tabs>
        <w:numPr>
          <w:ilvl w:val="1"/>
          <w:numId w:val="238"/>
        </w:numPr>
        <w:rPr>
          <w:rFonts w:ascii="Arial" w:cs="Arial" w:eastAsia="Arial" w:hAnsi="Arial"/>
          <w:sz w:val="16"/>
          <w:szCs w:val="16"/>
          <w:color w:val="010000"/>
        </w:rPr>
      </w:pPr>
      <w:r>
        <w:rPr>
          <w:rFonts w:ascii="Arial" w:cs="Arial" w:eastAsia="Arial" w:hAnsi="Arial"/>
          <w:sz w:val="16"/>
          <w:szCs w:val="16"/>
          <w:color w:val="auto"/>
        </w:rPr>
        <w:t>Sellers have furnished or made available to Buyer a true and complete copy of each material Employee Benefit Plan and, to the extent applicable, a true and complete copy of (i) each trust or other funding arrangement in connection with each such Employee Benefit Plan,</w:t>
      </w:r>
    </w:p>
    <w:p>
      <w:pPr>
        <w:jc w:val="both"/>
        <w:ind w:left="5" w:hanging="5"/>
        <w:spacing w:after="0" w:line="252" w:lineRule="auto"/>
        <w:tabs>
          <w:tab w:leader="none" w:pos="29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current summary plan description and summary of material modifications for each such Employee Benefit Plan, (iii) the most recent annual report (Form 5500s) in connection with each Employee Benefit Plan, (iv) the most recently received determination letter or opinion letter from the IRS for each Employee Benefit Plan intended to qualify under ERISA or the Code, and (v) the most recently prepared actuarial report and financial statement in connection with each such Employee Benefit Plan.</w:t>
      </w:r>
    </w:p>
    <w:p>
      <w:pPr>
        <w:spacing w:after="0" w:line="191" w:lineRule="exact"/>
        <w:rPr>
          <w:rFonts w:ascii="Arial" w:cs="Arial" w:eastAsia="Arial" w:hAnsi="Arial"/>
          <w:sz w:val="18"/>
          <w:szCs w:val="18"/>
          <w:color w:val="auto"/>
        </w:rPr>
      </w:pPr>
    </w:p>
    <w:p>
      <w:pPr>
        <w:jc w:val="both"/>
        <w:ind w:left="5" w:firstLine="640"/>
        <w:spacing w:after="0" w:line="274" w:lineRule="auto"/>
        <w:tabs>
          <w:tab w:leader="none" w:pos="1203" w:val="left"/>
        </w:tabs>
        <w:numPr>
          <w:ilvl w:val="1"/>
          <w:numId w:val="239"/>
        </w:numPr>
        <w:rPr>
          <w:rFonts w:ascii="Arial" w:cs="Arial" w:eastAsia="Arial" w:hAnsi="Arial"/>
          <w:sz w:val="17"/>
          <w:szCs w:val="17"/>
          <w:color w:val="010000"/>
        </w:rPr>
      </w:pPr>
      <w:r>
        <w:rPr>
          <w:rFonts w:ascii="Arial" w:cs="Arial" w:eastAsia="Arial" w:hAnsi="Arial"/>
          <w:sz w:val="17"/>
          <w:szCs w:val="17"/>
          <w:color w:val="auto"/>
        </w:rPr>
        <w:t>Neither the execution and delivery of this Agreement nor the consummation of the Contemplated Transactions will (either alone or in conjunction with any other event) (i) result in, cause the accelerated vesting, funding or delivery of, or materially increase the amount or value of, any payment or benefit from the Company or any of its Subsidiaries to any employee, officer or director of the Company or any of its Subsidiaries, or (ii) result in the payment of any amount or benefit that could, individually or in combination with any other payment or benefit, constitute an “excess parachute payment” as defined in Section 280G(b)(1) of the Code.</w:t>
      </w:r>
    </w:p>
    <w:p>
      <w:pPr>
        <w:spacing w:after="0" w:line="174" w:lineRule="exact"/>
        <w:rPr>
          <w:rFonts w:ascii="Arial" w:cs="Arial" w:eastAsia="Arial" w:hAnsi="Arial"/>
          <w:sz w:val="17"/>
          <w:szCs w:val="17"/>
          <w:color w:val="010000"/>
        </w:rPr>
      </w:pPr>
    </w:p>
    <w:p>
      <w:pPr>
        <w:ind w:left="5" w:firstLine="640"/>
        <w:spacing w:after="0" w:line="306" w:lineRule="auto"/>
        <w:tabs>
          <w:tab w:leader="none" w:pos="1213" w:val="left"/>
        </w:tabs>
        <w:numPr>
          <w:ilvl w:val="1"/>
          <w:numId w:val="239"/>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3.16</w:t>
      </w:r>
      <w:r>
        <w:rPr>
          <w:rFonts w:ascii="Arial" w:cs="Arial" w:eastAsia="Arial" w:hAnsi="Arial"/>
          <w:sz w:val="17"/>
          <w:szCs w:val="17"/>
          <w:color w:val="auto"/>
        </w:rPr>
        <w:t>.</w:t>
      </w:r>
    </w:p>
    <w:p>
      <w:pPr>
        <w:spacing w:after="0" w:line="147" w:lineRule="exact"/>
        <w:rPr>
          <w:sz w:val="20"/>
          <w:szCs w:val="20"/>
          <w:color w:val="auto"/>
        </w:rPr>
      </w:pPr>
    </w:p>
    <w:p>
      <w:pPr>
        <w:ind w:left="405"/>
        <w:spacing w:after="0"/>
        <w:tabs>
          <w:tab w:leader="none" w:pos="1585" w:val="left"/>
        </w:tabs>
        <w:rPr>
          <w:sz w:val="20"/>
          <w:szCs w:val="20"/>
          <w:color w:val="auto"/>
        </w:rPr>
      </w:pPr>
      <w:r>
        <w:rPr>
          <w:rFonts w:ascii="Arial" w:cs="Arial" w:eastAsia="Arial" w:hAnsi="Arial"/>
          <w:sz w:val="18"/>
          <w:szCs w:val="18"/>
          <w:color w:val="010000"/>
        </w:rPr>
        <w:t>Section 3.17</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223" w:lineRule="exact"/>
        <w:rPr>
          <w:sz w:val="20"/>
          <w:szCs w:val="20"/>
          <w:color w:val="auto"/>
        </w:rPr>
      </w:pPr>
    </w:p>
    <w:p>
      <w:pPr>
        <w:jc w:val="both"/>
        <w:ind w:left="5" w:firstLine="640"/>
        <w:spacing w:after="0" w:line="292" w:lineRule="auto"/>
        <w:tabs>
          <w:tab w:leader="none" w:pos="1311" w:val="left"/>
        </w:tabs>
        <w:numPr>
          <w:ilvl w:val="0"/>
          <w:numId w:val="240"/>
        </w:numPr>
        <w:rPr>
          <w:rFonts w:ascii="Arial" w:cs="Arial" w:eastAsia="Arial" w:hAnsi="Arial"/>
          <w:sz w:val="16"/>
          <w:szCs w:val="16"/>
          <w:color w:val="010000"/>
        </w:rPr>
      </w:pPr>
      <w:r>
        <w:rPr>
          <w:rFonts w:ascii="Arial" w:cs="Arial" w:eastAsia="Arial" w:hAnsi="Arial"/>
          <w:sz w:val="16"/>
          <w:szCs w:val="16"/>
          <w:color w:val="auto"/>
        </w:rPr>
        <w:t>Neither the Company nor any of its Subsidiaries is a party to or otherwise bound by or currently negotiating any collective bargaining or any other type of collective labor or union agreement, and there is no labor union or other organization representing employees of the Company and its Subsidiaries. No strike, labor suit or proceeding or labor administrative proceeding is pending or, to the Knowledge of Sellers, threatened regarding employees of the Company and its Subsidiaries (in such employees’ capacities as such) that would reasonably be expected to have, individually or in the aggregate, a Material Adverse Effect, and, to the Knowledge of Sellers, no such matter has been threatened by employees of the Company and its Subsidiaries (in such employees’ capacities as such) within the 12-month period prior to the date hereof.</w:t>
      </w:r>
    </w:p>
    <w:p>
      <w:pPr>
        <w:spacing w:after="0" w:line="378" w:lineRule="exact"/>
        <w:rPr>
          <w:sz w:val="20"/>
          <w:szCs w:val="20"/>
          <w:color w:val="auto"/>
        </w:rPr>
      </w:pPr>
    </w:p>
    <w:p>
      <w:pPr>
        <w:ind w:left="4645"/>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7247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525"/>
          </w:cols>
          <w:pgMar w:left="1135" w:top="905" w:right="239" w:bottom="1440" w:gutter="0" w:footer="0" w:header="0"/>
        </w:sectPr>
      </w:pPr>
    </w:p>
    <w:bookmarkStart w:id="312" w:name="page313"/>
    <w:bookmarkEnd w:id="312"/>
    <w:p>
      <w:pPr>
        <w:jc w:val="both"/>
        <w:ind w:left="-300" w:firstLine="640"/>
        <w:spacing w:after="0" w:line="268" w:lineRule="auto"/>
        <w:tabs>
          <w:tab w:leader="none" w:pos="948" w:val="left"/>
        </w:tabs>
        <w:numPr>
          <w:ilvl w:val="0"/>
          <w:numId w:val="241"/>
        </w:numPr>
        <w:rPr>
          <w:rFonts w:ascii="Arial" w:cs="Arial" w:eastAsia="Arial" w:hAnsi="Arial"/>
          <w:sz w:val="17"/>
          <w:szCs w:val="17"/>
          <w:color w:val="010000"/>
        </w:rPr>
      </w:pPr>
      <w:r>
        <w:rPr>
          <w:rFonts w:ascii="Arial" w:cs="Arial" w:eastAsia="Arial" w:hAnsi="Arial"/>
          <w:sz w:val="17"/>
          <w:szCs w:val="17"/>
          <w:color w:val="auto"/>
        </w:rPr>
        <w:t>In the 12 months prior to the date hereof, neither the Company nor any of its Subsidiaries has been a party to a Proceeding in which the Company and its Subsidiaries, as applicable, was or is alleged to have violated in any material respect any material applicable Laws, or any material Orders of any Governmental Authority, or any material arbitration awards, relating to employment, equal opportunity, nondiscrimination, immigration, wages, hours, benefits, collective bargaining, the payment of social security or similar Taxes, and/or income Tax withholding, that would reasonably be expected to have, individually or in the aggregate, a Material Adverse Effect. Except as would not reasonably be expected to have, individually or in the aggregate, a Material Adverse Effect, each of the Company and its Subsidiaries is, and for the past 12 months has been, in compliance in all material respects with all applicable Laws and collective bargaining agreements regarding employment and employment practices, terms and conditions of employment, immigration, wages and hours, occupational safety and health, equal opportunity, leave of absence, eligibility for and payment of overtime, classification of independent contractors and employees, safety and health, unemployment insurance and workers’ compensation.</w:t>
      </w:r>
    </w:p>
    <w:p>
      <w:pPr>
        <w:spacing w:after="0" w:line="183" w:lineRule="exact"/>
        <w:rPr>
          <w:rFonts w:ascii="Arial" w:cs="Arial" w:eastAsia="Arial" w:hAnsi="Arial"/>
          <w:sz w:val="17"/>
          <w:szCs w:val="17"/>
          <w:color w:val="010000"/>
        </w:rPr>
      </w:pPr>
    </w:p>
    <w:p>
      <w:pPr>
        <w:ind w:left="-300" w:right="20" w:firstLine="640"/>
        <w:spacing w:after="0" w:line="306" w:lineRule="auto"/>
        <w:tabs>
          <w:tab w:leader="none" w:pos="898" w:val="left"/>
        </w:tabs>
        <w:numPr>
          <w:ilvl w:val="0"/>
          <w:numId w:val="241"/>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3.17</w:t>
      </w:r>
      <w:r>
        <w:rPr>
          <w:rFonts w:ascii="Arial" w:cs="Arial" w:eastAsia="Arial" w:hAnsi="Arial"/>
          <w:sz w:val="17"/>
          <w:szCs w:val="17"/>
          <w:color w:val="auto"/>
        </w:rPr>
        <w:t>.</w:t>
      </w:r>
    </w:p>
    <w:p>
      <w:pPr>
        <w:spacing w:after="0" w:line="147"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18"/>
          <w:szCs w:val="18"/>
          <w:color w:val="010000"/>
        </w:rPr>
        <w:t>Section 3.18</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Except as would not be reasonably expected to have, individually or in the aggregate, a Material Adverse Effect:</w:t>
      </w:r>
    </w:p>
    <w:p>
      <w:pPr>
        <w:spacing w:after="0" w:line="223" w:lineRule="exact"/>
        <w:rPr>
          <w:sz w:val="20"/>
          <w:szCs w:val="20"/>
          <w:color w:val="auto"/>
        </w:rPr>
      </w:pPr>
    </w:p>
    <w:p>
      <w:pPr>
        <w:jc w:val="both"/>
        <w:ind w:left="-300" w:firstLine="640"/>
        <w:spacing w:after="0" w:line="278" w:lineRule="auto"/>
        <w:tabs>
          <w:tab w:leader="none" w:pos="911" w:val="left"/>
        </w:tabs>
        <w:numPr>
          <w:ilvl w:val="0"/>
          <w:numId w:val="242"/>
        </w:numPr>
        <w:rPr>
          <w:rFonts w:ascii="Arial" w:cs="Arial" w:eastAsia="Arial" w:hAnsi="Arial"/>
          <w:sz w:val="17"/>
          <w:szCs w:val="17"/>
          <w:color w:val="010000"/>
        </w:rPr>
      </w:pPr>
      <w:r>
        <w:rPr>
          <w:rFonts w:ascii="Arial" w:cs="Arial" w:eastAsia="Arial" w:hAnsi="Arial"/>
          <w:sz w:val="17"/>
          <w:szCs w:val="17"/>
          <w:color w:val="auto"/>
        </w:rPr>
        <w:t>All Tax Returns required to be filed by or with respect to the Company or any of its Subsidiaries have been timely filed (taking into account applicable extensions), and all Taxes reported as due on such Tax Returns have been paid. Neither the Company nor any of its Subsidiaries has granted any extension or waiver of the statute of limitations period, or of the time for assessment or collection, applicable to any Tax or Tax Return, which period (after giving effect to such extension or waiver) has not yet expired.</w:t>
      </w:r>
    </w:p>
    <w:p>
      <w:pPr>
        <w:spacing w:after="0" w:line="169" w:lineRule="exact"/>
        <w:rPr>
          <w:rFonts w:ascii="Arial" w:cs="Arial" w:eastAsia="Arial" w:hAnsi="Arial"/>
          <w:sz w:val="17"/>
          <w:szCs w:val="17"/>
          <w:color w:val="010000"/>
        </w:rPr>
      </w:pPr>
    </w:p>
    <w:p>
      <w:pPr>
        <w:jc w:val="both"/>
        <w:ind w:left="-300" w:firstLine="640"/>
        <w:spacing w:after="0" w:line="274" w:lineRule="auto"/>
        <w:tabs>
          <w:tab w:leader="none" w:pos="921" w:val="left"/>
        </w:tabs>
        <w:numPr>
          <w:ilvl w:val="0"/>
          <w:numId w:val="242"/>
        </w:numPr>
        <w:rPr>
          <w:rFonts w:ascii="Arial" w:cs="Arial" w:eastAsia="Arial" w:hAnsi="Arial"/>
          <w:sz w:val="17"/>
          <w:szCs w:val="17"/>
          <w:color w:val="010000"/>
        </w:rPr>
      </w:pPr>
      <w:r>
        <w:rPr>
          <w:rFonts w:ascii="Arial" w:cs="Arial" w:eastAsia="Arial" w:hAnsi="Arial"/>
          <w:sz w:val="17"/>
          <w:szCs w:val="17"/>
          <w:color w:val="auto"/>
        </w:rPr>
        <w:t>To the Knowledge of Sellers, there is no Proceeding pending with respect to any Tax Return filed by the Company or any of its Subsidiaries. Other than Permitted Liens, there are no Liens for Taxes upon any of the assets of the Company and its Subsidiaries. There are no requests for rulings or determinations in respect of any Tax pending between the Company or any of its Subsidiaries, on the one hand, and any Governmental Authority, on the other hand. There are no closing agreements or similar arrangements with any Governmental Authority with regard to the determination of the Tax liability of the Company or any of its Subsidiaries.</w:t>
      </w:r>
    </w:p>
    <w:p>
      <w:pPr>
        <w:spacing w:after="0" w:line="174" w:lineRule="exact"/>
        <w:rPr>
          <w:rFonts w:ascii="Arial" w:cs="Arial" w:eastAsia="Arial" w:hAnsi="Arial"/>
          <w:sz w:val="17"/>
          <w:szCs w:val="17"/>
          <w:color w:val="010000"/>
        </w:rPr>
      </w:pPr>
    </w:p>
    <w:p>
      <w:pPr>
        <w:ind w:left="-300" w:firstLine="640"/>
        <w:spacing w:after="0" w:line="275" w:lineRule="auto"/>
        <w:tabs>
          <w:tab w:leader="none" w:pos="952" w:val="left"/>
        </w:tabs>
        <w:numPr>
          <w:ilvl w:val="0"/>
          <w:numId w:val="242"/>
        </w:numPr>
        <w:rPr>
          <w:rFonts w:ascii="Arial" w:cs="Arial" w:eastAsia="Arial" w:hAnsi="Arial"/>
          <w:sz w:val="18"/>
          <w:szCs w:val="18"/>
          <w:color w:val="010000"/>
        </w:rPr>
      </w:pPr>
      <w:r>
        <w:rPr>
          <w:rFonts w:ascii="Arial" w:cs="Arial" w:eastAsia="Arial" w:hAnsi="Arial"/>
          <w:sz w:val="18"/>
          <w:szCs w:val="18"/>
          <w:color w:val="auto"/>
        </w:rPr>
        <w:t>To the Knowledge of Sellers, neither the Company nor any of its Subsidiaries has engaged in a “listed transaction” within the meaning of Treasury Regulation Section 1.6011-4(b)(2).</w:t>
      </w:r>
    </w:p>
    <w:p>
      <w:pPr>
        <w:spacing w:after="0" w:line="170" w:lineRule="exact"/>
        <w:rPr>
          <w:rFonts w:ascii="Arial" w:cs="Arial" w:eastAsia="Arial" w:hAnsi="Arial"/>
          <w:sz w:val="18"/>
          <w:szCs w:val="18"/>
          <w:color w:val="010000"/>
        </w:rPr>
      </w:pPr>
    </w:p>
    <w:p>
      <w:pPr>
        <w:ind w:left="-300" w:firstLine="640"/>
        <w:spacing w:after="0" w:line="275" w:lineRule="auto"/>
        <w:tabs>
          <w:tab w:leader="none" w:pos="908" w:val="left"/>
        </w:tabs>
        <w:numPr>
          <w:ilvl w:val="0"/>
          <w:numId w:val="242"/>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3.18</w:t>
      </w:r>
      <w:r>
        <w:rPr>
          <w:rFonts w:ascii="Arial" w:cs="Arial" w:eastAsia="Arial" w:hAnsi="Arial"/>
          <w:sz w:val="18"/>
          <w:szCs w:val="18"/>
          <w:color w:val="auto"/>
        </w:rPr>
        <w:t xml:space="preserve"> contains the sole and exclusive representations and warranties of Sellers relating Taxes.</w:t>
      </w:r>
    </w:p>
    <w:p>
      <w:pPr>
        <w:spacing w:after="0" w:line="38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13" w:name="page314"/>
    <w:bookmarkEnd w:id="313"/>
    <w:p>
      <w:pPr>
        <w:jc w:val="both"/>
        <w:ind w:firstLine="1290"/>
        <w:spacing w:after="0" w:line="262" w:lineRule="auto"/>
        <w:rPr>
          <w:sz w:val="20"/>
          <w:szCs w:val="20"/>
          <w:color w:val="auto"/>
        </w:rPr>
      </w:pPr>
      <w:r>
        <w:rPr>
          <w:rFonts w:ascii="Arial" w:cs="Arial" w:eastAsia="Arial" w:hAnsi="Arial"/>
          <w:sz w:val="18"/>
          <w:szCs w:val="18"/>
          <w:color w:val="010000"/>
        </w:rPr>
        <w:t xml:space="preserve">Section 3.19 </w:t>
      </w:r>
      <w:r>
        <w:rPr>
          <w:rFonts w:ascii="Arial" w:cs="Arial" w:eastAsia="Arial" w:hAnsi="Arial"/>
          <w:sz w:val="18"/>
          <w:szCs w:val="18"/>
          <w:u w:val="single" w:color="auto"/>
          <w:color w:val="000000"/>
        </w:rPr>
        <w:t>Brokers or Finders</w:t>
      </w:r>
      <w:r>
        <w:rPr>
          <w:rFonts w:ascii="Arial" w:cs="Arial" w:eastAsia="Arial" w:hAnsi="Arial"/>
          <w:sz w:val="18"/>
          <w:szCs w:val="18"/>
          <w:color w:val="000000"/>
        </w:rPr>
        <w:t>. Other than the Financial Advisor , there is no investment banker, broker, finder or other intermediary</w:t>
      </w:r>
      <w:r>
        <w:rPr>
          <w:rFonts w:ascii="Arial" w:cs="Arial" w:eastAsia="Arial" w:hAnsi="Arial"/>
          <w:sz w:val="18"/>
          <w:szCs w:val="18"/>
          <w:color w:val="010000"/>
        </w:rPr>
        <w:t xml:space="preserve"> </w:t>
      </w:r>
      <w:r>
        <w:rPr>
          <w:rFonts w:ascii="Arial" w:cs="Arial" w:eastAsia="Arial" w:hAnsi="Arial"/>
          <w:sz w:val="18"/>
          <w:szCs w:val="18"/>
          <w:color w:val="000000"/>
        </w:rPr>
        <w:t>that has been retained by or is authorized to act on behalf of Sellers, the Company or any of its Subsidiaries who might be entitled to any fee or commission in connection with the Contemplated Transactions.</w:t>
      </w:r>
    </w:p>
    <w:p>
      <w:pPr>
        <w:spacing w:after="0" w:line="182"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3.20 </w:t>
      </w:r>
      <w:r>
        <w:rPr>
          <w:rFonts w:ascii="Arial" w:cs="Arial" w:eastAsia="Arial" w:hAnsi="Arial"/>
          <w:sz w:val="18"/>
          <w:szCs w:val="18"/>
          <w:u w:val="single" w:color="auto"/>
          <w:color w:val="000000"/>
        </w:rPr>
        <w:t>Affiliate Transactions</w:t>
      </w:r>
      <w:r>
        <w:rPr>
          <w:rFonts w:ascii="Arial" w:cs="Arial" w:eastAsia="Arial" w:hAnsi="Arial"/>
          <w:sz w:val="18"/>
          <w:szCs w:val="18"/>
          <w:color w:val="000000"/>
        </w:rPr>
        <w:t>. Except as listed on Section 3.20 of the Disclosure Letter, there are no material Contracts (including</w:t>
      </w:r>
      <w:r>
        <w:rPr>
          <w:rFonts w:ascii="Arial" w:cs="Arial" w:eastAsia="Arial" w:hAnsi="Arial"/>
          <w:sz w:val="18"/>
          <w:szCs w:val="18"/>
          <w:color w:val="010000"/>
        </w:rPr>
        <w:t xml:space="preserve"> </w:t>
      </w:r>
      <w:r>
        <w:rPr>
          <w:rFonts w:ascii="Arial" w:cs="Arial" w:eastAsia="Arial" w:hAnsi="Arial"/>
          <w:sz w:val="18"/>
          <w:szCs w:val="18"/>
          <w:color w:val="000000"/>
        </w:rPr>
        <w:t>management agreements) that shall survive the Closing between the Company or any of its Subsidiaries, on the one hand, and Sellers or any Affiliate thereof (excluding the Company and its Subsidiaries), on the other hand.</w:t>
      </w:r>
    </w:p>
    <w:p>
      <w:pPr>
        <w:spacing w:after="0" w:line="182"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010000"/>
        </w:rPr>
        <w:t xml:space="preserve">Section 3.21 </w:t>
      </w:r>
      <w:r>
        <w:rPr>
          <w:rFonts w:ascii="Arial" w:cs="Arial" w:eastAsia="Arial" w:hAnsi="Arial"/>
          <w:sz w:val="18"/>
          <w:szCs w:val="18"/>
          <w:u w:val="single" w:color="auto"/>
          <w:color w:val="000000"/>
        </w:rPr>
        <w:t>Suppliers</w:t>
      </w:r>
      <w:r>
        <w:rPr>
          <w:rFonts w:ascii="Arial" w:cs="Arial" w:eastAsia="Arial" w:hAnsi="Arial"/>
          <w:sz w:val="18"/>
          <w:szCs w:val="18"/>
          <w:color w:val="000000"/>
        </w:rPr>
        <w:t>. Sellers have made available to Buyer a correct and complete list of the top ten (10) suppliers by expenditures of</w:t>
      </w:r>
      <w:r>
        <w:rPr>
          <w:rFonts w:ascii="Arial" w:cs="Arial" w:eastAsia="Arial" w:hAnsi="Arial"/>
          <w:sz w:val="18"/>
          <w:szCs w:val="18"/>
          <w:color w:val="010000"/>
        </w:rPr>
        <w:t xml:space="preserve"> </w:t>
      </w:r>
      <w:r>
        <w:rPr>
          <w:rFonts w:ascii="Arial" w:cs="Arial" w:eastAsia="Arial" w:hAnsi="Arial"/>
          <w:sz w:val="18"/>
          <w:szCs w:val="18"/>
          <w:color w:val="000000"/>
        </w:rPr>
        <w:t>the Company and its Subsidiaries for the fiscal year ended December 31, 2017 (the “</w:t>
      </w:r>
      <w:r>
        <w:rPr>
          <w:rFonts w:ascii="Arial" w:cs="Arial" w:eastAsia="Arial" w:hAnsi="Arial"/>
          <w:sz w:val="18"/>
          <w:szCs w:val="18"/>
          <w:u w:val="single" w:color="auto"/>
          <w:color w:val="000000"/>
        </w:rPr>
        <w:t>Material Suppliers</w:t>
      </w:r>
      <w:r>
        <w:rPr>
          <w:rFonts w:ascii="Arial" w:cs="Arial" w:eastAsia="Arial" w:hAnsi="Arial"/>
          <w:sz w:val="18"/>
          <w:szCs w:val="18"/>
          <w:color w:val="000000"/>
        </w:rPr>
        <w:t>”) and the amount of purchases from each Material Supplier during such period. To the Knowledge of Sellers, no Material Supplier has, since December 31, 2016, delivered written notice to the Company or any of its Subsidiaries cancelling or otherwise terminating, materially reducing, or threatening to cancel or terminate or materially reduce, its relationship with the Company or any of its Subsidiaries.</w:t>
      </w:r>
    </w:p>
    <w:p>
      <w:pPr>
        <w:spacing w:after="0" w:line="19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3.22</w:t>
      </w:r>
      <w:r>
        <w:rPr>
          <w:sz w:val="20"/>
          <w:szCs w:val="20"/>
          <w:color w:val="auto"/>
        </w:rPr>
        <w:tab/>
      </w:r>
      <w:r>
        <w:rPr>
          <w:rFonts w:ascii="Arial" w:cs="Arial" w:eastAsia="Arial" w:hAnsi="Arial"/>
          <w:sz w:val="16"/>
          <w:szCs w:val="16"/>
          <w:u w:val="single" w:color="auto"/>
          <w:color w:val="auto"/>
        </w:rPr>
        <w:t>Merchants; Merchant Accounts</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53" w:lineRule="auto"/>
        <w:tabs>
          <w:tab w:leader="none" w:pos="2192" w:val="left"/>
        </w:tabs>
        <w:numPr>
          <w:ilvl w:val="1"/>
          <w:numId w:val="243"/>
        </w:numPr>
        <w:rPr>
          <w:rFonts w:ascii="Arial" w:cs="Arial" w:eastAsia="Arial" w:hAnsi="Arial"/>
          <w:sz w:val="18"/>
          <w:szCs w:val="18"/>
          <w:color w:val="010000"/>
        </w:rPr>
      </w:pPr>
      <w:r>
        <w:rPr>
          <w:rFonts w:ascii="Arial" w:cs="Arial" w:eastAsia="Arial" w:hAnsi="Arial"/>
          <w:sz w:val="18"/>
          <w:szCs w:val="18"/>
          <w:color w:val="auto"/>
        </w:rPr>
        <w:t>Sellers have made available to Buyer a correct and complete list of each Merchant of the Company and its Subsidiaries that processed in excess of $500,000 per month at any time during the fiscal year ended December 31, 2017 (each such Merchant, a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Merchant</w:t>
      </w:r>
      <w:r>
        <w:rPr>
          <w:rFonts w:ascii="Arial" w:cs="Arial" w:eastAsia="Arial" w:hAnsi="Arial"/>
          <w:sz w:val="18"/>
          <w:szCs w:val="18"/>
          <w:color w:val="auto"/>
        </w:rPr>
        <w:t>”). To the Knowledge of Sellers, no Material Merchant has, since December 31, 2016, delivered written notice to the Company or any of its Subsidiaries, cancelling or otherwise terminating, materially reducing, or threatening to cancel or terminate or materially reduce, such Material Merchant’s relationship with the Company or any of its Subsidiaries. To the Knowledge of Sellers, there are no facts or circumstances existing or reasonably anticipated to occur that would cause any Material Merchant to cancel, terminate or materially reduce its relationship with the Company or any of its Subsidiaries.</w:t>
      </w:r>
    </w:p>
    <w:p>
      <w:pPr>
        <w:spacing w:after="0" w:line="193" w:lineRule="exact"/>
        <w:rPr>
          <w:rFonts w:ascii="Arial" w:cs="Arial" w:eastAsia="Arial" w:hAnsi="Arial"/>
          <w:sz w:val="18"/>
          <w:szCs w:val="18"/>
          <w:color w:val="010000"/>
        </w:rPr>
      </w:pPr>
    </w:p>
    <w:p>
      <w:pPr>
        <w:ind w:left="2080" w:hanging="540"/>
        <w:spacing w:after="0"/>
        <w:tabs>
          <w:tab w:leader="none" w:pos="2080" w:val="left"/>
        </w:tabs>
        <w:numPr>
          <w:ilvl w:val="1"/>
          <w:numId w:val="243"/>
        </w:numPr>
        <w:rPr>
          <w:rFonts w:ascii="Arial" w:cs="Arial" w:eastAsia="Arial" w:hAnsi="Arial"/>
          <w:sz w:val="16"/>
          <w:szCs w:val="16"/>
          <w:color w:val="010000"/>
        </w:rPr>
      </w:pPr>
      <w:r>
        <w:rPr>
          <w:rFonts w:ascii="Arial" w:cs="Arial" w:eastAsia="Arial" w:hAnsi="Arial"/>
          <w:sz w:val="16"/>
          <w:szCs w:val="16"/>
          <w:color w:val="auto"/>
        </w:rPr>
        <w:t>Except for such matters as would not reasonably be expected to have, individually or in the aggregate, a Material Adverse Effect,</w:t>
      </w:r>
    </w:p>
    <w:p>
      <w:pPr>
        <w:spacing w:after="0" w:line="45" w:lineRule="exact"/>
        <w:rPr>
          <w:rFonts w:ascii="Arial" w:cs="Arial" w:eastAsia="Arial" w:hAnsi="Arial"/>
          <w:sz w:val="16"/>
          <w:szCs w:val="16"/>
          <w:color w:val="010000"/>
        </w:rPr>
      </w:pPr>
    </w:p>
    <w:p>
      <w:pPr>
        <w:jc w:val="both"/>
        <w:ind w:left="900" w:hanging="5"/>
        <w:spacing w:after="0" w:line="251" w:lineRule="auto"/>
        <w:tabs>
          <w:tab w:leader="none" w:pos="115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all cash reserve deposits maintained with respect to any Material Merchant comply with all applicable Card Association Rules and all applicable Law, (ii) to the extent the Company and its Subsidiaries are involved in handling or processing any Chargebacks, the Company and its Subsidiaries have handled and processed all Chargebacks in all material respects with all applicable Card Association Rules, (iii) to the Knowledge of Sellers, each Merchant of the Company and its Subsidiaries is, and has been since January 1, 2017, in compliance with all applicable Card Association Rules (including obligations to comply with the PCI-DSS).</w:t>
      </w:r>
    </w:p>
    <w:p>
      <w:pPr>
        <w:spacing w:after="0" w:line="193" w:lineRule="exact"/>
        <w:rPr>
          <w:rFonts w:ascii="Arial" w:cs="Arial" w:eastAsia="Arial" w:hAnsi="Arial"/>
          <w:sz w:val="18"/>
          <w:szCs w:val="18"/>
          <w:color w:val="auto"/>
        </w:rPr>
      </w:pPr>
    </w:p>
    <w:p>
      <w:pPr>
        <w:ind w:left="2140" w:hanging="600"/>
        <w:spacing w:after="0"/>
        <w:tabs>
          <w:tab w:leader="none" w:pos="2140" w:val="left"/>
        </w:tabs>
        <w:numPr>
          <w:ilvl w:val="1"/>
          <w:numId w:val="244"/>
        </w:numPr>
        <w:rPr>
          <w:rFonts w:ascii="Arial" w:cs="Arial" w:eastAsia="Arial" w:hAnsi="Arial"/>
          <w:sz w:val="16"/>
          <w:szCs w:val="16"/>
          <w:color w:val="010000"/>
        </w:rPr>
      </w:pPr>
      <w:r>
        <w:rPr>
          <w:rFonts w:ascii="Arial" w:cs="Arial" w:eastAsia="Arial" w:hAnsi="Arial"/>
          <w:sz w:val="16"/>
          <w:szCs w:val="16"/>
          <w:color w:val="auto"/>
        </w:rPr>
        <w:t>All Merchant Accounts are free and clear of all Liens (other than Permitted Liens and Liens under the applicable sponsorship</w:t>
      </w:r>
    </w:p>
    <w:p>
      <w:pPr>
        <w:spacing w:after="0" w:line="45" w:lineRule="exact"/>
        <w:rPr>
          <w:rFonts w:ascii="Arial" w:cs="Arial" w:eastAsia="Arial" w:hAnsi="Arial"/>
          <w:sz w:val="16"/>
          <w:szCs w:val="16"/>
          <w:color w:val="010000"/>
        </w:rPr>
      </w:pPr>
    </w:p>
    <w:p>
      <w:pPr>
        <w:ind w:left="900"/>
        <w:spacing w:after="0"/>
        <w:rPr>
          <w:rFonts w:ascii="Arial" w:cs="Arial" w:eastAsia="Arial" w:hAnsi="Arial"/>
          <w:sz w:val="16"/>
          <w:szCs w:val="16"/>
          <w:color w:val="010000"/>
        </w:rPr>
      </w:pPr>
      <w:r>
        <w:rPr>
          <w:rFonts w:ascii="Arial" w:cs="Arial" w:eastAsia="Arial" w:hAnsi="Arial"/>
          <w:sz w:val="18"/>
          <w:szCs w:val="18"/>
          <w:color w:val="auto"/>
        </w:rPr>
        <w:t>agreement).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14" w:name="page315"/>
    <w:bookmarkEnd w:id="314"/>
    <w:p>
      <w:pPr>
        <w:ind w:left="900" w:firstLine="640"/>
        <w:spacing w:after="0" w:line="275" w:lineRule="auto"/>
        <w:tabs>
          <w:tab w:leader="none" w:pos="2108" w:val="left"/>
        </w:tabs>
        <w:numPr>
          <w:ilvl w:val="0"/>
          <w:numId w:val="245"/>
        </w:numPr>
        <w:rPr>
          <w:rFonts w:ascii="Arial" w:cs="Arial" w:eastAsia="Arial" w:hAnsi="Arial"/>
          <w:sz w:val="18"/>
          <w:szCs w:val="18"/>
          <w:color w:val="010000"/>
        </w:rPr>
      </w:pPr>
      <w:r>
        <w:rPr>
          <w:rFonts w:ascii="Arial" w:cs="Arial" w:eastAsia="Arial" w:hAnsi="Arial"/>
          <w:sz w:val="18"/>
          <w:szCs w:val="18"/>
          <w:color w:val="auto"/>
        </w:rPr>
        <w:t>To the Knowledge of Sellers, no Merchant of the Company or any of its Subsidiaries has received a Common Point-of-Purchase report since January 1, 2017.</w:t>
      </w:r>
    </w:p>
    <w:p>
      <w:pPr>
        <w:spacing w:after="0" w:line="17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3.23</w:t>
      </w:r>
      <w:r>
        <w:rPr>
          <w:sz w:val="20"/>
          <w:szCs w:val="20"/>
          <w:color w:val="auto"/>
        </w:rPr>
        <w:tab/>
      </w:r>
      <w:r>
        <w:rPr>
          <w:rFonts w:ascii="Arial" w:cs="Arial" w:eastAsia="Arial" w:hAnsi="Arial"/>
          <w:sz w:val="16"/>
          <w:szCs w:val="16"/>
          <w:u w:val="single" w:color="auto"/>
          <w:color w:val="auto"/>
        </w:rPr>
        <w:t>ISOs; Sales Agent Contracts</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90" w:lineRule="auto"/>
        <w:tabs>
          <w:tab w:leader="none" w:pos="2058" w:val="left"/>
        </w:tabs>
        <w:numPr>
          <w:ilvl w:val="0"/>
          <w:numId w:val="246"/>
        </w:numPr>
        <w:rPr>
          <w:rFonts w:ascii="Arial" w:cs="Arial" w:eastAsia="Arial" w:hAnsi="Arial"/>
          <w:sz w:val="16"/>
          <w:szCs w:val="16"/>
          <w:color w:val="010000"/>
        </w:rPr>
      </w:pPr>
      <w:r>
        <w:rPr>
          <w:rFonts w:ascii="Arial" w:cs="Arial" w:eastAsia="Arial" w:hAnsi="Arial"/>
          <w:sz w:val="16"/>
          <w:szCs w:val="16"/>
          <w:color w:val="auto"/>
        </w:rPr>
        <w:t>Sellers have made available to Buyer, with respect to each ISO that is party to a Contract that is required to be disclosed in Section 3.13(a)(xi) of the Disclosure Letter (the “</w:t>
      </w:r>
      <w:r>
        <w:rPr>
          <w:rFonts w:ascii="Arial" w:cs="Arial" w:eastAsia="Arial" w:hAnsi="Arial"/>
          <w:sz w:val="16"/>
          <w:szCs w:val="16"/>
          <w:u w:val="single" w:color="auto"/>
          <w:color w:val="auto"/>
        </w:rPr>
        <w:t>Material ISOs</w:t>
      </w:r>
      <w:r>
        <w:rPr>
          <w:rFonts w:ascii="Arial" w:cs="Arial" w:eastAsia="Arial" w:hAnsi="Arial"/>
          <w:sz w:val="16"/>
          <w:szCs w:val="16"/>
          <w:color w:val="auto"/>
        </w:rPr>
        <w:t>”) and each sales agent that is party to a Contract that is required to be disclosed in Section</w:t>
      </w:r>
    </w:p>
    <w:p>
      <w:pPr>
        <w:ind w:left="900"/>
        <w:spacing w:after="0" w:line="258" w:lineRule="auto"/>
        <w:rPr>
          <w:rFonts w:ascii="Arial" w:cs="Arial" w:eastAsia="Arial" w:hAnsi="Arial"/>
          <w:sz w:val="16"/>
          <w:szCs w:val="16"/>
          <w:color w:val="010000"/>
        </w:rPr>
      </w:pPr>
      <w:r>
        <w:rPr>
          <w:rFonts w:ascii="Arial" w:cs="Arial" w:eastAsia="Arial" w:hAnsi="Arial"/>
          <w:sz w:val="18"/>
          <w:szCs w:val="18"/>
          <w:color w:val="auto"/>
        </w:rPr>
        <w:t>3.13(a)(xi) of the Disclosure Letter (the “</w:t>
      </w:r>
      <w:r>
        <w:rPr>
          <w:rFonts w:ascii="Arial" w:cs="Arial" w:eastAsia="Arial" w:hAnsi="Arial"/>
          <w:sz w:val="18"/>
          <w:szCs w:val="18"/>
          <w:u w:val="single" w:color="auto"/>
          <w:color w:val="auto"/>
        </w:rPr>
        <w:t>Material Agents</w:t>
      </w:r>
      <w:r>
        <w:rPr>
          <w:rFonts w:ascii="Arial" w:cs="Arial" w:eastAsia="Arial" w:hAnsi="Arial"/>
          <w:sz w:val="18"/>
          <w:szCs w:val="18"/>
          <w:color w:val="auto"/>
        </w:rPr>
        <w:t>”), the enrollment rates of new Merchants by the Material ISOs and Material Merchants as of the applicable dates and periods specified therein for the period from January 1, 2017 through December 31, 2017.</w:t>
      </w:r>
    </w:p>
    <w:p>
      <w:pPr>
        <w:spacing w:after="0" w:line="185" w:lineRule="exact"/>
        <w:rPr>
          <w:rFonts w:ascii="Arial" w:cs="Arial" w:eastAsia="Arial" w:hAnsi="Arial"/>
          <w:sz w:val="16"/>
          <w:szCs w:val="16"/>
          <w:color w:val="010000"/>
        </w:rPr>
      </w:pPr>
    </w:p>
    <w:p>
      <w:pPr>
        <w:jc w:val="both"/>
        <w:ind w:left="900" w:firstLine="640"/>
        <w:spacing w:after="0" w:line="255" w:lineRule="auto"/>
        <w:tabs>
          <w:tab w:leader="none" w:pos="2135" w:val="left"/>
        </w:tabs>
        <w:numPr>
          <w:ilvl w:val="0"/>
          <w:numId w:val="246"/>
        </w:numPr>
        <w:rPr>
          <w:rFonts w:ascii="Arial" w:cs="Arial" w:eastAsia="Arial" w:hAnsi="Arial"/>
          <w:sz w:val="18"/>
          <w:szCs w:val="18"/>
          <w:color w:val="010000"/>
        </w:rPr>
      </w:pPr>
      <w:r>
        <w:rPr>
          <w:rFonts w:ascii="Arial" w:cs="Arial" w:eastAsia="Arial" w:hAnsi="Arial"/>
          <w:sz w:val="18"/>
          <w:szCs w:val="18"/>
          <w:color w:val="auto"/>
        </w:rPr>
        <w:t>To the Knowledge of Sellers, no Material ISO or Material Agent has, since December 31, 2016, delivered written notice to the Company or any of its Subsidiaries cancelling or otherwise terminating, materially reducing or threatening to cancel or terminate or materially reduce, such Material ISO’s or Material Agent’s relationship with the Company or any of its Subsidiaries. To the Knowledge of Sellers, (i) there are no facts or circumstances existing or reasonably anticipated to occur that would cause any Material ISO or Material Agent to cancel, terminate or materially reduce its relationship with the Company or any of its Subsidiaries.</w:t>
      </w:r>
    </w:p>
    <w:p>
      <w:pPr>
        <w:spacing w:after="0" w:line="190" w:lineRule="exact"/>
        <w:rPr>
          <w:rFonts w:ascii="Arial" w:cs="Arial" w:eastAsia="Arial" w:hAnsi="Arial"/>
          <w:sz w:val="18"/>
          <w:szCs w:val="18"/>
          <w:color w:val="010000"/>
        </w:rPr>
      </w:pPr>
    </w:p>
    <w:p>
      <w:pPr>
        <w:jc w:val="both"/>
        <w:ind w:left="900" w:firstLine="640"/>
        <w:spacing w:after="0" w:line="253" w:lineRule="auto"/>
        <w:tabs>
          <w:tab w:leader="none" w:pos="2111" w:val="left"/>
        </w:tabs>
        <w:numPr>
          <w:ilvl w:val="0"/>
          <w:numId w:val="246"/>
        </w:numPr>
        <w:rPr>
          <w:rFonts w:ascii="Arial" w:cs="Arial" w:eastAsia="Arial" w:hAnsi="Arial"/>
          <w:sz w:val="18"/>
          <w:szCs w:val="18"/>
          <w:color w:val="010000"/>
        </w:rPr>
      </w:pPr>
      <w:r>
        <w:rPr>
          <w:rFonts w:ascii="Arial" w:cs="Arial" w:eastAsia="Arial" w:hAnsi="Arial"/>
          <w:sz w:val="18"/>
          <w:szCs w:val="18"/>
          <w:color w:val="auto"/>
        </w:rPr>
        <w:t>Sellers have made available to Buyer a list of each ISO of the Company or its Subsidiaries that is registered with the applicable Card Association. To the Knowledge of Sellers, each ISO of the Company or its Subsidiaries (i) is registered with the applicable Card Association if required by the applicable Card Association Rules and (ii) except for such matters as would not reasonably be expected to have, individually or in the aggregate, a Material Adverse Effect, is, and has been since January 1, 2017, in compliance, in all material respects, with all applicable Card Association Rules (including obligations to comply with the PCI-DSS). To the Knowledge of Sellers, no Material ISO is not in compliance, in any material respect, with the current credit review, underwriting standard and acceptance criteria of the Company or its Subsidiaries or the applicable BIN sponsor bank.</w:t>
      </w:r>
    </w:p>
    <w:p>
      <w:pPr>
        <w:spacing w:after="0" w:line="193"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010000"/>
        </w:rPr>
        <w:t xml:space="preserve">Section 3.24 </w:t>
      </w:r>
      <w:r>
        <w:rPr>
          <w:rFonts w:ascii="Arial" w:cs="Arial" w:eastAsia="Arial" w:hAnsi="Arial"/>
          <w:sz w:val="16"/>
          <w:szCs w:val="16"/>
          <w:u w:val="single" w:color="auto"/>
          <w:color w:val="000000"/>
        </w:rPr>
        <w:t>Certain Business Practices</w:t>
      </w:r>
      <w:r>
        <w:rPr>
          <w:rFonts w:ascii="Arial" w:cs="Arial" w:eastAsia="Arial" w:hAnsi="Arial"/>
          <w:sz w:val="16"/>
          <w:szCs w:val="16"/>
          <w:color w:val="000000"/>
        </w:rPr>
        <w:t>. None of the Company, any Subsidiary of the Company, or any member, manager, director,</w:t>
      </w:r>
      <w:r>
        <w:rPr>
          <w:rFonts w:ascii="Arial" w:cs="Arial" w:eastAsia="Arial" w:hAnsi="Arial"/>
          <w:sz w:val="16"/>
          <w:szCs w:val="16"/>
          <w:color w:val="010000"/>
        </w:rPr>
        <w:t xml:space="preserve"> </w:t>
      </w:r>
      <w:r>
        <w:rPr>
          <w:rFonts w:ascii="Arial" w:cs="Arial" w:eastAsia="Arial" w:hAnsi="Arial"/>
          <w:sz w:val="16"/>
          <w:szCs w:val="16"/>
          <w:color w:val="000000"/>
        </w:rPr>
        <w:t>officer or employee of the Company or any Subsidiary of the Company (in their capacities as such)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Foreign Corrupt Practices Act or (iii) made any other payment in violation of similar anti-corruption Laws in the jurisdictions in which they do business. None of the Company, any Subsidiary of the Company, or any member, manager, director, officer or employee of the Company or any Subsidiary of the Company (nor any Person acting on behalf of any of the foregoing, but solely in his or her capacity as a member, manager, director, officer or employee of the Company) has, since January 1, 2015, directly or indirectly, given or agreed to give any unlawful gift or similar benefit in any material amount to any customer, supplier, governmental employee or other Person who is or may be in a position to help or hinder the Company or any Subsidiary of the Company or assist the Company or any Subsidiary of the Company in connection with any actual or proposed transaction, which, if not given could reasonably be expected to have had an adverse effect on the Company or any Subsidiary of the Company, or which, if not continued in the future, could reasonably be expected to adversely affect the business or prospects of the Company or any Subsidiary of the Company that could reasonably be expected to subject the Company or any Subsidiary of the Company to suit or penalty in any Proceeding.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15" w:name="page316"/>
    <w:bookmarkEnd w:id="315"/>
    <w:p>
      <w:pPr>
        <w:jc w:val="both"/>
        <w:ind w:firstLine="1290"/>
        <w:spacing w:after="0" w:line="258" w:lineRule="auto"/>
        <w:rPr>
          <w:sz w:val="20"/>
          <w:szCs w:val="20"/>
          <w:color w:val="auto"/>
        </w:rPr>
      </w:pPr>
      <w:r>
        <w:rPr>
          <w:rFonts w:ascii="Arial" w:cs="Arial" w:eastAsia="Arial" w:hAnsi="Arial"/>
          <w:sz w:val="18"/>
          <w:szCs w:val="18"/>
          <w:color w:val="010000"/>
        </w:rPr>
        <w:t xml:space="preserve">Section 3.25 </w:t>
      </w:r>
      <w:r>
        <w:rPr>
          <w:rFonts w:ascii="Arial" w:cs="Arial" w:eastAsia="Arial" w:hAnsi="Arial"/>
          <w:sz w:val="18"/>
          <w:szCs w:val="18"/>
          <w:u w:val="single" w:color="auto"/>
          <w:color w:val="000000"/>
        </w:rPr>
        <w:t>Money Laundering Laws</w:t>
      </w:r>
      <w:r>
        <w:rPr>
          <w:rFonts w:ascii="Arial" w:cs="Arial" w:eastAsia="Arial" w:hAnsi="Arial"/>
          <w:sz w:val="18"/>
          <w:szCs w:val="18"/>
          <w:color w:val="000000"/>
        </w:rPr>
        <w:t>. The operations of the Company and each Subsidiary of the Company are and have been</w:t>
      </w:r>
      <w:r>
        <w:rPr>
          <w:rFonts w:ascii="Arial" w:cs="Arial" w:eastAsia="Arial" w:hAnsi="Arial"/>
          <w:sz w:val="18"/>
          <w:szCs w:val="18"/>
          <w:color w:val="010000"/>
        </w:rPr>
        <w:t xml:space="preserve"> </w:t>
      </w:r>
      <w:r>
        <w:rPr>
          <w:rFonts w:ascii="Arial" w:cs="Arial" w:eastAsia="Arial" w:hAnsi="Arial"/>
          <w:sz w:val="18"/>
          <w:szCs w:val="18"/>
          <w:color w:val="000000"/>
        </w:rPr>
        <w:t>conducted at all times in compliance with the anti-money laundering statutes in all applicable jurisdictions, and the rules and regulations thereunder (collectively, the “</w:t>
      </w:r>
      <w:r>
        <w:rPr>
          <w:rFonts w:ascii="Arial" w:cs="Arial" w:eastAsia="Arial" w:hAnsi="Arial"/>
          <w:sz w:val="18"/>
          <w:szCs w:val="18"/>
          <w:u w:val="single" w:color="auto"/>
          <w:color w:val="000000"/>
        </w:rPr>
        <w:t>Money Laundering Laws</w:t>
      </w:r>
      <w:r>
        <w:rPr>
          <w:rFonts w:ascii="Arial" w:cs="Arial" w:eastAsia="Arial" w:hAnsi="Arial"/>
          <w:sz w:val="18"/>
          <w:szCs w:val="18"/>
          <w:color w:val="000000"/>
        </w:rPr>
        <w:t>”), and, in each case as applicable to its business, no Proceeding involving the Company or any Subsidiary of the Company with respect to the Money Laundering Laws is pending or, to the Knowledge of Sellers, threatened.</w:t>
      </w:r>
    </w:p>
    <w:p>
      <w:pPr>
        <w:spacing w:after="0" w:line="185" w:lineRule="exact"/>
        <w:rPr>
          <w:sz w:val="20"/>
          <w:szCs w:val="20"/>
          <w:color w:val="auto"/>
        </w:rPr>
      </w:pPr>
    </w:p>
    <w:p>
      <w:pPr>
        <w:jc w:val="both"/>
        <w:ind w:firstLine="1290"/>
        <w:spacing w:after="0" w:line="252" w:lineRule="auto"/>
        <w:rPr>
          <w:sz w:val="20"/>
          <w:szCs w:val="20"/>
          <w:color w:val="auto"/>
        </w:rPr>
      </w:pPr>
      <w:r>
        <w:rPr>
          <w:rFonts w:ascii="Arial" w:cs="Arial" w:eastAsia="Arial" w:hAnsi="Arial"/>
          <w:sz w:val="18"/>
          <w:szCs w:val="18"/>
          <w:color w:val="010000"/>
        </w:rPr>
        <w:t xml:space="preserve">Section 3.26 </w:t>
      </w:r>
      <w:r>
        <w:rPr>
          <w:rFonts w:ascii="Arial" w:cs="Arial" w:eastAsia="Arial" w:hAnsi="Arial"/>
          <w:sz w:val="18"/>
          <w:szCs w:val="18"/>
          <w:u w:val="single" w:color="auto"/>
          <w:color w:val="000000"/>
        </w:rPr>
        <w:t>OFAC</w:t>
      </w:r>
      <w:r>
        <w:rPr>
          <w:rFonts w:ascii="Arial" w:cs="Arial" w:eastAsia="Arial" w:hAnsi="Arial"/>
          <w:sz w:val="18"/>
          <w:szCs w:val="18"/>
          <w:color w:val="000000"/>
        </w:rPr>
        <w:t>. None of the Company, any Subsidiary of the Company, any member, manager, director or officer of the Company or</w:t>
      </w:r>
      <w:r>
        <w:rPr>
          <w:rFonts w:ascii="Arial" w:cs="Arial" w:eastAsia="Arial" w:hAnsi="Arial"/>
          <w:sz w:val="18"/>
          <w:szCs w:val="18"/>
          <w:color w:val="010000"/>
        </w:rPr>
        <w:t xml:space="preserve"> </w:t>
      </w:r>
      <w:r>
        <w:rPr>
          <w:rFonts w:ascii="Arial" w:cs="Arial" w:eastAsia="Arial" w:hAnsi="Arial"/>
          <w:sz w:val="18"/>
          <w:szCs w:val="18"/>
          <w:color w:val="000000"/>
        </w:rPr>
        <w:t>any Subsidiary of the Company, or, to the Knowledge of Sellers, any agent, employee, Affiliate or Person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Arial" w:cs="Arial" w:eastAsia="Arial" w:hAnsi="Arial"/>
          <w:sz w:val="18"/>
          <w:szCs w:val="18"/>
          <w:u w:val="single" w:color="auto"/>
          <w:color w:val="000000"/>
        </w:rPr>
        <w:t>OFAC</w:t>
      </w:r>
      <w:r>
        <w:rPr>
          <w:rFonts w:ascii="Arial" w:cs="Arial" w:eastAsia="Arial" w:hAnsi="Arial"/>
          <w:sz w:val="18"/>
          <w:szCs w:val="18"/>
          <w:color w:val="000000"/>
        </w:rPr>
        <w:t>”); and the Company or any Subsidiary of the Company has not, directly or indirectly, in violation of any U.S. sanctions administered by OFAC, used any funds, or loaned, contributed or otherwise made available such funds to any Subsidiary of the Company, joint venture partner or other Person, in connection with any sales or operations in a country or territory which is, or whose government is, at any time the subject or target of a country-wide or territory-side sanctions (currently including the Crimea region of Ukraine, Cuba, Iran, North Korea and Syria) or for the purpose of financing the activities of any Person currently subject to, or otherwise in violation of, any U.S. sanctions administered by OFAC in the last five (5) fiscal years.</w:t>
      </w:r>
    </w:p>
    <w:p>
      <w:pPr>
        <w:spacing w:after="0" w:line="195"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3.27</w:t>
      </w:r>
      <w:r>
        <w:rPr>
          <w:sz w:val="20"/>
          <w:szCs w:val="20"/>
          <w:color w:val="auto"/>
        </w:rPr>
        <w:tab/>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w:t>
      </w:r>
    </w:p>
    <w:p>
      <w:pPr>
        <w:spacing w:after="0" w:line="223" w:lineRule="exact"/>
        <w:rPr>
          <w:sz w:val="20"/>
          <w:szCs w:val="20"/>
          <w:color w:val="auto"/>
        </w:rPr>
      </w:pPr>
    </w:p>
    <w:p>
      <w:pPr>
        <w:ind w:left="2060" w:hanging="520"/>
        <w:spacing w:after="0"/>
        <w:tabs>
          <w:tab w:leader="none" w:pos="2060" w:val="left"/>
        </w:tabs>
        <w:numPr>
          <w:ilvl w:val="0"/>
          <w:numId w:val="247"/>
        </w:numPr>
        <w:rPr>
          <w:rFonts w:ascii="Arial" w:cs="Arial" w:eastAsia="Arial" w:hAnsi="Arial"/>
          <w:sz w:val="17"/>
          <w:szCs w:val="17"/>
          <w:color w:val="010000"/>
        </w:rPr>
      </w:pPr>
      <w:r>
        <w:rPr>
          <w:rFonts w:ascii="Arial" w:cs="Arial" w:eastAsia="Arial" w:hAnsi="Arial"/>
          <w:sz w:val="17"/>
          <w:szCs w:val="17"/>
          <w:color w:val="auto"/>
        </w:rPr>
        <w:t>Seller is an “accredited investor” within the meaning of Section 506 of Regulation D promulgated under the Securities Act.</w:t>
      </w:r>
    </w:p>
    <w:p>
      <w:pPr>
        <w:spacing w:after="0" w:line="234" w:lineRule="exact"/>
        <w:rPr>
          <w:rFonts w:ascii="Arial" w:cs="Arial" w:eastAsia="Arial" w:hAnsi="Arial"/>
          <w:sz w:val="17"/>
          <w:szCs w:val="17"/>
          <w:color w:val="010000"/>
        </w:rPr>
      </w:pPr>
    </w:p>
    <w:p>
      <w:pPr>
        <w:jc w:val="both"/>
        <w:ind w:left="900" w:firstLine="640"/>
        <w:spacing w:after="0" w:line="262" w:lineRule="auto"/>
        <w:tabs>
          <w:tab w:leader="none" w:pos="2081" w:val="left"/>
        </w:tabs>
        <w:numPr>
          <w:ilvl w:val="0"/>
          <w:numId w:val="247"/>
        </w:numPr>
        <w:rPr>
          <w:rFonts w:ascii="Arial" w:cs="Arial" w:eastAsia="Arial" w:hAnsi="Arial"/>
          <w:sz w:val="18"/>
          <w:szCs w:val="18"/>
          <w:color w:val="010000"/>
        </w:rPr>
      </w:pPr>
      <w:r>
        <w:rPr>
          <w:rFonts w:ascii="Arial" w:cs="Arial" w:eastAsia="Arial" w:hAnsi="Arial"/>
          <w:sz w:val="18"/>
          <w:szCs w:val="18"/>
          <w:color w:val="auto"/>
        </w:rPr>
        <w:t>The Consideration Shares will be acquired for investment for each Seller’s own account and not with a view to the distribution of any part thereof (or participation therein) in violation of the Securities Act. The Sellers do not have any contract, undertaking or agreement with any Person to sell, transfer, or grant participations with respect to the Consideration Shares.</w:t>
      </w:r>
    </w:p>
    <w:p>
      <w:pPr>
        <w:spacing w:after="0" w:line="182" w:lineRule="exact"/>
        <w:rPr>
          <w:rFonts w:ascii="Arial" w:cs="Arial" w:eastAsia="Arial" w:hAnsi="Arial"/>
          <w:sz w:val="18"/>
          <w:szCs w:val="18"/>
          <w:color w:val="010000"/>
        </w:rPr>
      </w:pPr>
    </w:p>
    <w:p>
      <w:pPr>
        <w:ind w:left="900" w:firstLine="640"/>
        <w:spacing w:after="0" w:line="275" w:lineRule="auto"/>
        <w:tabs>
          <w:tab w:leader="none" w:pos="2071" w:val="left"/>
        </w:tabs>
        <w:numPr>
          <w:ilvl w:val="0"/>
          <w:numId w:val="247"/>
        </w:numPr>
        <w:rPr>
          <w:rFonts w:ascii="Arial" w:cs="Arial" w:eastAsia="Arial" w:hAnsi="Arial"/>
          <w:sz w:val="18"/>
          <w:szCs w:val="18"/>
          <w:color w:val="010000"/>
        </w:rPr>
      </w:pPr>
      <w:r>
        <w:rPr>
          <w:rFonts w:ascii="Arial" w:cs="Arial" w:eastAsia="Arial" w:hAnsi="Arial"/>
          <w:sz w:val="18"/>
          <w:szCs w:val="18"/>
          <w:color w:val="auto"/>
        </w:rPr>
        <w:t>Each Seller’s financial condition is such that it is able to bear the risk of holding the Consideration Shares for an indefinite period of time and can bear the loss of its entire investment in the Acquired Interests.</w:t>
      </w:r>
    </w:p>
    <w:p>
      <w:pPr>
        <w:spacing w:after="0" w:line="170" w:lineRule="exact"/>
        <w:rPr>
          <w:rFonts w:ascii="Arial" w:cs="Arial" w:eastAsia="Arial" w:hAnsi="Arial"/>
          <w:sz w:val="18"/>
          <w:szCs w:val="18"/>
          <w:color w:val="010000"/>
        </w:rPr>
      </w:pPr>
    </w:p>
    <w:p>
      <w:pPr>
        <w:jc w:val="both"/>
        <w:ind w:left="900" w:firstLine="640"/>
        <w:spacing w:after="0" w:line="262" w:lineRule="auto"/>
        <w:tabs>
          <w:tab w:leader="none" w:pos="2108" w:val="left"/>
        </w:tabs>
        <w:numPr>
          <w:ilvl w:val="0"/>
          <w:numId w:val="247"/>
        </w:numPr>
        <w:rPr>
          <w:rFonts w:ascii="Arial" w:cs="Arial" w:eastAsia="Arial" w:hAnsi="Arial"/>
          <w:sz w:val="18"/>
          <w:szCs w:val="18"/>
          <w:color w:val="010000"/>
        </w:rPr>
      </w:pPr>
      <w:r>
        <w:rPr>
          <w:rFonts w:ascii="Arial" w:cs="Arial" w:eastAsia="Arial" w:hAnsi="Arial"/>
          <w:sz w:val="18"/>
          <w:szCs w:val="18"/>
          <w:color w:val="auto"/>
        </w:rPr>
        <w:t>Each Seller (either alone or together with its advisors) has sufficient knowledge and experience in financial and business matters so as to be capable of evaluating the merits and risks of its investment in the Consideration Shares and is capable of bearing the economic risks of such investment.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6" w:name="page317"/>
    <w:bookmarkEnd w:id="316"/>
    <w:p>
      <w:pPr>
        <w:ind w:left="900" w:firstLine="640"/>
        <w:spacing w:after="0" w:line="275" w:lineRule="auto"/>
        <w:tabs>
          <w:tab w:leader="none" w:pos="2165" w:val="left"/>
        </w:tabs>
        <w:numPr>
          <w:ilvl w:val="0"/>
          <w:numId w:val="248"/>
        </w:numPr>
        <w:rPr>
          <w:rFonts w:ascii="Arial" w:cs="Arial" w:eastAsia="Arial" w:hAnsi="Arial"/>
          <w:sz w:val="18"/>
          <w:szCs w:val="18"/>
          <w:color w:val="010000"/>
        </w:rPr>
      </w:pPr>
      <w:r>
        <w:rPr>
          <w:rFonts w:ascii="Arial" w:cs="Arial" w:eastAsia="Arial" w:hAnsi="Arial"/>
          <w:sz w:val="18"/>
          <w:szCs w:val="18"/>
          <w:color w:val="auto"/>
        </w:rPr>
        <w:t>Each Seller acknowledges that the Consideration Shares will not be issued in a transaction that has been registered under the Securities Act or under any state or foreign securities Laws.</w:t>
      </w:r>
    </w:p>
    <w:p>
      <w:pPr>
        <w:spacing w:after="0" w:line="171"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010000"/>
        </w:rPr>
        <w:t xml:space="preserve">Section 3.28 </w:t>
      </w:r>
      <w:r>
        <w:rPr>
          <w:rFonts w:ascii="Arial" w:cs="Arial" w:eastAsia="Arial" w:hAnsi="Arial"/>
          <w:sz w:val="17"/>
          <w:szCs w:val="17"/>
          <w:u w:val="single" w:color="auto"/>
          <w:color w:val="000000"/>
        </w:rPr>
        <w:t>No Additional Representations or Warranties</w:t>
      </w:r>
      <w:r>
        <w:rPr>
          <w:rFonts w:ascii="Arial" w:cs="Arial" w:eastAsia="Arial" w:hAnsi="Arial"/>
          <w:sz w:val="17"/>
          <w:szCs w:val="17"/>
          <w:color w:val="000000"/>
        </w:rPr>
        <w:t>. Except for the representations and warranties EXPRESSLY contained in this</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Article III</w:t>
      </w:r>
      <w:r>
        <w:rPr>
          <w:rFonts w:ascii="Arial" w:cs="Arial" w:eastAsia="Arial" w:hAnsi="Arial"/>
          <w:sz w:val="17"/>
          <w:szCs w:val="17"/>
          <w:color w:val="000000"/>
        </w:rPr>
        <w:t>, None of sellers, THE COMPANY, any of their respective Affiliates, any of its or their Representatives, or any other Person, has made or shall be deemed to have made any representation or warranty to Buyer, express or implied, at law or in equity, with respect to the company and its subsidiaries, including any representations and warranties as to the accuracy or completeness of any Evaluation Material or as to the future sales, revenue, profitability or success of the company and its subsidiaries, or any representations or warranties arising from statute or otherwise in law, from a course of dealing or a usage of trade. All such other representations and warranties are expressly disclaimed by EACH Seller.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BUYER</w:t>
      </w:r>
    </w:p>
    <w:p>
      <w:pPr>
        <w:spacing w:after="0" w:line="223"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 xml:space="preserve">Except (a) as set forth in the Buyer Disclosure Letter or (b) as disclosed in the Buyer Reports filed with the SEC prior to the date hereof (to the extent the qualifying nature of such disclosure is readily apparent from the content of such Buyer Reports and excluding disclosures referred to in “Forward-Looking Statements”, “Risk Factors” and any other disclosures therein to the extent predictive, cautionary or forward-looking in nature), other than with respect to the representations and warranties set forth in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which shall not be qualified by such Buyer Reports, Buyer represents and warrants to Sellers that all of the statements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as of the date hereof.</w:t>
      </w:r>
    </w:p>
    <w:p>
      <w:pPr>
        <w:spacing w:after="0" w:line="175"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4.01 </w:t>
      </w:r>
      <w:r>
        <w:rPr>
          <w:rFonts w:ascii="Arial" w:cs="Arial" w:eastAsia="Arial" w:hAnsi="Arial"/>
          <w:sz w:val="18"/>
          <w:szCs w:val="18"/>
          <w:u w:val="single" w:color="auto"/>
          <w:color w:val="000000"/>
        </w:rPr>
        <w:t>Organization</w:t>
      </w:r>
      <w:r>
        <w:rPr>
          <w:rFonts w:ascii="Arial" w:cs="Arial" w:eastAsia="Arial" w:hAnsi="Arial"/>
          <w:sz w:val="18"/>
          <w:szCs w:val="18"/>
          <w:color w:val="000000"/>
        </w:rPr>
        <w:t>. Buyer is a Delaware corporation validly existing and in good standing under the laws of the jurisdiction of its</w:t>
      </w:r>
      <w:r>
        <w:rPr>
          <w:rFonts w:ascii="Arial" w:cs="Arial" w:eastAsia="Arial" w:hAnsi="Arial"/>
          <w:sz w:val="18"/>
          <w:szCs w:val="18"/>
          <w:color w:val="010000"/>
        </w:rPr>
        <w:t xml:space="preserve"> </w:t>
      </w:r>
      <w:r>
        <w:rPr>
          <w:rFonts w:ascii="Arial" w:cs="Arial" w:eastAsia="Arial" w:hAnsi="Arial"/>
          <w:sz w:val="18"/>
          <w:szCs w:val="18"/>
          <w:color w:val="000000"/>
        </w:rPr>
        <w:t>formation and has all requisite corporate power and authority to own, lease and operate its properties and to carry on its business as is now being conducted. Buyer is duly qualified or licensed and in good standing to do business as a foreign corporation in each jurisdiction where such qualification is necessary, except for those jurisdictions where failure to be so qualified would not reasonably be expected to have, individually or in the aggregate, a Buyer Material Adverse Effect. Buyer has made available to Sellers correct and complete copies of the Organizational Documents of Buyer as in effect on the date hereof and as of immediately prior to the Closing.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7" w:name="page318"/>
    <w:bookmarkEnd w:id="317"/>
    <w:p>
      <w:pPr>
        <w:ind w:left="1300"/>
        <w:spacing w:after="0"/>
        <w:tabs>
          <w:tab w:leader="none" w:pos="2480" w:val="left"/>
        </w:tabs>
        <w:rPr>
          <w:sz w:val="20"/>
          <w:szCs w:val="20"/>
          <w:color w:val="auto"/>
        </w:rPr>
      </w:pPr>
      <w:r>
        <w:rPr>
          <w:rFonts w:ascii="Arial" w:cs="Arial" w:eastAsia="Arial" w:hAnsi="Arial"/>
          <w:sz w:val="18"/>
          <w:szCs w:val="18"/>
          <w:color w:val="010000"/>
        </w:rPr>
        <w:t>Section 4.02</w:t>
      </w:r>
      <w:r>
        <w:rPr>
          <w:sz w:val="20"/>
          <w:szCs w:val="20"/>
          <w:color w:val="auto"/>
        </w:rPr>
        <w:tab/>
      </w:r>
      <w:r>
        <w:rPr>
          <w:rFonts w:ascii="Arial" w:cs="Arial" w:eastAsia="Arial" w:hAnsi="Arial"/>
          <w:sz w:val="16"/>
          <w:szCs w:val="16"/>
          <w:u w:val="single" w:color="auto"/>
          <w:color w:val="auto"/>
        </w:rPr>
        <w:t>Authorization; Validity of Agreement</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86" w:lineRule="auto"/>
        <w:tabs>
          <w:tab w:leader="none" w:pos="2111" w:val="left"/>
        </w:tabs>
        <w:numPr>
          <w:ilvl w:val="0"/>
          <w:numId w:val="249"/>
        </w:numPr>
        <w:rPr>
          <w:rFonts w:ascii="Arial" w:cs="Arial" w:eastAsia="Arial" w:hAnsi="Arial"/>
          <w:sz w:val="16"/>
          <w:szCs w:val="16"/>
          <w:color w:val="010000"/>
        </w:rPr>
      </w:pPr>
      <w:r>
        <w:rPr>
          <w:rFonts w:ascii="Arial" w:cs="Arial" w:eastAsia="Arial" w:hAnsi="Arial"/>
          <w:sz w:val="16"/>
          <w:szCs w:val="16"/>
          <w:color w:val="auto"/>
        </w:rPr>
        <w:t>Assuming Buyer obtains the Buyer Stockholder Approval, Buyer has the requisite corporate power and authority to execute and deliver, and perform its obligations under, the Transaction Documents to which it is specified to be a party and to consummate the Contemplated Transactions. The execution, delivery and performance by Buyer of the Transaction Documents to which it is specified to be a party, and the consummation by Buyer of the Contemplated Transactions, have been duly authorized by Buyer, and no other corporate proceedings on the part of Buyer are necessary to authorize Buyer’s execution, delivery and performance of any Transaction Document to which it is specified to be a party or the consummation by Buyer of the Contemplated Transactions. This Agreement has been duly executed and delivered by Buyer. Assuming the due and valid authorization, execution and delivery of this Agreement by the other Parties, this Agreement constitutes a legal, valid and binding obligation of Buyer, enforceable against Buyer in accordance with its terms, subject to the Bankruptcy and Equity Exclusion. Assuming the due and valid authorization, execution and delivery thereof by each other party thereto, each other Transaction Document to which Buyer is specified to be a party (when executed and delivered by Buyer) shall constitute a legal, valid and binding obligation of Buyer, enforceable against Buyer in accordance with its terms, subject to the Bankruptcy and Equity Exclusion.</w:t>
      </w:r>
    </w:p>
    <w:p>
      <w:pPr>
        <w:spacing w:after="0" w:line="169" w:lineRule="exact"/>
        <w:rPr>
          <w:sz w:val="20"/>
          <w:szCs w:val="20"/>
          <w:color w:val="auto"/>
        </w:rPr>
      </w:pPr>
    </w:p>
    <w:p>
      <w:pPr>
        <w:jc w:val="both"/>
        <w:ind w:firstLine="1290"/>
        <w:spacing w:after="0" w:line="269" w:lineRule="auto"/>
        <w:rPr>
          <w:sz w:val="20"/>
          <w:szCs w:val="20"/>
          <w:color w:val="auto"/>
        </w:rPr>
      </w:pPr>
      <w:r>
        <w:rPr>
          <w:rFonts w:ascii="Arial" w:cs="Arial" w:eastAsia="Arial" w:hAnsi="Arial"/>
          <w:sz w:val="17"/>
          <w:szCs w:val="17"/>
          <w:color w:val="010000"/>
        </w:rPr>
        <w:t xml:space="preserve">Section 4.03 </w:t>
      </w:r>
      <w:r>
        <w:rPr>
          <w:rFonts w:ascii="Arial" w:cs="Arial" w:eastAsia="Arial" w:hAnsi="Arial"/>
          <w:sz w:val="17"/>
          <w:szCs w:val="17"/>
          <w:u w:val="single" w:color="auto"/>
          <w:color w:val="000000"/>
        </w:rPr>
        <w:t>Consents and Approvals; No Violations</w:t>
      </w:r>
      <w:r>
        <w:rPr>
          <w:rFonts w:ascii="Arial" w:cs="Arial" w:eastAsia="Arial" w:hAnsi="Arial"/>
          <w:sz w:val="17"/>
          <w:szCs w:val="17"/>
          <w:color w:val="000000"/>
        </w:rPr>
        <w:t>. Neither the execution, delivery or performance by Buyer of any Transaction</w:t>
      </w:r>
      <w:r>
        <w:rPr>
          <w:rFonts w:ascii="Arial" w:cs="Arial" w:eastAsia="Arial" w:hAnsi="Arial"/>
          <w:sz w:val="17"/>
          <w:szCs w:val="17"/>
          <w:color w:val="010000"/>
        </w:rPr>
        <w:t xml:space="preserve"> </w:t>
      </w:r>
      <w:r>
        <w:rPr>
          <w:rFonts w:ascii="Arial" w:cs="Arial" w:eastAsia="Arial" w:hAnsi="Arial"/>
          <w:sz w:val="17"/>
          <w:szCs w:val="17"/>
          <w:color w:val="000000"/>
        </w:rPr>
        <w:t xml:space="preserve">Document to which it is specified to be a party, nor the consummation by Buyer of the Contemplated Transactions, will (a)conflict with or violate any provision of any Organizational Documents of Buyer, (b)result in a breach of, or constitute (with or without due notice or lapse of time or both) a default or give rise to any right of termination, cancellation or acceleration under, any of the terms, conditions or provisions of any material note, bond, mortgage, indenture, lease, license, contract, agreement or other instrument or obligation to which Buyer is a party or by which Buyer or any of its properties or assets may be bound, (c)violate any material Laws applicable to Buyer or any of its material properties or assets, or (d)except for any required filings pursuant to the Securities Act, Exchange Act or NASDAQ, require on the part of Buyer any filing or registration with, notification to, or authorization, consent or approval of, any Governmental Authority or Card Association, except, in the cases of clauses (b) through (d) of this </w:t>
      </w:r>
      <w:r>
        <w:rPr>
          <w:rFonts w:ascii="Arial" w:cs="Arial" w:eastAsia="Arial" w:hAnsi="Arial"/>
          <w:sz w:val="17"/>
          <w:szCs w:val="17"/>
          <w:u w:val="single" w:color="auto"/>
          <w:color w:val="000000"/>
        </w:rPr>
        <w:t>Section 4.03</w:t>
      </w:r>
      <w:r>
        <w:rPr>
          <w:rFonts w:ascii="Arial" w:cs="Arial" w:eastAsia="Arial" w:hAnsi="Arial"/>
          <w:sz w:val="17"/>
          <w:szCs w:val="17"/>
          <w:color w:val="000000"/>
        </w:rPr>
        <w:t>, as would not reasonably be expected to have, individually or in the aggregate, a Buyer Material Adverse Effect.</w:t>
      </w:r>
    </w:p>
    <w:p>
      <w:pPr>
        <w:spacing w:after="0" w:line="179"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4.04 </w:t>
      </w:r>
      <w:r>
        <w:rPr>
          <w:rFonts w:ascii="Arial" w:cs="Arial" w:eastAsia="Arial" w:hAnsi="Arial"/>
          <w:sz w:val="18"/>
          <w:szCs w:val="18"/>
          <w:u w:val="single" w:color="auto"/>
          <w:color w:val="000000"/>
        </w:rPr>
        <w:t>Proceedings; Orders</w:t>
      </w:r>
      <w:r>
        <w:rPr>
          <w:rFonts w:ascii="Arial" w:cs="Arial" w:eastAsia="Arial" w:hAnsi="Arial"/>
          <w:sz w:val="18"/>
          <w:szCs w:val="18"/>
          <w:color w:val="000000"/>
        </w:rPr>
        <w:t>. There are no Proceedings or investigations by any Governmental Authority pending or, to the</w:t>
      </w:r>
      <w:r>
        <w:rPr>
          <w:rFonts w:ascii="Arial" w:cs="Arial" w:eastAsia="Arial" w:hAnsi="Arial"/>
          <w:sz w:val="18"/>
          <w:szCs w:val="18"/>
          <w:color w:val="010000"/>
        </w:rPr>
        <w:t xml:space="preserve"> </w:t>
      </w:r>
      <w:r>
        <w:rPr>
          <w:rFonts w:ascii="Arial" w:cs="Arial" w:eastAsia="Arial" w:hAnsi="Arial"/>
          <w:sz w:val="18"/>
          <w:szCs w:val="18"/>
          <w:color w:val="000000"/>
        </w:rPr>
        <w:t>Knowledge of Buyer, threatened, against Buyer, nor are there any Orders naming Buyer.</w:t>
      </w:r>
    </w:p>
    <w:p>
      <w:pPr>
        <w:spacing w:after="0" w:line="17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4.05</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70" w:lineRule="auto"/>
        <w:tabs>
          <w:tab w:leader="none" w:pos="2165" w:val="left"/>
        </w:tabs>
        <w:numPr>
          <w:ilvl w:val="0"/>
          <w:numId w:val="250"/>
        </w:numPr>
        <w:rPr>
          <w:rFonts w:ascii="Arial" w:cs="Arial" w:eastAsia="Arial" w:hAnsi="Arial"/>
          <w:sz w:val="17"/>
          <w:szCs w:val="17"/>
          <w:color w:val="010000"/>
        </w:rPr>
      </w:pPr>
      <w:r>
        <w:rPr>
          <w:rFonts w:ascii="Arial" w:cs="Arial" w:eastAsia="Arial" w:hAnsi="Arial"/>
          <w:sz w:val="17"/>
          <w:szCs w:val="17"/>
          <w:color w:val="auto"/>
        </w:rPr>
        <w:t>The authorized capital stock of Buyer consists of 30,000,000 shares of common stock, $0.001 par value per share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and 1,000,000 shares of preferred stock, $0.001 par value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 of which 7,058,743 shares of Common Stock (the “</w:t>
      </w:r>
      <w:r>
        <w:rPr>
          <w:rFonts w:ascii="Arial" w:cs="Arial" w:eastAsia="Arial" w:hAnsi="Arial"/>
          <w:sz w:val="17"/>
          <w:szCs w:val="17"/>
          <w:u w:val="single" w:color="auto"/>
          <w:color w:val="auto"/>
        </w:rPr>
        <w:t>Buyer Common Shares</w:t>
      </w:r>
      <w:r>
        <w:rPr>
          <w:rFonts w:ascii="Arial" w:cs="Arial" w:eastAsia="Arial" w:hAnsi="Arial"/>
          <w:sz w:val="17"/>
          <w:szCs w:val="17"/>
          <w:color w:val="auto"/>
        </w:rPr>
        <w:t>”) and zero (0) shares of Preferred Stock (the “</w:t>
      </w:r>
      <w:r>
        <w:rPr>
          <w:rFonts w:ascii="Arial" w:cs="Arial" w:eastAsia="Arial" w:hAnsi="Arial"/>
          <w:sz w:val="17"/>
          <w:szCs w:val="17"/>
          <w:u w:val="single" w:color="auto"/>
          <w:color w:val="auto"/>
        </w:rPr>
        <w:t>Buyer Preferred Shares</w:t>
      </w:r>
      <w:r>
        <w:rPr>
          <w:rFonts w:ascii="Arial" w:cs="Arial" w:eastAsia="Arial" w:hAnsi="Arial"/>
          <w:sz w:val="17"/>
          <w:szCs w:val="17"/>
          <w:color w:val="auto"/>
        </w:rPr>
        <w:t>” and together with the Buyer Common Shares, the “</w:t>
      </w:r>
      <w:r>
        <w:rPr>
          <w:rFonts w:ascii="Arial" w:cs="Arial" w:eastAsia="Arial" w:hAnsi="Arial"/>
          <w:sz w:val="17"/>
          <w:szCs w:val="17"/>
          <w:u w:val="single" w:color="auto"/>
          <w:color w:val="auto"/>
        </w:rPr>
        <w:t>Buyer Issued Shares</w:t>
      </w:r>
      <w:r>
        <w:rPr>
          <w:rFonts w:ascii="Arial" w:cs="Arial" w:eastAsia="Arial" w:hAnsi="Arial"/>
          <w:sz w:val="17"/>
          <w:szCs w:val="17"/>
          <w:color w:val="auto"/>
        </w:rPr>
        <w:t>”) are issued and outstanding as of the date hereof and as of immediately prior to the Closing. All of the Buyer Issued Shares (i) have been duly authorized and validly issued, (ii) are fully paid and nonassessable, (iii) were issued in compliance with all applicable state and federal securities Laws, (iv) are not subject to any Liens (other than Permitted Liens), (v) were not issued in violation of any Lien, purchase option, call option, right of first refusal, preemptive rights, subscription right or any similar right under applicable Law, the Buyer’s Organizational Documents or any Contract to which Buyer is a party or by which it is bound.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18" w:name="page319"/>
    <w:bookmarkEnd w:id="318"/>
    <w:p>
      <w:pPr>
        <w:jc w:val="both"/>
        <w:ind w:left="-300" w:firstLine="640"/>
        <w:spacing w:after="0" w:line="270" w:lineRule="auto"/>
        <w:tabs>
          <w:tab w:leader="none" w:pos="962" w:val="left"/>
        </w:tabs>
        <w:numPr>
          <w:ilvl w:val="0"/>
          <w:numId w:val="251"/>
        </w:numPr>
        <w:rPr>
          <w:rFonts w:ascii="Arial" w:cs="Arial" w:eastAsia="Arial" w:hAnsi="Arial"/>
          <w:sz w:val="17"/>
          <w:szCs w:val="17"/>
          <w:color w:val="010000"/>
        </w:rPr>
      </w:pPr>
      <w:r>
        <w:rPr>
          <w:rFonts w:ascii="Arial" w:cs="Arial" w:eastAsia="Arial" w:hAnsi="Arial"/>
          <w:sz w:val="17"/>
          <w:szCs w:val="17"/>
          <w:color w:val="auto"/>
        </w:rPr>
        <w:t>The Buyer Public Warrants are, and after giving effect to the Contemplated Transactions, will be, exercisable for one share of Common Stock at an exercise price of $11.50 per share in accordance with Buyer’s Organizational Documents. As of the date hereof and as of immediately prior to the Closing, 5,310,109 Buyer Public Warrants and 421,107 Buyer Private Warrants are outstanding. No Buyer Warrants are exercisable until 30 days following the Closing. All of the Buyer Warrants (i) are valid and binding obligations of Buyer and enforceable against Buyer in accordance with their respective terms, subject to the Bankruptcy and Equity Exclusion, (iii) were issued in compliance with all applicable state and federal securities Laws, (iv) are not subject to any Liens (other than Permitted Liens), (v) were not issued in violation of any Lien, purchase option, call option, right of first refusal, preemptive right, subscription right or any similar right under applicable Law, the Buyer’s Organizational Documents or any Contract to which Buyer is a party or by which it is bound.</w:t>
      </w:r>
    </w:p>
    <w:p>
      <w:pPr>
        <w:spacing w:after="0" w:line="176" w:lineRule="exact"/>
        <w:rPr>
          <w:rFonts w:ascii="Arial" w:cs="Arial" w:eastAsia="Arial" w:hAnsi="Arial"/>
          <w:sz w:val="17"/>
          <w:szCs w:val="17"/>
          <w:color w:val="010000"/>
        </w:rPr>
      </w:pPr>
    </w:p>
    <w:p>
      <w:pPr>
        <w:jc w:val="both"/>
        <w:ind w:left="-300" w:firstLine="640"/>
        <w:spacing w:after="0" w:line="268" w:lineRule="auto"/>
        <w:tabs>
          <w:tab w:leader="none" w:pos="992" w:val="left"/>
        </w:tabs>
        <w:numPr>
          <w:ilvl w:val="0"/>
          <w:numId w:val="251"/>
        </w:numPr>
        <w:rPr>
          <w:rFonts w:ascii="Arial" w:cs="Arial" w:eastAsia="Arial" w:hAnsi="Arial"/>
          <w:sz w:val="17"/>
          <w:szCs w:val="17"/>
          <w:color w:val="010000"/>
        </w:rPr>
      </w:pPr>
      <w:r>
        <w:rPr>
          <w:rFonts w:ascii="Arial" w:cs="Arial" w:eastAsia="Arial" w:hAnsi="Arial"/>
          <w:sz w:val="17"/>
          <w:szCs w:val="17"/>
          <w:color w:val="auto"/>
        </w:rPr>
        <w:t>Other than the Buyer Issued Shares and the Buyer Warrants, there are no other Equity Interests of Buyer authorized, issued, reserved for issuance or outstanding. Except as expressly contemplated under or set forth in this Agreement and Buyer’s Organizational Documents, Buyer has not (i) granted any outstanding options, warrants, rights or other securities convertible into, or exchangeable or exercisable for, any Equity Interests of Buyer; (ii) entered into any Contracts relating to the issuance, sale, transfer, voting or registration of any Equity Interests of Buyer, or options, warrants, rights or other securities convertible into, or exchangeable or exercisable for, any of the foregoing; or (iii) granted or authorized any stock appreciation, phantom stock, profit participation or similar rights (in each case as to which Buyer has any outstanding liabilities or obligations). Except for the rights of holders of Buyer Common Shares to convert their Buyer Common Shares into cash held in the Trust Account (all of which rights will expire at Closing), there are no Contracts to which Buyer is a party or by which it is bound to repurchase, redeem or otherwise acquire any Equity Interests of Buyer. There are no Contracts to which Buyer is a party or by which it is bound to vote or dispose of any Equity Interest of Buyer and no revocable or irrevocable proxies or voting agreements with respect to any Equity Interests of Buyer.</w:t>
      </w:r>
    </w:p>
    <w:p>
      <w:pPr>
        <w:spacing w:after="0" w:line="179" w:lineRule="exact"/>
        <w:rPr>
          <w:rFonts w:ascii="Arial" w:cs="Arial" w:eastAsia="Arial" w:hAnsi="Arial"/>
          <w:sz w:val="17"/>
          <w:szCs w:val="17"/>
          <w:color w:val="010000"/>
        </w:rPr>
      </w:pPr>
    </w:p>
    <w:p>
      <w:pPr>
        <w:ind w:left="860" w:hanging="520"/>
        <w:spacing w:after="0"/>
        <w:tabs>
          <w:tab w:leader="none" w:pos="860" w:val="left"/>
        </w:tabs>
        <w:numPr>
          <w:ilvl w:val="0"/>
          <w:numId w:val="251"/>
        </w:numPr>
        <w:rPr>
          <w:rFonts w:ascii="Arial" w:cs="Arial" w:eastAsia="Arial" w:hAnsi="Arial"/>
          <w:sz w:val="18"/>
          <w:szCs w:val="18"/>
          <w:color w:val="010000"/>
        </w:rPr>
      </w:pPr>
      <w:r>
        <w:rPr>
          <w:rFonts w:ascii="Arial" w:cs="Arial" w:eastAsia="Arial" w:hAnsi="Arial"/>
          <w:sz w:val="18"/>
          <w:szCs w:val="18"/>
          <w:color w:val="auto"/>
        </w:rPr>
        <w:t>Buyer does not own, directly or indirectly, any Equity Securities of any other Person.</w:t>
      </w:r>
    </w:p>
    <w:p>
      <w:pPr>
        <w:spacing w:after="0" w:line="223" w:lineRule="exact"/>
        <w:rPr>
          <w:rFonts w:ascii="Arial" w:cs="Arial" w:eastAsia="Arial" w:hAnsi="Arial"/>
          <w:sz w:val="18"/>
          <w:szCs w:val="18"/>
          <w:color w:val="010000"/>
        </w:rPr>
      </w:pPr>
    </w:p>
    <w:p>
      <w:pPr>
        <w:jc w:val="both"/>
        <w:ind w:left="-300" w:firstLine="640"/>
        <w:spacing w:after="0" w:line="274" w:lineRule="auto"/>
        <w:tabs>
          <w:tab w:leader="none" w:pos="871" w:val="left"/>
        </w:tabs>
        <w:numPr>
          <w:ilvl w:val="0"/>
          <w:numId w:val="251"/>
        </w:numPr>
        <w:rPr>
          <w:rFonts w:ascii="Arial" w:cs="Arial" w:eastAsia="Arial" w:hAnsi="Arial"/>
          <w:sz w:val="17"/>
          <w:szCs w:val="17"/>
          <w:color w:val="010000"/>
        </w:rPr>
      </w:pPr>
      <w:r>
        <w:rPr>
          <w:rFonts w:ascii="Arial" w:cs="Arial" w:eastAsia="Arial" w:hAnsi="Arial"/>
          <w:sz w:val="17"/>
          <w:szCs w:val="17"/>
          <w:color w:val="auto"/>
        </w:rPr>
        <w:t>The Consideration Shares, when and if issued, shall be (i) duly authorized, validly issued, fully paid and nonassessable, (ii) issued in compliance with all applicable state and federal securities Laws, (iii) not subject to any Liens (other than Permitted Liens), (iv) not issued in violation of any lien, purchase option, call option, right of first refusal, preemptive right, subscription right or any similar right under applicable Law, Buyer’s Organizational Documents or any Contract to which Buyer is a party or by which it is bound, and (v) an amount of Equity Securities of Buyer sufficient to constitute “control” of Buyer within the meaning of Code Section 368(c).</w:t>
      </w:r>
    </w:p>
    <w:p>
      <w:pPr>
        <w:spacing w:after="0" w:line="39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19" w:name="page320"/>
    <w:bookmarkEnd w:id="319"/>
    <w:p>
      <w:pPr>
        <w:jc w:val="both"/>
        <w:ind w:firstLine="1290"/>
        <w:spacing w:after="0" w:line="268" w:lineRule="auto"/>
        <w:rPr>
          <w:sz w:val="20"/>
          <w:szCs w:val="20"/>
          <w:color w:val="auto"/>
        </w:rPr>
      </w:pPr>
      <w:r>
        <w:rPr>
          <w:rFonts w:ascii="Arial" w:cs="Arial" w:eastAsia="Arial" w:hAnsi="Arial"/>
          <w:sz w:val="17"/>
          <w:szCs w:val="17"/>
          <w:color w:val="010000"/>
        </w:rPr>
        <w:t xml:space="preserve">Section 4.06 </w:t>
      </w:r>
      <w:r>
        <w:rPr>
          <w:rFonts w:ascii="Arial" w:cs="Arial" w:eastAsia="Arial" w:hAnsi="Arial"/>
          <w:sz w:val="17"/>
          <w:szCs w:val="17"/>
          <w:u w:val="single" w:color="auto"/>
          <w:color w:val="000000"/>
        </w:rPr>
        <w:t>Trust Account</w:t>
      </w:r>
      <w:r>
        <w:rPr>
          <w:rFonts w:ascii="Arial" w:cs="Arial" w:eastAsia="Arial" w:hAnsi="Arial"/>
          <w:sz w:val="17"/>
          <w:szCs w:val="17"/>
          <w:color w:val="000000"/>
        </w:rPr>
        <w:t>. Buyer has, and will have prior to giving effect to the Buyer Stockholder Redemptions, at least $55,130,000</w:t>
      </w:r>
      <w:r>
        <w:rPr>
          <w:rFonts w:ascii="Arial" w:cs="Arial" w:eastAsia="Arial" w:hAnsi="Arial"/>
          <w:sz w:val="17"/>
          <w:szCs w:val="17"/>
          <w:color w:val="010000"/>
        </w:rPr>
        <w:t xml:space="preserve"> </w:t>
      </w:r>
      <w:r>
        <w:rPr>
          <w:rFonts w:ascii="Arial" w:cs="Arial" w:eastAsia="Arial" w:hAnsi="Arial"/>
          <w:sz w:val="17"/>
          <w:szCs w:val="17"/>
          <w:color w:val="000000"/>
        </w:rPr>
        <w:t>in the trust account established by Buyer for the benefit of its public stockholders (the “</w:t>
      </w:r>
      <w:r>
        <w:rPr>
          <w:rFonts w:ascii="Arial" w:cs="Arial" w:eastAsia="Arial" w:hAnsi="Arial"/>
          <w:sz w:val="17"/>
          <w:szCs w:val="17"/>
          <w:u w:val="single" w:color="auto"/>
          <w:color w:val="000000"/>
        </w:rPr>
        <w:t>Trust Account</w:t>
      </w:r>
      <w:r>
        <w:rPr>
          <w:rFonts w:ascii="Arial" w:cs="Arial" w:eastAsia="Arial" w:hAnsi="Arial"/>
          <w:sz w:val="17"/>
          <w:szCs w:val="17"/>
          <w:color w:val="000000"/>
        </w:rPr>
        <w:t>”), which monies are invested in “government securities” (as such term is defined in the Investment Company Act of 1940, as amended), and held in trust by American Stock Transfer &amp; Trust Company (the “</w:t>
      </w:r>
      <w:r>
        <w:rPr>
          <w:rFonts w:ascii="Arial" w:cs="Arial" w:eastAsia="Arial" w:hAnsi="Arial"/>
          <w:sz w:val="17"/>
          <w:szCs w:val="17"/>
          <w:u w:val="single" w:color="auto"/>
          <w:color w:val="000000"/>
        </w:rPr>
        <w:t>Trustee</w:t>
      </w:r>
      <w:r>
        <w:rPr>
          <w:rFonts w:ascii="Arial" w:cs="Arial" w:eastAsia="Arial" w:hAnsi="Arial"/>
          <w:sz w:val="17"/>
          <w:szCs w:val="17"/>
          <w:color w:val="000000"/>
        </w:rPr>
        <w:t>”) pursuant to the Investment Management Trust Agreement, dated as of September 13, 2016, by and between Buyer and Trustee (the “</w:t>
      </w:r>
      <w:r>
        <w:rPr>
          <w:rFonts w:ascii="Arial" w:cs="Arial" w:eastAsia="Arial" w:hAnsi="Arial"/>
          <w:sz w:val="17"/>
          <w:szCs w:val="17"/>
          <w:u w:val="single" w:color="auto"/>
          <w:color w:val="000000"/>
        </w:rPr>
        <w:t>Trust Agreement</w:t>
      </w:r>
      <w:r>
        <w:rPr>
          <w:rFonts w:ascii="Arial" w:cs="Arial" w:eastAsia="Arial" w:hAnsi="Arial"/>
          <w:sz w:val="17"/>
          <w:szCs w:val="17"/>
          <w:color w:val="000000"/>
        </w:rPr>
        <w:t>”). The Trust Agreement is valid and in full force and effect and enforceable in accordance with its terms, subject to the Bankruptcy and Equity Exclusion, and has not been amended, supplemented or modified since the execution hereof. Buyer has complied in all material respects with the terms of the Trust Agreement and is not in breach of or in default under the Trust Agreement. There are no separate Contracts, side letters, or other arrangements or understandings (express or implied) that would cause the description of the Trust Agreement set forth in the Buyer Reports to be inaccurate or that would entitle any Person (other than the Electing Stockholders) to any portion of the proceeds in the Trust Account. Prior to the Closing, none of the funds held in the Trust Account may be released, other than to the Electing Stockholders. There are no Proceedings pending or, to the Knowledge of Buyer, threatened, with respect to the Trust Account or the Trust Agreement.</w:t>
      </w:r>
    </w:p>
    <w:p>
      <w:pPr>
        <w:spacing w:after="0" w:line="180" w:lineRule="exact"/>
        <w:rPr>
          <w:sz w:val="20"/>
          <w:szCs w:val="20"/>
          <w:color w:val="auto"/>
        </w:rPr>
      </w:pPr>
    </w:p>
    <w:p>
      <w:pPr>
        <w:jc w:val="both"/>
        <w:ind w:firstLine="1290"/>
        <w:spacing w:after="0" w:line="269" w:lineRule="auto"/>
        <w:rPr>
          <w:sz w:val="20"/>
          <w:szCs w:val="20"/>
          <w:color w:val="auto"/>
        </w:rPr>
      </w:pPr>
      <w:r>
        <w:rPr>
          <w:rFonts w:ascii="Arial" w:cs="Arial" w:eastAsia="Arial" w:hAnsi="Arial"/>
          <w:sz w:val="17"/>
          <w:szCs w:val="17"/>
          <w:color w:val="010000"/>
        </w:rPr>
        <w:t xml:space="preserve">Section 4.07 </w:t>
      </w:r>
      <w:r>
        <w:rPr>
          <w:rFonts w:ascii="Arial" w:cs="Arial" w:eastAsia="Arial" w:hAnsi="Arial"/>
          <w:sz w:val="17"/>
          <w:szCs w:val="17"/>
          <w:u w:val="single" w:color="auto"/>
          <w:color w:val="000000"/>
        </w:rPr>
        <w:t>Listing</w:t>
      </w:r>
      <w:r>
        <w:rPr>
          <w:rFonts w:ascii="Arial" w:cs="Arial" w:eastAsia="Arial" w:hAnsi="Arial"/>
          <w:sz w:val="17"/>
          <w:szCs w:val="17"/>
          <w:color w:val="000000"/>
        </w:rPr>
        <w:t>. The issued and outstanding Buyer Units are registered pursuant to Section 12(b) of the Exchange Act and are listed</w:t>
      </w:r>
      <w:r>
        <w:rPr>
          <w:rFonts w:ascii="Arial" w:cs="Arial" w:eastAsia="Arial" w:hAnsi="Arial"/>
          <w:sz w:val="17"/>
          <w:szCs w:val="17"/>
          <w:color w:val="010000"/>
        </w:rPr>
        <w:t xml:space="preserve"> </w:t>
      </w:r>
      <w:r>
        <w:rPr>
          <w:rFonts w:ascii="Arial" w:cs="Arial" w:eastAsia="Arial" w:hAnsi="Arial"/>
          <w:sz w:val="17"/>
          <w:szCs w:val="17"/>
          <w:color w:val="000000"/>
        </w:rPr>
        <w:t>for trading on NASDAQ under the symbol “MACQU”. The issued and outstanding Buyer Common Shares are registered pursuant to Section 12(b) of the Exchange Act and are listed for trading on NASDAQ under the symbol “MACQ”. The issued and outstanding Buyer Public Warrants are registered pursuant to Section 12(b) of the Exchange Act and are listed for trading on NASDAQ under the symbol “MACQW”. Buyer is in compliance in all material respects with the applicable listing and corporate governance rules and regulations of NASDAQ, including the requirements for continued listing of the Buyer Units, Buyer Common Shares and Buyer Public Warrants on NASDAQ, and, there are no Proceedings pending or, to the Knowledge of Buyer, threatened against Buyer with respect thereto. Buyer has not received any notice from NASDAQ or the SEC, in each case, regarding the deregistration or delisting of the Buyer Units, the Buyer Common Shares or the Buyer Public Warrants. Neither Buyer nor any of its Affiliates has taken any action in an attempt to deregister the Buyer Units, the Buyer Common Shares or the Buyer Public Warrants under the Exchange Act.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0" w:name="page321"/>
    <w:bookmarkEnd w:id="320"/>
    <w:p>
      <w:pPr>
        <w:ind w:left="100"/>
        <w:spacing w:after="0"/>
        <w:tabs>
          <w:tab w:leader="none" w:pos="1280" w:val="left"/>
        </w:tabs>
        <w:rPr>
          <w:sz w:val="20"/>
          <w:szCs w:val="20"/>
          <w:color w:val="auto"/>
        </w:rPr>
      </w:pPr>
      <w:r>
        <w:rPr>
          <w:rFonts w:ascii="Arial" w:cs="Arial" w:eastAsia="Arial" w:hAnsi="Arial"/>
          <w:sz w:val="18"/>
          <w:szCs w:val="18"/>
          <w:color w:val="010000"/>
        </w:rPr>
        <w:t>Section 4.08</w:t>
      </w:r>
      <w:r>
        <w:rPr>
          <w:sz w:val="20"/>
          <w:szCs w:val="20"/>
          <w:color w:val="auto"/>
        </w:rPr>
        <w:tab/>
      </w:r>
      <w:r>
        <w:rPr>
          <w:rFonts w:ascii="Arial" w:cs="Arial" w:eastAsia="Arial" w:hAnsi="Arial"/>
          <w:sz w:val="16"/>
          <w:szCs w:val="16"/>
          <w:u w:val="single" w:color="auto"/>
          <w:color w:val="auto"/>
        </w:rPr>
        <w:t>Buyer Reports; Financial Statements</w:t>
      </w:r>
      <w:r>
        <w:rPr>
          <w:rFonts w:ascii="Arial" w:cs="Arial" w:eastAsia="Arial" w:hAnsi="Arial"/>
          <w:sz w:val="16"/>
          <w:szCs w:val="16"/>
          <w:color w:val="auto"/>
        </w:rPr>
        <w:t>.</w:t>
      </w:r>
    </w:p>
    <w:p>
      <w:pPr>
        <w:spacing w:after="0" w:line="223" w:lineRule="exact"/>
        <w:rPr>
          <w:sz w:val="20"/>
          <w:szCs w:val="20"/>
          <w:color w:val="auto"/>
        </w:rPr>
      </w:pPr>
    </w:p>
    <w:p>
      <w:pPr>
        <w:jc w:val="both"/>
        <w:ind w:left="-300" w:firstLine="640"/>
        <w:spacing w:after="0" w:line="267" w:lineRule="auto"/>
        <w:tabs>
          <w:tab w:leader="none" w:pos="965" w:val="left"/>
        </w:tabs>
        <w:numPr>
          <w:ilvl w:val="0"/>
          <w:numId w:val="252"/>
        </w:numPr>
        <w:rPr>
          <w:rFonts w:ascii="Arial" w:cs="Arial" w:eastAsia="Arial" w:hAnsi="Arial"/>
          <w:sz w:val="17"/>
          <w:szCs w:val="17"/>
          <w:color w:val="010000"/>
        </w:rPr>
      </w:pPr>
      <w:r>
        <w:rPr>
          <w:rFonts w:ascii="Arial" w:cs="Arial" w:eastAsia="Arial" w:hAnsi="Arial"/>
          <w:sz w:val="17"/>
          <w:szCs w:val="17"/>
          <w:color w:val="auto"/>
        </w:rPr>
        <w:t>Buyer has filed or furnished, as applicable, on a timely basis, all forms, statements, certifications, reports, schedules, proxies, registrations and other documents required to be filed or furnished by Buyer with the SEC pursuant to the SEC Guidance, as applicable, since the date of formation of Buyer under the Laws of the State of Delaware (the “</w:t>
      </w:r>
      <w:r>
        <w:rPr>
          <w:rFonts w:ascii="Arial" w:cs="Arial" w:eastAsia="Arial" w:hAnsi="Arial"/>
          <w:sz w:val="17"/>
          <w:szCs w:val="17"/>
          <w:u w:val="single" w:color="auto"/>
          <w:color w:val="auto"/>
        </w:rPr>
        <w:t>Formation Date</w:t>
      </w:r>
      <w:r>
        <w:rPr>
          <w:rFonts w:ascii="Arial" w:cs="Arial" w:eastAsia="Arial" w:hAnsi="Arial"/>
          <w:sz w:val="17"/>
          <w:szCs w:val="17"/>
          <w:color w:val="auto"/>
        </w:rPr>
        <w:t>”), and all such forms, statements, certifications, reports, schedules, proxies, registrations and other documents required to be filed subsequent to the date hereof will be timely filed (all of the foregoing forms, statements, certifications, reports, schedules, proxies, registrations and other documents, together with any amendments, restatements or supplements thereto, and all exhibits thereto and documents incorporated therein by reference, the “</w:t>
      </w:r>
      <w:r>
        <w:rPr>
          <w:rFonts w:ascii="Arial" w:cs="Arial" w:eastAsia="Arial" w:hAnsi="Arial"/>
          <w:sz w:val="17"/>
          <w:szCs w:val="17"/>
          <w:u w:val="single" w:color="auto"/>
          <w:color w:val="auto"/>
        </w:rPr>
        <w:t>Buyer Reports</w:t>
      </w:r>
      <w:r>
        <w:rPr>
          <w:rFonts w:ascii="Arial" w:cs="Arial" w:eastAsia="Arial" w:hAnsi="Arial"/>
          <w:sz w:val="17"/>
          <w:szCs w:val="17"/>
          <w:color w:val="auto"/>
        </w:rPr>
        <w:t>”). Each of the Buyer Reports, at the time of its filing or being furnished, complied, or, if not yet filed or furnished, will comply with the applicable requirements of the SEC Guidance, as applicable, and the Sarbanes-Oxley Act of 2002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 and any rules and regulations promulgated thereunder applicable to the Buyer Reports. As of their respective dates, the Buyer Reports filed or furnished to the SEC since the Formation Date did not, and any Buyer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w:t>
      </w:r>
    </w:p>
    <w:p>
      <w:pPr>
        <w:spacing w:after="0" w:line="186" w:lineRule="exact"/>
        <w:rPr>
          <w:rFonts w:ascii="Arial" w:cs="Arial" w:eastAsia="Arial" w:hAnsi="Arial"/>
          <w:sz w:val="17"/>
          <w:szCs w:val="17"/>
          <w:color w:val="010000"/>
        </w:rPr>
      </w:pPr>
    </w:p>
    <w:p>
      <w:pPr>
        <w:ind w:left="-300" w:firstLine="640"/>
        <w:spacing w:after="0" w:line="275" w:lineRule="auto"/>
        <w:tabs>
          <w:tab w:leader="none" w:pos="975" w:val="left"/>
        </w:tabs>
        <w:numPr>
          <w:ilvl w:val="0"/>
          <w:numId w:val="252"/>
        </w:numPr>
        <w:rPr>
          <w:rFonts w:ascii="Arial" w:cs="Arial" w:eastAsia="Arial" w:hAnsi="Arial"/>
          <w:sz w:val="18"/>
          <w:szCs w:val="18"/>
          <w:color w:val="010000"/>
        </w:rPr>
      </w:pPr>
      <w:r>
        <w:rPr>
          <w:rFonts w:ascii="Arial" w:cs="Arial" w:eastAsia="Arial" w:hAnsi="Arial"/>
          <w:sz w:val="18"/>
          <w:szCs w:val="18"/>
          <w:color w:val="auto"/>
        </w:rPr>
        <w:t>The Buyer Units, the Buyer Common Shares and the Buyer Public Warrants constitute the only outstanding classes of Equity Securities of Buyer registered under the Exchange Act.</w:t>
      </w:r>
    </w:p>
    <w:p>
      <w:pPr>
        <w:spacing w:after="0" w:line="170" w:lineRule="exact"/>
        <w:rPr>
          <w:rFonts w:ascii="Arial" w:cs="Arial" w:eastAsia="Arial" w:hAnsi="Arial"/>
          <w:sz w:val="18"/>
          <w:szCs w:val="18"/>
          <w:color w:val="010000"/>
        </w:rPr>
      </w:pPr>
    </w:p>
    <w:p>
      <w:pPr>
        <w:jc w:val="both"/>
        <w:ind w:left="-300" w:firstLine="640"/>
        <w:spacing w:after="0" w:line="255" w:lineRule="auto"/>
        <w:tabs>
          <w:tab w:leader="none" w:pos="925" w:val="left"/>
        </w:tabs>
        <w:numPr>
          <w:ilvl w:val="0"/>
          <w:numId w:val="252"/>
        </w:numPr>
        <w:rPr>
          <w:rFonts w:ascii="Arial" w:cs="Arial" w:eastAsia="Arial" w:hAnsi="Arial"/>
          <w:sz w:val="18"/>
          <w:szCs w:val="18"/>
          <w:color w:val="010000"/>
        </w:rPr>
      </w:pPr>
      <w:r>
        <w:rPr>
          <w:rFonts w:ascii="Arial" w:cs="Arial" w:eastAsia="Arial" w:hAnsi="Arial"/>
          <w:sz w:val="18"/>
          <w:szCs w:val="18"/>
          <w:color w:val="auto"/>
        </w:rPr>
        <w:t>Buyer has made available to Sellers all material correspondence between the SEC or any other Governmental Authority, on the one hand, and Buyer, on the other hand, since the Formation Date. There are no outstanding or unresolved comments from the SEC’s staff with respect to any of the Buyer Reports. To the Knowledge of Buyer, (i) none of the Buyer Reports is the subject of ongoing SEC review or outstanding SEC comment and (ii) neither the SEC nor any other Governmental Authority is conducting any investigation or review of any Buyer Report.</w:t>
      </w:r>
    </w:p>
    <w:p>
      <w:pPr>
        <w:spacing w:after="0" w:line="190" w:lineRule="exact"/>
        <w:rPr>
          <w:rFonts w:ascii="Arial" w:cs="Arial" w:eastAsia="Arial" w:hAnsi="Arial"/>
          <w:sz w:val="18"/>
          <w:szCs w:val="18"/>
          <w:color w:val="010000"/>
        </w:rPr>
      </w:pPr>
    </w:p>
    <w:p>
      <w:pPr>
        <w:jc w:val="both"/>
        <w:ind w:left="-300" w:firstLine="640"/>
        <w:spacing w:after="0" w:line="285" w:lineRule="auto"/>
        <w:tabs>
          <w:tab w:leader="none" w:pos="1029" w:val="left"/>
        </w:tabs>
        <w:numPr>
          <w:ilvl w:val="0"/>
          <w:numId w:val="252"/>
        </w:numPr>
        <w:rPr>
          <w:rFonts w:ascii="Arial" w:cs="Arial" w:eastAsia="Arial" w:hAnsi="Arial"/>
          <w:sz w:val="16"/>
          <w:szCs w:val="16"/>
          <w:color w:val="010000"/>
        </w:rPr>
      </w:pPr>
      <w:r>
        <w:rPr>
          <w:rFonts w:ascii="Arial" w:cs="Arial" w:eastAsia="Arial" w:hAnsi="Arial"/>
          <w:sz w:val="16"/>
          <w:szCs w:val="16"/>
          <w:color w:val="auto"/>
        </w:rPr>
        <w:t>Since the Formation Date, Buyer has been in compliance with the applicable provisions of the Sarbanes-Oxley Act. Buyer maintains disclosure controls and procedures required by Rule 13a-15 or 15d-15, as applicable, under the Exchange Act and as necessary to permit preparation of financial statements in accordance with GAAP. Such disclosure controls and procedures are designed to ensure that information required to be disclosed by Buyer is recorded, processed, summarized and reported within the time periods specified in the SEC Guidance, and that all such information is accumulated and communication to the individuals responsible for the preparation of Buyer’s filings with the SEC and other public disclosure documents to allow timely decisions regarding disclosure and to make the certifications required pursuant to Sections 302 and 906 of the Sarbanes-Oxley Act. Buyer maintains a system of internal control over financial reporting (as defined in Rule 13a-15 or 15d-15, as applicable, under the Exchange Act) that is sufficient to provide reasonable assurance regarding the reliability of financial reporting and the preparation of financial statements for external purposes in accordance with GAAP and SEC Guidance. Since the Formation Date, neither Buyer (including any Representative thereof) nor its independent registered public accounting firm has identified or been made aware of (i) any “significant deficiencies” or “material weaknesses” (as defined by the Public Company Accounting Oversight Board) in the design or operation of internal control over financial reporting of Buyer, (ii) any fraud or allegation of fraud, whether or not material, that involves (or involved) the management of Buyer or other Representatives who have (or had) a role in the preparation of financial statements or the internal control over financial reporting utilized by Buyer or (iii) any claim or allegation regarding any of the foregoing.</w:t>
      </w:r>
    </w:p>
    <w:p>
      <w:pPr>
        <w:spacing w:after="0" w:line="38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21" w:name="page322"/>
    <w:bookmarkEnd w:id="321"/>
    <w:p>
      <w:pPr>
        <w:jc w:val="both"/>
        <w:ind w:left="900" w:firstLine="640"/>
        <w:spacing w:after="0" w:line="268" w:lineRule="auto"/>
        <w:tabs>
          <w:tab w:leader="none" w:pos="2098" w:val="left"/>
        </w:tabs>
        <w:numPr>
          <w:ilvl w:val="0"/>
          <w:numId w:val="253"/>
        </w:numPr>
        <w:rPr>
          <w:rFonts w:ascii="Arial" w:cs="Arial" w:eastAsia="Arial" w:hAnsi="Arial"/>
          <w:sz w:val="17"/>
          <w:szCs w:val="17"/>
          <w:color w:val="010000"/>
        </w:rPr>
      </w:pPr>
      <w:r>
        <w:rPr>
          <w:rFonts w:ascii="Arial" w:cs="Arial" w:eastAsia="Arial" w:hAnsi="Arial"/>
          <w:sz w:val="17"/>
          <w:szCs w:val="17"/>
          <w:color w:val="auto"/>
        </w:rPr>
        <w:t>Each of the audited financial statements and unaudited interim financial statements included in or incorporated by reference into the Buyer Reports (including the related notes and schedules thereto, if any) since the Formation Date (i) complied, or in the case of Buyer Reports filed after the date hereof, will comply, as to form in all material respects with all applicable Law, including SEC Guidance, (ii) has been prepared from, and is in accordance with, or in the case of Buyer Reports filed after the date of this Agreement, will be prepared from and will be in accordance with, the books and records of Buyer, (iii) were prepared, or in the case of Buyer Reports filed after the date of this Agreement, will be prepared, in accordance with GAAP consistently applied during the periods involved, except as may be noted therein, and (iv) fairly presents, or in the case of Buyer Reports filed after the date of this Agreement, will fairly present (A) the consolidated financial condition of Buyer as of its date and (B) the results and operations, earnings and changes in financial condition, as the case may be, of Buyer for the periods set forth therein (subject, in the case of unaudited interim financial statements, to notes and normal year-end audit adjustments, none of which are material, individually or in the aggregate).</w:t>
      </w:r>
    </w:p>
    <w:p>
      <w:pPr>
        <w:spacing w:after="0" w:line="183" w:lineRule="exact"/>
        <w:rPr>
          <w:rFonts w:ascii="Arial" w:cs="Arial" w:eastAsia="Arial" w:hAnsi="Arial"/>
          <w:sz w:val="17"/>
          <w:szCs w:val="17"/>
          <w:color w:val="010000"/>
        </w:rPr>
      </w:pPr>
    </w:p>
    <w:p>
      <w:pPr>
        <w:ind w:left="900" w:firstLine="640"/>
        <w:spacing w:after="0" w:line="306" w:lineRule="auto"/>
        <w:tabs>
          <w:tab w:leader="none" w:pos="2038" w:val="left"/>
        </w:tabs>
        <w:numPr>
          <w:ilvl w:val="0"/>
          <w:numId w:val="253"/>
        </w:numPr>
        <w:rPr>
          <w:rFonts w:ascii="Arial" w:cs="Arial" w:eastAsia="Arial" w:hAnsi="Arial"/>
          <w:sz w:val="17"/>
          <w:szCs w:val="17"/>
          <w:color w:val="010000"/>
        </w:rPr>
      </w:pPr>
      <w:r>
        <w:rPr>
          <w:rFonts w:ascii="Arial" w:cs="Arial" w:eastAsia="Arial" w:hAnsi="Arial"/>
          <w:sz w:val="17"/>
          <w:szCs w:val="17"/>
          <w:color w:val="auto"/>
        </w:rPr>
        <w:t>There are no outstanding loans or other extensions of credit made by Buyer to any executive officer (as defined in Rule 3b-7 under the Exchange Act) or director of Buyer. Buyer has not taken any action prohibited by Section 13(k) of the Exchange Act.</w:t>
      </w:r>
    </w:p>
    <w:p>
      <w:pPr>
        <w:spacing w:after="0" w:line="147" w:lineRule="exact"/>
        <w:rPr>
          <w:sz w:val="20"/>
          <w:szCs w:val="20"/>
          <w:color w:val="auto"/>
        </w:rPr>
      </w:pPr>
    </w:p>
    <w:p>
      <w:pPr>
        <w:jc w:val="both"/>
        <w:ind w:firstLine="1290"/>
        <w:spacing w:after="0" w:line="310" w:lineRule="auto"/>
        <w:rPr>
          <w:sz w:val="20"/>
          <w:szCs w:val="20"/>
          <w:color w:val="auto"/>
        </w:rPr>
      </w:pPr>
      <w:r>
        <w:rPr>
          <w:rFonts w:ascii="Arial" w:cs="Arial" w:eastAsia="Arial" w:hAnsi="Arial"/>
          <w:sz w:val="16"/>
          <w:szCs w:val="16"/>
          <w:color w:val="010000"/>
        </w:rPr>
        <w:t xml:space="preserve">Section 4.09 </w:t>
      </w:r>
      <w:r>
        <w:rPr>
          <w:rFonts w:ascii="Arial" w:cs="Arial" w:eastAsia="Arial" w:hAnsi="Arial"/>
          <w:sz w:val="16"/>
          <w:szCs w:val="16"/>
          <w:u w:val="single" w:color="auto"/>
          <w:color w:val="000000"/>
        </w:rPr>
        <w:t>Investment Company Act; JOBS Act</w:t>
      </w:r>
      <w:r>
        <w:rPr>
          <w:rFonts w:ascii="Arial" w:cs="Arial" w:eastAsia="Arial" w:hAnsi="Arial"/>
          <w:sz w:val="16"/>
          <w:szCs w:val="16"/>
          <w:color w:val="000000"/>
        </w:rPr>
        <w:t>. Buyer is not, and following the Closing will continue not to be, an “investment</w:t>
      </w:r>
      <w:r>
        <w:rPr>
          <w:rFonts w:ascii="Arial" w:cs="Arial" w:eastAsia="Arial" w:hAnsi="Arial"/>
          <w:sz w:val="16"/>
          <w:szCs w:val="16"/>
          <w:color w:val="010000"/>
        </w:rPr>
        <w:t xml:space="preserve"> </w:t>
      </w:r>
      <w:r>
        <w:rPr>
          <w:rFonts w:ascii="Arial" w:cs="Arial" w:eastAsia="Arial" w:hAnsi="Arial"/>
          <w:sz w:val="16"/>
          <w:szCs w:val="16"/>
          <w:color w:val="000000"/>
        </w:rPr>
        <w:t>company” or a Person directly or indirectly “controlled” by or acting on behalf of an “investment company”, in each case, within the meaning of the Investment Company Act of 1940. Buyer constitutes an “emerging growth company” within the meaning of the Jumpstart Our Business Startups Act of 2012.</w:t>
      </w:r>
    </w:p>
    <w:p>
      <w:pPr>
        <w:spacing w:after="0" w:line="147"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010000"/>
        </w:rPr>
        <w:t xml:space="preserve">Section 4.10 </w:t>
      </w:r>
      <w:r>
        <w:rPr>
          <w:rFonts w:ascii="Arial" w:cs="Arial" w:eastAsia="Arial" w:hAnsi="Arial"/>
          <w:sz w:val="18"/>
          <w:szCs w:val="18"/>
          <w:u w:val="single" w:color="auto"/>
          <w:color w:val="000000"/>
        </w:rPr>
        <w:t>Affiliate Transactions</w:t>
      </w:r>
      <w:r>
        <w:rPr>
          <w:rFonts w:ascii="Arial" w:cs="Arial" w:eastAsia="Arial" w:hAnsi="Arial"/>
          <w:sz w:val="18"/>
          <w:szCs w:val="18"/>
          <w:color w:val="000000"/>
        </w:rPr>
        <w:t>. None of Buyer’s Related Parties (a) is a party to any Contract with Buyer (any such Contract, an</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Related Party Contract</w:t>
      </w:r>
      <w:r>
        <w:rPr>
          <w:rFonts w:ascii="Arial" w:cs="Arial" w:eastAsia="Arial" w:hAnsi="Arial"/>
          <w:sz w:val="18"/>
          <w:szCs w:val="18"/>
          <w:color w:val="000000"/>
        </w:rPr>
        <w:t xml:space="preserve">”), (b) has any direct financial interest in any property used by Buyer or (c) is a director, officer or employee of, any Person (other than Buyer) which is a material client, supplier, customer, lessor, lessee or competitor of Buyer. Ownership of Equity Securities of a Person whose Equity Securities are registered under the Exchange Act, of five percent (5%) or less of any class of such Equity securities shall not be deemed to be a financial interest for purposes of this </w:t>
      </w:r>
      <w:r>
        <w:rPr>
          <w:rFonts w:ascii="Arial" w:cs="Arial" w:eastAsia="Arial" w:hAnsi="Arial"/>
          <w:sz w:val="18"/>
          <w:szCs w:val="18"/>
          <w:u w:val="single" w:color="auto"/>
          <w:color w:val="000000"/>
        </w:rPr>
        <w:t>Section 4.10</w:t>
      </w:r>
      <w:r>
        <w:rPr>
          <w:rFonts w:ascii="Arial" w:cs="Arial" w:eastAsia="Arial" w:hAnsi="Arial"/>
          <w:sz w:val="18"/>
          <w:szCs w:val="18"/>
          <w:color w:val="000000"/>
        </w:rPr>
        <w:t>.</w:t>
      </w:r>
    </w:p>
    <w:p>
      <w:pPr>
        <w:spacing w:after="0" w:line="191" w:lineRule="exact"/>
        <w:rPr>
          <w:sz w:val="20"/>
          <w:szCs w:val="20"/>
          <w:color w:val="auto"/>
        </w:rPr>
      </w:pPr>
    </w:p>
    <w:p>
      <w:pPr>
        <w:jc w:val="both"/>
        <w:ind w:firstLine="1290"/>
        <w:spacing w:after="0" w:line="290" w:lineRule="auto"/>
        <w:rPr>
          <w:sz w:val="20"/>
          <w:szCs w:val="20"/>
          <w:color w:val="auto"/>
        </w:rPr>
      </w:pPr>
      <w:r>
        <w:rPr>
          <w:rFonts w:ascii="Arial" w:cs="Arial" w:eastAsia="Arial" w:hAnsi="Arial"/>
          <w:sz w:val="16"/>
          <w:szCs w:val="16"/>
          <w:color w:val="010000"/>
        </w:rPr>
        <w:t xml:space="preserve">Section 4.11 </w:t>
      </w:r>
      <w:r>
        <w:rPr>
          <w:rFonts w:ascii="Arial" w:cs="Arial" w:eastAsia="Arial" w:hAnsi="Arial"/>
          <w:sz w:val="16"/>
          <w:szCs w:val="16"/>
          <w:u w:val="single" w:color="auto"/>
          <w:color w:val="000000"/>
        </w:rPr>
        <w:t>Buyer Material Contracts</w:t>
      </w:r>
      <w:r>
        <w:rPr>
          <w:rFonts w:ascii="Arial" w:cs="Arial" w:eastAsia="Arial" w:hAnsi="Arial"/>
          <w:sz w:val="16"/>
          <w:szCs w:val="16"/>
          <w:color w:val="000000"/>
        </w:rPr>
        <w:t>. Section 4.11 of the Buyer Disclosure Letter sets forth a correct and complete list of all Buyer</w:t>
      </w:r>
      <w:r>
        <w:rPr>
          <w:rFonts w:ascii="Arial" w:cs="Arial" w:eastAsia="Arial" w:hAnsi="Arial"/>
          <w:sz w:val="16"/>
          <w:szCs w:val="16"/>
          <w:color w:val="010000"/>
        </w:rPr>
        <w:t xml:space="preserve"> </w:t>
      </w:r>
      <w:r>
        <w:rPr>
          <w:rFonts w:ascii="Arial" w:cs="Arial" w:eastAsia="Arial" w:hAnsi="Arial"/>
          <w:sz w:val="16"/>
          <w:szCs w:val="16"/>
          <w:color w:val="000000"/>
        </w:rPr>
        <w:t>Material Contracts. Each Buyer Material Contract is a valid and binding obligation of Buyer and, to the Knowledge of Buyer, of each other party thereto, and, to the Knowledge of Buyer, is in full force and effect and enforceable in accordance with its terms (subject to the Bankruptcy and Equity Exclusion), and neither the Company, nor, to the Knowledge of Sellers, any other party thereto is (with or without the lapse of time or the giving of notice, or both) in material breach or material default thereunder, except for such breaches or defaults as would not reasonably be expected to be material to Buyer or have a Buyer Material Adverse Effect. None of the Buyer Material Contracts have been canceled or otherwise terminated, and Buyer has not received any written notice from any Person regarding any such cancellation or termination or any material default, in each case, with respect to a Buyer Material Contract.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2" w:name="page323"/>
    <w:bookmarkEnd w:id="322"/>
    <w:p>
      <w:pPr>
        <w:jc w:val="both"/>
        <w:ind w:firstLine="1290"/>
        <w:spacing w:after="0" w:line="254" w:lineRule="auto"/>
        <w:rPr>
          <w:sz w:val="20"/>
          <w:szCs w:val="20"/>
          <w:color w:val="auto"/>
        </w:rPr>
      </w:pPr>
      <w:r>
        <w:rPr>
          <w:rFonts w:ascii="Arial" w:cs="Arial" w:eastAsia="Arial" w:hAnsi="Arial"/>
          <w:sz w:val="18"/>
          <w:szCs w:val="18"/>
          <w:color w:val="010000"/>
        </w:rPr>
        <w:t xml:space="preserve">Section 4.12 </w:t>
      </w:r>
      <w:r>
        <w:rPr>
          <w:rFonts w:ascii="Arial" w:cs="Arial" w:eastAsia="Arial" w:hAnsi="Arial"/>
          <w:sz w:val="18"/>
          <w:szCs w:val="18"/>
          <w:u w:val="single" w:color="auto"/>
          <w:color w:val="000000"/>
        </w:rPr>
        <w:t>Information Supplied</w:t>
      </w:r>
      <w:r>
        <w:rPr>
          <w:rFonts w:ascii="Arial" w:cs="Arial" w:eastAsia="Arial" w:hAnsi="Arial"/>
          <w:sz w:val="18"/>
          <w:szCs w:val="18"/>
          <w:color w:val="000000"/>
        </w:rPr>
        <w:t>. None of the information supplied or to be supplied by Buyer expressly for inclusion or incorporation</w:t>
      </w:r>
      <w:r>
        <w:rPr>
          <w:rFonts w:ascii="Arial" w:cs="Arial" w:eastAsia="Arial" w:hAnsi="Arial"/>
          <w:sz w:val="18"/>
          <w:szCs w:val="18"/>
          <w:color w:val="010000"/>
        </w:rPr>
        <w:t xml:space="preserve"> </w:t>
      </w:r>
      <w:r>
        <w:rPr>
          <w:rFonts w:ascii="Arial" w:cs="Arial" w:eastAsia="Arial" w:hAnsi="Arial"/>
          <w:sz w:val="18"/>
          <w:szCs w:val="18"/>
          <w:color w:val="000000"/>
        </w:rPr>
        <w:t>by reference in the filings with the SEC (including the Buyer Reports and mailings to Buyer’s stockholders with respect to the solicitation of proxies to approve the Contemplated Transactions (including the Proxy Statement)) will, at the date of filing and/ or mailing,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Buyer or that is included in the Buyer Reports).</w:t>
      </w:r>
    </w:p>
    <w:p>
      <w:pPr>
        <w:spacing w:after="0" w:line="19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4.13</w:t>
      </w:r>
      <w:r>
        <w:rPr>
          <w:sz w:val="20"/>
          <w:szCs w:val="20"/>
          <w:color w:val="auto"/>
        </w:rPr>
        <w:tab/>
      </w:r>
      <w:r>
        <w:rPr>
          <w:rFonts w:ascii="Arial" w:cs="Arial" w:eastAsia="Arial" w:hAnsi="Arial"/>
          <w:sz w:val="16"/>
          <w:szCs w:val="16"/>
          <w:u w:val="single" w:color="auto"/>
          <w:color w:val="auto"/>
        </w:rPr>
        <w:t>Buyer Tax Matters</w:t>
      </w:r>
      <w:r>
        <w:rPr>
          <w:rFonts w:ascii="Arial" w:cs="Arial" w:eastAsia="Arial" w:hAnsi="Arial"/>
          <w:sz w:val="16"/>
          <w:szCs w:val="16"/>
          <w:color w:val="auto"/>
        </w:rPr>
        <w:t>.</w:t>
      </w:r>
    </w:p>
    <w:p>
      <w:pPr>
        <w:spacing w:after="0" w:line="223" w:lineRule="exact"/>
        <w:rPr>
          <w:sz w:val="20"/>
          <w:szCs w:val="20"/>
          <w:color w:val="auto"/>
        </w:rPr>
      </w:pPr>
    </w:p>
    <w:p>
      <w:pPr>
        <w:ind w:left="900" w:firstLine="640"/>
        <w:spacing w:after="0" w:line="275" w:lineRule="auto"/>
        <w:tabs>
          <w:tab w:leader="none" w:pos="2125" w:val="left"/>
        </w:tabs>
        <w:numPr>
          <w:ilvl w:val="0"/>
          <w:numId w:val="254"/>
        </w:numPr>
        <w:rPr>
          <w:rFonts w:ascii="Arial" w:cs="Arial" w:eastAsia="Arial" w:hAnsi="Arial"/>
          <w:sz w:val="18"/>
          <w:szCs w:val="18"/>
          <w:color w:val="010000"/>
        </w:rPr>
      </w:pPr>
      <w:r>
        <w:rPr>
          <w:rFonts w:ascii="Arial" w:cs="Arial" w:eastAsia="Arial" w:hAnsi="Arial"/>
          <w:sz w:val="18"/>
          <w:szCs w:val="18"/>
          <w:color w:val="auto"/>
        </w:rPr>
        <w:t>All Tax Returns required to be filed by Buyer (the “</w:t>
      </w:r>
      <w:r>
        <w:rPr>
          <w:rFonts w:ascii="Arial" w:cs="Arial" w:eastAsia="Arial" w:hAnsi="Arial"/>
          <w:sz w:val="18"/>
          <w:szCs w:val="18"/>
          <w:u w:val="single" w:color="auto"/>
          <w:color w:val="auto"/>
        </w:rPr>
        <w:t>Buyer Tax Returns</w:t>
      </w:r>
      <w:r>
        <w:rPr>
          <w:rFonts w:ascii="Arial" w:cs="Arial" w:eastAsia="Arial" w:hAnsi="Arial"/>
          <w:sz w:val="18"/>
          <w:szCs w:val="18"/>
          <w:color w:val="auto"/>
        </w:rPr>
        <w:t>”) have been timely filed (taking into account applicable extensions of time in which to file), and all Buyer Tax Returns are true, complete and correct in all material respects.</w:t>
      </w:r>
    </w:p>
    <w:p>
      <w:pPr>
        <w:spacing w:after="0" w:line="170" w:lineRule="exact"/>
        <w:rPr>
          <w:rFonts w:ascii="Arial" w:cs="Arial" w:eastAsia="Arial" w:hAnsi="Arial"/>
          <w:sz w:val="18"/>
          <w:szCs w:val="18"/>
          <w:color w:val="010000"/>
        </w:rPr>
      </w:pPr>
    </w:p>
    <w:p>
      <w:pPr>
        <w:ind w:left="2060" w:hanging="520"/>
        <w:spacing w:after="0"/>
        <w:tabs>
          <w:tab w:leader="none" w:pos="2060" w:val="left"/>
        </w:tabs>
        <w:numPr>
          <w:ilvl w:val="0"/>
          <w:numId w:val="254"/>
        </w:numPr>
        <w:rPr>
          <w:rFonts w:ascii="Arial" w:cs="Arial" w:eastAsia="Arial" w:hAnsi="Arial"/>
          <w:sz w:val="18"/>
          <w:szCs w:val="18"/>
          <w:color w:val="010000"/>
        </w:rPr>
      </w:pPr>
      <w:r>
        <w:rPr>
          <w:rFonts w:ascii="Arial" w:cs="Arial" w:eastAsia="Arial" w:hAnsi="Arial"/>
          <w:sz w:val="18"/>
          <w:szCs w:val="18"/>
          <w:color w:val="auto"/>
        </w:rPr>
        <w:t>Buyer has fully and timely paid all Taxes required to have been paid by Buyer.</w:t>
      </w:r>
    </w:p>
    <w:p>
      <w:pPr>
        <w:spacing w:after="0" w:line="223" w:lineRule="exact"/>
        <w:rPr>
          <w:rFonts w:ascii="Arial" w:cs="Arial" w:eastAsia="Arial" w:hAnsi="Arial"/>
          <w:sz w:val="18"/>
          <w:szCs w:val="18"/>
          <w:color w:val="010000"/>
        </w:rPr>
      </w:pPr>
    </w:p>
    <w:p>
      <w:pPr>
        <w:ind w:left="2060" w:hanging="520"/>
        <w:spacing w:after="0"/>
        <w:tabs>
          <w:tab w:leader="none" w:pos="2060" w:val="left"/>
        </w:tabs>
        <w:numPr>
          <w:ilvl w:val="0"/>
          <w:numId w:val="254"/>
        </w:numPr>
        <w:rPr>
          <w:rFonts w:ascii="Arial" w:cs="Arial" w:eastAsia="Arial" w:hAnsi="Arial"/>
          <w:sz w:val="18"/>
          <w:szCs w:val="18"/>
          <w:color w:val="010000"/>
        </w:rPr>
      </w:pPr>
      <w:r>
        <w:rPr>
          <w:rFonts w:ascii="Arial" w:cs="Arial" w:eastAsia="Arial" w:hAnsi="Arial"/>
          <w:sz w:val="18"/>
          <w:szCs w:val="18"/>
          <w:color w:val="auto"/>
        </w:rPr>
        <w:t>All deficiencies for material Taxes asserted or assessed in writing against Buyer have been fully and timely paid.</w:t>
      </w:r>
    </w:p>
    <w:p>
      <w:pPr>
        <w:spacing w:after="0" w:line="223" w:lineRule="exact"/>
        <w:rPr>
          <w:rFonts w:ascii="Arial" w:cs="Arial" w:eastAsia="Arial" w:hAnsi="Arial"/>
          <w:sz w:val="18"/>
          <w:szCs w:val="18"/>
          <w:color w:val="010000"/>
        </w:rPr>
      </w:pPr>
    </w:p>
    <w:p>
      <w:pPr>
        <w:ind w:left="900" w:firstLine="640"/>
        <w:spacing w:after="0" w:line="275" w:lineRule="auto"/>
        <w:tabs>
          <w:tab w:leader="none" w:pos="2094" w:val="left"/>
        </w:tabs>
        <w:numPr>
          <w:ilvl w:val="0"/>
          <w:numId w:val="254"/>
        </w:numPr>
        <w:rPr>
          <w:rFonts w:ascii="Arial" w:cs="Arial" w:eastAsia="Arial" w:hAnsi="Arial"/>
          <w:sz w:val="18"/>
          <w:szCs w:val="18"/>
          <w:color w:val="010000"/>
        </w:rPr>
      </w:pPr>
      <w:r>
        <w:rPr>
          <w:rFonts w:ascii="Arial" w:cs="Arial" w:eastAsia="Arial" w:hAnsi="Arial"/>
          <w:sz w:val="18"/>
          <w:szCs w:val="18"/>
          <w:color w:val="auto"/>
        </w:rPr>
        <w:t>To the Knowledge of Buyer, Buyer has not been a party to a “listed transactions” as such term is defined in Treasury Regulations Section 1.6011-4(b)(2).</w:t>
      </w:r>
    </w:p>
    <w:p>
      <w:pPr>
        <w:spacing w:after="0" w:line="170" w:lineRule="exact"/>
        <w:rPr>
          <w:rFonts w:ascii="Arial" w:cs="Arial" w:eastAsia="Arial" w:hAnsi="Arial"/>
          <w:sz w:val="18"/>
          <w:szCs w:val="18"/>
          <w:color w:val="010000"/>
        </w:rPr>
      </w:pPr>
    </w:p>
    <w:p>
      <w:pPr>
        <w:jc w:val="both"/>
        <w:ind w:left="900" w:firstLine="640"/>
        <w:spacing w:after="0" w:line="262" w:lineRule="auto"/>
        <w:tabs>
          <w:tab w:leader="none" w:pos="2259" w:val="left"/>
        </w:tabs>
        <w:numPr>
          <w:ilvl w:val="0"/>
          <w:numId w:val="254"/>
        </w:numPr>
        <w:rPr>
          <w:rFonts w:ascii="Arial" w:cs="Arial" w:eastAsia="Arial" w:hAnsi="Arial"/>
          <w:sz w:val="18"/>
          <w:szCs w:val="18"/>
          <w:color w:val="010000"/>
        </w:rPr>
      </w:pPr>
      <w:r>
        <w:rPr>
          <w:rFonts w:ascii="Arial" w:cs="Arial" w:eastAsia="Arial" w:hAnsi="Arial"/>
          <w:sz w:val="18"/>
          <w:szCs w:val="18"/>
          <w:color w:val="auto"/>
        </w:rPr>
        <w:t>Within the past two (2) years, Buyer has not distributed Equity Securities of another Person, or had its Equity Securities distributed by another Person, in a transaction that was purported or intended to be governed in whole or in part by Section 355 or Section 361 of the Code.</w:t>
      </w:r>
    </w:p>
    <w:p>
      <w:pPr>
        <w:spacing w:after="0" w:line="182" w:lineRule="exact"/>
        <w:rPr>
          <w:rFonts w:ascii="Arial" w:cs="Arial" w:eastAsia="Arial" w:hAnsi="Arial"/>
          <w:sz w:val="18"/>
          <w:szCs w:val="18"/>
          <w:color w:val="010000"/>
        </w:rPr>
      </w:pPr>
    </w:p>
    <w:p>
      <w:pPr>
        <w:ind w:left="900" w:firstLine="640"/>
        <w:spacing w:after="0" w:line="340" w:lineRule="auto"/>
        <w:tabs>
          <w:tab w:leader="none" w:pos="2078" w:val="left"/>
        </w:tabs>
        <w:numPr>
          <w:ilvl w:val="0"/>
          <w:numId w:val="254"/>
        </w:numPr>
        <w:rPr>
          <w:rFonts w:ascii="Arial" w:cs="Arial" w:eastAsia="Arial" w:hAnsi="Arial"/>
          <w:sz w:val="16"/>
          <w:szCs w:val="16"/>
          <w:color w:val="010000"/>
        </w:rPr>
      </w:pPr>
      <w:r>
        <w:rPr>
          <w:rFonts w:ascii="Arial" w:cs="Arial" w:eastAsia="Arial" w:hAnsi="Arial"/>
          <w:sz w:val="16"/>
          <w:szCs w:val="16"/>
          <w:color w:val="auto"/>
        </w:rPr>
        <w:t>Buyer has complied with all applicable Laws relating to the payment and withholding of Taxes and has duly and timely withheld and paid over to the appropriate Governmental Authority all amounts required to be so withheld and paid over under all applicable Laws.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3" w:name="page324"/>
    <w:bookmarkEnd w:id="323"/>
    <w:p>
      <w:pPr>
        <w:ind w:left="405"/>
        <w:spacing w:after="0"/>
        <w:tabs>
          <w:tab w:leader="none" w:pos="1585" w:val="left"/>
        </w:tabs>
        <w:rPr>
          <w:sz w:val="20"/>
          <w:szCs w:val="20"/>
          <w:color w:val="auto"/>
        </w:rPr>
      </w:pPr>
      <w:r>
        <w:rPr>
          <w:rFonts w:ascii="Arial" w:cs="Arial" w:eastAsia="Arial" w:hAnsi="Arial"/>
          <w:sz w:val="18"/>
          <w:szCs w:val="18"/>
          <w:color w:val="010000"/>
        </w:rPr>
        <w:t>Section 4.14</w:t>
      </w:r>
      <w:r>
        <w:rPr>
          <w:sz w:val="20"/>
          <w:szCs w:val="20"/>
          <w:color w:val="auto"/>
        </w:rPr>
        <w:tab/>
      </w:r>
      <w:r>
        <w:rPr>
          <w:rFonts w:ascii="Arial" w:cs="Arial" w:eastAsia="Arial" w:hAnsi="Arial"/>
          <w:sz w:val="16"/>
          <w:szCs w:val="16"/>
          <w:u w:val="single" w:color="auto"/>
          <w:color w:val="auto"/>
        </w:rPr>
        <w:t>Business Activities</w:t>
      </w:r>
      <w:r>
        <w:rPr>
          <w:rFonts w:ascii="Arial" w:cs="Arial" w:eastAsia="Arial" w:hAnsi="Arial"/>
          <w:sz w:val="16"/>
          <w:szCs w:val="16"/>
          <w:color w:val="auto"/>
        </w:rPr>
        <w:t>.</w:t>
      </w:r>
    </w:p>
    <w:p>
      <w:pPr>
        <w:spacing w:after="0" w:line="223" w:lineRule="exact"/>
        <w:rPr>
          <w:sz w:val="20"/>
          <w:szCs w:val="20"/>
          <w:color w:val="auto"/>
        </w:rPr>
      </w:pPr>
    </w:p>
    <w:p>
      <w:pPr>
        <w:jc w:val="both"/>
        <w:ind w:left="5" w:firstLine="640"/>
        <w:spacing w:after="0" w:line="290" w:lineRule="auto"/>
        <w:tabs>
          <w:tab w:leader="none" w:pos="1418" w:val="left"/>
        </w:tabs>
        <w:numPr>
          <w:ilvl w:val="1"/>
          <w:numId w:val="255"/>
        </w:numPr>
        <w:rPr>
          <w:rFonts w:ascii="Arial" w:cs="Arial" w:eastAsia="Arial" w:hAnsi="Arial"/>
          <w:sz w:val="16"/>
          <w:szCs w:val="16"/>
          <w:color w:val="010000"/>
        </w:rPr>
      </w:pPr>
      <w:r>
        <w:rPr>
          <w:rFonts w:ascii="Arial" w:cs="Arial" w:eastAsia="Arial" w:hAnsi="Arial"/>
          <w:sz w:val="16"/>
          <w:szCs w:val="16"/>
          <w:color w:val="auto"/>
        </w:rPr>
        <w:t>Since the Formation Date, Buyer has not conducted any business activities (i) other than activities directed toward the accomplishment of a Business Combination and maintenance of its corporate existence, (ii) in any jurisdiction other than the United States, or</w:t>
      </w:r>
    </w:p>
    <w:p>
      <w:pPr>
        <w:jc w:val="both"/>
        <w:ind w:left="5" w:hanging="5"/>
        <w:spacing w:after="0" w:line="270" w:lineRule="auto"/>
        <w:tabs>
          <w:tab w:leader="none" w:pos="334"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in any jurisdiction within the United States other than Delaware and New York. Except as set forth in Buyer’s Organizational Documents, there is no Contract or Order binding upon Buyer or to which Buyer is party, which has, or would reasonably be expected to have, the effect of prohibiting or impairing any business practice of Buyer or any acquisition of property by Buyer or the conduct of business by Buyer as currently conducted or as contemplated to be conducted as of the Closing, other than such effects, individually or in the aggregate, which have not had, and would not reasonably be expected to have a Buyer Material Adverse Effect.</w:t>
      </w:r>
    </w:p>
    <w:p>
      <w:pPr>
        <w:spacing w:after="0" w:line="176" w:lineRule="exact"/>
        <w:rPr>
          <w:rFonts w:ascii="Arial" w:cs="Arial" w:eastAsia="Arial" w:hAnsi="Arial"/>
          <w:sz w:val="17"/>
          <w:szCs w:val="17"/>
          <w:color w:val="auto"/>
        </w:rPr>
      </w:pPr>
    </w:p>
    <w:p>
      <w:pPr>
        <w:jc w:val="both"/>
        <w:ind w:left="5" w:firstLine="640"/>
        <w:spacing w:after="0" w:line="258" w:lineRule="auto"/>
        <w:tabs>
          <w:tab w:leader="none" w:pos="1227" w:val="left"/>
        </w:tabs>
        <w:numPr>
          <w:ilvl w:val="1"/>
          <w:numId w:val="256"/>
        </w:numPr>
        <w:rPr>
          <w:rFonts w:ascii="Arial" w:cs="Arial" w:eastAsia="Arial" w:hAnsi="Arial"/>
          <w:sz w:val="18"/>
          <w:szCs w:val="18"/>
          <w:color w:val="010000"/>
        </w:rPr>
      </w:pPr>
      <w:r>
        <w:rPr>
          <w:rFonts w:ascii="Arial" w:cs="Arial" w:eastAsia="Arial" w:hAnsi="Arial"/>
          <w:sz w:val="18"/>
          <w:szCs w:val="18"/>
          <w:color w:val="auto"/>
        </w:rPr>
        <w:t>Buyer does not own, or have a right to acquire, directly or indirectly, any interest or investment (whether debt or equity) in any Person. Except for this Agreement and the Contemplated Transactions, Buyer has no interest, rights, obligations or liabilities with respect to, and is not party to, bound by or has its assets or property subject to, in each case, whether directly or indirectly, any Contract or transaction which is, or could reasonably be interpreted as constituting, a Business Combination.</w:t>
      </w:r>
    </w:p>
    <w:p>
      <w:pPr>
        <w:spacing w:after="0" w:line="185" w:lineRule="exact"/>
        <w:rPr>
          <w:rFonts w:ascii="Arial" w:cs="Arial" w:eastAsia="Arial" w:hAnsi="Arial"/>
          <w:sz w:val="18"/>
          <w:szCs w:val="18"/>
          <w:color w:val="010000"/>
        </w:rPr>
      </w:pPr>
    </w:p>
    <w:p>
      <w:pPr>
        <w:ind w:left="1165" w:hanging="520"/>
        <w:spacing w:after="0"/>
        <w:tabs>
          <w:tab w:leader="none" w:pos="1165" w:val="left"/>
        </w:tabs>
        <w:numPr>
          <w:ilvl w:val="1"/>
          <w:numId w:val="256"/>
        </w:numPr>
        <w:rPr>
          <w:rFonts w:ascii="Arial" w:cs="Arial" w:eastAsia="Arial" w:hAnsi="Arial"/>
          <w:sz w:val="18"/>
          <w:szCs w:val="18"/>
          <w:color w:val="010000"/>
        </w:rPr>
      </w:pPr>
      <w:r>
        <w:rPr>
          <w:rFonts w:ascii="Arial" w:cs="Arial" w:eastAsia="Arial" w:hAnsi="Arial"/>
          <w:sz w:val="18"/>
          <w:szCs w:val="18"/>
          <w:color w:val="auto"/>
        </w:rPr>
        <w:t>Buyer has no current or former employees or any Buyer Benefit Plans.</w:t>
      </w:r>
    </w:p>
    <w:p>
      <w:pPr>
        <w:spacing w:after="0" w:line="223" w:lineRule="exact"/>
        <w:rPr>
          <w:rFonts w:ascii="Arial" w:cs="Arial" w:eastAsia="Arial" w:hAnsi="Arial"/>
          <w:sz w:val="18"/>
          <w:szCs w:val="18"/>
          <w:color w:val="010000"/>
        </w:rPr>
      </w:pPr>
    </w:p>
    <w:p>
      <w:pPr>
        <w:jc w:val="both"/>
        <w:ind w:left="5" w:firstLine="640"/>
        <w:spacing w:after="0" w:line="274" w:lineRule="auto"/>
        <w:tabs>
          <w:tab w:leader="none" w:pos="1348" w:val="left"/>
        </w:tabs>
        <w:numPr>
          <w:ilvl w:val="1"/>
          <w:numId w:val="256"/>
        </w:numPr>
        <w:rPr>
          <w:rFonts w:ascii="Arial" w:cs="Arial" w:eastAsia="Arial" w:hAnsi="Arial"/>
          <w:sz w:val="17"/>
          <w:szCs w:val="17"/>
          <w:color w:val="010000"/>
        </w:rPr>
      </w:pPr>
      <w:r>
        <w:rPr>
          <w:rFonts w:ascii="Arial" w:cs="Arial" w:eastAsia="Arial" w:hAnsi="Arial"/>
          <w:sz w:val="17"/>
          <w:szCs w:val="17"/>
          <w:color w:val="auto"/>
        </w:rPr>
        <w:t>Except for liabilities and obligations (i) reflected or reserved for on Buyer’s consolidated balance sheet for the year ended December 31, 2016 as reported on Form 10-K or disclosed in the notes thereto, (ii) disclosed in the Buyer Disclosure Letter, (iii) incurred in the Ordinary Course of Business since the date of Buyer’s consolidated balance sheet for the period ended December 31, 2016 as reported on Form 10-K or (iv) incurred in connection with or contemplated by this Agreement or the Contemplated Transactions, Buyer does not have any liabilities of a type that are required by GAAP to be reflected or reserved against in a balance sheet of Buyer.</w:t>
      </w:r>
    </w:p>
    <w:p>
      <w:pPr>
        <w:spacing w:after="0" w:line="175" w:lineRule="exact"/>
        <w:rPr>
          <w:sz w:val="20"/>
          <w:szCs w:val="20"/>
          <w:color w:val="auto"/>
        </w:rPr>
      </w:pPr>
    </w:p>
    <w:p>
      <w:pPr>
        <w:ind w:left="405"/>
        <w:spacing w:after="0"/>
        <w:tabs>
          <w:tab w:leader="none" w:pos="1585" w:val="left"/>
        </w:tabs>
        <w:rPr>
          <w:sz w:val="20"/>
          <w:szCs w:val="20"/>
          <w:color w:val="auto"/>
        </w:rPr>
      </w:pPr>
      <w:r>
        <w:rPr>
          <w:rFonts w:ascii="Arial" w:cs="Arial" w:eastAsia="Arial" w:hAnsi="Arial"/>
          <w:sz w:val="18"/>
          <w:szCs w:val="18"/>
          <w:color w:val="010000"/>
        </w:rPr>
        <w:t>Section 4.15</w:t>
      </w:r>
      <w:r>
        <w:rPr>
          <w:sz w:val="20"/>
          <w:szCs w:val="20"/>
          <w:color w:val="auto"/>
        </w:rPr>
        <w:tab/>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w:t>
      </w:r>
    </w:p>
    <w:p>
      <w:pPr>
        <w:spacing w:after="0" w:line="223" w:lineRule="exact"/>
        <w:rPr>
          <w:sz w:val="20"/>
          <w:szCs w:val="20"/>
          <w:color w:val="auto"/>
        </w:rPr>
      </w:pPr>
    </w:p>
    <w:p>
      <w:pPr>
        <w:ind w:left="1165" w:hanging="520"/>
        <w:spacing w:after="0"/>
        <w:tabs>
          <w:tab w:leader="none" w:pos="1165" w:val="left"/>
        </w:tabs>
        <w:numPr>
          <w:ilvl w:val="0"/>
          <w:numId w:val="257"/>
        </w:numPr>
        <w:rPr>
          <w:rFonts w:ascii="Arial" w:cs="Arial" w:eastAsia="Arial" w:hAnsi="Arial"/>
          <w:sz w:val="17"/>
          <w:szCs w:val="17"/>
          <w:color w:val="010000"/>
        </w:rPr>
      </w:pPr>
      <w:r>
        <w:rPr>
          <w:rFonts w:ascii="Arial" w:cs="Arial" w:eastAsia="Arial" w:hAnsi="Arial"/>
          <w:sz w:val="17"/>
          <w:szCs w:val="17"/>
          <w:color w:val="auto"/>
        </w:rPr>
        <w:t>Buyer is an “accredited investor” within the meaning of Section 506 of Regulation D promulgated under the Securities Act.</w:t>
      </w:r>
    </w:p>
    <w:p>
      <w:pPr>
        <w:spacing w:after="0" w:line="234" w:lineRule="exact"/>
        <w:rPr>
          <w:rFonts w:ascii="Arial" w:cs="Arial" w:eastAsia="Arial" w:hAnsi="Arial"/>
          <w:sz w:val="17"/>
          <w:szCs w:val="17"/>
          <w:color w:val="010000"/>
        </w:rPr>
      </w:pPr>
    </w:p>
    <w:p>
      <w:pPr>
        <w:jc w:val="both"/>
        <w:ind w:left="5" w:firstLine="640"/>
        <w:spacing w:after="0" w:line="262" w:lineRule="auto"/>
        <w:tabs>
          <w:tab w:leader="none" w:pos="1173" w:val="left"/>
        </w:tabs>
        <w:numPr>
          <w:ilvl w:val="0"/>
          <w:numId w:val="257"/>
        </w:numPr>
        <w:rPr>
          <w:rFonts w:ascii="Arial" w:cs="Arial" w:eastAsia="Arial" w:hAnsi="Arial"/>
          <w:sz w:val="18"/>
          <w:szCs w:val="18"/>
          <w:color w:val="010000"/>
        </w:rPr>
      </w:pPr>
      <w:r>
        <w:rPr>
          <w:rFonts w:ascii="Arial" w:cs="Arial" w:eastAsia="Arial" w:hAnsi="Arial"/>
          <w:sz w:val="18"/>
          <w:szCs w:val="18"/>
          <w:color w:val="auto"/>
        </w:rPr>
        <w:t>The Acquired Interests will be acquired for investment for Buyer’s own account and not with a view to the distribution of any part thereof (or participation therein) in violation of the Securities Act. Buyer does not have any contract, undertaking or agreement with any Person to sell, transfer, or grant participations with respect to the Acquired Interests.</w:t>
      </w:r>
    </w:p>
    <w:p>
      <w:pPr>
        <w:spacing w:after="0" w:line="182" w:lineRule="exact"/>
        <w:rPr>
          <w:rFonts w:ascii="Arial" w:cs="Arial" w:eastAsia="Arial" w:hAnsi="Arial"/>
          <w:sz w:val="18"/>
          <w:szCs w:val="18"/>
          <w:color w:val="010000"/>
        </w:rPr>
      </w:pPr>
    </w:p>
    <w:p>
      <w:pPr>
        <w:ind w:left="5" w:firstLine="640"/>
        <w:spacing w:after="0" w:line="275" w:lineRule="auto"/>
        <w:tabs>
          <w:tab w:leader="none" w:pos="1190" w:val="left"/>
        </w:tabs>
        <w:numPr>
          <w:ilvl w:val="0"/>
          <w:numId w:val="257"/>
        </w:numPr>
        <w:rPr>
          <w:rFonts w:ascii="Arial" w:cs="Arial" w:eastAsia="Arial" w:hAnsi="Arial"/>
          <w:sz w:val="18"/>
          <w:szCs w:val="18"/>
          <w:color w:val="010000"/>
        </w:rPr>
      </w:pPr>
      <w:r>
        <w:rPr>
          <w:rFonts w:ascii="Arial" w:cs="Arial" w:eastAsia="Arial" w:hAnsi="Arial"/>
          <w:sz w:val="18"/>
          <w:szCs w:val="18"/>
          <w:color w:val="auto"/>
        </w:rPr>
        <w:t>Buyer’s financial condition is such that it is able to bear the risk of holding the Acquired Interests for an indefinite period of time and can bear the loss of its entire investment in the Acquired Interests.</w:t>
      </w:r>
    </w:p>
    <w:p>
      <w:pPr>
        <w:spacing w:after="0" w:line="170" w:lineRule="exact"/>
        <w:rPr>
          <w:rFonts w:ascii="Arial" w:cs="Arial" w:eastAsia="Arial" w:hAnsi="Arial"/>
          <w:sz w:val="18"/>
          <w:szCs w:val="18"/>
          <w:color w:val="010000"/>
        </w:rPr>
      </w:pPr>
    </w:p>
    <w:p>
      <w:pPr>
        <w:jc w:val="both"/>
        <w:ind w:left="5" w:firstLine="640"/>
        <w:spacing w:after="0" w:line="262" w:lineRule="auto"/>
        <w:tabs>
          <w:tab w:leader="none" w:pos="1200" w:val="left"/>
        </w:tabs>
        <w:numPr>
          <w:ilvl w:val="0"/>
          <w:numId w:val="257"/>
        </w:numPr>
        <w:rPr>
          <w:rFonts w:ascii="Arial" w:cs="Arial" w:eastAsia="Arial" w:hAnsi="Arial"/>
          <w:sz w:val="18"/>
          <w:szCs w:val="18"/>
          <w:color w:val="010000"/>
        </w:rPr>
      </w:pPr>
      <w:r>
        <w:rPr>
          <w:rFonts w:ascii="Arial" w:cs="Arial" w:eastAsia="Arial" w:hAnsi="Arial"/>
          <w:sz w:val="18"/>
          <w:szCs w:val="18"/>
          <w:color w:val="auto"/>
        </w:rPr>
        <w:t>Buyer (either alone or together with its advisors) has sufficient knowledge and experience in financial and business matters so as to be capable of evaluating the merits and risks of its investment in the Acquired Interests and is capable of bearing the economic risks of such investment.</w:t>
      </w:r>
    </w:p>
    <w:p>
      <w:pPr>
        <w:spacing w:after="0" w:line="398" w:lineRule="exact"/>
        <w:rPr>
          <w:sz w:val="20"/>
          <w:szCs w:val="20"/>
          <w:color w:val="auto"/>
        </w:rPr>
      </w:pPr>
    </w:p>
    <w:p>
      <w:pPr>
        <w:ind w:left="4645"/>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7247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525"/>
          </w:cols>
          <w:pgMar w:left="1135" w:top="905" w:right="239" w:bottom="1440" w:gutter="0" w:footer="0" w:header="0"/>
        </w:sectPr>
      </w:pPr>
    </w:p>
    <w:bookmarkStart w:id="324" w:name="page325"/>
    <w:bookmarkEnd w:id="324"/>
    <w:p>
      <w:pPr>
        <w:ind w:left="900" w:firstLine="640"/>
        <w:spacing w:after="0" w:line="275" w:lineRule="auto"/>
        <w:tabs>
          <w:tab w:leader="none" w:pos="2071" w:val="left"/>
        </w:tabs>
        <w:numPr>
          <w:ilvl w:val="0"/>
          <w:numId w:val="258"/>
        </w:numPr>
        <w:rPr>
          <w:rFonts w:ascii="Arial" w:cs="Arial" w:eastAsia="Arial" w:hAnsi="Arial"/>
          <w:sz w:val="18"/>
          <w:szCs w:val="18"/>
          <w:color w:val="010000"/>
        </w:rPr>
      </w:pPr>
      <w:r>
        <w:rPr>
          <w:rFonts w:ascii="Arial" w:cs="Arial" w:eastAsia="Arial" w:hAnsi="Arial"/>
          <w:sz w:val="18"/>
          <w:szCs w:val="18"/>
          <w:color w:val="auto"/>
        </w:rPr>
        <w:t>Buyer acknowledges that the Acquired Interests have not been issued in a transaction registered under the Securities Act or under any state or foreign securities laws.</w:t>
      </w:r>
    </w:p>
    <w:p>
      <w:pPr>
        <w:spacing w:after="0" w:line="171"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4.16 </w:t>
      </w:r>
      <w:r>
        <w:rPr>
          <w:rFonts w:ascii="Arial" w:cs="Arial" w:eastAsia="Arial" w:hAnsi="Arial"/>
          <w:sz w:val="18"/>
          <w:szCs w:val="18"/>
          <w:u w:val="single" w:color="auto"/>
          <w:color w:val="000000"/>
        </w:rPr>
        <w:t>Brokers or Finders</w:t>
      </w:r>
      <w:r>
        <w:rPr>
          <w:rFonts w:ascii="Arial" w:cs="Arial" w:eastAsia="Arial" w:hAnsi="Arial"/>
          <w:sz w:val="18"/>
          <w:szCs w:val="18"/>
          <w:color w:val="000000"/>
        </w:rPr>
        <w:t>. Other than in respect of the Deferred Underwriting Fees, there is no investment banker, broker, finder or</w:t>
      </w:r>
      <w:r>
        <w:rPr>
          <w:rFonts w:ascii="Arial" w:cs="Arial" w:eastAsia="Arial" w:hAnsi="Arial"/>
          <w:sz w:val="18"/>
          <w:szCs w:val="18"/>
          <w:color w:val="010000"/>
        </w:rPr>
        <w:t xml:space="preserve"> </w:t>
      </w:r>
      <w:r>
        <w:rPr>
          <w:rFonts w:ascii="Arial" w:cs="Arial" w:eastAsia="Arial" w:hAnsi="Arial"/>
          <w:sz w:val="18"/>
          <w:szCs w:val="18"/>
          <w:color w:val="000000"/>
        </w:rPr>
        <w:t>other intermediary that has been retained by or is authorized to act on behalf of Buyer who might be entitled to any fee or commission in connection with the Contemplated Transactions.</w:t>
      </w:r>
    </w:p>
    <w:p>
      <w:pPr>
        <w:spacing w:after="0" w:line="182"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4.17</w:t>
      </w:r>
      <w:r>
        <w:rPr>
          <w:sz w:val="20"/>
          <w:szCs w:val="20"/>
          <w:color w:val="auto"/>
        </w:rPr>
        <w:tab/>
      </w:r>
      <w:r>
        <w:rPr>
          <w:rFonts w:ascii="Arial" w:cs="Arial" w:eastAsia="Arial" w:hAnsi="Arial"/>
          <w:sz w:val="16"/>
          <w:szCs w:val="16"/>
          <w:u w:val="single" w:color="auto"/>
          <w:color w:val="auto"/>
        </w:rPr>
        <w:t>Independent Investigation by Buyer; No Reliance</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53" w:lineRule="auto"/>
        <w:tabs>
          <w:tab w:leader="none" w:pos="2098" w:val="left"/>
        </w:tabs>
        <w:numPr>
          <w:ilvl w:val="0"/>
          <w:numId w:val="259"/>
        </w:numPr>
        <w:rPr>
          <w:rFonts w:ascii="Arial" w:cs="Arial" w:eastAsia="Arial" w:hAnsi="Arial"/>
          <w:sz w:val="18"/>
          <w:szCs w:val="18"/>
          <w:color w:val="010000"/>
        </w:rPr>
      </w:pPr>
      <w:r>
        <w:rPr>
          <w:rFonts w:ascii="Arial" w:cs="Arial" w:eastAsia="Arial" w:hAnsi="Arial"/>
          <w:sz w:val="18"/>
          <w:szCs w:val="18"/>
          <w:color w:val="auto"/>
        </w:rPr>
        <w:t>Buyer hereby acknowledges and affirms that (i) it has conducted and completed its own investigation, analysis and evaluation of the Company and its Subsidiaries, (ii) it has made all such reviews and inspections of the financial condition, business, results of operations, properties, assets and properties of the Company and its Subsidiaries as it has deemed necessary and appropriate, (iii) each of Buyer and its Representatives have been permitted satisfactory access to the books and records, facilities, equipment, Tax Returns, Contracts, and other properties and assets of the Company that Buyer and its Representatives have desired or requested to see or review, and (iv) each of Buyer and its Representatives have had a satisfactory opportunity to meet with the officers and employees of the Company and its Subsidiaries to discuss the business of Buyer and its Subsidiaries.</w:t>
      </w:r>
    </w:p>
    <w:p>
      <w:pPr>
        <w:spacing w:after="0" w:line="193" w:lineRule="exact"/>
        <w:rPr>
          <w:rFonts w:ascii="Arial" w:cs="Arial" w:eastAsia="Arial" w:hAnsi="Arial"/>
          <w:sz w:val="18"/>
          <w:szCs w:val="18"/>
          <w:color w:val="010000"/>
        </w:rPr>
      </w:pPr>
    </w:p>
    <w:p>
      <w:pPr>
        <w:jc w:val="both"/>
        <w:ind w:left="900" w:firstLine="640"/>
        <w:spacing w:after="0" w:line="269" w:lineRule="auto"/>
        <w:tabs>
          <w:tab w:leader="none" w:pos="2094" w:val="left"/>
        </w:tabs>
        <w:numPr>
          <w:ilvl w:val="0"/>
          <w:numId w:val="259"/>
        </w:numPr>
        <w:rPr>
          <w:rFonts w:ascii="Arial" w:cs="Arial" w:eastAsia="Arial" w:hAnsi="Arial"/>
          <w:sz w:val="17"/>
          <w:szCs w:val="17"/>
          <w:color w:val="010000"/>
        </w:rPr>
      </w:pPr>
      <w:r>
        <w:rPr>
          <w:rFonts w:ascii="Arial" w:cs="Arial" w:eastAsia="Arial" w:hAnsi="Arial"/>
          <w:sz w:val="17"/>
          <w:szCs w:val="17"/>
          <w:color w:val="auto"/>
        </w:rPr>
        <w:t xml:space="preserve">Buyer hereby acknowledges and agrees that, except for the representations and warranties of Sellers expressly set forth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none of Sellers or any other Person has made, and Buyer and its Representatives had not relied on, any representation or warranty, express or implied, as to the accuracy or completely of any Evaluation Material or any other information regarding any Seller, the Company or any of its Subsidiaries. Buyer agrees, to the fullest extent permitted by applicable Law, that none of Sellers, the Company or any of its Subsidiaries, or any of their respective Affiliates or Representatives, will have or be subject to any liability on any basis (including in contract or tort, under federal or state securities Laws or otherwise) to Buyer, any Affiliates of Buyer or any of their respective Representatives based upon any Evaluation Material or any other information regarding any Seller, the Company or any of its Subsidiaries provided or made or available to Buyer, any Affiliates or any of their Representatives (or any omissions therefrom) resulting from the distribution to Buyer or its Representatives, or Buyer’s use, of any such information.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color w:val="010000"/>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3"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5.01 </w:t>
      </w:r>
      <w:r>
        <w:rPr>
          <w:rFonts w:ascii="Arial" w:cs="Arial" w:eastAsia="Arial" w:hAnsi="Arial"/>
          <w:sz w:val="18"/>
          <w:szCs w:val="18"/>
          <w:u w:val="single" w:color="auto"/>
          <w:color w:val="000000"/>
        </w:rPr>
        <w:t>Conduct of the Company’s Business Pending the Closing</w:t>
      </w:r>
      <w:r>
        <w:rPr>
          <w:rFonts w:ascii="Arial" w:cs="Arial" w:eastAsia="Arial" w:hAnsi="Arial"/>
          <w:sz w:val="18"/>
          <w:szCs w:val="18"/>
          <w:color w:val="000000"/>
        </w:rPr>
        <w:t>. From the date hereof until the earlier of the Closing Date or the</w:t>
      </w:r>
      <w:r>
        <w:rPr>
          <w:rFonts w:ascii="Arial" w:cs="Arial" w:eastAsia="Arial" w:hAnsi="Arial"/>
          <w:sz w:val="18"/>
          <w:szCs w:val="18"/>
          <w:color w:val="010000"/>
        </w:rPr>
        <w:t xml:space="preserve"> </w:t>
      </w:r>
      <w:r>
        <w:rPr>
          <w:rFonts w:ascii="Arial" w:cs="Arial" w:eastAsia="Arial" w:hAnsi="Arial"/>
          <w:sz w:val="18"/>
          <w:szCs w:val="18"/>
          <w:color w:val="000000"/>
        </w:rPr>
        <w:t>termination of this Agreement, except (a) as set forth in Section 5.01 of the Disclosure Letter, (b) as required by any Contract in existence as of the date hereof or under applicable Law, (c) as otherwise contemplated by this Agreement or the other Transaction Documents, or (d) with the prior consent of Buyer (which consent shall not be unreasonably withheld, delayed or conditioned), the business of the Company and its Subsidiaries shall be conducted, in all material respects, in the Ordinary Course of Business; and Sellers shall not, and shall cause the Company and its Subsidiaries not to, other than in the Ordinary Course of Business:</w:t>
      </w:r>
    </w:p>
    <w:p>
      <w:pPr>
        <w:spacing w:after="0" w:line="191" w:lineRule="exact"/>
        <w:rPr>
          <w:sz w:val="20"/>
          <w:szCs w:val="20"/>
          <w:color w:val="auto"/>
        </w:rPr>
      </w:pPr>
    </w:p>
    <w:p>
      <w:pPr>
        <w:ind w:left="2420" w:hanging="477"/>
        <w:spacing w:after="0"/>
        <w:tabs>
          <w:tab w:leader="none" w:pos="2420" w:val="left"/>
        </w:tabs>
        <w:numPr>
          <w:ilvl w:val="0"/>
          <w:numId w:val="260"/>
        </w:numPr>
        <w:rPr>
          <w:rFonts w:ascii="Arial" w:cs="Arial" w:eastAsia="Arial" w:hAnsi="Arial"/>
          <w:sz w:val="17"/>
          <w:szCs w:val="17"/>
          <w:color w:val="010000"/>
        </w:rPr>
      </w:pPr>
      <w:r>
        <w:rPr>
          <w:rFonts w:ascii="Arial" w:cs="Arial" w:eastAsia="Arial" w:hAnsi="Arial"/>
          <w:sz w:val="17"/>
          <w:szCs w:val="17"/>
          <w:color w:val="auto"/>
        </w:rPr>
        <w:t>transfer, issue, sell, authorize, encumber or dispose of any Equity Interests of the Company or any of its Subsidiaries;</w:t>
      </w:r>
    </w:p>
    <w:p>
      <w:pPr>
        <w:spacing w:after="0" w:line="234" w:lineRule="exact"/>
        <w:rPr>
          <w:rFonts w:ascii="Arial" w:cs="Arial" w:eastAsia="Arial" w:hAnsi="Arial"/>
          <w:sz w:val="17"/>
          <w:szCs w:val="17"/>
          <w:color w:val="010000"/>
        </w:rPr>
      </w:pPr>
    </w:p>
    <w:p>
      <w:pPr>
        <w:ind w:left="1300" w:firstLine="643"/>
        <w:spacing w:after="0" w:line="275" w:lineRule="auto"/>
        <w:tabs>
          <w:tab w:leader="none" w:pos="2693"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grant any options, warrants, calls or other rights to purchase or otherwise acquire Equity Interests of, or any stock appreciation, phantom stock or other similar right with respect to, the Company or any of its Subsidiaries;</w:t>
      </w:r>
    </w:p>
    <w:p>
      <w:pPr>
        <w:spacing w:after="0" w:line="170" w:lineRule="exact"/>
        <w:rPr>
          <w:rFonts w:ascii="Arial" w:cs="Arial" w:eastAsia="Arial" w:hAnsi="Arial"/>
          <w:sz w:val="18"/>
          <w:szCs w:val="18"/>
          <w:color w:val="010000"/>
        </w:rPr>
      </w:pPr>
    </w:p>
    <w:p>
      <w:pPr>
        <w:ind w:left="2520" w:hanging="577"/>
        <w:spacing w:after="0"/>
        <w:tabs>
          <w:tab w:leader="none" w:pos="2520"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redeem, repurchase or otherwise acquire any outstanding Equity Interest of Company;</w:t>
      </w:r>
    </w:p>
    <w:p>
      <w:pPr>
        <w:spacing w:after="0" w:line="223" w:lineRule="exact"/>
        <w:rPr>
          <w:rFonts w:ascii="Arial" w:cs="Arial" w:eastAsia="Arial" w:hAnsi="Arial"/>
          <w:sz w:val="18"/>
          <w:szCs w:val="18"/>
          <w:color w:val="010000"/>
        </w:rPr>
      </w:pPr>
    </w:p>
    <w:p>
      <w:pPr>
        <w:ind w:left="2600" w:hanging="657"/>
        <w:spacing w:after="0"/>
        <w:tabs>
          <w:tab w:leader="none" w:pos="2600" w:val="left"/>
        </w:tabs>
        <w:numPr>
          <w:ilvl w:val="0"/>
          <w:numId w:val="260"/>
        </w:numPr>
        <w:rPr>
          <w:rFonts w:ascii="Arial" w:cs="Arial" w:eastAsia="Arial" w:hAnsi="Arial"/>
          <w:sz w:val="16"/>
          <w:szCs w:val="16"/>
          <w:color w:val="010000"/>
        </w:rPr>
      </w:pPr>
      <w:r>
        <w:rPr>
          <w:rFonts w:ascii="Arial" w:cs="Arial" w:eastAsia="Arial" w:hAnsi="Arial"/>
          <w:sz w:val="16"/>
          <w:szCs w:val="16"/>
          <w:color w:val="auto"/>
        </w:rPr>
        <w:t>effect any recapitalization, reclassification or any other similar change in the capitalization of the Company or any of its</w:t>
      </w:r>
    </w:p>
    <w:p>
      <w:pPr>
        <w:spacing w:after="0" w:line="45"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Subsidiaries;</w:t>
      </w:r>
    </w:p>
    <w:p>
      <w:pPr>
        <w:spacing w:after="0" w:line="208" w:lineRule="exact"/>
        <w:rPr>
          <w:rFonts w:ascii="Arial" w:cs="Arial" w:eastAsia="Arial" w:hAnsi="Arial"/>
          <w:sz w:val="16"/>
          <w:szCs w:val="16"/>
          <w:color w:val="010000"/>
        </w:rPr>
      </w:pPr>
    </w:p>
    <w:p>
      <w:pPr>
        <w:ind w:left="2480" w:hanging="537"/>
        <w:spacing w:after="0"/>
        <w:tabs>
          <w:tab w:leader="none" w:pos="2480" w:val="left"/>
        </w:tabs>
        <w:numPr>
          <w:ilvl w:val="0"/>
          <w:numId w:val="260"/>
        </w:numPr>
        <w:rPr>
          <w:rFonts w:ascii="Arial" w:cs="Arial" w:eastAsia="Arial" w:hAnsi="Arial"/>
          <w:sz w:val="16"/>
          <w:szCs w:val="16"/>
          <w:color w:val="010000"/>
        </w:rPr>
      </w:pPr>
      <w:r>
        <w:rPr>
          <w:rFonts w:ascii="Arial" w:cs="Arial" w:eastAsia="Arial" w:hAnsi="Arial"/>
          <w:sz w:val="16"/>
          <w:szCs w:val="16"/>
          <w:color w:val="auto"/>
        </w:rPr>
        <w:t>adopt a plan of complete or partial liquidation, dissolution or other reorganization with respect to the Company or any of its</w:t>
      </w:r>
    </w:p>
    <w:p>
      <w:pPr>
        <w:spacing w:after="0" w:line="45"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Subsidiaries;</w:t>
      </w:r>
    </w:p>
    <w:p>
      <w:pPr>
        <w:spacing w:after="0" w:line="208" w:lineRule="exact"/>
        <w:rPr>
          <w:rFonts w:ascii="Arial" w:cs="Arial" w:eastAsia="Arial" w:hAnsi="Arial"/>
          <w:sz w:val="16"/>
          <w:szCs w:val="16"/>
          <w:color w:val="010000"/>
        </w:rPr>
      </w:pPr>
    </w:p>
    <w:p>
      <w:pPr>
        <w:ind w:left="1300" w:firstLine="643"/>
        <w:spacing w:after="0" w:line="275" w:lineRule="auto"/>
        <w:tabs>
          <w:tab w:leader="none" w:pos="2652"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amend, in any material respect, the Organizational Documents of the Company or any of its Subsidiaries (whether by merger, consolidation or otherwise);</w:t>
      </w:r>
    </w:p>
    <w:p>
      <w:pPr>
        <w:spacing w:after="0" w:line="170" w:lineRule="exact"/>
        <w:rPr>
          <w:rFonts w:ascii="Arial" w:cs="Arial" w:eastAsia="Arial" w:hAnsi="Arial"/>
          <w:sz w:val="18"/>
          <w:szCs w:val="18"/>
          <w:color w:val="010000"/>
        </w:rPr>
      </w:pPr>
    </w:p>
    <w:p>
      <w:pPr>
        <w:ind w:left="1300" w:firstLine="643"/>
        <w:spacing w:after="0" w:line="275" w:lineRule="auto"/>
        <w:tabs>
          <w:tab w:leader="none" w:pos="2608"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make any material change in any method of accounting or accounting practice of the Company or any of its Subsidiaries, except as required by changes in GAAP, as agreed to by its independent public accountants;</w:t>
      </w:r>
    </w:p>
    <w:p>
      <w:pPr>
        <w:spacing w:after="0" w:line="170" w:lineRule="exact"/>
        <w:rPr>
          <w:rFonts w:ascii="Arial" w:cs="Arial" w:eastAsia="Arial" w:hAnsi="Arial"/>
          <w:sz w:val="18"/>
          <w:szCs w:val="18"/>
          <w:color w:val="010000"/>
        </w:rPr>
      </w:pPr>
    </w:p>
    <w:p>
      <w:pPr>
        <w:ind w:left="1300" w:firstLine="643"/>
        <w:spacing w:after="0" w:line="275" w:lineRule="auto"/>
        <w:tabs>
          <w:tab w:leader="none" w:pos="2644"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merge or consolidate with any Person (other than a merger or consolidation of a Subsidiary of the Company with another Subsidiary of the Company);</w:t>
      </w:r>
    </w:p>
    <w:p>
      <w:pPr>
        <w:spacing w:after="0" w:line="170" w:lineRule="exact"/>
        <w:rPr>
          <w:rFonts w:ascii="Arial" w:cs="Arial" w:eastAsia="Arial" w:hAnsi="Arial"/>
          <w:sz w:val="18"/>
          <w:szCs w:val="18"/>
          <w:color w:val="010000"/>
        </w:rPr>
      </w:pPr>
    </w:p>
    <w:p>
      <w:pPr>
        <w:jc w:val="both"/>
        <w:ind w:left="1300" w:firstLine="643"/>
        <w:spacing w:after="0" w:line="262" w:lineRule="auto"/>
        <w:tabs>
          <w:tab w:leader="none" w:pos="2585"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 xml:space="preserve">sell, lease, sublease, mortgage, pledge or otherwise encumber or dispose of any of the material properties or assets of the Company and its Subsidiaries, except in the Ordinary Course of Business or as described in the parenthetical set forth in clause (viii) of this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6" w:name="page327"/>
    <w:bookmarkEnd w:id="326"/>
    <w:p>
      <w:pPr>
        <w:jc w:val="both"/>
        <w:ind w:left="1300" w:firstLine="643"/>
        <w:spacing w:after="0" w:line="262" w:lineRule="auto"/>
        <w:tabs>
          <w:tab w:leader="none" w:pos="2481" w:val="left"/>
        </w:tabs>
        <w:numPr>
          <w:ilvl w:val="1"/>
          <w:numId w:val="261"/>
        </w:numPr>
        <w:rPr>
          <w:rFonts w:ascii="Arial" w:cs="Arial" w:eastAsia="Arial" w:hAnsi="Arial"/>
          <w:sz w:val="18"/>
          <w:szCs w:val="18"/>
          <w:color w:val="010000"/>
        </w:rPr>
      </w:pPr>
      <w:r>
        <w:rPr>
          <w:rFonts w:ascii="Arial" w:cs="Arial" w:eastAsia="Arial" w:hAnsi="Arial"/>
          <w:sz w:val="18"/>
          <w:szCs w:val="18"/>
          <w:color w:val="auto"/>
        </w:rPr>
        <w:t>declare, issue, make or pay any dividend or other distribution of assets in respect of any Equity Interests of the Company or any of its Subsidiaries (other than with respect to a dividend or distribution from any Subsidiary of the Company to the Company or any other Subsidiary of the Company);</w:t>
      </w:r>
    </w:p>
    <w:p>
      <w:pPr>
        <w:spacing w:after="0" w:line="182" w:lineRule="exact"/>
        <w:rPr>
          <w:rFonts w:ascii="Arial" w:cs="Arial" w:eastAsia="Arial" w:hAnsi="Arial"/>
          <w:sz w:val="18"/>
          <w:szCs w:val="18"/>
          <w:color w:val="010000"/>
        </w:rPr>
      </w:pPr>
    </w:p>
    <w:p>
      <w:pPr>
        <w:ind w:left="2540" w:hanging="597"/>
        <w:spacing w:after="0"/>
        <w:tabs>
          <w:tab w:leader="none" w:pos="2540" w:val="left"/>
        </w:tabs>
        <w:numPr>
          <w:ilvl w:val="1"/>
          <w:numId w:val="261"/>
        </w:numPr>
        <w:rPr>
          <w:rFonts w:ascii="Arial" w:cs="Arial" w:eastAsia="Arial" w:hAnsi="Arial"/>
          <w:sz w:val="16"/>
          <w:szCs w:val="16"/>
          <w:color w:val="010000"/>
        </w:rPr>
      </w:pPr>
      <w:r>
        <w:rPr>
          <w:rFonts w:ascii="Arial" w:cs="Arial" w:eastAsia="Arial" w:hAnsi="Arial"/>
          <w:sz w:val="16"/>
          <w:szCs w:val="16"/>
          <w:color w:val="auto"/>
        </w:rPr>
        <w:t>enter into any transaction with any Seller or any Affiliate thereof (excluding the Company and its Subsidiaries), other than</w:t>
      </w:r>
    </w:p>
    <w:p>
      <w:pPr>
        <w:spacing w:after="0" w:line="45" w:lineRule="exact"/>
        <w:rPr>
          <w:rFonts w:ascii="Arial" w:cs="Arial" w:eastAsia="Arial" w:hAnsi="Arial"/>
          <w:sz w:val="16"/>
          <w:szCs w:val="16"/>
          <w:color w:val="010000"/>
        </w:rPr>
      </w:pPr>
    </w:p>
    <w:p>
      <w:pPr>
        <w:ind w:left="1300" w:hanging="2"/>
        <w:spacing w:after="0" w:line="258" w:lineRule="auto"/>
        <w:tabs>
          <w:tab w:leader="none" w:pos="154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transactions contemplated by any Material Contract; or (ii) the reimbursement of expenses of any Affiliate of any Seller in the Ordinary Course of Business;</w:t>
      </w:r>
    </w:p>
    <w:p>
      <w:pPr>
        <w:spacing w:after="0" w:line="185" w:lineRule="exact"/>
        <w:rPr>
          <w:rFonts w:ascii="Arial" w:cs="Arial" w:eastAsia="Arial" w:hAnsi="Arial"/>
          <w:sz w:val="18"/>
          <w:szCs w:val="18"/>
          <w:color w:val="auto"/>
        </w:rPr>
      </w:pPr>
    </w:p>
    <w:p>
      <w:pPr>
        <w:ind w:left="2560" w:hanging="617"/>
        <w:spacing w:after="0"/>
        <w:tabs>
          <w:tab w:leader="none" w:pos="2560" w:val="left"/>
        </w:tabs>
        <w:numPr>
          <w:ilvl w:val="1"/>
          <w:numId w:val="262"/>
        </w:numPr>
        <w:rPr>
          <w:rFonts w:ascii="Arial" w:cs="Arial" w:eastAsia="Arial" w:hAnsi="Arial"/>
          <w:sz w:val="18"/>
          <w:szCs w:val="18"/>
          <w:color w:val="010000"/>
        </w:rPr>
      </w:pPr>
      <w:r>
        <w:rPr>
          <w:rFonts w:ascii="Arial" w:cs="Arial" w:eastAsia="Arial" w:hAnsi="Arial"/>
          <w:sz w:val="18"/>
          <w:szCs w:val="18"/>
          <w:color w:val="auto"/>
        </w:rPr>
        <w:t>guarantee the indebtedness of any other Person in excess of $150,000;</w:t>
      </w:r>
    </w:p>
    <w:p>
      <w:pPr>
        <w:spacing w:after="0" w:line="223" w:lineRule="exact"/>
        <w:rPr>
          <w:rFonts w:ascii="Arial" w:cs="Arial" w:eastAsia="Arial" w:hAnsi="Arial"/>
          <w:sz w:val="18"/>
          <w:szCs w:val="18"/>
          <w:color w:val="010000"/>
        </w:rPr>
      </w:pPr>
    </w:p>
    <w:p>
      <w:pPr>
        <w:ind w:left="2620" w:hanging="677"/>
        <w:spacing w:after="0"/>
        <w:tabs>
          <w:tab w:leader="none" w:pos="2620" w:val="left"/>
        </w:tabs>
        <w:numPr>
          <w:ilvl w:val="1"/>
          <w:numId w:val="262"/>
        </w:numPr>
        <w:rPr>
          <w:rFonts w:ascii="Arial" w:cs="Arial" w:eastAsia="Arial" w:hAnsi="Arial"/>
          <w:sz w:val="16"/>
          <w:szCs w:val="16"/>
          <w:color w:val="010000"/>
        </w:rPr>
      </w:pPr>
      <w:r>
        <w:rPr>
          <w:rFonts w:ascii="Arial" w:cs="Arial" w:eastAsia="Arial" w:hAnsi="Arial"/>
          <w:sz w:val="16"/>
          <w:szCs w:val="16"/>
          <w:color w:val="auto"/>
        </w:rPr>
        <w:t>extend any material loans other than travel or other expense advances to employees in the Ordinary Course of Business;</w:t>
      </w:r>
    </w:p>
    <w:p>
      <w:pPr>
        <w:spacing w:after="0" w:line="246" w:lineRule="exact"/>
        <w:rPr>
          <w:rFonts w:ascii="Arial" w:cs="Arial" w:eastAsia="Arial" w:hAnsi="Arial"/>
          <w:sz w:val="16"/>
          <w:szCs w:val="16"/>
          <w:color w:val="010000"/>
        </w:rPr>
      </w:pPr>
    </w:p>
    <w:p>
      <w:pPr>
        <w:ind w:left="2680" w:hanging="737"/>
        <w:spacing w:after="0"/>
        <w:tabs>
          <w:tab w:leader="none" w:pos="2680" w:val="left"/>
        </w:tabs>
        <w:numPr>
          <w:ilvl w:val="1"/>
          <w:numId w:val="262"/>
        </w:numPr>
        <w:rPr>
          <w:rFonts w:ascii="Arial" w:cs="Arial" w:eastAsia="Arial" w:hAnsi="Arial"/>
          <w:sz w:val="16"/>
          <w:szCs w:val="16"/>
          <w:color w:val="010000"/>
        </w:rPr>
      </w:pPr>
      <w:r>
        <w:rPr>
          <w:rFonts w:ascii="Arial" w:cs="Arial" w:eastAsia="Arial" w:hAnsi="Arial"/>
          <w:sz w:val="16"/>
          <w:szCs w:val="16"/>
          <w:color w:val="auto"/>
        </w:rPr>
        <w:t xml:space="preserve">take any action that would cause the representations and warranties of Buyer set forth in </w:t>
      </w: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to be untrue or</w:t>
      </w:r>
    </w:p>
    <w:p>
      <w:pPr>
        <w:spacing w:after="0" w:line="45"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inaccurate; or</w:t>
      </w:r>
    </w:p>
    <w:p>
      <w:pPr>
        <w:spacing w:after="0" w:line="208" w:lineRule="exact"/>
        <w:rPr>
          <w:rFonts w:ascii="Arial" w:cs="Arial" w:eastAsia="Arial" w:hAnsi="Arial"/>
          <w:sz w:val="16"/>
          <w:szCs w:val="16"/>
          <w:color w:val="010000"/>
        </w:rPr>
      </w:pPr>
    </w:p>
    <w:p>
      <w:pPr>
        <w:ind w:left="2560" w:hanging="617"/>
        <w:spacing w:after="0"/>
        <w:tabs>
          <w:tab w:leader="none" w:pos="2560" w:val="left"/>
        </w:tabs>
        <w:numPr>
          <w:ilvl w:val="1"/>
          <w:numId w:val="262"/>
        </w:numPr>
        <w:rPr>
          <w:rFonts w:ascii="Arial" w:cs="Arial" w:eastAsia="Arial" w:hAnsi="Arial"/>
          <w:sz w:val="18"/>
          <w:szCs w:val="18"/>
          <w:color w:val="010000"/>
        </w:rPr>
      </w:pPr>
      <w:r>
        <w:rPr>
          <w:rFonts w:ascii="Arial" w:cs="Arial" w:eastAsia="Arial" w:hAnsi="Arial"/>
          <w:sz w:val="18"/>
          <w:szCs w:val="18"/>
          <w:color w:val="auto"/>
        </w:rPr>
        <w:t xml:space="preserve">enter into any Contract to do anything prohibited by this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notwithstanding, the Company and its Subsidiaries may, at or prior to the Closing, use all or any portion of cash or cash equivalents of the Company and its Subsidiaries to (A) repay any indebtedness of the Company and its Subsidiaries (including in respect of the Existing Credit Agreements); or (B) declare and pay cash dividends with respect to the Equity Interests of the Company and its Subsidiaries.</w:t>
      </w:r>
    </w:p>
    <w:p>
      <w:pPr>
        <w:spacing w:after="0" w:line="164"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010000"/>
        </w:rPr>
        <w:t xml:space="preserve">Section 5.02 </w:t>
      </w:r>
      <w:r>
        <w:rPr>
          <w:rFonts w:ascii="Arial" w:cs="Arial" w:eastAsia="Arial" w:hAnsi="Arial"/>
          <w:sz w:val="18"/>
          <w:szCs w:val="18"/>
          <w:u w:val="single" w:color="auto"/>
          <w:color w:val="000000"/>
        </w:rPr>
        <w:t>Conduct of Buyer’s Business Pending the Closing</w:t>
      </w:r>
      <w:r>
        <w:rPr>
          <w:rFonts w:ascii="Arial" w:cs="Arial" w:eastAsia="Arial" w:hAnsi="Arial"/>
          <w:sz w:val="18"/>
          <w:szCs w:val="18"/>
          <w:color w:val="000000"/>
        </w:rPr>
        <w:t>. From the date hereof until the earlier of the Closing Date or the</w:t>
      </w:r>
      <w:r>
        <w:rPr>
          <w:rFonts w:ascii="Arial" w:cs="Arial" w:eastAsia="Arial" w:hAnsi="Arial"/>
          <w:sz w:val="18"/>
          <w:szCs w:val="18"/>
          <w:color w:val="010000"/>
        </w:rPr>
        <w:t xml:space="preserve"> </w:t>
      </w:r>
      <w:r>
        <w:rPr>
          <w:rFonts w:ascii="Arial" w:cs="Arial" w:eastAsia="Arial" w:hAnsi="Arial"/>
          <w:sz w:val="18"/>
          <w:szCs w:val="18"/>
          <w:color w:val="000000"/>
        </w:rPr>
        <w:t>termination of this Agreement, except (a) as set forth in Section 5.02 of the Disclosure Letter, (b) as required by applicable Law, (c) as otherwise contemplated by this Agreement or the other Transaction Documents, or (d) with the prior consent of Sellers (which consent shall not be unreasonably withheld, delayed or conditioned), the business of Buyer shall be conducted, in all material respects, in the Ordinary Course of Business; and Buyer shall not, other than in the Ordinary Course of Business:</w:t>
      </w:r>
    </w:p>
    <w:p>
      <w:pPr>
        <w:spacing w:after="0" w:line="191" w:lineRule="exact"/>
        <w:rPr>
          <w:sz w:val="20"/>
          <w:szCs w:val="20"/>
          <w:color w:val="auto"/>
        </w:rPr>
      </w:pPr>
    </w:p>
    <w:p>
      <w:pPr>
        <w:ind w:left="2420" w:hanging="477"/>
        <w:spacing w:after="0"/>
        <w:tabs>
          <w:tab w:leader="none" w:pos="2420" w:val="left"/>
        </w:tabs>
        <w:numPr>
          <w:ilvl w:val="0"/>
          <w:numId w:val="263"/>
        </w:numPr>
        <w:rPr>
          <w:rFonts w:ascii="Arial" w:cs="Arial" w:eastAsia="Arial" w:hAnsi="Arial"/>
          <w:sz w:val="18"/>
          <w:szCs w:val="18"/>
          <w:color w:val="010000"/>
        </w:rPr>
      </w:pPr>
      <w:r>
        <w:rPr>
          <w:rFonts w:ascii="Arial" w:cs="Arial" w:eastAsia="Arial" w:hAnsi="Arial"/>
          <w:sz w:val="18"/>
          <w:szCs w:val="18"/>
          <w:color w:val="auto"/>
        </w:rPr>
        <w:t>transfer, issue, sell, authorize, encumber, or dispose of any Equity Interests of Buyer;</w:t>
      </w:r>
    </w:p>
    <w:p>
      <w:pPr>
        <w:spacing w:after="0" w:line="223" w:lineRule="exact"/>
        <w:rPr>
          <w:rFonts w:ascii="Arial" w:cs="Arial" w:eastAsia="Arial" w:hAnsi="Arial"/>
          <w:sz w:val="18"/>
          <w:szCs w:val="18"/>
          <w:color w:val="010000"/>
        </w:rPr>
      </w:pPr>
    </w:p>
    <w:p>
      <w:pPr>
        <w:ind w:left="1300" w:firstLine="643"/>
        <w:spacing w:after="0" w:line="275" w:lineRule="auto"/>
        <w:tabs>
          <w:tab w:leader="none" w:pos="2693" w:val="left"/>
        </w:tabs>
        <w:numPr>
          <w:ilvl w:val="0"/>
          <w:numId w:val="263"/>
        </w:numPr>
        <w:rPr>
          <w:rFonts w:ascii="Arial" w:cs="Arial" w:eastAsia="Arial" w:hAnsi="Arial"/>
          <w:sz w:val="18"/>
          <w:szCs w:val="18"/>
          <w:color w:val="010000"/>
        </w:rPr>
      </w:pPr>
      <w:r>
        <w:rPr>
          <w:rFonts w:ascii="Arial" w:cs="Arial" w:eastAsia="Arial" w:hAnsi="Arial"/>
          <w:sz w:val="18"/>
          <w:szCs w:val="18"/>
          <w:color w:val="auto"/>
        </w:rPr>
        <w:t>grant any options, warrants, calls or other rights to purchase or otherwise acquire Equity Interests of, or any stock appreciation, phantom stock or other similar right with respect to, Buyer;</w:t>
      </w:r>
    </w:p>
    <w:p>
      <w:pPr>
        <w:spacing w:after="0" w:line="170" w:lineRule="exact"/>
        <w:rPr>
          <w:rFonts w:ascii="Arial" w:cs="Arial" w:eastAsia="Arial" w:hAnsi="Arial"/>
          <w:sz w:val="18"/>
          <w:szCs w:val="18"/>
          <w:color w:val="010000"/>
        </w:rPr>
      </w:pPr>
    </w:p>
    <w:p>
      <w:pPr>
        <w:ind w:left="1300" w:firstLine="643"/>
        <w:spacing w:after="0" w:line="275" w:lineRule="auto"/>
        <w:tabs>
          <w:tab w:leader="none" w:pos="2568" w:val="left"/>
        </w:tabs>
        <w:numPr>
          <w:ilvl w:val="0"/>
          <w:numId w:val="263"/>
        </w:numPr>
        <w:rPr>
          <w:rFonts w:ascii="Arial" w:cs="Arial" w:eastAsia="Arial" w:hAnsi="Arial"/>
          <w:sz w:val="18"/>
          <w:szCs w:val="18"/>
          <w:color w:val="010000"/>
        </w:rPr>
      </w:pPr>
      <w:r>
        <w:rPr>
          <w:rFonts w:ascii="Arial" w:cs="Arial" w:eastAsia="Arial" w:hAnsi="Arial"/>
          <w:sz w:val="18"/>
          <w:szCs w:val="18"/>
          <w:color w:val="auto"/>
        </w:rPr>
        <w:t>redeem, repurchase or otherwise acquire any outstanding Equity Interest of Buyer (other than consummation of the Buyer Stockholder Redemptions);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7" w:name="page328"/>
    <w:bookmarkEnd w:id="327"/>
    <w:p>
      <w:pPr>
        <w:ind w:left="100" w:firstLine="643"/>
        <w:spacing w:after="0" w:line="275" w:lineRule="auto"/>
        <w:tabs>
          <w:tab w:leader="none" w:pos="1465"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effect any recapitalization or any split, combination or reclassification of any Equity Securities of Buyer or any other similar change in the capitalization of Buyer;</w:t>
      </w:r>
    </w:p>
    <w:p>
      <w:pPr>
        <w:spacing w:after="0" w:line="170" w:lineRule="exact"/>
        <w:rPr>
          <w:rFonts w:ascii="Arial" w:cs="Arial" w:eastAsia="Arial" w:hAnsi="Arial"/>
          <w:sz w:val="18"/>
          <w:szCs w:val="18"/>
          <w:color w:val="010000"/>
        </w:rPr>
      </w:pPr>
    </w:p>
    <w:p>
      <w:pPr>
        <w:ind w:left="1260" w:hanging="517"/>
        <w:spacing w:after="0"/>
        <w:tabs>
          <w:tab w:leader="none" w:pos="1260"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adopt a plan of complete or partial liquidation, dissolution or other reorganization with respect to Buyer;</w:t>
      </w:r>
    </w:p>
    <w:p>
      <w:pPr>
        <w:spacing w:after="0" w:line="223" w:lineRule="exact"/>
        <w:rPr>
          <w:rFonts w:ascii="Arial" w:cs="Arial" w:eastAsia="Arial" w:hAnsi="Arial"/>
          <w:sz w:val="18"/>
          <w:szCs w:val="18"/>
          <w:color w:val="010000"/>
        </w:rPr>
      </w:pPr>
    </w:p>
    <w:p>
      <w:pPr>
        <w:ind w:left="1320" w:hanging="577"/>
        <w:spacing w:after="0"/>
        <w:tabs>
          <w:tab w:leader="none" w:pos="1320"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amend the Organizational Documents of Buyer;</w:t>
      </w:r>
    </w:p>
    <w:p>
      <w:pPr>
        <w:spacing w:after="0" w:line="223" w:lineRule="exact"/>
        <w:rPr>
          <w:rFonts w:ascii="Arial" w:cs="Arial" w:eastAsia="Arial" w:hAnsi="Arial"/>
          <w:sz w:val="18"/>
          <w:szCs w:val="18"/>
          <w:color w:val="010000"/>
        </w:rPr>
      </w:pPr>
    </w:p>
    <w:p>
      <w:pPr>
        <w:ind w:left="100" w:firstLine="643"/>
        <w:spacing w:after="0" w:line="275" w:lineRule="auto"/>
        <w:tabs>
          <w:tab w:leader="none" w:pos="1408"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make any material change in any method of accounting or accounting practice of Buyer, except as required by changes in GAAP, as agreed to by its independent public accountants;</w:t>
      </w:r>
    </w:p>
    <w:p>
      <w:pPr>
        <w:spacing w:after="0" w:line="170" w:lineRule="exact"/>
        <w:rPr>
          <w:rFonts w:ascii="Arial" w:cs="Arial" w:eastAsia="Arial" w:hAnsi="Arial"/>
          <w:sz w:val="18"/>
          <w:szCs w:val="18"/>
          <w:color w:val="010000"/>
        </w:rPr>
      </w:pPr>
    </w:p>
    <w:p>
      <w:pPr>
        <w:ind w:left="1420" w:hanging="677"/>
        <w:spacing w:after="0"/>
        <w:tabs>
          <w:tab w:leader="none" w:pos="1420"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merge or consolidate with any Person;</w:t>
      </w:r>
    </w:p>
    <w:p>
      <w:pPr>
        <w:spacing w:after="0" w:line="223" w:lineRule="exact"/>
        <w:rPr>
          <w:rFonts w:ascii="Arial" w:cs="Arial" w:eastAsia="Arial" w:hAnsi="Arial"/>
          <w:sz w:val="18"/>
          <w:szCs w:val="18"/>
          <w:color w:val="010000"/>
        </w:rPr>
      </w:pPr>
    </w:p>
    <w:p>
      <w:pPr>
        <w:ind w:left="1320" w:hanging="577"/>
        <w:spacing w:after="0"/>
        <w:tabs>
          <w:tab w:leader="none" w:pos="1320" w:val="left"/>
        </w:tabs>
        <w:numPr>
          <w:ilvl w:val="0"/>
          <w:numId w:val="264"/>
        </w:numPr>
        <w:rPr>
          <w:rFonts w:ascii="Arial" w:cs="Arial" w:eastAsia="Arial" w:hAnsi="Arial"/>
          <w:sz w:val="17"/>
          <w:szCs w:val="17"/>
          <w:color w:val="010000"/>
        </w:rPr>
      </w:pPr>
      <w:r>
        <w:rPr>
          <w:rFonts w:ascii="Arial" w:cs="Arial" w:eastAsia="Arial" w:hAnsi="Arial"/>
          <w:sz w:val="17"/>
          <w:szCs w:val="17"/>
          <w:color w:val="auto"/>
        </w:rPr>
        <w:t>sell, lease, sublease, mortgage, pledge or otherwise encumber or dispose of any of the properties or assets of Buyer;</w:t>
      </w:r>
    </w:p>
    <w:p>
      <w:pPr>
        <w:spacing w:after="0" w:line="234" w:lineRule="exact"/>
        <w:rPr>
          <w:rFonts w:ascii="Arial" w:cs="Arial" w:eastAsia="Arial" w:hAnsi="Arial"/>
          <w:sz w:val="17"/>
          <w:szCs w:val="17"/>
          <w:color w:val="010000"/>
        </w:rPr>
      </w:pPr>
    </w:p>
    <w:p>
      <w:pPr>
        <w:ind w:left="1260" w:hanging="517"/>
        <w:spacing w:after="0"/>
        <w:tabs>
          <w:tab w:leader="none" w:pos="1260"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engage in any new business activity;</w:t>
      </w:r>
    </w:p>
    <w:p>
      <w:pPr>
        <w:spacing w:after="0" w:line="223" w:lineRule="exact"/>
        <w:rPr>
          <w:rFonts w:ascii="Arial" w:cs="Arial" w:eastAsia="Arial" w:hAnsi="Arial"/>
          <w:sz w:val="18"/>
          <w:szCs w:val="18"/>
          <w:color w:val="010000"/>
        </w:rPr>
      </w:pPr>
    </w:p>
    <w:p>
      <w:pPr>
        <w:jc w:val="both"/>
        <w:ind w:left="100" w:firstLine="643"/>
        <w:spacing w:after="0" w:line="262" w:lineRule="auto"/>
        <w:tabs>
          <w:tab w:leader="none" w:pos="1559"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hire or change the terms of employment or engagement of any employee, independent contractor or other Person compensated to provide services to Buyer (other than any third party advisors retained by Buyer in connection with the Contemplated Transactions;</w:t>
      </w:r>
    </w:p>
    <w:p>
      <w:pPr>
        <w:spacing w:after="0" w:line="182" w:lineRule="exact"/>
        <w:rPr>
          <w:rFonts w:ascii="Arial" w:cs="Arial" w:eastAsia="Arial" w:hAnsi="Arial"/>
          <w:sz w:val="18"/>
          <w:szCs w:val="18"/>
          <w:color w:val="010000"/>
        </w:rPr>
      </w:pPr>
    </w:p>
    <w:p>
      <w:pPr>
        <w:ind w:left="100" w:right="20" w:firstLine="643"/>
        <w:spacing w:after="0" w:line="275" w:lineRule="auto"/>
        <w:tabs>
          <w:tab w:leader="none" w:pos="1421"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enter into any Contract limiting in any way the ability of Buyer to compete with any Person in any particular geographic location or line of business;</w:t>
      </w:r>
    </w:p>
    <w:p>
      <w:pPr>
        <w:spacing w:after="0" w:line="170" w:lineRule="exact"/>
        <w:rPr>
          <w:rFonts w:ascii="Arial" w:cs="Arial" w:eastAsia="Arial" w:hAnsi="Arial"/>
          <w:sz w:val="18"/>
          <w:szCs w:val="18"/>
          <w:color w:val="010000"/>
        </w:rPr>
      </w:pPr>
    </w:p>
    <w:p>
      <w:pPr>
        <w:ind w:left="1420" w:hanging="677"/>
        <w:spacing w:after="0"/>
        <w:tabs>
          <w:tab w:leader="none" w:pos="1420" w:val="left"/>
        </w:tabs>
        <w:numPr>
          <w:ilvl w:val="0"/>
          <w:numId w:val="264"/>
        </w:numPr>
        <w:rPr>
          <w:rFonts w:ascii="Arial" w:cs="Arial" w:eastAsia="Arial" w:hAnsi="Arial"/>
          <w:sz w:val="17"/>
          <w:szCs w:val="17"/>
          <w:color w:val="010000"/>
        </w:rPr>
      </w:pPr>
      <w:r>
        <w:rPr>
          <w:rFonts w:ascii="Arial" w:cs="Arial" w:eastAsia="Arial" w:hAnsi="Arial"/>
          <w:sz w:val="17"/>
          <w:szCs w:val="17"/>
          <w:color w:val="auto"/>
        </w:rPr>
        <w:t>declare, issue, make or pay any dividend or other distribution of assets in respect of any Equity Interests of Buyer;</w:t>
      </w:r>
    </w:p>
    <w:p>
      <w:pPr>
        <w:spacing w:after="0" w:line="234" w:lineRule="exact"/>
        <w:rPr>
          <w:rFonts w:ascii="Arial" w:cs="Arial" w:eastAsia="Arial" w:hAnsi="Arial"/>
          <w:sz w:val="17"/>
          <w:szCs w:val="17"/>
          <w:color w:val="010000"/>
        </w:rPr>
      </w:pPr>
    </w:p>
    <w:p>
      <w:pPr>
        <w:ind w:left="1400" w:hanging="657"/>
        <w:spacing w:after="0"/>
        <w:tabs>
          <w:tab w:leader="none" w:pos="1400"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of the Buyer Disclosure Letter, enter into any Related Party Contract;</w:t>
      </w:r>
    </w:p>
    <w:p>
      <w:pPr>
        <w:spacing w:after="0" w:line="223" w:lineRule="exact"/>
        <w:rPr>
          <w:rFonts w:ascii="Arial" w:cs="Arial" w:eastAsia="Arial" w:hAnsi="Arial"/>
          <w:sz w:val="18"/>
          <w:szCs w:val="18"/>
          <w:color w:val="010000"/>
        </w:rPr>
      </w:pPr>
    </w:p>
    <w:p>
      <w:pPr>
        <w:ind w:left="1380" w:hanging="637"/>
        <w:spacing w:after="0"/>
        <w:tabs>
          <w:tab w:leader="none" w:pos="1380" w:val="left"/>
        </w:tabs>
        <w:numPr>
          <w:ilvl w:val="0"/>
          <w:numId w:val="264"/>
        </w:numPr>
        <w:rPr>
          <w:rFonts w:ascii="Arial" w:cs="Arial" w:eastAsia="Arial" w:hAnsi="Arial"/>
          <w:sz w:val="16"/>
          <w:szCs w:val="16"/>
          <w:color w:val="010000"/>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of the Buyer Disclosure Letter, incur any indebtedness or guarantee the indebtedness of</w:t>
      </w:r>
    </w:p>
    <w:p>
      <w:pPr>
        <w:spacing w:after="0" w:line="45" w:lineRule="exact"/>
        <w:rPr>
          <w:rFonts w:ascii="Arial" w:cs="Arial" w:eastAsia="Arial" w:hAnsi="Arial"/>
          <w:sz w:val="16"/>
          <w:szCs w:val="16"/>
          <w:color w:val="010000"/>
        </w:rPr>
      </w:pPr>
    </w:p>
    <w:p>
      <w:pPr>
        <w:ind w:left="100"/>
        <w:spacing w:after="0"/>
        <w:rPr>
          <w:rFonts w:ascii="Arial" w:cs="Arial" w:eastAsia="Arial" w:hAnsi="Arial"/>
          <w:sz w:val="16"/>
          <w:szCs w:val="16"/>
          <w:color w:val="010000"/>
        </w:rPr>
      </w:pPr>
      <w:r>
        <w:rPr>
          <w:rFonts w:ascii="Arial" w:cs="Arial" w:eastAsia="Arial" w:hAnsi="Arial"/>
          <w:sz w:val="18"/>
          <w:szCs w:val="18"/>
          <w:color w:val="auto"/>
        </w:rPr>
        <w:t>any other Person;</w:t>
      </w:r>
    </w:p>
    <w:p>
      <w:pPr>
        <w:spacing w:after="0" w:line="208" w:lineRule="exact"/>
        <w:rPr>
          <w:rFonts w:ascii="Arial" w:cs="Arial" w:eastAsia="Arial" w:hAnsi="Arial"/>
          <w:sz w:val="16"/>
          <w:szCs w:val="16"/>
          <w:color w:val="010000"/>
        </w:rPr>
      </w:pPr>
    </w:p>
    <w:p>
      <w:pPr>
        <w:ind w:left="1400" w:hanging="657"/>
        <w:spacing w:after="0"/>
        <w:tabs>
          <w:tab w:leader="none" w:pos="1400"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commence, settle or compromise any Proceeding;</w:t>
      </w:r>
    </w:p>
    <w:p>
      <w:pPr>
        <w:spacing w:after="0" w:line="223" w:lineRule="exact"/>
        <w:rPr>
          <w:rFonts w:ascii="Arial" w:cs="Arial" w:eastAsia="Arial" w:hAnsi="Arial"/>
          <w:sz w:val="18"/>
          <w:szCs w:val="18"/>
          <w:color w:val="010000"/>
        </w:rPr>
      </w:pPr>
    </w:p>
    <w:p>
      <w:pPr>
        <w:ind w:left="1500" w:hanging="757"/>
        <w:spacing w:after="0"/>
        <w:tabs>
          <w:tab w:leader="none" w:pos="1500" w:val="left"/>
        </w:tabs>
        <w:numPr>
          <w:ilvl w:val="0"/>
          <w:numId w:val="264"/>
        </w:numPr>
        <w:rPr>
          <w:rFonts w:ascii="Arial" w:cs="Arial" w:eastAsia="Arial" w:hAnsi="Arial"/>
          <w:sz w:val="16"/>
          <w:szCs w:val="16"/>
          <w:color w:val="010000"/>
        </w:rPr>
      </w:pPr>
      <w:r>
        <w:rPr>
          <w:rFonts w:ascii="Arial" w:cs="Arial" w:eastAsia="Arial" w:hAnsi="Arial"/>
          <w:sz w:val="16"/>
          <w:szCs w:val="16"/>
          <w:color w:val="auto"/>
        </w:rPr>
        <w:t xml:space="preserve">take any action that would cause the representations and warranties of Buyer set forth in </w:t>
      </w: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to be untrue or</w:t>
      </w:r>
    </w:p>
    <w:p>
      <w:pPr>
        <w:spacing w:after="0" w:line="45" w:lineRule="exact"/>
        <w:rPr>
          <w:rFonts w:ascii="Arial" w:cs="Arial" w:eastAsia="Arial" w:hAnsi="Arial"/>
          <w:sz w:val="16"/>
          <w:szCs w:val="16"/>
          <w:color w:val="010000"/>
        </w:rPr>
      </w:pPr>
    </w:p>
    <w:p>
      <w:pPr>
        <w:ind w:left="100"/>
        <w:spacing w:after="0"/>
        <w:rPr>
          <w:rFonts w:ascii="Arial" w:cs="Arial" w:eastAsia="Arial" w:hAnsi="Arial"/>
          <w:sz w:val="16"/>
          <w:szCs w:val="16"/>
          <w:color w:val="010000"/>
        </w:rPr>
      </w:pPr>
      <w:r>
        <w:rPr>
          <w:rFonts w:ascii="Arial" w:cs="Arial" w:eastAsia="Arial" w:hAnsi="Arial"/>
          <w:sz w:val="18"/>
          <w:szCs w:val="18"/>
          <w:color w:val="auto"/>
        </w:rPr>
        <w:t>inaccurate; or</w:t>
      </w:r>
    </w:p>
    <w:p>
      <w:pPr>
        <w:spacing w:after="0" w:line="208" w:lineRule="exact"/>
        <w:rPr>
          <w:rFonts w:ascii="Arial" w:cs="Arial" w:eastAsia="Arial" w:hAnsi="Arial"/>
          <w:sz w:val="16"/>
          <w:szCs w:val="16"/>
          <w:color w:val="010000"/>
        </w:rPr>
      </w:pPr>
    </w:p>
    <w:p>
      <w:pPr>
        <w:ind w:left="1500" w:hanging="757"/>
        <w:spacing w:after="0"/>
        <w:tabs>
          <w:tab w:leader="none" w:pos="1500"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 xml:space="preserve">enter into any Contract to do anything prohibited by this </w:t>
      </w:r>
      <w:r>
        <w:rPr>
          <w:rFonts w:ascii="Arial" w:cs="Arial" w:eastAsia="Arial" w:hAnsi="Arial"/>
          <w:sz w:val="18"/>
          <w:szCs w:val="18"/>
          <w:u w:val="single" w:color="auto"/>
          <w:color w:val="auto"/>
        </w:rPr>
        <w:t>Section 5.02.</w:t>
      </w:r>
    </w:p>
    <w:p>
      <w:pPr>
        <w:spacing w:after="0" w:line="200" w:lineRule="exact"/>
        <w:rPr>
          <w:sz w:val="20"/>
          <w:szCs w:val="20"/>
          <w:color w:val="auto"/>
        </w:rPr>
      </w:pPr>
    </w:p>
    <w:p>
      <w:pPr>
        <w:spacing w:after="0" w:line="23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28" w:name="page329"/>
    <w:bookmarkEnd w:id="328"/>
    <w:p>
      <w:pPr>
        <w:ind w:left="100"/>
        <w:spacing w:after="0"/>
        <w:tabs>
          <w:tab w:leader="none" w:pos="1280" w:val="left"/>
        </w:tabs>
        <w:rPr>
          <w:sz w:val="20"/>
          <w:szCs w:val="20"/>
          <w:color w:val="auto"/>
        </w:rPr>
      </w:pPr>
      <w:r>
        <w:rPr>
          <w:rFonts w:ascii="Arial" w:cs="Arial" w:eastAsia="Arial" w:hAnsi="Arial"/>
          <w:sz w:val="18"/>
          <w:szCs w:val="18"/>
          <w:color w:val="010000"/>
        </w:rPr>
        <w:t>Section 5.03</w:t>
      </w:r>
      <w:r>
        <w:rPr>
          <w:sz w:val="20"/>
          <w:szCs w:val="20"/>
          <w:color w:val="auto"/>
        </w:rPr>
        <w:tab/>
      </w:r>
      <w:r>
        <w:rPr>
          <w:rFonts w:ascii="Arial" w:cs="Arial" w:eastAsia="Arial" w:hAnsi="Arial"/>
          <w:sz w:val="16"/>
          <w:szCs w:val="16"/>
          <w:u w:val="single" w:color="auto"/>
          <w:color w:val="auto"/>
        </w:rPr>
        <w:t>Access to Information</w:t>
      </w:r>
      <w:r>
        <w:rPr>
          <w:rFonts w:ascii="Arial" w:cs="Arial" w:eastAsia="Arial" w:hAnsi="Arial"/>
          <w:sz w:val="16"/>
          <w:szCs w:val="16"/>
          <w:color w:val="auto"/>
        </w:rPr>
        <w:t>.</w:t>
      </w:r>
    </w:p>
    <w:p>
      <w:pPr>
        <w:spacing w:after="0" w:line="223" w:lineRule="exact"/>
        <w:rPr>
          <w:sz w:val="20"/>
          <w:szCs w:val="20"/>
          <w:color w:val="auto"/>
        </w:rPr>
      </w:pPr>
    </w:p>
    <w:p>
      <w:pPr>
        <w:jc w:val="both"/>
        <w:ind w:left="-300" w:firstLine="640"/>
        <w:spacing w:after="0" w:line="266" w:lineRule="auto"/>
        <w:tabs>
          <w:tab w:leader="none" w:pos="911" w:val="left"/>
        </w:tabs>
        <w:numPr>
          <w:ilvl w:val="0"/>
          <w:numId w:val="265"/>
        </w:numPr>
        <w:rPr>
          <w:rFonts w:ascii="Arial" w:cs="Arial" w:eastAsia="Arial" w:hAnsi="Arial"/>
          <w:sz w:val="17"/>
          <w:szCs w:val="17"/>
          <w:color w:val="010000"/>
        </w:rPr>
      </w:pPr>
      <w:r>
        <w:rPr>
          <w:rFonts w:ascii="Arial" w:cs="Arial" w:eastAsia="Arial" w:hAnsi="Arial"/>
          <w:sz w:val="17"/>
          <w:szCs w:val="17"/>
          <w:color w:val="auto"/>
        </w:rPr>
        <w:t xml:space="preserve">From the date hereof until the Closing Date or, if earlier, termination of this Agreement, Sellers will (i) give, and will cause the Company and each of its Subsidiaries to give, Buyer and its Representatives such reasonable access, at reasonable times and during normal business hours, to the senior management, offices, properties, books and records of the Company and its Subsidiaries, as Buyer may reasonably request from time to time; and (i) furnish, and cause the Company and each of its Subsidiaries to furnish, to Buyer and its Representatives such financial and operating data and other information relating to the Company and its Subsidiaries, as Buyer may reasonably request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actions to be performed by Sellers, the Company or any of its Subsidiaries at the request of Buyer pursuant to this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shall be performed only following reasonable prior written notice from Buyer to Sellers, in such manner as not to interfere unreasonably with the conduct of the business and operations of the Company and its Subsidiaries, and so as not to unduly burden the management team or resources of the Company and its Subsidiaries (it being agreed that the terms of such access shall be based on reasonable access procedures specified by Sellers or, as applicable, customers or suppliers (after taking into account any proposals made by Buyer in such regard)); and (B) all out-of-pocket costs incurred by the Company and its Subsidiaries in connection with such actions shall be at the expense of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without the prior written consent of Sellers, Buyer and its Representatives shall not be entitled to any such access, information or documents the disclosure of which is restricted by any Law or Order applicable to any Seller, the Company or any of its Subsidiaries. Notwithstanding anything to the contrary set forth herein, Buyer is not authorized to and shall not (and shall cause its Affiliates and its and their respective Representatives not to) (s) contact any customer, supplier, or other material business relation of the Company or any of its Subsidiaries in connection with the Contemplated Transactions; and (y) perform invasive or subsurface investigations of the Premises, in each case, prior to the Closing without the prior written consent of Sellers, which may be withheld for any reason or no reason. Buyer shall, and shall cause its Affiliates and its and their respective Representatives to, abide by the terms of the Confidentiality Agreement with respect to such access and any information furnished to it, its Affiliates or its or any of their respective Representatives pursuant to this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In connection with the access rights granted by this </w:t>
      </w:r>
      <w:r>
        <w:rPr>
          <w:rFonts w:ascii="Arial" w:cs="Arial" w:eastAsia="Arial" w:hAnsi="Arial"/>
          <w:sz w:val="17"/>
          <w:szCs w:val="17"/>
          <w:u w:val="single" w:color="auto"/>
          <w:color w:val="auto"/>
        </w:rPr>
        <w:t>Section 5.03(a)</w:t>
      </w:r>
      <w:r>
        <w:rPr>
          <w:rFonts w:ascii="Arial" w:cs="Arial" w:eastAsia="Arial" w:hAnsi="Arial"/>
          <w:sz w:val="17"/>
          <w:szCs w:val="17"/>
          <w:color w:val="auto"/>
        </w:rPr>
        <w:t>, Buyer covenants and agrees, for itself and on behalf of its Affiliates, that, prior to Closing, it and they will not enter into any agreements with any officers, directors or employees of the Company or any of its Subsidiaries without Sellers’ prior written consent.</w:t>
      </w:r>
    </w:p>
    <w:p>
      <w:pPr>
        <w:spacing w:after="0" w:line="39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29" w:name="page330"/>
    <w:bookmarkEnd w:id="329"/>
    <w:p>
      <w:pPr>
        <w:jc w:val="both"/>
        <w:ind w:left="900" w:firstLine="640"/>
        <w:spacing w:after="0" w:line="284" w:lineRule="auto"/>
        <w:tabs>
          <w:tab w:leader="none" w:pos="2135" w:val="left"/>
        </w:tabs>
        <w:numPr>
          <w:ilvl w:val="0"/>
          <w:numId w:val="266"/>
        </w:numPr>
        <w:rPr>
          <w:rFonts w:ascii="Arial" w:cs="Arial" w:eastAsia="Arial" w:hAnsi="Arial"/>
          <w:sz w:val="16"/>
          <w:szCs w:val="16"/>
          <w:color w:val="010000"/>
        </w:rPr>
      </w:pPr>
      <w:r>
        <w:rPr>
          <w:rFonts w:ascii="Arial" w:cs="Arial" w:eastAsia="Arial" w:hAnsi="Arial"/>
          <w:sz w:val="16"/>
          <w:szCs w:val="16"/>
          <w:color w:val="auto"/>
        </w:rPr>
        <w:t xml:space="preserve">From the date hereof until the Closing Date or, if earlier, termination of this Agreement, Buyer will (i) give each Seller and its Representatives such reasonable access, at reasonable times and during normal business hours, to the senior management, offices, properties, books and records of Buyer, as such Seller may reasonably request from time to time; and (i) furnish to each Seller and its Representatives such financial and operating data and other information relating to Buyer, as such Seller may reasonably request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actions to be performed by Buyer at the request of any Seller pursuant to this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shall be performed only following reasonable prior written notice from such Seller to Buyer, in such manner as not to interfere unreasonably with the conduct of the business and operations of Buyer, and so as not to unduly burden the management team or resources of Buyer (it being agreed that the terms of such access shall be based on reasonable access procedures specified by Buyer); and (B) all out-of-pocket costs incurred by Buyer in connection with such actions shall be at the expense of such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without the prior written consent of Buyer, each Seller and its Representatives shall not be entitled to any such access, information or documents (1) to the extent that access to, or disclosure of, such information or documents would, pursuant to the advice of Buyer’s legal counsel, waive or jeopardize, or reasonably be expected to waive or jeopardize, the attorney-client privilege or the application of the attorney-work-product doctrine; (2) the disclosure of which is restricted by any Law or Order applicable to Buyer; or (3) the disclosure of which would violate the terms and conditions of any confidentiality or similar agreements between Buyer, on the one hand, and a Third Party, on the other hand. Each Seller shall, and shall cause its Affiliates and its and their respective Representatives to, abide by the terms of the Confidentiality Agreement as if such Seller was a party thereto with respect to such access and any information furnished to it, its Affiliates or its or any of their respective Representatives pursuant to this </w:t>
      </w:r>
      <w:r>
        <w:rPr>
          <w:rFonts w:ascii="Arial" w:cs="Arial" w:eastAsia="Arial" w:hAnsi="Arial"/>
          <w:sz w:val="16"/>
          <w:szCs w:val="16"/>
          <w:u w:val="single" w:color="auto"/>
          <w:color w:val="auto"/>
        </w:rPr>
        <w:t>Section 5.03(b)</w:t>
      </w:r>
      <w:r>
        <w:rPr>
          <w:rFonts w:ascii="Arial" w:cs="Arial" w:eastAsia="Arial" w:hAnsi="Arial"/>
          <w:sz w:val="16"/>
          <w:szCs w:val="16"/>
          <w:color w:val="auto"/>
        </w:rPr>
        <w:t>.</w:t>
      </w:r>
    </w:p>
    <w:p>
      <w:pPr>
        <w:spacing w:after="0" w:line="173" w:lineRule="exact"/>
        <w:rPr>
          <w:sz w:val="20"/>
          <w:szCs w:val="20"/>
          <w:color w:val="auto"/>
        </w:rPr>
      </w:pPr>
    </w:p>
    <w:p>
      <w:pPr>
        <w:jc w:val="both"/>
        <w:ind w:firstLine="1290"/>
        <w:spacing w:after="0" w:line="270" w:lineRule="auto"/>
        <w:rPr>
          <w:sz w:val="20"/>
          <w:szCs w:val="20"/>
          <w:color w:val="auto"/>
        </w:rPr>
      </w:pPr>
      <w:r>
        <w:rPr>
          <w:rFonts w:ascii="Arial" w:cs="Arial" w:eastAsia="Arial" w:hAnsi="Arial"/>
          <w:sz w:val="17"/>
          <w:szCs w:val="17"/>
          <w:color w:val="010000"/>
        </w:rPr>
        <w:t xml:space="preserve">Section 5.04 </w:t>
      </w:r>
      <w:r>
        <w:rPr>
          <w:rFonts w:ascii="Arial" w:cs="Arial" w:eastAsia="Arial" w:hAnsi="Arial"/>
          <w:sz w:val="17"/>
          <w:szCs w:val="17"/>
          <w:u w:val="single" w:color="auto"/>
          <w:color w:val="000000"/>
        </w:rPr>
        <w:t>Form 8-K Filings</w:t>
      </w:r>
      <w:r>
        <w:rPr>
          <w:rFonts w:ascii="Arial" w:cs="Arial" w:eastAsia="Arial" w:hAnsi="Arial"/>
          <w:sz w:val="17"/>
          <w:szCs w:val="17"/>
          <w:color w:val="000000"/>
        </w:rPr>
        <w:t>. Buyer and Sellers shall cooperate in good faith with respect to the preparation of, and as promptly as</w:t>
      </w:r>
      <w:r>
        <w:rPr>
          <w:rFonts w:ascii="Arial" w:cs="Arial" w:eastAsia="Arial" w:hAnsi="Arial"/>
          <w:sz w:val="17"/>
          <w:szCs w:val="17"/>
          <w:color w:val="010000"/>
        </w:rPr>
        <w:t xml:space="preserve"> </w:t>
      </w:r>
      <w:r>
        <w:rPr>
          <w:rFonts w:ascii="Arial" w:cs="Arial" w:eastAsia="Arial" w:hAnsi="Arial"/>
          <w:sz w:val="17"/>
          <w:szCs w:val="17"/>
          <w:color w:val="000000"/>
        </w:rPr>
        <w:t>practicable after the execution of this Agreement, Buyer shall file with the SEC, a Current Report on Form 8-K (the “</w:t>
      </w:r>
      <w:r>
        <w:rPr>
          <w:rFonts w:ascii="Arial" w:cs="Arial" w:eastAsia="Arial" w:hAnsi="Arial"/>
          <w:sz w:val="17"/>
          <w:szCs w:val="17"/>
          <w:u w:val="single" w:color="auto"/>
          <w:color w:val="000000"/>
        </w:rPr>
        <w:t>Signing Form 8-K</w:t>
      </w:r>
      <w:r>
        <w:rPr>
          <w:rFonts w:ascii="Arial" w:cs="Arial" w:eastAsia="Arial" w:hAnsi="Arial"/>
          <w:sz w:val="17"/>
          <w:szCs w:val="17"/>
          <w:color w:val="000000"/>
        </w:rPr>
        <w:t>”) pursuant to the Exchange Act to report the execution of this Agreement. Buyer and Sellers shall cooperate in good faith with respect to the preparation of, and at least five (5) days prior to the Closing, Buyer shall prepare a draft Form 8-K announcing the Closing, together with, or incorporating by reference, the required pro forma financial statements and the historical financial statements prepared by the Company and its accountant (the “</w:t>
      </w:r>
      <w:r>
        <w:rPr>
          <w:rFonts w:ascii="Arial" w:cs="Arial" w:eastAsia="Arial" w:hAnsi="Arial"/>
          <w:sz w:val="17"/>
          <w:szCs w:val="17"/>
          <w:u w:val="single" w:color="auto"/>
          <w:color w:val="000000"/>
        </w:rPr>
        <w:t>Transaction Form 8-K</w:t>
      </w:r>
      <w:r>
        <w:rPr>
          <w:rFonts w:ascii="Arial" w:cs="Arial" w:eastAsia="Arial" w:hAnsi="Arial"/>
          <w:sz w:val="17"/>
          <w:szCs w:val="17"/>
          <w:color w:val="000000"/>
        </w:rPr>
        <w:t>”). Prior to the Closing, Buyer and Sellers shall prepare the press release announcing the consummation of the Contemplated Transactions (the “</w:t>
      </w:r>
      <w:r>
        <w:rPr>
          <w:rFonts w:ascii="Arial" w:cs="Arial" w:eastAsia="Arial" w:hAnsi="Arial"/>
          <w:sz w:val="17"/>
          <w:szCs w:val="17"/>
          <w:u w:val="single" w:color="auto"/>
          <w:color w:val="000000"/>
        </w:rPr>
        <w:t>Press Release</w:t>
      </w:r>
      <w:r>
        <w:rPr>
          <w:rFonts w:ascii="Arial" w:cs="Arial" w:eastAsia="Arial" w:hAnsi="Arial"/>
          <w:sz w:val="17"/>
          <w:szCs w:val="17"/>
          <w:color w:val="000000"/>
        </w:rPr>
        <w:t>”). Concurrently with the Closing, Buyer shall file the Transaction Form 8-K with the SEC and distribute the Press Release. Each of the Signing Form 8-K and the Transaction Form 8-K so filed and the Press Release so distributed shall be in a form mutually agreed by Sellers and Buyer.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30" w:name="page331"/>
    <w:bookmarkEnd w:id="330"/>
    <w:p>
      <w:pPr>
        <w:ind w:left="100"/>
        <w:spacing w:after="0"/>
        <w:tabs>
          <w:tab w:leader="none" w:pos="1280" w:val="left"/>
        </w:tabs>
        <w:rPr>
          <w:sz w:val="20"/>
          <w:szCs w:val="20"/>
          <w:color w:val="auto"/>
        </w:rPr>
      </w:pPr>
      <w:r>
        <w:rPr>
          <w:rFonts w:ascii="Arial" w:cs="Arial" w:eastAsia="Arial" w:hAnsi="Arial"/>
          <w:sz w:val="18"/>
          <w:szCs w:val="18"/>
          <w:color w:val="010000"/>
        </w:rPr>
        <w:t>Section 5.05</w:t>
      </w:r>
      <w:r>
        <w:rPr>
          <w:sz w:val="20"/>
          <w:szCs w:val="20"/>
          <w:color w:val="auto"/>
        </w:rPr>
        <w:tab/>
      </w:r>
      <w:r>
        <w:rPr>
          <w:rFonts w:ascii="Arial" w:cs="Arial" w:eastAsia="Arial" w:hAnsi="Arial"/>
          <w:sz w:val="16"/>
          <w:szCs w:val="16"/>
          <w:u w:val="single" w:color="auto"/>
          <w:color w:val="auto"/>
        </w:rPr>
        <w:t>Proxy Statement; Buyer Stockholders’ Meeting</w:t>
      </w:r>
      <w:r>
        <w:rPr>
          <w:rFonts w:ascii="Arial" w:cs="Arial" w:eastAsia="Arial" w:hAnsi="Arial"/>
          <w:sz w:val="16"/>
          <w:szCs w:val="16"/>
          <w:color w:val="auto"/>
        </w:rPr>
        <w:t>.</w:t>
      </w:r>
    </w:p>
    <w:p>
      <w:pPr>
        <w:spacing w:after="0" w:line="223" w:lineRule="exact"/>
        <w:rPr>
          <w:sz w:val="20"/>
          <w:szCs w:val="20"/>
          <w:color w:val="auto"/>
        </w:rPr>
      </w:pPr>
    </w:p>
    <w:p>
      <w:pPr>
        <w:jc w:val="both"/>
        <w:ind w:left="-300" w:firstLine="640"/>
        <w:spacing w:after="0" w:line="282" w:lineRule="auto"/>
        <w:tabs>
          <w:tab w:leader="none" w:pos="871" w:val="left"/>
        </w:tabs>
        <w:numPr>
          <w:ilvl w:val="0"/>
          <w:numId w:val="267"/>
        </w:numPr>
        <w:rPr>
          <w:rFonts w:ascii="Arial" w:cs="Arial" w:eastAsia="Arial" w:hAnsi="Arial"/>
          <w:sz w:val="16"/>
          <w:szCs w:val="16"/>
          <w:color w:val="010000"/>
        </w:rPr>
      </w:pPr>
      <w:r>
        <w:rPr>
          <w:rFonts w:ascii="Arial" w:cs="Arial" w:eastAsia="Arial" w:hAnsi="Arial"/>
          <w:sz w:val="16"/>
          <w:szCs w:val="16"/>
          <w:color w:val="auto"/>
        </w:rPr>
        <w:t>As promptly as reasonably practicable after the date hereof, Buyer shall prepare and file a proxy statement of Buyer with the SEC (as such filing is amended or supplemented,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for the purposes of (i) providing the Buyer Stockholders with the opportunity to redeem their Buyer Issued Securities in connection with the Contemplated Transactions and (ii) soliciting proxies from the Buyer Stockholders to obtain the requisite approval of the Contemplated Transactions and the other matters to be voted on at a meeting of the Buyer Common Shares to be called and held for such purpose (the “</w:t>
      </w:r>
      <w:r>
        <w:rPr>
          <w:rFonts w:ascii="Arial" w:cs="Arial" w:eastAsia="Arial" w:hAnsi="Arial"/>
          <w:sz w:val="16"/>
          <w:szCs w:val="16"/>
          <w:u w:val="single" w:color="auto"/>
          <w:color w:val="auto"/>
        </w:rPr>
        <w:t>Buyer Stockholders Meeting</w:t>
      </w:r>
      <w:r>
        <w:rPr>
          <w:rFonts w:ascii="Arial" w:cs="Arial" w:eastAsia="Arial" w:hAnsi="Arial"/>
          <w:sz w:val="16"/>
          <w:szCs w:val="16"/>
          <w:color w:val="auto"/>
        </w:rPr>
        <w:t>”). The Proxy Statement, the Extension Proxy Statement, if any, and any Other Filings so filed shall be in a form mutually agreed by Sellers and Buyer. As promptly as practicable following the execution hereof, Buyer shall prepare and file any other filings required under the Exchange Act, the Securities Act or any other Laws relating to the Contemplated Transactions (the “</w:t>
      </w:r>
      <w:r>
        <w:rPr>
          <w:rFonts w:ascii="Arial" w:cs="Arial" w:eastAsia="Arial" w:hAnsi="Arial"/>
          <w:sz w:val="16"/>
          <w:szCs w:val="16"/>
          <w:u w:val="single" w:color="auto"/>
          <w:color w:val="auto"/>
        </w:rPr>
        <w:t>Other Filings</w:t>
      </w:r>
      <w:r>
        <w:rPr>
          <w:rFonts w:ascii="Arial" w:cs="Arial" w:eastAsia="Arial" w:hAnsi="Arial"/>
          <w:sz w:val="16"/>
          <w:szCs w:val="16"/>
          <w:color w:val="auto"/>
        </w:rPr>
        <w:t>”). Buyer shall notify Sellers promptly upon the receipt of any comments from the SEC or its staff and of any request by the SEC or its staff or any other Governmental Authority for amendments or supplements to the Proxy Statement or any Other Filing or for additional information. As promptly as practicable after receipt thereof, Buyer shall provide Sellers and their counsel with copies of all written correspondence between Buyer or any of its Representatives, on the one hand, and the SEC, or its staff or other governmental officials, on the other hand, with respect to the Proxy Statement or any Other Filing. Buyer shall permit Sellers and their counsel to review the Proxy Statement and any exhibits, amendments or supplements thereto and shall consult with Sellers and their Representatives concerning any comments from the SEC with respect thereto and shall not file the Proxy Statement or any exhibits, amendment or supplement thereto or any response letters to any comments from the SEC without the prior written consent of Sellers in their sole discretion. Buyer shall cause that each of the Proxy Statement and any Other Filing will comply as to form and substance with the requirements of all applicable Law and SEC Guidance. Buyer shall cause the Proxy Statement not to include, to the Knowledge of Buyer, as of the date the Proxy Statement is first mailed to the Buyer Stockholders, and as of the time of the Buyer Stockholders Meeting, any untrue statement of a material fact or omission of a statement of a material fact necessary in order to make the statements therein, in the light of the circumstances under which they were made, not misleading. Sellers shall each confirm in writing to Buyer, as of the date of mailing the Proxy Statement to the Buyer Stockholders, that the information relating to the Company and its Subsidiaries contained in the Proxy Statement does not, to the Knowledge of Sellers, contain any untrue statement of material fact or omit to state a material fact necessary in order to make the statements made, in the light of the circumstances under which they were made, not misleading. After the Proxy Statement is first mailed to the Buyer Stockholders, if any event occurs which would reasonably be expected to result in the Proxy Statement containing any untrue statement of a material fact or omitting to state a material fact necessary in order to make the statements made, in light of the circumstances under which they are made, not misleading, Buyer or Sellers, as the case may be, shall promptly inform the other Party of such occurrence and cooperate in filing with the SEC or its staff or any other government officials, and/or mailing to the Buyer Stockholders, an amendment or supplement to the Proxy Statement.</w:t>
      </w:r>
    </w:p>
    <w:p>
      <w:pPr>
        <w:spacing w:after="0" w:line="200" w:lineRule="exact"/>
        <w:rPr>
          <w:sz w:val="20"/>
          <w:szCs w:val="20"/>
          <w:color w:val="auto"/>
        </w:rPr>
      </w:pPr>
    </w:p>
    <w:p>
      <w:pPr>
        <w:spacing w:after="0" w:line="20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31" w:name="page332"/>
    <w:bookmarkEnd w:id="331"/>
    <w:p>
      <w:pPr>
        <w:jc w:val="both"/>
        <w:ind w:left="5" w:firstLine="640"/>
        <w:spacing w:after="0" w:line="282" w:lineRule="auto"/>
        <w:tabs>
          <w:tab w:leader="none" w:pos="1173" w:val="left"/>
        </w:tabs>
        <w:numPr>
          <w:ilvl w:val="1"/>
          <w:numId w:val="268"/>
        </w:numPr>
        <w:rPr>
          <w:rFonts w:ascii="Arial" w:cs="Arial" w:eastAsia="Arial" w:hAnsi="Arial"/>
          <w:sz w:val="16"/>
          <w:szCs w:val="16"/>
          <w:color w:val="010000"/>
        </w:rPr>
      </w:pPr>
      <w:r>
        <w:rPr>
          <w:rFonts w:ascii="Arial" w:cs="Arial" w:eastAsia="Arial" w:hAnsi="Arial"/>
          <w:sz w:val="16"/>
          <w:szCs w:val="16"/>
          <w:color w:val="auto"/>
        </w:rPr>
        <w:t>As promptly as reasonably practicable following the expiration of the waiting period in Rule 14a-6(a) under the Exchange Act, or, in the event the preliminary Proxy Statement is reviewed by the SEC, receipt of oral or written notification of the completion of the review by the SEC, Buyer shall establish a record date (which date shall be approved by the Sellers, such approval not to be unreasonably withheld, delayed or conditioned) for, duly call, give notice of, convene and hold the Buyer Stockholders Meeting for the purpose of obtaining the affirmative vote of a majority of the outstanding Buyer Common Shares as of the record date for the Buyer Stockholders Meeting approving the Buyer Board Recommendation (the “</w:t>
      </w:r>
      <w:r>
        <w:rPr>
          <w:rFonts w:ascii="Arial" w:cs="Arial" w:eastAsia="Arial" w:hAnsi="Arial"/>
          <w:sz w:val="16"/>
          <w:szCs w:val="16"/>
          <w:u w:val="single" w:color="auto"/>
          <w:color w:val="auto"/>
        </w:rPr>
        <w:t>Buyer Stockholder Approval</w:t>
      </w:r>
      <w:r>
        <w:rPr>
          <w:rFonts w:ascii="Arial" w:cs="Arial" w:eastAsia="Arial" w:hAnsi="Arial"/>
          <w:sz w:val="16"/>
          <w:szCs w:val="16"/>
          <w:color w:val="auto"/>
        </w:rPr>
        <w:t>”). The Buyer Stockholders Meeting shall be held not more than 30 days after the date on which Buyer mails the Proxy Statement to the Buyer Stockholders. Buyer shall use its reasonably best efforts to obtain the Buyer Stockholder Approval, including by soliciting proxies as promptly as practicable in accordance with applicable Law for the purpose of seeking the Buyer Stockholder Approval. Subject to the following sentence, Buyer shall, through the board of directors of Buyer (the “</w:t>
      </w:r>
      <w:r>
        <w:rPr>
          <w:rFonts w:ascii="Arial" w:cs="Arial" w:eastAsia="Arial" w:hAnsi="Arial"/>
          <w:sz w:val="16"/>
          <w:szCs w:val="16"/>
          <w:u w:val="single" w:color="auto"/>
          <w:color w:val="auto"/>
        </w:rPr>
        <w:t>Buyer Board</w:t>
      </w:r>
      <w:r>
        <w:rPr>
          <w:rFonts w:ascii="Arial" w:cs="Arial" w:eastAsia="Arial" w:hAnsi="Arial"/>
          <w:sz w:val="16"/>
          <w:szCs w:val="16"/>
          <w:color w:val="auto"/>
        </w:rPr>
        <w:t>”), recommend to the Buyer Stockholders that they vote in favor of (i) the adoption of this Agreement and approval of the Contemplated Transactions, including an increase in the authorized number of shares of Common Stock and the issuance of the Consideration Shares to Sellers in accordance with the terms hereof, (ii) the amendment and restatement of the certificate of incorporation of Buyer in the form of the A&amp;R Buyer Charter and, to the extent a vote of stockholders is necessary, the amendment and restatement of the by-laws of Buyer in the form of the Buyer A&amp;R By-laws,</w:t>
      </w:r>
    </w:p>
    <w:p>
      <w:pPr>
        <w:jc w:val="both"/>
        <w:ind w:left="5" w:hanging="5"/>
        <w:spacing w:after="0" w:line="282" w:lineRule="auto"/>
        <w:tabs>
          <w:tab w:leader="none" w:pos="356"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adoption of the Earnout Incentive Plan, and (iv) any other proposals the Parties deem necessary or advisable to consummate the Contemplated Transactions (the “</w:t>
      </w:r>
      <w:r>
        <w:rPr>
          <w:rFonts w:ascii="Arial" w:cs="Arial" w:eastAsia="Arial" w:hAnsi="Arial"/>
          <w:sz w:val="16"/>
          <w:szCs w:val="16"/>
          <w:u w:val="single" w:color="auto"/>
          <w:color w:val="auto"/>
        </w:rPr>
        <w:t>Buyer Board Recommendation</w:t>
      </w:r>
      <w:r>
        <w:rPr>
          <w:rFonts w:ascii="Arial" w:cs="Arial" w:eastAsia="Arial" w:hAnsi="Arial"/>
          <w:sz w:val="16"/>
          <w:szCs w:val="16"/>
          <w:color w:val="auto"/>
        </w:rPr>
        <w:t>”), and Buyer shall include the Buyer Board Recommendation in the Proxy Statement. The Buyer Board shall not (and no committee or subgroup thereof shall) change, withdraw, withhold, qualify or modify, or publicly propose to change, withdraw, withhold, qualify or modify, the Buyer Board Recommendation (any such change, withdrawal, withholding, qualification, modification or proposal, a “</w:t>
      </w:r>
      <w:r>
        <w:rPr>
          <w:rFonts w:ascii="Arial" w:cs="Arial" w:eastAsia="Arial" w:hAnsi="Arial"/>
          <w:sz w:val="16"/>
          <w:szCs w:val="16"/>
          <w:u w:val="single" w:color="auto"/>
          <w:color w:val="auto"/>
        </w:rPr>
        <w:t>Change in Recommendation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Buyer’s obligations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5.06</w:t>
      </w:r>
      <w:r>
        <w:rPr>
          <w:rFonts w:ascii="Arial" w:cs="Arial" w:eastAsia="Arial" w:hAnsi="Arial"/>
          <w:sz w:val="16"/>
          <w:szCs w:val="16"/>
          <w:color w:val="auto"/>
        </w:rPr>
        <w:t>, the Buyer Board may make a Change in Recommendation if it determines in good faith, after consultation with and being advised by outside legal counsel, that a failure to make a Change in Recommendation would reasonably be expected to constitute a breach by the Buyer Board of its fiduciary obligations to the Buyer Stockholders under applicable Law. Buyer agrees that its obligation to establish a record date for, duly call, give notice of, convene and hold the Buyer Stockholders Meeting for the purpose of seeking the Buyer Stockholder Approval shall not be affected by any Change of Recommendation, and Buyer agrees to establish a record date for, duly call, give notice of, convene and hold the Buyer Stockholders Meeting and submit for the approval of the Buyer Stockholders the matters contemplated by the Proxy Statement, regardless of whether or not there shall be a Change in Recommendation. Notwithstanding anything herein to the contrary, Buyer shall be entitled to postpone or adjourn the Buyer Stockholders Meeting (A) to ensure that any supplement or amendment to the Proxy Statement that the Buyer Board has determined in good faith is required by applicable Law is disclosed to the Buyer Stockholders and for such supplement or amendment to be promptly disseminated to the Buyer Stockholders prior to the Buyer Stockholders Meeting, (B) if, as of the time for which the Buyer Stockholders Meeting is originally scheduled (as set forth in the Proxy Statement), there are insufficient Buyer Common Shares represented (either in person or by proxy) to constitute a quorum necessary to conduct the business to be conducted at the Buyer Stockholders Meeting or (C) by up to 10 Business Days in order to solicit additional proxies from Buyer Stockholders for the purpose of obtaining the Buyer Stockholder Approval; provided, that in the event of a postponement or adjournment pursuant to clauses (A) or (B) above, the Buyer Stockholders Meeting shall be reconvened as promptly as practicable following such time as the matters described in such clauses have been resolved, and in no event shall the Buyer Stockholders Meeting be reconvened on a date that is later than five (5) Business Days prior to the Termination Date.</w:t>
      </w:r>
    </w:p>
    <w:p>
      <w:pPr>
        <w:spacing w:after="0" w:line="393" w:lineRule="exact"/>
        <w:rPr>
          <w:sz w:val="20"/>
          <w:szCs w:val="20"/>
          <w:color w:val="auto"/>
        </w:rPr>
      </w:pPr>
    </w:p>
    <w:p>
      <w:pPr>
        <w:ind w:left="4645"/>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7247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525"/>
          </w:cols>
          <w:pgMar w:left="1135" w:top="905" w:right="239" w:bottom="1440" w:gutter="0" w:footer="0" w:header="0"/>
        </w:sectPr>
      </w:pPr>
    </w:p>
    <w:bookmarkStart w:id="332" w:name="page333"/>
    <w:bookmarkEnd w:id="332"/>
    <w:p>
      <w:pPr>
        <w:jc w:val="both"/>
        <w:ind w:firstLine="1290"/>
        <w:spacing w:after="0" w:line="255" w:lineRule="auto"/>
        <w:rPr>
          <w:sz w:val="20"/>
          <w:szCs w:val="20"/>
          <w:color w:val="auto"/>
        </w:rPr>
      </w:pPr>
      <w:r>
        <w:rPr>
          <w:rFonts w:ascii="Arial" w:cs="Arial" w:eastAsia="Arial" w:hAnsi="Arial"/>
          <w:sz w:val="18"/>
          <w:szCs w:val="18"/>
          <w:color w:val="010000"/>
        </w:rPr>
        <w:t xml:space="preserve">Section 5.06 </w:t>
      </w:r>
      <w:r>
        <w:rPr>
          <w:rFonts w:ascii="Arial" w:cs="Arial" w:eastAsia="Arial" w:hAnsi="Arial"/>
          <w:sz w:val="18"/>
          <w:szCs w:val="18"/>
          <w:u w:val="single" w:color="auto"/>
          <w:color w:val="000000"/>
        </w:rPr>
        <w:t>Exclusivity</w:t>
      </w:r>
      <w:r>
        <w:rPr>
          <w:rFonts w:ascii="Arial" w:cs="Arial" w:eastAsia="Arial" w:hAnsi="Arial"/>
          <w:sz w:val="18"/>
          <w:szCs w:val="18"/>
          <w:color w:val="000000"/>
        </w:rPr>
        <w:t>. Between the date hereof and the Closing, neither Buyer nor any Seller shall take, nor shall such Party permit</w:t>
      </w:r>
      <w:r>
        <w:rPr>
          <w:rFonts w:ascii="Arial" w:cs="Arial" w:eastAsia="Arial" w:hAnsi="Arial"/>
          <w:sz w:val="18"/>
          <w:szCs w:val="18"/>
          <w:color w:val="010000"/>
        </w:rPr>
        <w:t xml:space="preserve"> </w:t>
      </w:r>
      <w:r>
        <w:rPr>
          <w:rFonts w:ascii="Arial" w:cs="Arial" w:eastAsia="Arial" w:hAnsi="Arial"/>
          <w:sz w:val="18"/>
          <w:szCs w:val="18"/>
          <w:color w:val="000000"/>
        </w:rPr>
        <w:t>any of its Affiliates or Representatives to take, any action to solicit, encourage, initiate or engage in any discussions or negotiations with, or provide any information to or enter into any Contract with any Person (other than the other Parties) concerning, in the case of Buyer, any Business Combination, and in the case of any Seller, any merger or purchase of all or substantially all of the Equity Securities or assets of the Company and its Subsidiaries, taken as a whole, to any other Person (other than Buyer).</w:t>
      </w:r>
    </w:p>
    <w:p>
      <w:pPr>
        <w:spacing w:after="0" w:line="191" w:lineRule="exact"/>
        <w:rPr>
          <w:sz w:val="20"/>
          <w:szCs w:val="20"/>
          <w:color w:val="auto"/>
        </w:rPr>
      </w:pPr>
    </w:p>
    <w:p>
      <w:pPr>
        <w:jc w:val="both"/>
        <w:ind w:firstLine="1290"/>
        <w:spacing w:after="0" w:line="310" w:lineRule="auto"/>
        <w:rPr>
          <w:sz w:val="20"/>
          <w:szCs w:val="20"/>
          <w:color w:val="auto"/>
        </w:rPr>
      </w:pPr>
      <w:r>
        <w:rPr>
          <w:rFonts w:ascii="Arial" w:cs="Arial" w:eastAsia="Arial" w:hAnsi="Arial"/>
          <w:sz w:val="16"/>
          <w:szCs w:val="16"/>
          <w:color w:val="010000"/>
        </w:rPr>
        <w:t xml:space="preserve">Section 5.07 </w:t>
      </w:r>
      <w:r>
        <w:rPr>
          <w:rFonts w:ascii="Arial" w:cs="Arial" w:eastAsia="Arial" w:hAnsi="Arial"/>
          <w:sz w:val="16"/>
          <w:szCs w:val="16"/>
          <w:u w:val="single" w:color="auto"/>
          <w:color w:val="000000"/>
        </w:rPr>
        <w:t>Listing</w:t>
      </w:r>
      <w:r>
        <w:rPr>
          <w:rFonts w:ascii="Arial" w:cs="Arial" w:eastAsia="Arial" w:hAnsi="Arial"/>
          <w:sz w:val="16"/>
          <w:szCs w:val="16"/>
          <w:color w:val="000000"/>
        </w:rPr>
        <w:t>. Buyer shall (a) cause the Consideration Shares to be approved for listing on and tradable over NASDAQ on a tier</w:t>
      </w:r>
      <w:r>
        <w:rPr>
          <w:rFonts w:ascii="Arial" w:cs="Arial" w:eastAsia="Arial" w:hAnsi="Arial"/>
          <w:sz w:val="16"/>
          <w:szCs w:val="16"/>
          <w:color w:val="010000"/>
        </w:rPr>
        <w:t xml:space="preserve"> </w:t>
      </w:r>
      <w:r>
        <w:rPr>
          <w:rFonts w:ascii="Arial" w:cs="Arial" w:eastAsia="Arial" w:hAnsi="Arial"/>
          <w:sz w:val="16"/>
          <w:szCs w:val="16"/>
          <w:color w:val="000000"/>
        </w:rPr>
        <w:t xml:space="preserve">no lower than the Buyer Common Shares trade on the date hereof, (b) cause the Buyer Common Shares and the Buyer Public Warrants to remain listed on NASDAQ from and after the date hereof until the earlier of the Closing Date and the termination of this Agreement in accordance with </w:t>
      </w:r>
      <w:r>
        <w:rPr>
          <w:rFonts w:ascii="Arial" w:cs="Arial" w:eastAsia="Arial" w:hAnsi="Arial"/>
          <w:sz w:val="16"/>
          <w:szCs w:val="16"/>
          <w:u w:val="single" w:color="auto"/>
          <w:color w:val="000000"/>
        </w:rPr>
        <w:t>Article VII</w:t>
      </w:r>
      <w:r>
        <w:rPr>
          <w:rFonts w:ascii="Arial" w:cs="Arial" w:eastAsia="Arial" w:hAnsi="Arial"/>
          <w:sz w:val="16"/>
          <w:szCs w:val="16"/>
          <w:color w:val="000000"/>
        </w:rPr>
        <w:t>.</w:t>
      </w:r>
    </w:p>
    <w:p>
      <w:pPr>
        <w:spacing w:after="0" w:line="147"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5.08 </w:t>
      </w:r>
      <w:r>
        <w:rPr>
          <w:rFonts w:ascii="Arial" w:cs="Arial" w:eastAsia="Arial" w:hAnsi="Arial"/>
          <w:sz w:val="18"/>
          <w:szCs w:val="18"/>
          <w:u w:val="single" w:color="auto"/>
          <w:color w:val="000000"/>
        </w:rPr>
        <w:t>Related Party Contracts</w:t>
      </w:r>
      <w:r>
        <w:rPr>
          <w:rFonts w:ascii="Arial" w:cs="Arial" w:eastAsia="Arial" w:hAnsi="Arial"/>
          <w:sz w:val="18"/>
          <w:szCs w:val="18"/>
          <w:color w:val="000000"/>
        </w:rPr>
        <w:t>. Except as expressly provided herein, Buyer shall cause, effective as of the Closing, each</w:t>
      </w:r>
      <w:r>
        <w:rPr>
          <w:rFonts w:ascii="Arial" w:cs="Arial" w:eastAsia="Arial" w:hAnsi="Arial"/>
          <w:sz w:val="18"/>
          <w:szCs w:val="18"/>
          <w:color w:val="010000"/>
        </w:rPr>
        <w:t xml:space="preserve"> </w:t>
      </w:r>
      <w:r>
        <w:rPr>
          <w:rFonts w:ascii="Arial" w:cs="Arial" w:eastAsia="Arial" w:hAnsi="Arial"/>
          <w:sz w:val="18"/>
          <w:szCs w:val="18"/>
          <w:color w:val="000000"/>
        </w:rPr>
        <w:t>outstanding Related Party Contract to be terminated, without any post-Closing liability or obligation of Buyer, the Company, any of its Subsidiaries or any of their respective Affiliates, as applicable, thereunder.</w:t>
      </w:r>
    </w:p>
    <w:p>
      <w:pPr>
        <w:spacing w:after="0" w:line="182" w:lineRule="exact"/>
        <w:rPr>
          <w:sz w:val="20"/>
          <w:szCs w:val="20"/>
          <w:color w:val="auto"/>
        </w:rPr>
      </w:pPr>
    </w:p>
    <w:p>
      <w:pPr>
        <w:jc w:val="both"/>
        <w:ind w:firstLine="1290"/>
        <w:spacing w:after="0" w:line="287" w:lineRule="auto"/>
        <w:rPr>
          <w:sz w:val="20"/>
          <w:szCs w:val="20"/>
          <w:color w:val="auto"/>
        </w:rPr>
      </w:pPr>
      <w:r>
        <w:rPr>
          <w:rFonts w:ascii="Arial" w:cs="Arial" w:eastAsia="Arial" w:hAnsi="Arial"/>
          <w:sz w:val="16"/>
          <w:szCs w:val="16"/>
          <w:color w:val="010000"/>
        </w:rPr>
        <w:t xml:space="preserve">Section 5.09 </w:t>
      </w:r>
      <w:r>
        <w:rPr>
          <w:rFonts w:ascii="Arial" w:cs="Arial" w:eastAsia="Arial" w:hAnsi="Arial"/>
          <w:sz w:val="16"/>
          <w:szCs w:val="16"/>
          <w:u w:val="single" w:color="auto"/>
          <w:color w:val="000000"/>
        </w:rPr>
        <w:t>Updates to the Disclosure Letter</w:t>
      </w:r>
      <w:r>
        <w:rPr>
          <w:rFonts w:ascii="Arial" w:cs="Arial" w:eastAsia="Arial" w:hAnsi="Arial"/>
          <w:sz w:val="16"/>
          <w:szCs w:val="16"/>
          <w:color w:val="000000"/>
        </w:rPr>
        <w:t>. From the date hereof through the Closing, Sellers shall have the right (but not the</w:t>
      </w:r>
      <w:r>
        <w:rPr>
          <w:rFonts w:ascii="Arial" w:cs="Arial" w:eastAsia="Arial" w:hAnsi="Arial"/>
          <w:sz w:val="16"/>
          <w:szCs w:val="16"/>
          <w:color w:val="010000"/>
        </w:rPr>
        <w:t xml:space="preserve"> </w:t>
      </w:r>
      <w:r>
        <w:rPr>
          <w:rFonts w:ascii="Arial" w:cs="Arial" w:eastAsia="Arial" w:hAnsi="Arial"/>
          <w:sz w:val="16"/>
          <w:szCs w:val="16"/>
          <w:color w:val="000000"/>
        </w:rPr>
        <w:t xml:space="preserve">obligation) to supplement or amend, by written notice delivered to Buyer, the Disclosure Letter, if and to the extent applicable, with respect to any matter hereafter arising or of which Sellers becomes aware after the date hereof. In such event, unless such event would be reasonably expected to have, individually or in the aggregate with the events described in other written notices previously delivered to Buyer pursuant to this </w:t>
      </w:r>
      <w:r>
        <w:rPr>
          <w:rFonts w:ascii="Arial" w:cs="Arial" w:eastAsia="Arial" w:hAnsi="Arial"/>
          <w:sz w:val="16"/>
          <w:szCs w:val="16"/>
          <w:u w:val="single" w:color="auto"/>
          <w:color w:val="000000"/>
        </w:rPr>
        <w:t>Section 5.09</w:t>
      </w:r>
      <w:r>
        <w:rPr>
          <w:rFonts w:ascii="Arial" w:cs="Arial" w:eastAsia="Arial" w:hAnsi="Arial"/>
          <w:sz w:val="16"/>
          <w:szCs w:val="16"/>
          <w:color w:val="000000"/>
        </w:rPr>
        <w:t xml:space="preserve">, a Material Adverse Effect, as applicable, such written notice shall be deemed to have amended the Disclosure Letter, and to have qualified the representations and warranties contained in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as applicable, for all purposes hereunder, including for the purpose of determining whether the conditions specified in </w:t>
      </w:r>
      <w:r>
        <w:rPr>
          <w:rFonts w:ascii="Arial" w:cs="Arial" w:eastAsia="Arial" w:hAnsi="Arial"/>
          <w:sz w:val="16"/>
          <w:szCs w:val="16"/>
          <w:u w:val="single" w:color="auto"/>
          <w:color w:val="000000"/>
        </w:rPr>
        <w:t>Section 6.02</w:t>
      </w:r>
      <w:r>
        <w:rPr>
          <w:rFonts w:ascii="Arial" w:cs="Arial" w:eastAsia="Arial" w:hAnsi="Arial"/>
          <w:sz w:val="16"/>
          <w:szCs w:val="16"/>
          <w:color w:val="000000"/>
        </w:rPr>
        <w:t xml:space="preserve">, have been satisfied. From the date hereof through the Closing, each of Buyer and Sellers shall promptly give written notice to the other Party if it breaches any of its representations, warranties, covenants or obligations contained in this Agreement if such breach (a) has resulted in, or would reasonably be expected to result in, the failure of any condition set forth in </w:t>
      </w:r>
      <w:r>
        <w:rPr>
          <w:rFonts w:ascii="Arial" w:cs="Arial" w:eastAsia="Arial" w:hAnsi="Arial"/>
          <w:sz w:val="16"/>
          <w:szCs w:val="16"/>
          <w:u w:val="single" w:color="auto"/>
          <w:color w:val="000000"/>
        </w:rPr>
        <w:t>Article VI</w:t>
      </w:r>
      <w:r>
        <w:rPr>
          <w:rFonts w:ascii="Arial" w:cs="Arial" w:eastAsia="Arial" w:hAnsi="Arial"/>
          <w:sz w:val="16"/>
          <w:szCs w:val="16"/>
          <w:color w:val="000000"/>
        </w:rPr>
        <w:t>; or (b) has prevented or materially impeded, interfered with, hindered or delayed, or would reasonably be expected to prevent or materially impede, interfere with, hinder or delay, the Contemplated Transactions.</w:t>
      </w:r>
    </w:p>
    <w:p>
      <w:pPr>
        <w:spacing w:after="0" w:line="166" w:lineRule="exact"/>
        <w:rPr>
          <w:sz w:val="20"/>
          <w:szCs w:val="20"/>
          <w:color w:val="auto"/>
        </w:rPr>
      </w:pPr>
    </w:p>
    <w:p>
      <w:pPr>
        <w:jc w:val="both"/>
        <w:ind w:firstLine="1290"/>
        <w:spacing w:after="0" w:line="288" w:lineRule="auto"/>
        <w:rPr>
          <w:sz w:val="20"/>
          <w:szCs w:val="20"/>
          <w:color w:val="auto"/>
        </w:rPr>
      </w:pPr>
      <w:r>
        <w:rPr>
          <w:rFonts w:ascii="Arial" w:cs="Arial" w:eastAsia="Arial" w:hAnsi="Arial"/>
          <w:sz w:val="16"/>
          <w:szCs w:val="16"/>
          <w:color w:val="010000"/>
        </w:rPr>
        <w:t xml:space="preserve">Section 5.10 </w:t>
      </w:r>
      <w:r>
        <w:rPr>
          <w:rFonts w:ascii="Arial" w:cs="Arial" w:eastAsia="Arial" w:hAnsi="Arial"/>
          <w:sz w:val="16"/>
          <w:szCs w:val="16"/>
          <w:u w:val="single" w:color="auto"/>
          <w:color w:val="000000"/>
        </w:rPr>
        <w:t>Reasonable Best Efforts; Further Assurances</w:t>
      </w:r>
      <w:r>
        <w:rPr>
          <w:rFonts w:ascii="Arial" w:cs="Arial" w:eastAsia="Arial" w:hAnsi="Arial"/>
          <w:sz w:val="16"/>
          <w:szCs w:val="16"/>
          <w:color w:val="000000"/>
        </w:rPr>
        <w:t>. Subject to the terms and conditions hereof, including the specific</w:t>
      </w:r>
      <w:r>
        <w:rPr>
          <w:rFonts w:ascii="Arial" w:cs="Arial" w:eastAsia="Arial" w:hAnsi="Arial"/>
          <w:sz w:val="16"/>
          <w:szCs w:val="16"/>
          <w:color w:val="010000"/>
        </w:rPr>
        <w:t xml:space="preserve"> </w:t>
      </w:r>
      <w:r>
        <w:rPr>
          <w:rFonts w:ascii="Arial" w:cs="Arial" w:eastAsia="Arial" w:hAnsi="Arial"/>
          <w:sz w:val="16"/>
          <w:szCs w:val="16"/>
          <w:color w:val="000000"/>
        </w:rPr>
        <w:t xml:space="preserve">requirements set forth in </w:t>
      </w:r>
      <w:r>
        <w:rPr>
          <w:rFonts w:ascii="Arial" w:cs="Arial" w:eastAsia="Arial" w:hAnsi="Arial"/>
          <w:sz w:val="16"/>
          <w:szCs w:val="16"/>
          <w:u w:val="single" w:color="auto"/>
          <w:color w:val="000000"/>
        </w:rPr>
        <w:t>Section 5.11</w:t>
      </w:r>
      <w:r>
        <w:rPr>
          <w:rFonts w:ascii="Arial" w:cs="Arial" w:eastAsia="Arial" w:hAnsi="Arial"/>
          <w:sz w:val="16"/>
          <w:szCs w:val="16"/>
          <w:color w:val="000000"/>
        </w:rPr>
        <w:t>, Buyer and Sellers will use their respective reasonable best efforts to take, or cause to be taken (including by causing any Affiliates to take actions), all actions and to do, or cause to be done, all things necessary or desirable under applicable Laws to consummate the Contemplated Transactions, including (a) preparing and filing as promptly as practicable with any Governmental Authority or other Third Party all documentation to effect all registrations, filings, applications and notices that are necessary, proper or advisable to consummate the Contemplated Transactions; and (b) obtaining and maintaining all consents, approvals or waivers from any Governmental Authority or other Third Party that are necessary, proper or advisable to consummate the Contemplated Transactions. Sellers and Buyer agree to (and Sellers, prior to the Closing, agrees to cause the Company and its Subsidiaries to, and Buyer, after the Closing, agrees to cause the Company and its Subsidiaries to) execute and deliver such other documents, certificates, agreements and other writings and to take such other actions as may be necessary or desirable in order to consummate or implement expeditiously the Contemplated Transactions.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33" w:name="page334"/>
    <w:bookmarkEnd w:id="333"/>
    <w:p>
      <w:pPr>
        <w:jc w:val="both"/>
        <w:ind w:firstLine="1290"/>
        <w:spacing w:after="0" w:line="253" w:lineRule="auto"/>
        <w:rPr>
          <w:sz w:val="20"/>
          <w:szCs w:val="20"/>
          <w:color w:val="auto"/>
        </w:rPr>
      </w:pPr>
      <w:r>
        <w:rPr>
          <w:rFonts w:ascii="Arial" w:cs="Arial" w:eastAsia="Arial" w:hAnsi="Arial"/>
          <w:sz w:val="18"/>
          <w:szCs w:val="18"/>
          <w:color w:val="010000"/>
        </w:rPr>
        <w:t xml:space="preserve">Section 5.11 </w:t>
      </w:r>
      <w:r>
        <w:rPr>
          <w:rFonts w:ascii="Arial" w:cs="Arial" w:eastAsia="Arial" w:hAnsi="Arial"/>
          <w:sz w:val="18"/>
          <w:szCs w:val="18"/>
          <w:u w:val="single" w:color="auto"/>
          <w:color w:val="000000"/>
        </w:rPr>
        <w:t>Certain Filings/Consents</w:t>
      </w:r>
      <w:r>
        <w:rPr>
          <w:rFonts w:ascii="Arial" w:cs="Arial" w:eastAsia="Arial" w:hAnsi="Arial"/>
          <w:sz w:val="18"/>
          <w:szCs w:val="18"/>
          <w:color w:val="000000"/>
        </w:rPr>
        <w:t>. From the date hereof until the earlier of the Closing Date or the termination of this Agreement,</w:t>
      </w:r>
      <w:r>
        <w:rPr>
          <w:rFonts w:ascii="Arial" w:cs="Arial" w:eastAsia="Arial" w:hAnsi="Arial"/>
          <w:sz w:val="18"/>
          <w:szCs w:val="18"/>
          <w:color w:val="010000"/>
        </w:rPr>
        <w:t xml:space="preserve"> </w:t>
      </w:r>
      <w:r>
        <w:rPr>
          <w:rFonts w:ascii="Arial" w:cs="Arial" w:eastAsia="Arial" w:hAnsi="Arial"/>
          <w:sz w:val="18"/>
          <w:szCs w:val="18"/>
          <w:color w:val="000000"/>
        </w:rPr>
        <w:t xml:space="preserve">Sellers and Buyer shall (i) cooperate with each other (A) in determining whether any action, consent, approval or waiver of, or registration, filing or application with, or giving of any notice to, any Governmental Authority or other Person (whether a party to a Material Contract or otherwise), in addition to those set forth in Section 3.03 of the Disclosure Letter and Section 4.03 of the Buyer Disclosure Letter, is necessary or advisable in connection with the consummation of the Contemplated Transactions; and (B) in obtaining any action, consent, approval or waiver, or making a registration, filing or application with, or giving any notice to, any Person identified pursuant to clause (A) of this sentence or </w:t>
      </w:r>
      <w:r>
        <w:rPr>
          <w:rFonts w:ascii="Arial" w:cs="Arial" w:eastAsia="Arial" w:hAnsi="Arial"/>
          <w:sz w:val="18"/>
          <w:szCs w:val="18"/>
          <w:u w:val="single" w:color="auto"/>
          <w:color w:val="000000"/>
        </w:rPr>
        <w:t>Section 5.11</w:t>
      </w:r>
      <w:r>
        <w:rPr>
          <w:rFonts w:ascii="Arial" w:cs="Arial" w:eastAsia="Arial" w:hAnsi="Arial"/>
          <w:sz w:val="18"/>
          <w:szCs w:val="18"/>
          <w:color w:val="000000"/>
        </w:rPr>
        <w:t xml:space="preserve"> or set forth in Section 3.03 of the Disclosure Letter or Section 4.03 of the Buyer Disclosure Letter; and (ii) seek to use their respective reasonable best efforts to obtain, make or give any of the foregoing on a timely basis.</w:t>
      </w:r>
    </w:p>
    <w:p>
      <w:pPr>
        <w:spacing w:after="0" w:line="190"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5.12 </w:t>
      </w:r>
      <w:r>
        <w:rPr>
          <w:rFonts w:ascii="Arial" w:cs="Arial" w:eastAsia="Arial" w:hAnsi="Arial"/>
          <w:sz w:val="18"/>
          <w:szCs w:val="18"/>
          <w:u w:val="single" w:color="auto"/>
          <w:color w:val="000000"/>
        </w:rPr>
        <w:t>Public Announcements</w:t>
      </w:r>
      <w:r>
        <w:rPr>
          <w:rFonts w:ascii="Arial" w:cs="Arial" w:eastAsia="Arial" w:hAnsi="Arial"/>
          <w:sz w:val="18"/>
          <w:szCs w:val="18"/>
          <w:color w:val="000000"/>
        </w:rPr>
        <w:t>. Except for the Press Release, neither Buyer nor any Seller shall issue any press release or public</w:t>
      </w:r>
      <w:r>
        <w:rPr>
          <w:rFonts w:ascii="Arial" w:cs="Arial" w:eastAsia="Arial" w:hAnsi="Arial"/>
          <w:sz w:val="18"/>
          <w:szCs w:val="18"/>
          <w:color w:val="010000"/>
        </w:rPr>
        <w:t xml:space="preserve"> </w:t>
      </w:r>
      <w:r>
        <w:rPr>
          <w:rFonts w:ascii="Arial" w:cs="Arial" w:eastAsia="Arial" w:hAnsi="Arial"/>
          <w:sz w:val="18"/>
          <w:szCs w:val="18"/>
          <w:color w:val="000000"/>
        </w:rPr>
        <w:t xml:space="preserve">announcement concerning this Agreement or the Contemplated Transactions without obtaining the prior written approval of the other Parties (which approval shall not be unreasonably withheld, delayed or conditioned) unless, such Party is advised by outside legal counsel that disclosure is otherwise required by applicable Law;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to the extent any such disclosure is required by applicable Law, the Party intending to make such disclosure shall use reasonable best efforts consistent with applicable Law to consult with the other Parties with respect to the content and timing of any such disclosure before such disclosure is made.</w:t>
      </w:r>
    </w:p>
    <w:p>
      <w:pPr>
        <w:spacing w:after="0" w:line="19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5.13</w:t>
      </w:r>
      <w:r>
        <w:rPr>
          <w:sz w:val="20"/>
          <w:szCs w:val="20"/>
          <w:color w:val="auto"/>
        </w:rPr>
        <w:tab/>
      </w:r>
      <w:r>
        <w:rPr>
          <w:rFonts w:ascii="Arial" w:cs="Arial" w:eastAsia="Arial" w:hAnsi="Arial"/>
          <w:sz w:val="16"/>
          <w:szCs w:val="16"/>
          <w:u w:val="single" w:color="auto"/>
          <w:color w:val="auto"/>
        </w:rPr>
        <w:t>Certain Tax Matters</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300" w:lineRule="auto"/>
        <w:tabs>
          <w:tab w:leader="none" w:pos="2111" w:val="left"/>
        </w:tabs>
        <w:numPr>
          <w:ilvl w:val="0"/>
          <w:numId w:val="270"/>
        </w:numPr>
        <w:rPr>
          <w:rFonts w:ascii="Arial" w:cs="Arial" w:eastAsia="Arial" w:hAnsi="Arial"/>
          <w:sz w:val="16"/>
          <w:szCs w:val="16"/>
          <w:color w:val="010000"/>
        </w:rPr>
      </w:pPr>
      <w:r>
        <w:rPr>
          <w:rFonts w:ascii="Arial" w:cs="Arial" w:eastAsia="Arial" w:hAnsi="Arial"/>
          <w:sz w:val="16"/>
          <w:szCs w:val="16"/>
          <w:color w:val="auto"/>
        </w:rPr>
        <w:t>Buyer shall be liable for, and shall pay, in a due and timely manner any sales, use, value added, documentary, stamp duty, gross receipts, registration, transfer, transfer gain, conveyance, excise, recording, license and other similar Taxes (“</w:t>
      </w:r>
      <w:r>
        <w:rPr>
          <w:rFonts w:ascii="Arial" w:cs="Arial" w:eastAsia="Arial" w:hAnsi="Arial"/>
          <w:sz w:val="16"/>
          <w:szCs w:val="16"/>
          <w:u w:val="single" w:color="auto"/>
          <w:color w:val="auto"/>
        </w:rPr>
        <w:t>Transfer Taxes</w:t>
      </w:r>
      <w:r>
        <w:rPr>
          <w:rFonts w:ascii="Arial" w:cs="Arial" w:eastAsia="Arial" w:hAnsi="Arial"/>
          <w:sz w:val="16"/>
          <w:szCs w:val="16"/>
          <w:color w:val="auto"/>
        </w:rPr>
        <w:t>”) arising out of or in connection with or attributable to the transfer and sale of the Acquired Interests at the Closing. Buyer shall prepare all Tax Returns in respect of Transfer Taxes and Sellers shall use commercially reasonable efforts to cooperate in the preparation and filing of such returns.</w:t>
      </w:r>
    </w:p>
    <w:p>
      <w:pPr>
        <w:spacing w:after="0" w:line="155" w:lineRule="exact"/>
        <w:rPr>
          <w:rFonts w:ascii="Arial" w:cs="Arial" w:eastAsia="Arial" w:hAnsi="Arial"/>
          <w:sz w:val="16"/>
          <w:szCs w:val="16"/>
          <w:color w:val="010000"/>
        </w:rPr>
      </w:pPr>
    </w:p>
    <w:p>
      <w:pPr>
        <w:jc w:val="both"/>
        <w:ind w:left="900" w:firstLine="640"/>
        <w:spacing w:after="0" w:line="262" w:lineRule="auto"/>
        <w:tabs>
          <w:tab w:leader="none" w:pos="2108" w:val="left"/>
        </w:tabs>
        <w:numPr>
          <w:ilvl w:val="0"/>
          <w:numId w:val="270"/>
        </w:numPr>
        <w:rPr>
          <w:rFonts w:ascii="Arial" w:cs="Arial" w:eastAsia="Arial" w:hAnsi="Arial"/>
          <w:sz w:val="18"/>
          <w:szCs w:val="18"/>
          <w:color w:val="010000"/>
        </w:rPr>
      </w:pPr>
      <w:r>
        <w:rPr>
          <w:rFonts w:ascii="Arial" w:cs="Arial" w:eastAsia="Arial" w:hAnsi="Arial"/>
          <w:sz w:val="18"/>
          <w:szCs w:val="18"/>
          <w:color w:val="auto"/>
        </w:rPr>
        <w:t>With respect to the Company or any of its Subsidiaries, Buyer shall not amend any Tax Returns filed with respect to any taxable year ending on or before the Closing Date or make any Tax election or take any other action that has retroactive effect to any such taxable year, in each case, without the prior written consent of Sellers.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34" w:name="page335"/>
    <w:bookmarkEnd w:id="334"/>
    <w:p>
      <w:pPr>
        <w:jc w:val="both"/>
        <w:ind w:left="900" w:firstLine="640"/>
        <w:spacing w:after="0" w:line="253" w:lineRule="auto"/>
        <w:tabs>
          <w:tab w:leader="none" w:pos="2098" w:val="left"/>
        </w:tabs>
        <w:numPr>
          <w:ilvl w:val="0"/>
          <w:numId w:val="271"/>
        </w:numPr>
        <w:rPr>
          <w:rFonts w:ascii="Arial" w:cs="Arial" w:eastAsia="Arial" w:hAnsi="Arial"/>
          <w:sz w:val="18"/>
          <w:szCs w:val="18"/>
          <w:color w:val="010000"/>
        </w:rPr>
      </w:pPr>
      <w:r>
        <w:rPr>
          <w:rFonts w:ascii="Arial" w:cs="Arial" w:eastAsia="Arial" w:hAnsi="Arial"/>
          <w:sz w:val="18"/>
          <w:szCs w:val="18"/>
          <w:color w:val="auto"/>
        </w:rPr>
        <w:t>For federal (and applicable state and local) tax purposes (i) the contribution of the Acquired Interests by Sellers and the issuance to Sellers of the Consideration Shares in exchange therefor is intended to be treated as an “exchange” by Sellers of all of the assets of the Company within the meaning of Section 351(a) of the Code, and (ii) the acquisition of the Acquired Interests by Buyer is intended to be treated as the acquisition of the assets and assumption of the liabilities of the Company in accordance with IRS Revenue Ruling 99-6, Situation 2 (collectively,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No Party shall take any action, or fail to take any action, that would cause the contribution of the Acquired Interests by Sellers and the issuance to Sellers of the Consideration Shares by Buyer to fail to qualify for the Intended Tax Treatment. Except as otherwise required by applicable Law, no Party shall take any position on its Tax Returns or in connection with any Proceeding that is inconsistent with the Intended Tax Treatment.</w:t>
      </w:r>
    </w:p>
    <w:p>
      <w:pPr>
        <w:spacing w:after="0" w:line="190"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010000"/>
        </w:rPr>
        <w:t xml:space="preserve">Section 5.14 </w:t>
      </w:r>
      <w:r>
        <w:rPr>
          <w:rFonts w:ascii="Arial" w:cs="Arial" w:eastAsia="Arial" w:hAnsi="Arial"/>
          <w:sz w:val="18"/>
          <w:szCs w:val="18"/>
          <w:u w:val="single" w:color="auto"/>
          <w:color w:val="000000"/>
        </w:rPr>
        <w:t>No Claim Against Trust Account</w:t>
      </w:r>
      <w:r>
        <w:rPr>
          <w:rFonts w:ascii="Arial" w:cs="Arial" w:eastAsia="Arial" w:hAnsi="Arial"/>
          <w:sz w:val="18"/>
          <w:szCs w:val="18"/>
          <w:color w:val="000000"/>
        </w:rPr>
        <w:t>. Sellers have read the final prospectus of Buyer, dated September 13, 2016 (the</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Prospectus</w:t>
      </w:r>
      <w:r>
        <w:rPr>
          <w:rFonts w:ascii="Arial" w:cs="Arial" w:eastAsia="Arial" w:hAnsi="Arial"/>
          <w:sz w:val="18"/>
          <w:szCs w:val="18"/>
          <w:color w:val="000000"/>
        </w:rPr>
        <w:t>”), and understand that Buyer has established the Trust Account for the benefit of the public stockholders of Buyer and the Underwriters pursuant to the Trust Agreement and that, except for a portion of the interest earned on the amounts held in the Trust Account, Buyer may disburse monies from the trust account only for the purposes set forth in the Trust Agreement. For and in consideration of Buyer agreeing to enter into this Agreement with the Company, Sellers each hereby agree that they do not have any right, title, interest or claim of any kind in or to any monies in the Trust Account and hereby agrees that it will not seek recourse against the Trust Account for any claim it may have in the future as a result of, or arising out of, any negotiations, contracts or agreements with Buyer.</w:t>
      </w:r>
    </w:p>
    <w:p>
      <w:pPr>
        <w:spacing w:after="0" w:line="193"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5.15</w:t>
      </w:r>
      <w:r>
        <w:rPr>
          <w:sz w:val="20"/>
          <w:szCs w:val="20"/>
          <w:color w:val="auto"/>
        </w:rPr>
        <w:tab/>
      </w:r>
      <w:r>
        <w:rPr>
          <w:rFonts w:ascii="Arial" w:cs="Arial" w:eastAsia="Arial" w:hAnsi="Arial"/>
          <w:sz w:val="16"/>
          <w:szCs w:val="16"/>
          <w:u w:val="single" w:color="auto"/>
          <w:color w:val="auto"/>
        </w:rPr>
        <w:t>Earnout Incentive Plan</w:t>
      </w:r>
      <w:r>
        <w:rPr>
          <w:rFonts w:ascii="Arial" w:cs="Arial" w:eastAsia="Arial" w:hAnsi="Arial"/>
          <w:sz w:val="16"/>
          <w:szCs w:val="16"/>
          <w:color w:val="auto"/>
        </w:rPr>
        <w:t>.</w:t>
      </w:r>
    </w:p>
    <w:p>
      <w:pPr>
        <w:spacing w:after="0" w:line="223" w:lineRule="exact"/>
        <w:rPr>
          <w:sz w:val="20"/>
          <w:szCs w:val="20"/>
          <w:color w:val="auto"/>
        </w:rPr>
      </w:pPr>
    </w:p>
    <w:p>
      <w:pPr>
        <w:ind w:left="900" w:firstLine="640"/>
        <w:spacing w:after="0" w:line="275" w:lineRule="auto"/>
        <w:tabs>
          <w:tab w:leader="none" w:pos="2165" w:val="left"/>
        </w:tabs>
        <w:numPr>
          <w:ilvl w:val="0"/>
          <w:numId w:val="272"/>
        </w:numPr>
        <w:rPr>
          <w:rFonts w:ascii="Arial" w:cs="Arial" w:eastAsia="Arial" w:hAnsi="Arial"/>
          <w:sz w:val="18"/>
          <w:szCs w:val="18"/>
          <w:color w:val="010000"/>
        </w:rPr>
      </w:pPr>
      <w:r>
        <w:rPr>
          <w:rFonts w:ascii="Arial" w:cs="Arial" w:eastAsia="Arial" w:hAnsi="Arial"/>
          <w:sz w:val="18"/>
          <w:szCs w:val="18"/>
          <w:color w:val="auto"/>
        </w:rPr>
        <w:t>At or prior to the Closing, Buyer shall adopt an incentive equity plan (the “</w:t>
      </w:r>
      <w:r>
        <w:rPr>
          <w:rFonts w:ascii="Arial" w:cs="Arial" w:eastAsia="Arial" w:hAnsi="Arial"/>
          <w:sz w:val="18"/>
          <w:szCs w:val="18"/>
          <w:u w:val="single" w:color="auto"/>
          <w:color w:val="auto"/>
        </w:rPr>
        <w:t>Earnout Incentive Plan</w:t>
      </w:r>
      <w:r>
        <w:rPr>
          <w:rFonts w:ascii="Arial" w:cs="Arial" w:eastAsia="Arial" w:hAnsi="Arial"/>
          <w:sz w:val="18"/>
          <w:szCs w:val="18"/>
          <w:color w:val="auto"/>
        </w:rPr>
        <w:t xml:space="preserve">”) substantially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010000"/>
        </w:rPr>
      </w:pPr>
    </w:p>
    <w:p>
      <w:pPr>
        <w:jc w:val="both"/>
        <w:ind w:left="900" w:firstLine="640"/>
        <w:spacing w:after="0" w:line="270" w:lineRule="auto"/>
        <w:tabs>
          <w:tab w:leader="none" w:pos="2108" w:val="left"/>
        </w:tabs>
        <w:numPr>
          <w:ilvl w:val="0"/>
          <w:numId w:val="272"/>
        </w:numPr>
        <w:rPr>
          <w:rFonts w:ascii="Arial" w:cs="Arial" w:eastAsia="Arial" w:hAnsi="Arial"/>
          <w:sz w:val="17"/>
          <w:szCs w:val="17"/>
          <w:color w:val="010000"/>
        </w:rPr>
      </w:pPr>
      <w:r>
        <w:rPr>
          <w:rFonts w:ascii="Arial" w:cs="Arial" w:eastAsia="Arial" w:hAnsi="Arial"/>
          <w:sz w:val="17"/>
          <w:szCs w:val="17"/>
          <w:color w:val="auto"/>
        </w:rPr>
        <w:t xml:space="preserve">If Buyer would be permitted to issue any shares of Common Stock pursuant to Section 2.1(a)(i) of the Earnout Incentive Plan as in effect as of the Closing, then Buyer shall issue 1,960,000 shares of Common Stock to the Sellers or their respective designees. If Buyer would be permitted to issue 2,940,000 shares of Common Stock pursuant to Section 2.1(a)(ii) the Earnout Incentive Plan as in effect as of the Closing, then Buyer shall issue 1,960,000 shares of Common Stock to the Sellers or their respective designees. If Buyer would be permitted to issue 5,880,000 shares of Common Stock pursuant to Section 2.1(a)(iii) of the Earnout Incentive Plan as in effect as of the Closing, then Buyer shall issue 3,920,000 shares of Common Stock to Sellers or their respective designees. For the avoidance of doubt, this </w:t>
      </w:r>
      <w:r>
        <w:rPr>
          <w:rFonts w:ascii="Arial" w:cs="Arial" w:eastAsia="Arial" w:hAnsi="Arial"/>
          <w:sz w:val="17"/>
          <w:szCs w:val="17"/>
          <w:u w:val="single" w:color="auto"/>
          <w:color w:val="auto"/>
        </w:rPr>
        <w:t>Section 5.15(b)</w:t>
      </w:r>
      <w:r>
        <w:rPr>
          <w:rFonts w:ascii="Arial" w:cs="Arial" w:eastAsia="Arial" w:hAnsi="Arial"/>
          <w:sz w:val="17"/>
          <w:szCs w:val="17"/>
          <w:color w:val="auto"/>
        </w:rPr>
        <w:t xml:space="preserve"> shall not be interpreted to authorize the issuance of shares of Common Stock to Sellers in excess of 3,920,000. PIEH hereby designates PIH as its designee for purposes of this </w:t>
      </w:r>
      <w:r>
        <w:rPr>
          <w:rFonts w:ascii="Arial" w:cs="Arial" w:eastAsia="Arial" w:hAnsi="Arial"/>
          <w:sz w:val="17"/>
          <w:szCs w:val="17"/>
          <w:u w:val="single" w:color="auto"/>
          <w:color w:val="auto"/>
        </w:rPr>
        <w:t>Section 5.15(b)</w:t>
      </w:r>
      <w:r>
        <w:rPr>
          <w:rFonts w:ascii="Arial" w:cs="Arial" w:eastAsia="Arial" w:hAnsi="Arial"/>
          <w:sz w:val="17"/>
          <w:szCs w:val="17"/>
          <w:color w:val="auto"/>
        </w:rPr>
        <w:t>.</w:t>
      </w:r>
    </w:p>
    <w:p>
      <w:pPr>
        <w:spacing w:after="0" w:line="176"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010000"/>
        </w:rPr>
        <w:t xml:space="preserve">Section 5.16 </w:t>
      </w:r>
      <w:r>
        <w:rPr>
          <w:rFonts w:ascii="Arial" w:cs="Arial" w:eastAsia="Arial" w:hAnsi="Arial"/>
          <w:sz w:val="18"/>
          <w:szCs w:val="18"/>
          <w:u w:val="single" w:color="auto"/>
          <w:color w:val="000000"/>
        </w:rPr>
        <w:t>D&amp;O Insurance</w:t>
      </w:r>
      <w:r>
        <w:rPr>
          <w:rFonts w:ascii="Arial" w:cs="Arial" w:eastAsia="Arial" w:hAnsi="Arial"/>
          <w:sz w:val="18"/>
          <w:szCs w:val="18"/>
          <w:color w:val="000000"/>
        </w:rPr>
        <w:t>. Prior to the Closing, Buyer shall purchase a “tail” directors’ and officers’ liability insurance policy (the</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D&amp;O Policy</w:t>
      </w:r>
      <w:r>
        <w:rPr>
          <w:rFonts w:ascii="Arial" w:cs="Arial" w:eastAsia="Arial" w:hAnsi="Arial"/>
          <w:sz w:val="18"/>
          <w:szCs w:val="18"/>
          <w:color w:val="000000"/>
        </w:rPr>
        <w:t>”) effective as of Closing that (a) has an effective term of six (6) years from the Closing, (b) covers each of the officers and directors of the Buyer as of immediately prior to the Closing and (c) contains terms that are substantially comparable those of Buyer’s directors’ and officers’ insurance coverage in effect on the date 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5" w:name="page336"/>
    <w:bookmarkEnd w:id="335"/>
    <w:p>
      <w:pPr>
        <w:ind w:left="405"/>
        <w:spacing w:after="0"/>
        <w:tabs>
          <w:tab w:leader="none" w:pos="1585" w:val="left"/>
        </w:tabs>
        <w:rPr>
          <w:sz w:val="20"/>
          <w:szCs w:val="20"/>
          <w:color w:val="auto"/>
        </w:rPr>
      </w:pPr>
      <w:r>
        <w:rPr>
          <w:rFonts w:ascii="Arial" w:cs="Arial" w:eastAsia="Arial" w:hAnsi="Arial"/>
          <w:sz w:val="18"/>
          <w:szCs w:val="18"/>
          <w:color w:val="010000"/>
        </w:rPr>
        <w:t>Section 5.17</w:t>
      </w:r>
      <w:r>
        <w:rPr>
          <w:sz w:val="20"/>
          <w:szCs w:val="20"/>
          <w:color w:val="auto"/>
        </w:rPr>
        <w:tab/>
      </w:r>
      <w:r>
        <w:rPr>
          <w:rFonts w:ascii="Arial" w:cs="Arial" w:eastAsia="Arial" w:hAnsi="Arial"/>
          <w:sz w:val="16"/>
          <w:szCs w:val="16"/>
          <w:u w:val="single" w:color="auto"/>
          <w:color w:val="auto"/>
        </w:rPr>
        <w:t>Trust Extension</w:t>
      </w:r>
      <w:r>
        <w:rPr>
          <w:rFonts w:ascii="Arial" w:cs="Arial" w:eastAsia="Arial" w:hAnsi="Arial"/>
          <w:sz w:val="16"/>
          <w:szCs w:val="16"/>
          <w:color w:val="auto"/>
        </w:rPr>
        <w:t>.</w:t>
      </w:r>
    </w:p>
    <w:p>
      <w:pPr>
        <w:spacing w:after="0" w:line="223" w:lineRule="exact"/>
        <w:rPr>
          <w:sz w:val="20"/>
          <w:szCs w:val="20"/>
          <w:color w:val="auto"/>
        </w:rPr>
      </w:pPr>
    </w:p>
    <w:p>
      <w:pPr>
        <w:jc w:val="both"/>
        <w:ind w:left="5" w:firstLine="640"/>
        <w:spacing w:after="0" w:line="285" w:lineRule="auto"/>
        <w:tabs>
          <w:tab w:leader="none" w:pos="1257" w:val="left"/>
        </w:tabs>
        <w:numPr>
          <w:ilvl w:val="1"/>
          <w:numId w:val="273"/>
        </w:numPr>
        <w:rPr>
          <w:rFonts w:ascii="Arial" w:cs="Arial" w:eastAsia="Arial" w:hAnsi="Arial"/>
          <w:sz w:val="16"/>
          <w:szCs w:val="16"/>
          <w:color w:val="010000"/>
        </w:rPr>
      </w:pPr>
      <w:r>
        <w:rPr>
          <w:rFonts w:ascii="Arial" w:cs="Arial" w:eastAsia="Arial" w:hAnsi="Arial"/>
          <w:sz w:val="16"/>
          <w:szCs w:val="16"/>
          <w:color w:val="auto"/>
        </w:rPr>
        <w:t>In the event that the Closing has not taken place on or before the date that is the 18-month anniversary of the IPO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Extension Deadline</w:t>
      </w:r>
      <w:r>
        <w:rPr>
          <w:rFonts w:ascii="Arial" w:cs="Arial" w:eastAsia="Arial" w:hAnsi="Arial"/>
          <w:sz w:val="16"/>
          <w:szCs w:val="16"/>
          <w:color w:val="auto"/>
        </w:rPr>
        <w:t>”), Buyer hereby agrees, in order to extend the time the Buyer has available to complete a Business Combination pursuant to Section 1(l) of the Trust Agreement, to deposit an amount in cash equal to $132,753 (the “</w:t>
      </w:r>
      <w:r>
        <w:rPr>
          <w:rFonts w:ascii="Arial" w:cs="Arial" w:eastAsia="Arial" w:hAnsi="Arial"/>
          <w:sz w:val="16"/>
          <w:szCs w:val="16"/>
          <w:u w:val="single" w:color="auto"/>
          <w:color w:val="auto"/>
        </w:rPr>
        <w:t>Extension Deposit Amount</w:t>
      </w:r>
      <w:r>
        <w:rPr>
          <w:rFonts w:ascii="Arial" w:cs="Arial" w:eastAsia="Arial" w:hAnsi="Arial"/>
          <w:sz w:val="16"/>
          <w:szCs w:val="16"/>
          <w:color w:val="auto"/>
        </w:rPr>
        <w:t xml:space="preserve">”) into the Trust Account on or before the First Extension Deadline;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 the Extension Deposit Amount is paid by Buyer pursuant to this </w:t>
      </w:r>
      <w:r>
        <w:rPr>
          <w:rFonts w:ascii="Arial" w:cs="Arial" w:eastAsia="Arial" w:hAnsi="Arial"/>
          <w:sz w:val="16"/>
          <w:szCs w:val="16"/>
          <w:u w:val="single" w:color="auto"/>
          <w:color w:val="auto"/>
        </w:rPr>
        <w:t>Section 5.17(a)</w:t>
      </w:r>
      <w:r>
        <w:rPr>
          <w:rFonts w:ascii="Arial" w:cs="Arial" w:eastAsia="Arial" w:hAnsi="Arial"/>
          <w:sz w:val="16"/>
          <w:szCs w:val="16"/>
          <w:color w:val="auto"/>
        </w:rPr>
        <w:t xml:space="preserve"> and</w:t>
      </w:r>
    </w:p>
    <w:p>
      <w:pPr>
        <w:jc w:val="both"/>
        <w:ind w:left="5" w:hanging="5"/>
        <w:spacing w:after="0" w:line="254" w:lineRule="auto"/>
        <w:tabs>
          <w:tab w:leader="none" w:pos="29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the Closing has occurred on or prior to the Second Extension Deadline, then Sellers shall reimburse Buyer for one-half of the Extension Deposit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the avoidance of doubt, if any Extension Deposit Amount is paid by Sellers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5.17(b)</w:t>
      </w:r>
      <w:r>
        <w:rPr>
          <w:rFonts w:ascii="Arial" w:cs="Arial" w:eastAsia="Arial" w:hAnsi="Arial"/>
          <w:sz w:val="18"/>
          <w:szCs w:val="18"/>
          <w:color w:val="auto"/>
        </w:rPr>
        <w:t>, then Buyer shall not be entitled to any such reimbursement.</w:t>
      </w:r>
    </w:p>
    <w:p>
      <w:pPr>
        <w:spacing w:after="0" w:line="188" w:lineRule="exact"/>
        <w:rPr>
          <w:rFonts w:ascii="Arial" w:cs="Arial" w:eastAsia="Arial" w:hAnsi="Arial"/>
          <w:sz w:val="18"/>
          <w:szCs w:val="18"/>
          <w:color w:val="auto"/>
        </w:rPr>
      </w:pPr>
    </w:p>
    <w:p>
      <w:pPr>
        <w:jc w:val="both"/>
        <w:ind w:left="5" w:firstLine="640"/>
        <w:spacing w:after="0" w:line="255" w:lineRule="auto"/>
        <w:tabs>
          <w:tab w:leader="none" w:pos="1227" w:val="left"/>
        </w:tabs>
        <w:numPr>
          <w:ilvl w:val="1"/>
          <w:numId w:val="274"/>
        </w:numPr>
        <w:rPr>
          <w:rFonts w:ascii="Arial" w:cs="Arial" w:eastAsia="Arial" w:hAnsi="Arial"/>
          <w:sz w:val="18"/>
          <w:szCs w:val="18"/>
          <w:color w:val="010000"/>
        </w:rPr>
      </w:pPr>
      <w:r>
        <w:rPr>
          <w:rFonts w:ascii="Arial" w:cs="Arial" w:eastAsia="Arial" w:hAnsi="Arial"/>
          <w:sz w:val="18"/>
          <w:szCs w:val="18"/>
          <w:color w:val="auto"/>
        </w:rPr>
        <w:t>In the event that the Closing has not taken place on or before the date that is the 19-month anniversary of the IPO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Extension Deadline</w:t>
      </w:r>
      <w:r>
        <w:rPr>
          <w:rFonts w:ascii="Arial" w:cs="Arial" w:eastAsia="Arial" w:hAnsi="Arial"/>
          <w:sz w:val="18"/>
          <w:szCs w:val="18"/>
          <w:color w:val="auto"/>
        </w:rPr>
        <w:t>”) or the 20- month anniversary of the IPO (the “</w:t>
      </w:r>
      <w:r>
        <w:rPr>
          <w:rFonts w:ascii="Arial" w:cs="Arial" w:eastAsia="Arial" w:hAnsi="Arial"/>
          <w:sz w:val="18"/>
          <w:szCs w:val="18"/>
          <w:u w:val="single" w:color="auto"/>
          <w:color w:val="auto"/>
        </w:rPr>
        <w:t>Third Extension Deadline</w:t>
      </w:r>
      <w:r>
        <w:rPr>
          <w:rFonts w:ascii="Arial" w:cs="Arial" w:eastAsia="Arial" w:hAnsi="Arial"/>
          <w:sz w:val="18"/>
          <w:szCs w:val="18"/>
          <w:color w:val="auto"/>
        </w:rPr>
        <w:t>”), Sellers hereby agree, in order to extend the time Buyer has available to complete a Business Combination pursuant to Section 1(l) of the Trust Agreement, to deposit an amount in cash equal to the Extension Deposit Amount into the Trust Account on or before the Second Extension Deadline and the Third Extension Deadline, as applicable.</w:t>
      </w:r>
    </w:p>
    <w:p>
      <w:pPr>
        <w:spacing w:after="0" w:line="190" w:lineRule="exact"/>
        <w:rPr>
          <w:rFonts w:ascii="Arial" w:cs="Arial" w:eastAsia="Arial" w:hAnsi="Arial"/>
          <w:sz w:val="18"/>
          <w:szCs w:val="18"/>
          <w:color w:val="010000"/>
        </w:rPr>
      </w:pPr>
    </w:p>
    <w:p>
      <w:pPr>
        <w:jc w:val="both"/>
        <w:ind w:left="5" w:firstLine="640"/>
        <w:spacing w:after="0" w:line="267" w:lineRule="auto"/>
        <w:tabs>
          <w:tab w:leader="none" w:pos="1216" w:val="left"/>
        </w:tabs>
        <w:numPr>
          <w:ilvl w:val="1"/>
          <w:numId w:val="274"/>
        </w:numPr>
        <w:rPr>
          <w:rFonts w:ascii="Arial" w:cs="Arial" w:eastAsia="Arial" w:hAnsi="Arial"/>
          <w:sz w:val="17"/>
          <w:szCs w:val="17"/>
          <w:color w:val="010000"/>
        </w:rPr>
      </w:pPr>
      <w:r>
        <w:rPr>
          <w:rFonts w:ascii="Arial" w:cs="Arial" w:eastAsia="Arial" w:hAnsi="Arial"/>
          <w:sz w:val="17"/>
          <w:szCs w:val="17"/>
          <w:color w:val="auto"/>
        </w:rPr>
        <w:t>If either Buyer or Sellers reasonably believe that the Closing may not occur on or prior to June 18, 2018 but that the Parties are reasonably capable of causing the Closing to occur on or prior to September 18, 2018, then, at the request of the Sellers’ Representative, Buyer shall (i) seek the approval of the Buyer Stockholders to extend the deadline for Buyer to consummate a Business Combination beyond June 18, 2018 to a date no earlier than September 18, 2018 (or such other date as Sellers’ Representative and Buyer may otherwise agree, and which may be structured, as agreed by the Buyer and the Sellers’ Representative, as multiple monthly or other periodic extensions at the election of Buyer (which Buyer will elect to extend, in each case, at the written request of the Sellers’ Representative) without the requirement to seek additional Buyer stockholder approval (such applicable date, the “</w:t>
      </w:r>
      <w:r>
        <w:rPr>
          <w:rFonts w:ascii="Arial" w:cs="Arial" w:eastAsia="Arial" w:hAnsi="Arial"/>
          <w:sz w:val="17"/>
          <w:szCs w:val="17"/>
          <w:u w:val="single" w:color="auto"/>
          <w:color w:val="auto"/>
        </w:rPr>
        <w:t>Additional Extension Deadline</w:t>
      </w:r>
      <w:r>
        <w:rPr>
          <w:rFonts w:ascii="Arial" w:cs="Arial" w:eastAsia="Arial" w:hAnsi="Arial"/>
          <w:sz w:val="17"/>
          <w:szCs w:val="17"/>
          <w:color w:val="auto"/>
        </w:rPr>
        <w:t>") and (ii) use commercially reasonable efforts to obtain such approval. Without limiting the foregoing, in order to seek such approval, on or prior to May 18, 2018 (or such other date as the Sellers’ Representative and Buyer may otherwise agree), Buyer shall prepare and file with the SEC under the Exchange Act, and with all other applicable regulatory bodies, materials in the form of a preliminary proxy statement (the “</w:t>
      </w:r>
      <w:r>
        <w:rPr>
          <w:rFonts w:ascii="Arial" w:cs="Arial" w:eastAsia="Arial" w:hAnsi="Arial"/>
          <w:sz w:val="17"/>
          <w:szCs w:val="17"/>
          <w:u w:val="single" w:color="auto"/>
          <w:color w:val="auto"/>
        </w:rPr>
        <w:t>Extension Proxy Statement</w:t>
      </w:r>
      <w:r>
        <w:rPr>
          <w:rFonts w:ascii="Arial" w:cs="Arial" w:eastAsia="Arial" w:hAnsi="Arial"/>
          <w:sz w:val="17"/>
          <w:szCs w:val="17"/>
          <w:color w:val="auto"/>
        </w:rPr>
        <w:t>”) to be used for the purpose of soliciting proxies from the Buyer Stockholders to approve, at a special meeting of the Buyer Stockholders to be held prior to June 18, 2018, an amendment to Buyer’s certificate of incorporation to extend the deadline for Buyer to consummate a Business Combination to the Additional Extension Deadline, and providing the Buyer Stockholders with an opportunity to have their Buyer Common Shares redeemed in connection therewith.</w:t>
      </w:r>
    </w:p>
    <w:p>
      <w:pPr>
        <w:spacing w:after="0" w:line="397" w:lineRule="exact"/>
        <w:rPr>
          <w:sz w:val="20"/>
          <w:szCs w:val="20"/>
          <w:color w:val="auto"/>
        </w:rPr>
      </w:pPr>
    </w:p>
    <w:p>
      <w:pPr>
        <w:ind w:left="4645"/>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7247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525"/>
          </w:cols>
          <w:pgMar w:left="1135" w:top="905" w:right="239" w:bottom="1440" w:gutter="0" w:footer="0" w:header="0"/>
        </w:sectPr>
      </w:pPr>
    </w:p>
    <w:bookmarkStart w:id="336" w:name="page337"/>
    <w:bookmarkEnd w:id="336"/>
    <w:p>
      <w:pPr>
        <w:jc w:val="both"/>
        <w:ind w:firstLine="1290"/>
        <w:spacing w:after="0" w:line="269" w:lineRule="auto"/>
        <w:rPr>
          <w:sz w:val="20"/>
          <w:szCs w:val="20"/>
          <w:color w:val="auto"/>
        </w:rPr>
      </w:pPr>
      <w:r>
        <w:rPr>
          <w:rFonts w:ascii="Arial" w:cs="Arial" w:eastAsia="Arial" w:hAnsi="Arial"/>
          <w:sz w:val="17"/>
          <w:szCs w:val="17"/>
          <w:color w:val="010000"/>
        </w:rPr>
        <w:t xml:space="preserve">Section 5.18 </w:t>
      </w:r>
      <w:r>
        <w:rPr>
          <w:rFonts w:ascii="Arial" w:cs="Arial" w:eastAsia="Arial" w:hAnsi="Arial"/>
          <w:sz w:val="17"/>
          <w:szCs w:val="17"/>
          <w:u w:val="single" w:color="auto"/>
          <w:color w:val="000000"/>
        </w:rPr>
        <w:t>Goldman Warrant</w:t>
      </w:r>
      <w:r>
        <w:rPr>
          <w:rFonts w:ascii="Arial" w:cs="Arial" w:eastAsia="Arial" w:hAnsi="Arial"/>
          <w:sz w:val="17"/>
          <w:szCs w:val="17"/>
          <w:color w:val="000000"/>
        </w:rPr>
        <w:t>. At the Closing, Buyer shall issue to GS &amp; Co. a warrant (the “</w:t>
      </w:r>
      <w:r>
        <w:rPr>
          <w:rFonts w:ascii="Arial" w:cs="Arial" w:eastAsia="Arial" w:hAnsi="Arial"/>
          <w:sz w:val="17"/>
          <w:szCs w:val="17"/>
          <w:u w:val="single" w:color="auto"/>
          <w:color w:val="000000"/>
        </w:rPr>
        <w:t>Replacement GS Warrant</w:t>
      </w:r>
      <w:r>
        <w:rPr>
          <w:rFonts w:ascii="Arial" w:cs="Arial" w:eastAsia="Arial" w:hAnsi="Arial"/>
          <w:sz w:val="17"/>
          <w:szCs w:val="17"/>
          <w:color w:val="000000"/>
        </w:rPr>
        <w:t>”), in exchange</w:t>
      </w:r>
      <w:r>
        <w:rPr>
          <w:rFonts w:ascii="Arial" w:cs="Arial" w:eastAsia="Arial" w:hAnsi="Arial"/>
          <w:sz w:val="17"/>
          <w:szCs w:val="17"/>
          <w:color w:val="010000"/>
        </w:rPr>
        <w:t xml:space="preserve"> </w:t>
      </w:r>
      <w:r>
        <w:rPr>
          <w:rFonts w:ascii="Arial" w:cs="Arial" w:eastAsia="Arial" w:hAnsi="Arial"/>
          <w:sz w:val="17"/>
          <w:szCs w:val="17"/>
          <w:color w:val="000000"/>
        </w:rPr>
        <w:t>for the cancellation of the Goldman Warrant, on substantially the same terms of the Goldman Warrant and in a form acceptable to the Sellers’ Representative and GS &amp; Co., which shall be exercisable for an aggregate number of shares of Common Stock (the “</w:t>
      </w:r>
      <w:r>
        <w:rPr>
          <w:rFonts w:ascii="Arial" w:cs="Arial" w:eastAsia="Arial" w:hAnsi="Arial"/>
          <w:sz w:val="17"/>
          <w:szCs w:val="17"/>
          <w:u w:val="single" w:color="auto"/>
          <w:color w:val="000000"/>
        </w:rPr>
        <w:t>Goldman Shares Amount</w:t>
      </w:r>
      <w:r>
        <w:rPr>
          <w:rFonts w:ascii="Arial" w:cs="Arial" w:eastAsia="Arial" w:hAnsi="Arial"/>
          <w:sz w:val="17"/>
          <w:szCs w:val="17"/>
          <w:color w:val="000000"/>
        </w:rPr>
        <w:t xml:space="preserve">”), rounded to the nearest whole share, equal to the amount of Consideration Shares that GS &amp; Co. would be entitled to receive at Closing if GS &amp; Co. exercised the Goldman Warrant immediately prior to the Closing;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if the Replacement GS Warrant is issued pursuant to this </w:t>
      </w:r>
      <w:r>
        <w:rPr>
          <w:rFonts w:ascii="Arial" w:cs="Arial" w:eastAsia="Arial" w:hAnsi="Arial"/>
          <w:sz w:val="17"/>
          <w:szCs w:val="17"/>
          <w:u w:val="single" w:color="auto"/>
          <w:color w:val="000000"/>
        </w:rPr>
        <w:t>Section 5.18</w:t>
      </w:r>
      <w:r>
        <w:rPr>
          <w:rFonts w:ascii="Arial" w:cs="Arial" w:eastAsia="Arial" w:hAnsi="Arial"/>
          <w:sz w:val="17"/>
          <w:szCs w:val="17"/>
          <w:color w:val="000000"/>
        </w:rPr>
        <w:t xml:space="preserve">, the aggregate amount of Consideration Shares issued at Closing pursuant to Section 2.05(a) shall be reduced by the Goldman Shares Amount. Sellers shall have obtained prior written agreement from GS &amp; Co. with respect to the issuance of the Replacement GS Warrant in exchange for the cancellation of the Goldman Warrant prior to such issuance. Notwithstanding the foregoing, if the Goldman Warrant is exercised or is otherwise no longer outstanding as of immediately prior to the Closing, then no Replacement GS Warrant shall be issued pursuant to this </w:t>
      </w:r>
      <w:r>
        <w:rPr>
          <w:rFonts w:ascii="Arial" w:cs="Arial" w:eastAsia="Arial" w:hAnsi="Arial"/>
          <w:sz w:val="17"/>
          <w:szCs w:val="17"/>
          <w:u w:val="single" w:color="auto"/>
          <w:color w:val="000000"/>
        </w:rPr>
        <w:t>Section 5.18</w:t>
      </w:r>
      <w:r>
        <w:rPr>
          <w:rFonts w:ascii="Arial" w:cs="Arial" w:eastAsia="Arial" w:hAnsi="Arial"/>
          <w:sz w:val="17"/>
          <w:szCs w:val="17"/>
          <w:color w:val="000000"/>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CLOSING</w:t>
      </w:r>
    </w:p>
    <w:p>
      <w:pPr>
        <w:spacing w:after="0" w:line="223" w:lineRule="exact"/>
        <w:rPr>
          <w:sz w:val="20"/>
          <w:szCs w:val="20"/>
          <w:color w:val="auto"/>
        </w:rPr>
      </w:pPr>
    </w:p>
    <w:p>
      <w:pPr>
        <w:jc w:val="both"/>
        <w:ind w:right="20" w:firstLine="1290"/>
        <w:spacing w:after="0" w:line="340" w:lineRule="auto"/>
        <w:rPr>
          <w:sz w:val="20"/>
          <w:szCs w:val="20"/>
          <w:color w:val="auto"/>
        </w:rPr>
      </w:pPr>
      <w:r>
        <w:rPr>
          <w:rFonts w:ascii="Arial" w:cs="Arial" w:eastAsia="Arial" w:hAnsi="Arial"/>
          <w:sz w:val="16"/>
          <w:szCs w:val="16"/>
          <w:color w:val="010000"/>
        </w:rPr>
        <w:t xml:space="preserve">Section 6.01 </w:t>
      </w:r>
      <w:r>
        <w:rPr>
          <w:rFonts w:ascii="Arial" w:cs="Arial" w:eastAsia="Arial" w:hAnsi="Arial"/>
          <w:sz w:val="16"/>
          <w:szCs w:val="16"/>
          <w:u w:val="single" w:color="auto"/>
          <w:color w:val="000000"/>
        </w:rPr>
        <w:t>Conditions to Obligation of Each Party</w:t>
      </w:r>
      <w:r>
        <w:rPr>
          <w:rFonts w:ascii="Arial" w:cs="Arial" w:eastAsia="Arial" w:hAnsi="Arial"/>
          <w:sz w:val="16"/>
          <w:szCs w:val="16"/>
          <w:color w:val="000000"/>
        </w:rPr>
        <w:t>. The respective obligation of each Party to consummate the Closing shall be subject</w:t>
      </w:r>
      <w:r>
        <w:rPr>
          <w:rFonts w:ascii="Arial" w:cs="Arial" w:eastAsia="Arial" w:hAnsi="Arial"/>
          <w:sz w:val="16"/>
          <w:szCs w:val="16"/>
          <w:color w:val="010000"/>
        </w:rPr>
        <w:t xml:space="preserve"> </w:t>
      </w:r>
      <w:r>
        <w:rPr>
          <w:rFonts w:ascii="Arial" w:cs="Arial" w:eastAsia="Arial" w:hAnsi="Arial"/>
          <w:sz w:val="16"/>
          <w:szCs w:val="16"/>
          <w:color w:val="000000"/>
        </w:rPr>
        <w:t>to the satisfaction or (to the extent permitted by applicable Law) waiver by each Party on or prior to the Closing Date of each of the following conditions:</w:t>
      </w:r>
    </w:p>
    <w:p>
      <w:pPr>
        <w:spacing w:after="0" w:line="124" w:lineRule="exact"/>
        <w:rPr>
          <w:sz w:val="20"/>
          <w:szCs w:val="20"/>
          <w:color w:val="auto"/>
        </w:rPr>
      </w:pPr>
    </w:p>
    <w:p>
      <w:pPr>
        <w:ind w:left="2100" w:hanging="560"/>
        <w:spacing w:after="0"/>
        <w:tabs>
          <w:tab w:leader="none" w:pos="2100" w:val="left"/>
        </w:tabs>
        <w:numPr>
          <w:ilvl w:val="0"/>
          <w:numId w:val="275"/>
        </w:numPr>
        <w:rPr>
          <w:rFonts w:ascii="Arial" w:cs="Arial" w:eastAsia="Arial" w:hAnsi="Arial"/>
          <w:sz w:val="16"/>
          <w:szCs w:val="16"/>
          <w:color w:val="010000"/>
        </w:rPr>
      </w:pPr>
      <w:r>
        <w:rPr>
          <w:rFonts w:ascii="Arial" w:cs="Arial" w:eastAsia="Arial" w:hAnsi="Arial"/>
          <w:sz w:val="16"/>
          <w:szCs w:val="16"/>
          <w:color w:val="auto"/>
        </w:rPr>
        <w:t>no applicable Order or Law shall be in effect that would prohibit or make illegal the consummation of any of the Contemplated</w:t>
      </w:r>
    </w:p>
    <w:p>
      <w:pPr>
        <w:spacing w:after="0" w:line="45" w:lineRule="exact"/>
        <w:rPr>
          <w:rFonts w:ascii="Arial" w:cs="Arial" w:eastAsia="Arial" w:hAnsi="Arial"/>
          <w:sz w:val="16"/>
          <w:szCs w:val="16"/>
          <w:color w:val="010000"/>
        </w:rPr>
      </w:pPr>
    </w:p>
    <w:p>
      <w:pPr>
        <w:ind w:left="900"/>
        <w:spacing w:after="0"/>
        <w:rPr>
          <w:rFonts w:ascii="Arial" w:cs="Arial" w:eastAsia="Arial" w:hAnsi="Arial"/>
          <w:sz w:val="16"/>
          <w:szCs w:val="16"/>
          <w:color w:val="010000"/>
        </w:rPr>
      </w:pPr>
      <w:r>
        <w:rPr>
          <w:rFonts w:ascii="Arial" w:cs="Arial" w:eastAsia="Arial" w:hAnsi="Arial"/>
          <w:sz w:val="18"/>
          <w:szCs w:val="18"/>
          <w:color w:val="auto"/>
        </w:rPr>
        <w:t>Transactions;</w:t>
      </w:r>
    </w:p>
    <w:p>
      <w:pPr>
        <w:spacing w:after="0" w:line="208" w:lineRule="exact"/>
        <w:rPr>
          <w:rFonts w:ascii="Arial" w:cs="Arial" w:eastAsia="Arial" w:hAnsi="Arial"/>
          <w:sz w:val="16"/>
          <w:szCs w:val="16"/>
          <w:color w:val="010000"/>
        </w:rPr>
      </w:pPr>
    </w:p>
    <w:p>
      <w:pPr>
        <w:ind w:left="900" w:firstLine="640"/>
        <w:spacing w:after="0" w:line="275" w:lineRule="auto"/>
        <w:tabs>
          <w:tab w:leader="none" w:pos="2068" w:val="left"/>
        </w:tabs>
        <w:numPr>
          <w:ilvl w:val="0"/>
          <w:numId w:val="275"/>
        </w:numPr>
        <w:rPr>
          <w:rFonts w:ascii="Arial" w:cs="Arial" w:eastAsia="Arial" w:hAnsi="Arial"/>
          <w:sz w:val="18"/>
          <w:szCs w:val="18"/>
          <w:color w:val="010000"/>
        </w:rPr>
      </w:pPr>
      <w:r>
        <w:rPr>
          <w:rFonts w:ascii="Arial" w:cs="Arial" w:eastAsia="Arial" w:hAnsi="Arial"/>
          <w:sz w:val="18"/>
          <w:szCs w:val="18"/>
          <w:color w:val="auto"/>
        </w:rPr>
        <w:t>the Buyer Stockholder Approval shall have been duly obtained in accordance with the DGCL, Buyer’s Organizational Documents and the NASDAQ rules and regulations;</w:t>
      </w:r>
    </w:p>
    <w:p>
      <w:pPr>
        <w:spacing w:after="0" w:line="170" w:lineRule="exact"/>
        <w:rPr>
          <w:rFonts w:ascii="Arial" w:cs="Arial" w:eastAsia="Arial" w:hAnsi="Arial"/>
          <w:sz w:val="18"/>
          <w:szCs w:val="18"/>
          <w:color w:val="010000"/>
        </w:rPr>
      </w:pPr>
    </w:p>
    <w:p>
      <w:pPr>
        <w:ind w:left="900" w:firstLine="640"/>
        <w:spacing w:after="0" w:line="275" w:lineRule="auto"/>
        <w:tabs>
          <w:tab w:leader="none" w:pos="2058" w:val="left"/>
        </w:tabs>
        <w:numPr>
          <w:ilvl w:val="0"/>
          <w:numId w:val="275"/>
        </w:numPr>
        <w:rPr>
          <w:rFonts w:ascii="Arial" w:cs="Arial" w:eastAsia="Arial" w:hAnsi="Arial"/>
          <w:sz w:val="18"/>
          <w:szCs w:val="18"/>
          <w:color w:val="010000"/>
        </w:rPr>
      </w:pPr>
      <w:r>
        <w:rPr>
          <w:rFonts w:ascii="Arial" w:cs="Arial" w:eastAsia="Arial" w:hAnsi="Arial"/>
          <w:sz w:val="18"/>
          <w:szCs w:val="18"/>
          <w:color w:val="auto"/>
        </w:rPr>
        <w:t>the Buyer Stockholder Redemptions shall have been consummated in accordance with this Agreement and Buyer’s Organizational Documents; and</w:t>
      </w:r>
    </w:p>
    <w:p>
      <w:pPr>
        <w:spacing w:after="0" w:line="170" w:lineRule="exact"/>
        <w:rPr>
          <w:rFonts w:ascii="Arial" w:cs="Arial" w:eastAsia="Arial" w:hAnsi="Arial"/>
          <w:sz w:val="18"/>
          <w:szCs w:val="18"/>
          <w:color w:val="010000"/>
        </w:rPr>
      </w:pPr>
    </w:p>
    <w:p>
      <w:pPr>
        <w:ind w:left="2060" w:hanging="520"/>
        <w:spacing w:after="0"/>
        <w:tabs>
          <w:tab w:leader="none" w:pos="2060" w:val="left"/>
        </w:tabs>
        <w:numPr>
          <w:ilvl w:val="0"/>
          <w:numId w:val="275"/>
        </w:numPr>
        <w:rPr>
          <w:rFonts w:ascii="Arial" w:cs="Arial" w:eastAsia="Arial" w:hAnsi="Arial"/>
          <w:sz w:val="18"/>
          <w:szCs w:val="18"/>
          <w:color w:val="010000"/>
        </w:rPr>
      </w:pPr>
      <w:r>
        <w:rPr>
          <w:rFonts w:ascii="Arial" w:cs="Arial" w:eastAsia="Arial" w:hAnsi="Arial"/>
          <w:sz w:val="18"/>
          <w:szCs w:val="18"/>
          <w:color w:val="auto"/>
        </w:rPr>
        <w:t>the amount of Available Cash shall not be less than the Minimum Cash Amount.</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6.02 </w:t>
      </w:r>
      <w:r>
        <w:rPr>
          <w:rFonts w:ascii="Arial" w:cs="Arial" w:eastAsia="Arial" w:hAnsi="Arial"/>
          <w:sz w:val="18"/>
          <w:szCs w:val="18"/>
          <w:u w:val="single" w:color="auto"/>
          <w:color w:val="000000"/>
        </w:rPr>
        <w:t>Conditions to Obligation of Buyer</w:t>
      </w:r>
      <w:r>
        <w:rPr>
          <w:rFonts w:ascii="Arial" w:cs="Arial" w:eastAsia="Arial" w:hAnsi="Arial"/>
          <w:sz w:val="18"/>
          <w:szCs w:val="18"/>
          <w:color w:val="000000"/>
        </w:rPr>
        <w:t>. In addition to the conditions set forth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6.01</w:t>
      </w:r>
      <w:r>
        <w:rPr>
          <w:rFonts w:ascii="Arial" w:cs="Arial" w:eastAsia="Arial" w:hAnsi="Arial"/>
          <w:sz w:val="18"/>
          <w:szCs w:val="18"/>
          <w:color w:val="000000"/>
        </w:rPr>
        <w:t>, the obligation of Buyer to</w:t>
      </w:r>
      <w:r>
        <w:rPr>
          <w:rFonts w:ascii="Arial" w:cs="Arial" w:eastAsia="Arial" w:hAnsi="Arial"/>
          <w:sz w:val="18"/>
          <w:szCs w:val="18"/>
          <w:color w:val="010000"/>
        </w:rPr>
        <w:t xml:space="preserve"> </w:t>
      </w:r>
      <w:r>
        <w:rPr>
          <w:rFonts w:ascii="Arial" w:cs="Arial" w:eastAsia="Arial" w:hAnsi="Arial"/>
          <w:sz w:val="18"/>
          <w:szCs w:val="18"/>
          <w:color w:val="000000"/>
        </w:rPr>
        <w:t>consummate the Closing shall be subject to the satisfaction, or (to the extent permitted by applicable Law) waiver by Buyer on or prior to the Closing Date, of each of the following further conditions:</w:t>
      </w:r>
    </w:p>
    <w:p>
      <w:pPr>
        <w:spacing w:after="0" w:line="182" w:lineRule="exact"/>
        <w:rPr>
          <w:sz w:val="20"/>
          <w:szCs w:val="20"/>
          <w:color w:val="auto"/>
        </w:rPr>
      </w:pPr>
    </w:p>
    <w:p>
      <w:pPr>
        <w:jc w:val="both"/>
        <w:ind w:left="900" w:firstLine="640"/>
        <w:spacing w:after="0" w:line="274" w:lineRule="auto"/>
        <w:tabs>
          <w:tab w:leader="none" w:pos="2084" w:val="left"/>
        </w:tabs>
        <w:numPr>
          <w:ilvl w:val="0"/>
          <w:numId w:val="276"/>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Sellers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taken together, excluding for purposes of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any reference to any materiality, “Material Adverse Effect” or similar standards or qualifiers contained therein, shall be true and correct as of the Closing Date as if made on such date (except to the extent such representations and warranties relate to an earlier date, in which case such representations and warranties shall be true and correct on and as of such earlier date), except for any breaches of such representations and warranties that would not, individually or in the aggregate, have a Material Adverse Effect; and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7" w:name="page338"/>
    <w:bookmarkEnd w:id="337"/>
    <w:p>
      <w:pPr>
        <w:ind w:left="900" w:firstLine="640"/>
        <w:spacing w:after="0" w:line="275" w:lineRule="auto"/>
        <w:tabs>
          <w:tab w:leader="none" w:pos="2094" w:val="left"/>
        </w:tabs>
        <w:numPr>
          <w:ilvl w:val="0"/>
          <w:numId w:val="277"/>
        </w:numPr>
        <w:rPr>
          <w:rFonts w:ascii="Arial" w:cs="Arial" w:eastAsia="Arial" w:hAnsi="Arial"/>
          <w:sz w:val="18"/>
          <w:szCs w:val="18"/>
          <w:color w:val="010000"/>
        </w:rPr>
      </w:pPr>
      <w:r>
        <w:rPr>
          <w:rFonts w:ascii="Arial" w:cs="Arial" w:eastAsia="Arial" w:hAnsi="Arial"/>
          <w:sz w:val="18"/>
          <w:szCs w:val="18"/>
          <w:color w:val="auto"/>
        </w:rPr>
        <w:t>Sellers shall have performed and complied in all material respects with all of its other obligations under this Agreement required to be performed and complied with by it as of the Closing Date.</w:t>
      </w:r>
    </w:p>
    <w:p>
      <w:pPr>
        <w:spacing w:after="0" w:line="171"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6.03 </w:t>
      </w:r>
      <w:r>
        <w:rPr>
          <w:rFonts w:ascii="Arial" w:cs="Arial" w:eastAsia="Arial" w:hAnsi="Arial"/>
          <w:sz w:val="18"/>
          <w:szCs w:val="18"/>
          <w:u w:val="single" w:color="auto"/>
          <w:color w:val="000000"/>
        </w:rPr>
        <w:t>Conditions to Obligation of Sellers</w:t>
      </w:r>
      <w:r>
        <w:rPr>
          <w:rFonts w:ascii="Arial" w:cs="Arial" w:eastAsia="Arial" w:hAnsi="Arial"/>
          <w:sz w:val="18"/>
          <w:szCs w:val="18"/>
          <w:color w:val="000000"/>
        </w:rPr>
        <w:t>. In addition to the conditions set forth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6.01</w:t>
      </w:r>
      <w:r>
        <w:rPr>
          <w:rFonts w:ascii="Arial" w:cs="Arial" w:eastAsia="Arial" w:hAnsi="Arial"/>
          <w:sz w:val="18"/>
          <w:szCs w:val="18"/>
          <w:color w:val="010000"/>
        </w:rPr>
        <w:t xml:space="preserve"> </w:t>
      </w:r>
      <w:r>
        <w:rPr>
          <w:rFonts w:ascii="Arial" w:cs="Arial" w:eastAsia="Arial" w:hAnsi="Arial"/>
          <w:sz w:val="18"/>
          <w:szCs w:val="18"/>
          <w:color w:val="000000"/>
        </w:rPr>
        <w:t>above, the obligation of Sellers to</w:t>
      </w:r>
      <w:r>
        <w:rPr>
          <w:rFonts w:ascii="Arial" w:cs="Arial" w:eastAsia="Arial" w:hAnsi="Arial"/>
          <w:sz w:val="18"/>
          <w:szCs w:val="18"/>
          <w:color w:val="010000"/>
        </w:rPr>
        <w:t xml:space="preserve"> </w:t>
      </w:r>
      <w:r>
        <w:rPr>
          <w:rFonts w:ascii="Arial" w:cs="Arial" w:eastAsia="Arial" w:hAnsi="Arial"/>
          <w:sz w:val="18"/>
          <w:szCs w:val="18"/>
          <w:color w:val="000000"/>
        </w:rPr>
        <w:t>consummate the Closing shall be subject to the satisfaction, or (to the extent permitted by applicable Law) waiver by Sellers, on or prior to the Closing Date, of each of the following further conditions:</w:t>
      </w:r>
    </w:p>
    <w:p>
      <w:pPr>
        <w:spacing w:after="0" w:line="182" w:lineRule="exact"/>
        <w:rPr>
          <w:sz w:val="20"/>
          <w:szCs w:val="20"/>
          <w:color w:val="auto"/>
        </w:rPr>
      </w:pPr>
    </w:p>
    <w:p>
      <w:pPr>
        <w:jc w:val="both"/>
        <w:ind w:left="900" w:firstLine="640"/>
        <w:spacing w:after="0" w:line="274" w:lineRule="auto"/>
        <w:tabs>
          <w:tab w:leader="none" w:pos="2098" w:val="left"/>
        </w:tabs>
        <w:numPr>
          <w:ilvl w:val="0"/>
          <w:numId w:val="278"/>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Buyer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taken together, excluding for purposes of this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any reference to any materiality, “Buyer Material Adverse Effect” or similar standards or qualifiers contained therein, shall be true and correct as of the Closing Date as if made on such date (except to the extent such representations and warranties relate to an earlier date, in which case such representations and warranties shall be true and correct on and as of such earlier date), except for any breaches of such representations and warranties that would not, individually or in the aggregate, have a Buyer Material Adverse Effect;</w:t>
      </w:r>
    </w:p>
    <w:p>
      <w:pPr>
        <w:spacing w:after="0" w:line="174" w:lineRule="exact"/>
        <w:rPr>
          <w:rFonts w:ascii="Arial" w:cs="Arial" w:eastAsia="Arial" w:hAnsi="Arial"/>
          <w:sz w:val="17"/>
          <w:szCs w:val="17"/>
          <w:color w:val="010000"/>
        </w:rPr>
      </w:pPr>
    </w:p>
    <w:p>
      <w:pPr>
        <w:jc w:val="both"/>
        <w:ind w:left="900" w:firstLine="640"/>
        <w:spacing w:after="0" w:line="262" w:lineRule="auto"/>
        <w:tabs>
          <w:tab w:leader="none" w:pos="2229" w:val="left"/>
        </w:tabs>
        <w:numPr>
          <w:ilvl w:val="0"/>
          <w:numId w:val="278"/>
        </w:numPr>
        <w:rPr>
          <w:rFonts w:ascii="Arial" w:cs="Arial" w:eastAsia="Arial" w:hAnsi="Arial"/>
          <w:sz w:val="18"/>
          <w:szCs w:val="18"/>
          <w:color w:val="010000"/>
        </w:rPr>
      </w:pPr>
      <w:r>
        <w:rPr>
          <w:rFonts w:ascii="Arial" w:cs="Arial" w:eastAsia="Arial" w:hAnsi="Arial"/>
          <w:sz w:val="18"/>
          <w:szCs w:val="18"/>
          <w:color w:val="auto"/>
        </w:rPr>
        <w:t xml:space="preserve">Buyer shall have performed and complied in all material respects with all of its other covenants and obligations under this Agreement required to be performed and complied with by it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Buyer shall be required to have performed and complied with its covenants set forth in </w:t>
      </w:r>
      <w:r>
        <w:rPr>
          <w:rFonts w:ascii="Arial" w:cs="Arial" w:eastAsia="Arial" w:hAnsi="Arial"/>
          <w:sz w:val="18"/>
          <w:szCs w:val="18"/>
          <w:u w:val="single" w:color="auto"/>
          <w:color w:val="auto"/>
        </w:rPr>
        <w:t>Section 5.13(c)</w:t>
      </w:r>
      <w:r>
        <w:rPr>
          <w:rFonts w:ascii="Arial" w:cs="Arial" w:eastAsia="Arial" w:hAnsi="Arial"/>
          <w:sz w:val="18"/>
          <w:szCs w:val="18"/>
          <w:color w:val="auto"/>
        </w:rPr>
        <w:t xml:space="preserve"> in all respects; and</w:t>
      </w:r>
    </w:p>
    <w:p>
      <w:pPr>
        <w:spacing w:after="0" w:line="182" w:lineRule="exact"/>
        <w:rPr>
          <w:rFonts w:ascii="Arial" w:cs="Arial" w:eastAsia="Arial" w:hAnsi="Arial"/>
          <w:sz w:val="18"/>
          <w:szCs w:val="18"/>
          <w:color w:val="010000"/>
        </w:rPr>
      </w:pPr>
    </w:p>
    <w:p>
      <w:pPr>
        <w:ind w:left="2060" w:hanging="520"/>
        <w:spacing w:after="0"/>
        <w:tabs>
          <w:tab w:leader="none" w:pos="2060" w:val="left"/>
        </w:tabs>
        <w:numPr>
          <w:ilvl w:val="0"/>
          <w:numId w:val="278"/>
        </w:numPr>
        <w:rPr>
          <w:rFonts w:ascii="Arial" w:cs="Arial" w:eastAsia="Arial" w:hAnsi="Arial"/>
          <w:sz w:val="18"/>
          <w:szCs w:val="18"/>
          <w:color w:val="010000"/>
        </w:rPr>
      </w:pPr>
      <w:r>
        <w:rPr>
          <w:rFonts w:ascii="Arial" w:cs="Arial" w:eastAsia="Arial" w:hAnsi="Arial"/>
          <w:sz w:val="18"/>
          <w:szCs w:val="18"/>
          <w:color w:val="auto"/>
        </w:rPr>
        <w:t>the Common Stock shall be listed for trading on NASDAQ.</w:t>
      </w:r>
    </w:p>
    <w:p>
      <w:pPr>
        <w:spacing w:after="0" w:line="223" w:lineRule="exact"/>
        <w:rPr>
          <w:sz w:val="20"/>
          <w:szCs w:val="20"/>
          <w:color w:val="auto"/>
        </w:rPr>
      </w:pPr>
    </w:p>
    <w:p>
      <w:pPr>
        <w:jc w:val="both"/>
        <w:ind w:firstLine="1290"/>
        <w:spacing w:after="0" w:line="300" w:lineRule="auto"/>
        <w:rPr>
          <w:sz w:val="20"/>
          <w:szCs w:val="20"/>
          <w:color w:val="auto"/>
        </w:rPr>
      </w:pPr>
      <w:r>
        <w:rPr>
          <w:rFonts w:ascii="Arial" w:cs="Arial" w:eastAsia="Arial" w:hAnsi="Arial"/>
          <w:sz w:val="16"/>
          <w:szCs w:val="16"/>
          <w:color w:val="010000"/>
        </w:rPr>
        <w:t xml:space="preserve">Section 6.04 </w:t>
      </w:r>
      <w:r>
        <w:rPr>
          <w:rFonts w:ascii="Arial" w:cs="Arial" w:eastAsia="Arial" w:hAnsi="Arial"/>
          <w:sz w:val="16"/>
          <w:szCs w:val="16"/>
          <w:u w:val="single" w:color="auto"/>
          <w:color w:val="000000"/>
        </w:rPr>
        <w:t>Failure or Waiver of Conditions</w:t>
      </w:r>
      <w:r>
        <w:rPr>
          <w:rFonts w:ascii="Arial" w:cs="Arial" w:eastAsia="Arial" w:hAnsi="Arial"/>
          <w:sz w:val="16"/>
          <w:szCs w:val="16"/>
          <w:color w:val="000000"/>
        </w:rPr>
        <w:t>. Neither Buyer nor Sellers may rely on the failure of any condition to its obligations to</w:t>
      </w:r>
      <w:r>
        <w:rPr>
          <w:rFonts w:ascii="Arial" w:cs="Arial" w:eastAsia="Arial" w:hAnsi="Arial"/>
          <w:sz w:val="16"/>
          <w:szCs w:val="16"/>
          <w:color w:val="010000"/>
        </w:rPr>
        <w:t xml:space="preserve"> </w:t>
      </w:r>
      <w:r>
        <w:rPr>
          <w:rFonts w:ascii="Arial" w:cs="Arial" w:eastAsia="Arial" w:hAnsi="Arial"/>
          <w:sz w:val="16"/>
          <w:szCs w:val="16"/>
          <w:color w:val="000000"/>
        </w:rPr>
        <w:t xml:space="preserve">consummate the Closing set forth in </w:t>
      </w:r>
      <w:r>
        <w:rPr>
          <w:rFonts w:ascii="Arial" w:cs="Arial" w:eastAsia="Arial" w:hAnsi="Arial"/>
          <w:sz w:val="16"/>
          <w:szCs w:val="16"/>
          <w:u w:val="single" w:color="auto"/>
          <w:color w:val="000000"/>
        </w:rPr>
        <w:t>Section 6.01</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6.02</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6.03</w:t>
      </w:r>
      <w:r>
        <w:rPr>
          <w:rFonts w:ascii="Arial" w:cs="Arial" w:eastAsia="Arial" w:hAnsi="Arial"/>
          <w:sz w:val="16"/>
          <w:szCs w:val="16"/>
          <w:color w:val="000000"/>
        </w:rPr>
        <w:t>, as the case may be, to be satisfied if such failure was caused by such Party’s or its Affiliates’ failure to use reasonable best efforts to satisfy the conditions to the Contemplated Transactions or by any other breach by such Party of a representation, warranty or covenant hereunder. All conditions to the Closing shall be deemed to have been satisfied or waived following the Closing.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TERMINATION</w:t>
      </w:r>
    </w:p>
    <w:p>
      <w:pPr>
        <w:spacing w:after="0" w:line="223" w:lineRule="exact"/>
        <w:rPr>
          <w:sz w:val="20"/>
          <w:szCs w:val="20"/>
          <w:color w:val="auto"/>
        </w:rPr>
      </w:pPr>
    </w:p>
    <w:p>
      <w:pPr>
        <w:jc w:val="both"/>
        <w:ind w:right="20" w:firstLine="1290"/>
        <w:spacing w:after="0" w:line="275" w:lineRule="auto"/>
        <w:rPr>
          <w:sz w:val="20"/>
          <w:szCs w:val="20"/>
          <w:color w:val="auto"/>
        </w:rPr>
      </w:pPr>
      <w:r>
        <w:rPr>
          <w:rFonts w:ascii="Arial" w:cs="Arial" w:eastAsia="Arial" w:hAnsi="Arial"/>
          <w:sz w:val="18"/>
          <w:szCs w:val="18"/>
          <w:color w:val="010000"/>
        </w:rPr>
        <w:t xml:space="preserve">Section 7.01 </w:t>
      </w:r>
      <w:r>
        <w:rPr>
          <w:rFonts w:ascii="Arial" w:cs="Arial" w:eastAsia="Arial" w:hAnsi="Arial"/>
          <w:sz w:val="18"/>
          <w:szCs w:val="18"/>
          <w:u w:val="single" w:color="auto"/>
          <w:color w:val="000000"/>
        </w:rPr>
        <w:t>Grounds for Termination</w:t>
      </w:r>
      <w:r>
        <w:rPr>
          <w:rFonts w:ascii="Arial" w:cs="Arial" w:eastAsia="Arial" w:hAnsi="Arial"/>
          <w:sz w:val="18"/>
          <w:szCs w:val="18"/>
          <w:color w:val="000000"/>
        </w:rPr>
        <w:t>. This Agreement may be terminated and the Contemplated Transactions may be abandoned at any</w:t>
      </w:r>
      <w:r>
        <w:rPr>
          <w:rFonts w:ascii="Arial" w:cs="Arial" w:eastAsia="Arial" w:hAnsi="Arial"/>
          <w:sz w:val="18"/>
          <w:szCs w:val="18"/>
          <w:color w:val="010000"/>
        </w:rPr>
        <w:t xml:space="preserve"> </w:t>
      </w:r>
      <w:r>
        <w:rPr>
          <w:rFonts w:ascii="Arial" w:cs="Arial" w:eastAsia="Arial" w:hAnsi="Arial"/>
          <w:sz w:val="18"/>
          <w:szCs w:val="18"/>
          <w:color w:val="000000"/>
        </w:rPr>
        <w:t>time prior to the Closing:</w:t>
      </w:r>
    </w:p>
    <w:p>
      <w:pPr>
        <w:spacing w:after="0" w:line="171" w:lineRule="exact"/>
        <w:rPr>
          <w:sz w:val="20"/>
          <w:szCs w:val="20"/>
          <w:color w:val="auto"/>
        </w:rPr>
      </w:pPr>
    </w:p>
    <w:p>
      <w:pPr>
        <w:jc w:val="right"/>
        <w:ind w:left="5540" w:right="5480" w:hanging="4000"/>
        <w:spacing w:after="0" w:line="901" w:lineRule="auto"/>
        <w:tabs>
          <w:tab w:leader="none" w:pos="2056" w:val="left"/>
        </w:tabs>
        <w:numPr>
          <w:ilvl w:val="0"/>
          <w:numId w:val="279"/>
        </w:numPr>
        <w:rPr>
          <w:rFonts w:ascii="Arial" w:cs="Arial" w:eastAsia="Arial" w:hAnsi="Arial"/>
          <w:sz w:val="16"/>
          <w:szCs w:val="16"/>
          <w:color w:val="010000"/>
        </w:rPr>
      </w:pPr>
      <w:r>
        <w:rPr>
          <w:rFonts w:ascii="Arial" w:cs="Arial" w:eastAsia="Arial" w:hAnsi="Arial"/>
          <w:sz w:val="16"/>
          <w:szCs w:val="16"/>
          <w:color w:val="auto"/>
        </w:rPr>
        <w:t>by the mutual written agreement of Sellers and Buyer;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7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38" w:name="page339"/>
    <w:bookmarkEnd w:id="338"/>
    <w:p>
      <w:pPr>
        <w:ind w:left="900" w:firstLine="640"/>
        <w:spacing w:after="0" w:line="275" w:lineRule="auto"/>
        <w:tabs>
          <w:tab w:leader="none" w:pos="2189" w:val="left"/>
        </w:tabs>
        <w:numPr>
          <w:ilvl w:val="0"/>
          <w:numId w:val="280"/>
        </w:numPr>
        <w:rPr>
          <w:rFonts w:ascii="Arial" w:cs="Arial" w:eastAsia="Arial" w:hAnsi="Arial"/>
          <w:sz w:val="18"/>
          <w:szCs w:val="18"/>
          <w:color w:val="010000"/>
        </w:rPr>
      </w:pPr>
      <w:r>
        <w:rPr>
          <w:rFonts w:ascii="Arial" w:cs="Arial" w:eastAsia="Arial" w:hAnsi="Arial"/>
          <w:sz w:val="18"/>
          <w:szCs w:val="18"/>
          <w:color w:val="auto"/>
        </w:rPr>
        <w:t xml:space="preserve">by Buyer if the Closing has not occurred on or prior to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Buyer is not at the time of such election to terminate in breach in any material respect of any of its obligations hereunder;</w:t>
      </w:r>
    </w:p>
    <w:p>
      <w:pPr>
        <w:spacing w:after="0" w:line="170" w:lineRule="exact"/>
        <w:rPr>
          <w:rFonts w:ascii="Arial" w:cs="Arial" w:eastAsia="Arial" w:hAnsi="Arial"/>
          <w:sz w:val="18"/>
          <w:szCs w:val="18"/>
          <w:color w:val="010000"/>
        </w:rPr>
      </w:pPr>
    </w:p>
    <w:p>
      <w:pPr>
        <w:ind w:left="900" w:firstLine="640"/>
        <w:spacing w:after="0" w:line="275" w:lineRule="auto"/>
        <w:tabs>
          <w:tab w:leader="none" w:pos="2178" w:val="left"/>
        </w:tabs>
        <w:numPr>
          <w:ilvl w:val="0"/>
          <w:numId w:val="280"/>
        </w:numPr>
        <w:rPr>
          <w:rFonts w:ascii="Arial" w:cs="Arial" w:eastAsia="Arial" w:hAnsi="Arial"/>
          <w:sz w:val="18"/>
          <w:szCs w:val="18"/>
          <w:color w:val="010000"/>
        </w:rPr>
      </w:pPr>
      <w:r>
        <w:rPr>
          <w:rFonts w:ascii="Arial" w:cs="Arial" w:eastAsia="Arial" w:hAnsi="Arial"/>
          <w:sz w:val="18"/>
          <w:szCs w:val="18"/>
          <w:color w:val="auto"/>
        </w:rPr>
        <w:t xml:space="preserve">by Sellers if the Closing has not occurred on or prior to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Seller is at the time of such election to terminate in breach in any material respect of any of its obligations hereunder;</w:t>
      </w:r>
    </w:p>
    <w:p>
      <w:pPr>
        <w:spacing w:after="0" w:line="170" w:lineRule="exact"/>
        <w:rPr>
          <w:rFonts w:ascii="Arial" w:cs="Arial" w:eastAsia="Arial" w:hAnsi="Arial"/>
          <w:sz w:val="18"/>
          <w:szCs w:val="18"/>
          <w:color w:val="010000"/>
        </w:rPr>
      </w:pPr>
    </w:p>
    <w:p>
      <w:pPr>
        <w:jc w:val="both"/>
        <w:ind w:left="900" w:firstLine="640"/>
        <w:spacing w:after="0" w:line="295" w:lineRule="auto"/>
        <w:tabs>
          <w:tab w:leader="none" w:pos="2094" w:val="left"/>
        </w:tabs>
        <w:numPr>
          <w:ilvl w:val="0"/>
          <w:numId w:val="280"/>
        </w:numPr>
        <w:rPr>
          <w:rFonts w:ascii="Arial" w:cs="Arial" w:eastAsia="Arial" w:hAnsi="Arial"/>
          <w:sz w:val="16"/>
          <w:szCs w:val="16"/>
          <w:color w:val="010000"/>
        </w:rPr>
      </w:pPr>
      <w:r>
        <w:rPr>
          <w:rFonts w:ascii="Arial" w:cs="Arial" w:eastAsia="Arial" w:hAnsi="Arial"/>
          <w:sz w:val="16"/>
          <w:szCs w:val="16"/>
          <w:color w:val="auto"/>
        </w:rPr>
        <w:t xml:space="preserve">by Buyer if there has been a breach by any Seller of any representation, warranty, covenant or agreement set forth herein and the effect of such breach would be to cause the conditions to Buyer’s obligation to consummate the Closing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not to be capable of being satisfied, and such breach is not cured or is not reasonably capable of being cured within 30 days of receiving written notice of such breach or alleged breach from Buyer, it being understood and agreed that this Agreement may not be terminated pursuant to this </w:t>
      </w:r>
      <w:r>
        <w:rPr>
          <w:rFonts w:ascii="Arial" w:cs="Arial" w:eastAsia="Arial" w:hAnsi="Arial"/>
          <w:sz w:val="16"/>
          <w:szCs w:val="16"/>
          <w:u w:val="single" w:color="auto"/>
          <w:color w:val="auto"/>
        </w:rPr>
        <w:t>Section 7.01(d)</w:t>
      </w:r>
      <w:r>
        <w:rPr>
          <w:rFonts w:ascii="Arial" w:cs="Arial" w:eastAsia="Arial" w:hAnsi="Arial"/>
          <w:sz w:val="16"/>
          <w:szCs w:val="16"/>
          <w:color w:val="auto"/>
        </w:rPr>
        <w:t xml:space="preserve"> during such 30-day period or following such 30-day period if such breach is cured during such 30-day period;</w:t>
      </w:r>
    </w:p>
    <w:p>
      <w:pPr>
        <w:spacing w:after="0" w:line="159" w:lineRule="exact"/>
        <w:rPr>
          <w:rFonts w:ascii="Arial" w:cs="Arial" w:eastAsia="Arial" w:hAnsi="Arial"/>
          <w:sz w:val="16"/>
          <w:szCs w:val="16"/>
          <w:color w:val="010000"/>
        </w:rPr>
      </w:pPr>
    </w:p>
    <w:p>
      <w:pPr>
        <w:jc w:val="both"/>
        <w:ind w:left="900" w:firstLine="640"/>
        <w:spacing w:after="0" w:line="295" w:lineRule="auto"/>
        <w:tabs>
          <w:tab w:leader="none" w:pos="2152" w:val="left"/>
        </w:tabs>
        <w:numPr>
          <w:ilvl w:val="0"/>
          <w:numId w:val="280"/>
        </w:numPr>
        <w:rPr>
          <w:rFonts w:ascii="Arial" w:cs="Arial" w:eastAsia="Arial" w:hAnsi="Arial"/>
          <w:sz w:val="16"/>
          <w:szCs w:val="16"/>
          <w:color w:val="010000"/>
        </w:rPr>
      </w:pPr>
      <w:r>
        <w:rPr>
          <w:rFonts w:ascii="Arial" w:cs="Arial" w:eastAsia="Arial" w:hAnsi="Arial"/>
          <w:sz w:val="16"/>
          <w:szCs w:val="16"/>
          <w:color w:val="auto"/>
        </w:rPr>
        <w:t xml:space="preserve">by Sellers if there has been a breach by Buyer of any representation, warranty, covenant or agreement set forth herein and the effect of such breach would be to cause the conditions to Sellers’ obligation to consummate the Closing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not to be capable of being satisfied, and such breach is not cured or is not reasonably capable of being cured within 30 days of receiving written notice of such breach or alleged breach from Sellers, it being understood and agreed that this Agreement may not be terminated pursuant to this </w:t>
      </w:r>
      <w:r>
        <w:rPr>
          <w:rFonts w:ascii="Arial" w:cs="Arial" w:eastAsia="Arial" w:hAnsi="Arial"/>
          <w:sz w:val="16"/>
          <w:szCs w:val="16"/>
          <w:u w:val="single" w:color="auto"/>
          <w:color w:val="auto"/>
        </w:rPr>
        <w:t>Section 7.01(e)</w:t>
      </w:r>
      <w:r>
        <w:rPr>
          <w:rFonts w:ascii="Arial" w:cs="Arial" w:eastAsia="Arial" w:hAnsi="Arial"/>
          <w:sz w:val="16"/>
          <w:szCs w:val="16"/>
          <w:color w:val="auto"/>
        </w:rPr>
        <w:t xml:space="preserve"> during such 30-day period or following such 30-day period if such breach is cured during such 30-day period;</w:t>
      </w:r>
    </w:p>
    <w:p>
      <w:pPr>
        <w:spacing w:after="0" w:line="159" w:lineRule="exact"/>
        <w:rPr>
          <w:rFonts w:ascii="Arial" w:cs="Arial" w:eastAsia="Arial" w:hAnsi="Arial"/>
          <w:sz w:val="16"/>
          <w:szCs w:val="16"/>
          <w:color w:val="010000"/>
        </w:rPr>
      </w:pPr>
    </w:p>
    <w:p>
      <w:pPr>
        <w:jc w:val="both"/>
        <w:ind w:left="900" w:firstLine="640"/>
        <w:spacing w:after="0" w:line="255" w:lineRule="auto"/>
        <w:tabs>
          <w:tab w:leader="none" w:pos="2145" w:val="left"/>
        </w:tabs>
        <w:numPr>
          <w:ilvl w:val="0"/>
          <w:numId w:val="280"/>
        </w:numPr>
        <w:rPr>
          <w:rFonts w:ascii="Arial" w:cs="Arial" w:eastAsia="Arial" w:hAnsi="Arial"/>
          <w:sz w:val="18"/>
          <w:szCs w:val="18"/>
          <w:color w:val="010000"/>
        </w:rPr>
      </w:pPr>
      <w:r>
        <w:rPr>
          <w:rFonts w:ascii="Arial" w:cs="Arial" w:eastAsia="Arial" w:hAnsi="Arial"/>
          <w:sz w:val="18"/>
          <w:szCs w:val="18"/>
          <w:color w:val="auto"/>
        </w:rPr>
        <w:t xml:space="preserve">by either Party if there shall be in effect a final, non-appealable Order of a Governmental Authority of competent jurisdiction restraining, enjoining or otherwise prohibiting the consummation of the Contemplated Transactions; it being agreed that the Parties shall promptly appeal any adverse determination that is appealable (and pursue such appeal with reasonable diligence);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7.01(f)</w:t>
      </w:r>
      <w:r>
        <w:rPr>
          <w:rFonts w:ascii="Arial" w:cs="Arial" w:eastAsia="Arial" w:hAnsi="Arial"/>
          <w:sz w:val="18"/>
          <w:szCs w:val="18"/>
          <w:color w:val="auto"/>
        </w:rPr>
        <w:t xml:space="preserve"> shall not be available to a Party if such Order was primarily due to the failure of such Party to perform any of its obligations under this Agreement; or</w:t>
      </w:r>
    </w:p>
    <w:p>
      <w:pPr>
        <w:spacing w:after="0" w:line="190" w:lineRule="exact"/>
        <w:rPr>
          <w:rFonts w:ascii="Arial" w:cs="Arial" w:eastAsia="Arial" w:hAnsi="Arial"/>
          <w:sz w:val="18"/>
          <w:szCs w:val="18"/>
          <w:color w:val="010000"/>
        </w:rPr>
      </w:pPr>
    </w:p>
    <w:p>
      <w:pPr>
        <w:jc w:val="both"/>
        <w:ind w:left="900" w:firstLine="640"/>
        <w:spacing w:after="0" w:line="285" w:lineRule="auto"/>
        <w:tabs>
          <w:tab w:leader="none" w:pos="2121" w:val="left"/>
        </w:tabs>
        <w:numPr>
          <w:ilvl w:val="0"/>
          <w:numId w:val="280"/>
        </w:numPr>
        <w:rPr>
          <w:rFonts w:ascii="Arial" w:cs="Arial" w:eastAsia="Arial" w:hAnsi="Arial"/>
          <w:sz w:val="17"/>
          <w:szCs w:val="17"/>
          <w:color w:val="010000"/>
        </w:rPr>
      </w:pPr>
      <w:r>
        <w:rPr>
          <w:rFonts w:ascii="Arial" w:cs="Arial" w:eastAsia="Arial" w:hAnsi="Arial"/>
          <w:sz w:val="17"/>
          <w:szCs w:val="17"/>
          <w:color w:val="auto"/>
        </w:rPr>
        <w:t xml:space="preserve">by Sellers if (i) the Buyer Stockholder Approval is not obtained at the Buyer Stockholders Meeting (including any adjournment thereof pursuant to </w:t>
      </w:r>
      <w:r>
        <w:rPr>
          <w:rFonts w:ascii="Arial" w:cs="Arial" w:eastAsia="Arial" w:hAnsi="Arial"/>
          <w:sz w:val="17"/>
          <w:szCs w:val="17"/>
          <w:u w:val="single" w:color="auto"/>
          <w:color w:val="auto"/>
        </w:rPr>
        <w:t>Section 5.05(b)</w:t>
      </w:r>
      <w:r>
        <w:rPr>
          <w:rFonts w:ascii="Arial" w:cs="Arial" w:eastAsia="Arial" w:hAnsi="Arial"/>
          <w:sz w:val="17"/>
          <w:szCs w:val="17"/>
          <w:color w:val="auto"/>
        </w:rPr>
        <w:t>) or (ii) after the date the Buyer Stockholder Redemptions have been consummated if the Buyer Stockholder Redemptions result in Available Cash of immediately prior to the Closing being less than the Minimum Cash Amount.</w:t>
      </w:r>
    </w:p>
    <w:p>
      <w:pPr>
        <w:spacing w:after="0" w:line="164" w:lineRule="exact"/>
        <w:rPr>
          <w:sz w:val="20"/>
          <w:szCs w:val="20"/>
          <w:color w:val="auto"/>
        </w:rPr>
      </w:pPr>
    </w:p>
    <w:p>
      <w:pPr>
        <w:ind w:right="20" w:firstLine="1290"/>
        <w:spacing w:after="0" w:line="306" w:lineRule="auto"/>
        <w:rPr>
          <w:sz w:val="20"/>
          <w:szCs w:val="20"/>
          <w:color w:val="auto"/>
        </w:rPr>
      </w:pPr>
      <w:r>
        <w:rPr>
          <w:rFonts w:ascii="Arial" w:cs="Arial" w:eastAsia="Arial" w:hAnsi="Arial"/>
          <w:sz w:val="17"/>
          <w:szCs w:val="17"/>
          <w:color w:val="010000"/>
        </w:rPr>
        <w:t xml:space="preserve">Section 7.02 </w:t>
      </w:r>
      <w:r>
        <w:rPr>
          <w:rFonts w:ascii="Arial" w:cs="Arial" w:eastAsia="Arial" w:hAnsi="Arial"/>
          <w:sz w:val="17"/>
          <w:szCs w:val="17"/>
          <w:u w:val="single" w:color="auto"/>
          <w:color w:val="000000"/>
        </w:rPr>
        <w:t>Procedure and Effect of Termination</w:t>
      </w:r>
      <w:r>
        <w:rPr>
          <w:rFonts w:ascii="Arial" w:cs="Arial" w:eastAsia="Arial" w:hAnsi="Arial"/>
          <w:sz w:val="17"/>
          <w:szCs w:val="17"/>
          <w:color w:val="000000"/>
        </w:rPr>
        <w:t>. If this Agreement is terminated by Sellers or Buyer pursuant to</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7.01</w:t>
      </w:r>
      <w:r>
        <w:rPr>
          <w:rFonts w:ascii="Arial" w:cs="Arial" w:eastAsia="Arial" w:hAnsi="Arial"/>
          <w:sz w:val="17"/>
          <w:szCs w:val="17"/>
          <w:color w:val="000000"/>
        </w:rPr>
        <w:t>, written</w:t>
      </w:r>
      <w:r>
        <w:rPr>
          <w:rFonts w:ascii="Arial" w:cs="Arial" w:eastAsia="Arial" w:hAnsi="Arial"/>
          <w:sz w:val="17"/>
          <w:szCs w:val="17"/>
          <w:color w:val="010000"/>
        </w:rPr>
        <w:t xml:space="preserve"> </w:t>
      </w:r>
      <w:r>
        <w:rPr>
          <w:rFonts w:ascii="Arial" w:cs="Arial" w:eastAsia="Arial" w:hAnsi="Arial"/>
          <w:sz w:val="17"/>
          <w:szCs w:val="17"/>
          <w:color w:val="000000"/>
        </w:rPr>
        <w:t>notice thereof shall be given to the other Party. If this Agreement is terminated and the Contemplated Transactions are abandoned as provided herein: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39" w:name="page340"/>
    <w:bookmarkEnd w:id="339"/>
    <w:p>
      <w:pPr>
        <w:ind w:left="900" w:right="20" w:firstLine="640"/>
        <w:spacing w:after="0" w:line="275" w:lineRule="auto"/>
        <w:tabs>
          <w:tab w:leader="none" w:pos="2259" w:val="left"/>
        </w:tabs>
        <w:numPr>
          <w:ilvl w:val="0"/>
          <w:numId w:val="281"/>
        </w:numPr>
        <w:rPr>
          <w:rFonts w:ascii="Arial" w:cs="Arial" w:eastAsia="Arial" w:hAnsi="Arial"/>
          <w:sz w:val="18"/>
          <w:szCs w:val="18"/>
          <w:color w:val="010000"/>
        </w:rPr>
      </w:pPr>
      <w:r>
        <w:rPr>
          <w:rFonts w:ascii="Arial" w:cs="Arial" w:eastAsia="Arial" w:hAnsi="Arial"/>
          <w:sz w:val="18"/>
          <w:szCs w:val="18"/>
          <w:color w:val="auto"/>
        </w:rPr>
        <w:t>each Party shall redeliver all documents, work papers and other material of any other Party relating to the Contemplated Transactions, whether so obtained before or after the execution hereof, to the Party furnishing the same;</w:t>
      </w:r>
    </w:p>
    <w:p>
      <w:pPr>
        <w:spacing w:after="0" w:line="170" w:lineRule="exact"/>
        <w:rPr>
          <w:rFonts w:ascii="Arial" w:cs="Arial" w:eastAsia="Arial" w:hAnsi="Arial"/>
          <w:sz w:val="18"/>
          <w:szCs w:val="18"/>
          <w:color w:val="010000"/>
        </w:rPr>
      </w:pPr>
    </w:p>
    <w:p>
      <w:pPr>
        <w:ind w:left="900" w:firstLine="640"/>
        <w:spacing w:after="0" w:line="306" w:lineRule="auto"/>
        <w:tabs>
          <w:tab w:leader="none" w:pos="2121" w:val="left"/>
        </w:tabs>
        <w:numPr>
          <w:ilvl w:val="0"/>
          <w:numId w:val="281"/>
        </w:numPr>
        <w:rPr>
          <w:rFonts w:ascii="Arial" w:cs="Arial" w:eastAsia="Arial" w:hAnsi="Arial"/>
          <w:sz w:val="17"/>
          <w:szCs w:val="17"/>
          <w:color w:val="010000"/>
        </w:rPr>
      </w:pPr>
      <w:r>
        <w:rPr>
          <w:rFonts w:ascii="Arial" w:cs="Arial" w:eastAsia="Arial" w:hAnsi="Arial"/>
          <w:sz w:val="17"/>
          <w:szCs w:val="17"/>
          <w:color w:val="auto"/>
        </w:rPr>
        <w:t>all confidential information received by any Party with respect to the business of the other Party or any of its Affiliates shall be treated in accordance with the provisions of the Confidentiality Agreement, which shall survive the termination of this Agreement; and</w:t>
      </w:r>
    </w:p>
    <w:p>
      <w:pPr>
        <w:spacing w:after="0" w:line="146" w:lineRule="exact"/>
        <w:rPr>
          <w:rFonts w:ascii="Arial" w:cs="Arial" w:eastAsia="Arial" w:hAnsi="Arial"/>
          <w:sz w:val="17"/>
          <w:szCs w:val="17"/>
          <w:color w:val="010000"/>
        </w:rPr>
      </w:pPr>
    </w:p>
    <w:p>
      <w:pPr>
        <w:ind w:left="900" w:firstLine="640"/>
        <w:spacing w:after="0" w:line="275" w:lineRule="auto"/>
        <w:tabs>
          <w:tab w:leader="none" w:pos="2071" w:val="left"/>
        </w:tabs>
        <w:numPr>
          <w:ilvl w:val="0"/>
          <w:numId w:val="281"/>
        </w:numPr>
        <w:rPr>
          <w:rFonts w:ascii="Arial" w:cs="Arial" w:eastAsia="Arial" w:hAnsi="Arial"/>
          <w:sz w:val="18"/>
          <w:szCs w:val="18"/>
          <w:color w:val="010000"/>
        </w:rPr>
      </w:pPr>
      <w:r>
        <w:rPr>
          <w:rFonts w:ascii="Arial" w:cs="Arial" w:eastAsia="Arial" w:hAnsi="Arial"/>
          <w:sz w:val="18"/>
          <w:szCs w:val="18"/>
          <w:color w:val="auto"/>
        </w:rPr>
        <w:t>all filings, applications and other submissions made to any Person, including any Governmental Authority, in connection with the Contemplated Transactions shall, to the extent practicable, be withdrawn from such Person.</w:t>
      </w:r>
    </w:p>
    <w:p>
      <w:pPr>
        <w:spacing w:after="0" w:line="171"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7.03 </w:t>
      </w:r>
      <w:r>
        <w:rPr>
          <w:rFonts w:ascii="Arial" w:cs="Arial" w:eastAsia="Arial" w:hAnsi="Arial"/>
          <w:sz w:val="18"/>
          <w:szCs w:val="18"/>
          <w:u w:val="single" w:color="auto"/>
          <w:color w:val="000000"/>
        </w:rPr>
        <w:t>Effect of Termination</w:t>
      </w:r>
      <w:r>
        <w:rPr>
          <w:rFonts w:ascii="Arial" w:cs="Arial" w:eastAsia="Arial" w:hAnsi="Arial"/>
          <w:sz w:val="18"/>
          <w:szCs w:val="18"/>
          <w:color w:val="000000"/>
        </w:rPr>
        <w:t>. If this Agreement is terminated and the Contemplated Transactions are abandoned in accordance</w:t>
      </w:r>
      <w:r>
        <w:rPr>
          <w:rFonts w:ascii="Arial" w:cs="Arial" w:eastAsia="Arial" w:hAnsi="Arial"/>
          <w:sz w:val="18"/>
          <w:szCs w:val="18"/>
          <w:color w:val="010000"/>
        </w:rPr>
        <w:t xml:space="preserve"> </w:t>
      </w:r>
      <w:r>
        <w:rPr>
          <w:rFonts w:ascii="Arial" w:cs="Arial" w:eastAsia="Arial" w:hAnsi="Arial"/>
          <w:sz w:val="18"/>
          <w:szCs w:val="18"/>
          <w:color w:val="000000"/>
        </w:rPr>
        <w:t xml:space="preserve">with </w:t>
      </w:r>
      <w:r>
        <w:rPr>
          <w:rFonts w:ascii="Arial" w:cs="Arial" w:eastAsia="Arial" w:hAnsi="Arial"/>
          <w:sz w:val="18"/>
          <w:szCs w:val="18"/>
          <w:u w:val="single" w:color="auto"/>
          <w:color w:val="000000"/>
        </w:rPr>
        <w:t>Section 7.01</w:t>
      </w:r>
      <w:r>
        <w:rPr>
          <w:rFonts w:ascii="Arial" w:cs="Arial" w:eastAsia="Arial" w:hAnsi="Arial"/>
          <w:sz w:val="18"/>
          <w:szCs w:val="18"/>
          <w:color w:val="000000"/>
        </w:rPr>
        <w:t xml:space="preserve">, this Agreement shall become void and of no further force and effect (other than </w:t>
      </w:r>
      <w:r>
        <w:rPr>
          <w:rFonts w:ascii="Arial" w:cs="Arial" w:eastAsia="Arial" w:hAnsi="Arial"/>
          <w:sz w:val="18"/>
          <w:szCs w:val="18"/>
          <w:u w:val="single" w:color="auto"/>
          <w:color w:val="000000"/>
        </w:rPr>
        <w:t>Section 5.12</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7.02</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7.03</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Article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VIII</w:t>
      </w:r>
      <w:r>
        <w:rPr>
          <w:rFonts w:ascii="Arial" w:cs="Arial" w:eastAsia="Arial" w:hAnsi="Arial"/>
          <w:sz w:val="18"/>
          <w:szCs w:val="18"/>
          <w:color w:val="000000"/>
        </w:rPr>
        <w:t xml:space="preserve">, each of which shall survive the termination of this Agreement and be enforceable by the Parties), and there shall be no liability or obligation on the part of any Party to the other Party;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nothing herein shall relieve any Party from any liability for any willful and material breach of the provisions of this Agreement by such Party prior to the termination of this Agreement, in which case, the non-breaching Parties shall be entitled to all rights and remedies available at law and in equity.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3"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8.01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consents and other communications hereunder (a) shall be in writing; (b) shall be deemed to have been</w:t>
      </w:r>
      <w:r>
        <w:rPr>
          <w:rFonts w:ascii="Arial" w:cs="Arial" w:eastAsia="Arial" w:hAnsi="Arial"/>
          <w:sz w:val="18"/>
          <w:szCs w:val="18"/>
          <w:color w:val="010000"/>
        </w:rPr>
        <w:t xml:space="preserve"> </w:t>
      </w:r>
      <w:r>
        <w:rPr>
          <w:rFonts w:ascii="Arial" w:cs="Arial" w:eastAsia="Arial" w:hAnsi="Arial"/>
          <w:sz w:val="18"/>
          <w:szCs w:val="18"/>
          <w:color w:val="000000"/>
        </w:rPr>
        <w:t xml:space="preserve">duly given (i) when delivered by hand or by Federal Express or a similar overnight courier to the address for such Party set forth below; (ii) five (5) days after being post-marked by the United States Postal Service enclosed in a postage-prepaid, registered or certified envelope addressed to the address of such Party set forth below; or (iii) when successfully transmitted by email to the email address for such Party set forth below; and (c) shall be sent to the following addresses or email addresses (or at such other address or email address for a Party as shall be specified by like notice;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any notice of change of email address shall be effective only upon receipt):</w:t>
      </w:r>
    </w:p>
    <w:p>
      <w:pPr>
        <w:spacing w:after="0" w:line="191" w:lineRule="exact"/>
        <w:rPr>
          <w:sz w:val="20"/>
          <w:szCs w:val="20"/>
          <w:color w:val="auto"/>
        </w:rPr>
      </w:pPr>
    </w:p>
    <w:p>
      <w:pPr>
        <w:ind w:left="1940" w:right="8260" w:hanging="642"/>
        <w:spacing w:after="0" w:line="459" w:lineRule="auto"/>
        <w:tabs>
          <w:tab w:leader="none" w:pos="194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if to Sellers, to: c/o PSD Partners</w:t>
      </w:r>
    </w:p>
    <w:p>
      <w:pPr>
        <w:ind w:left="1940"/>
        <w:spacing w:after="0" w:line="184" w:lineRule="auto"/>
        <w:rPr>
          <w:sz w:val="20"/>
          <w:szCs w:val="20"/>
          <w:color w:val="auto"/>
        </w:rPr>
      </w:pPr>
      <w:r>
        <w:rPr>
          <w:rFonts w:ascii="Arial" w:cs="Arial" w:eastAsia="Arial" w:hAnsi="Arial"/>
          <w:sz w:val="18"/>
          <w:szCs w:val="18"/>
          <w:color w:val="auto"/>
        </w:rPr>
        <w:t>19 West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1416</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1940"/>
        <w:spacing w:after="0"/>
        <w:tabs>
          <w:tab w:leader="none" w:pos="2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tpriore@pps.io</w:t>
      </w:r>
    </w:p>
    <w:p>
      <w:pPr>
        <w:spacing w:after="0" w:line="8"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0" w:name="page341"/>
    <w:bookmarkEnd w:id="340"/>
    <w:p>
      <w:pPr>
        <w:ind w:left="1940"/>
        <w:spacing w:after="0"/>
        <w:rPr>
          <w:sz w:val="20"/>
          <w:szCs w:val="20"/>
          <w:color w:val="auto"/>
        </w:rPr>
      </w:pPr>
      <w:r>
        <w:rPr>
          <w:rFonts w:ascii="Arial" w:cs="Arial" w:eastAsia="Arial" w:hAnsi="Arial"/>
          <w:sz w:val="18"/>
          <w:szCs w:val="18"/>
          <w:color w:val="auto"/>
        </w:rPr>
        <w:t>with copy (which shall not constitute notice)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10022</w:t>
      </w:r>
    </w:p>
    <w:p>
      <w:pPr>
        <w:spacing w:after="0" w:line="8" w:lineRule="exact"/>
        <w:rPr>
          <w:sz w:val="20"/>
          <w:szCs w:val="20"/>
          <w:color w:val="auto"/>
        </w:rPr>
      </w:pPr>
    </w:p>
    <w:p>
      <w:pPr>
        <w:ind w:left="1940"/>
        <w:spacing w:after="0"/>
        <w:tabs>
          <w:tab w:leader="none" w:pos="2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michael.gilligan@srz.com</w:t>
      </w:r>
    </w:p>
    <w:p>
      <w:pPr>
        <w:spacing w:after="0" w:line="8"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09" w:lineRule="exact"/>
        <w:rPr>
          <w:sz w:val="20"/>
          <w:szCs w:val="20"/>
          <w:color w:val="auto"/>
        </w:rPr>
      </w:pPr>
    </w:p>
    <w:p>
      <w:pPr>
        <w:ind w:left="1940" w:hanging="642"/>
        <w:spacing w:after="0"/>
        <w:tabs>
          <w:tab w:leader="none" w:pos="19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if to Buyer, to:</w:t>
      </w:r>
    </w:p>
    <w:p>
      <w:pPr>
        <w:spacing w:after="0" w:line="223" w:lineRule="exact"/>
        <w:rPr>
          <w:rFonts w:ascii="Arial" w:cs="Arial" w:eastAsia="Arial" w:hAnsi="Arial"/>
          <w:sz w:val="18"/>
          <w:szCs w:val="18"/>
          <w:color w:val="auto"/>
        </w:rPr>
      </w:pPr>
    </w:p>
    <w:p>
      <w:pPr>
        <w:ind w:left="1940" w:right="7060"/>
        <w:spacing w:after="0" w:line="233" w:lineRule="auto"/>
        <w:rPr>
          <w:rFonts w:ascii="Arial" w:cs="Arial" w:eastAsia="Arial" w:hAnsi="Arial"/>
          <w:sz w:val="18"/>
          <w:szCs w:val="18"/>
          <w:color w:val="auto"/>
        </w:rPr>
      </w:pPr>
      <w:r>
        <w:rPr>
          <w:rFonts w:ascii="Arial" w:cs="Arial" w:eastAsia="Arial" w:hAnsi="Arial"/>
          <w:sz w:val="18"/>
          <w:szCs w:val="18"/>
          <w:color w:val="auto"/>
        </w:rPr>
        <w:t>c/o Magna Management, LLC 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10005 Email: marc.manuel@mag.na Attn: Marc Manuel</w:t>
      </w:r>
    </w:p>
    <w:p>
      <w:pPr>
        <w:spacing w:after="0" w:line="20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3" w:lineRule="exact"/>
        <w:rPr>
          <w:rFonts w:ascii="Arial" w:cs="Arial" w:eastAsia="Arial" w:hAnsi="Arial"/>
          <w:sz w:val="18"/>
          <w:szCs w:val="18"/>
          <w:color w:val="auto"/>
        </w:rPr>
      </w:pPr>
    </w:p>
    <w:p>
      <w:pPr>
        <w:ind w:left="1940" w:right="8140"/>
        <w:spacing w:after="0" w:line="273" w:lineRule="auto"/>
        <w:rPr>
          <w:rFonts w:ascii="Arial" w:cs="Arial" w:eastAsia="Arial" w:hAnsi="Arial"/>
          <w:sz w:val="18"/>
          <w:szCs w:val="18"/>
          <w:color w:val="auto"/>
        </w:rPr>
      </w:pPr>
      <w:r>
        <w:rPr>
          <w:rFonts w:ascii="Arial" w:cs="Arial" w:eastAsia="Arial" w:hAnsi="Arial"/>
          <w:sz w:val="17"/>
          <w:szCs w:val="17"/>
          <w:color w:val="auto"/>
        </w:rPr>
        <w:t>Loeb &amp; Loeb LLP 345 Park Avenue</w:t>
      </w:r>
    </w:p>
    <w:p>
      <w:pPr>
        <w:ind w:left="1940" w:right="7300"/>
        <w:spacing w:after="0" w:line="276" w:lineRule="auto"/>
        <w:rPr>
          <w:rFonts w:ascii="Arial" w:cs="Arial" w:eastAsia="Arial" w:hAnsi="Arial"/>
          <w:sz w:val="18"/>
          <w:szCs w:val="18"/>
          <w:color w:val="auto"/>
        </w:rPr>
      </w:pPr>
      <w:r>
        <w:rPr>
          <w:rFonts w:ascii="Arial" w:cs="Arial" w:eastAsia="Arial" w:hAnsi="Arial"/>
          <w:sz w:val="17"/>
          <w:szCs w:val="17"/>
          <w:color w:val="auto"/>
        </w:rPr>
        <w:t>New York, New York 10154 Email: gcaruso@loeb.com Attn: Giovanni Caruso</w:t>
      </w:r>
    </w:p>
    <w:p>
      <w:pPr>
        <w:spacing w:after="0" w:line="171"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8.02 </w:t>
      </w:r>
      <w:r>
        <w:rPr>
          <w:rFonts w:ascii="Arial" w:cs="Arial" w:eastAsia="Arial" w:hAnsi="Arial"/>
          <w:sz w:val="18"/>
          <w:szCs w:val="18"/>
          <w:u w:val="single" w:color="auto"/>
          <w:color w:val="000000"/>
        </w:rPr>
        <w:t>Amendments and Modifications</w:t>
      </w:r>
      <w:r>
        <w:rPr>
          <w:rFonts w:ascii="Arial" w:cs="Arial" w:eastAsia="Arial" w:hAnsi="Arial"/>
          <w:sz w:val="18"/>
          <w:szCs w:val="18"/>
          <w:color w:val="000000"/>
        </w:rPr>
        <w:t>. Any provision of this Agreement may be amended or modified only by a written</w:t>
      </w:r>
      <w:r>
        <w:rPr>
          <w:rFonts w:ascii="Arial" w:cs="Arial" w:eastAsia="Arial" w:hAnsi="Arial"/>
          <w:sz w:val="18"/>
          <w:szCs w:val="18"/>
          <w:color w:val="010000"/>
        </w:rPr>
        <w:t xml:space="preserve"> </w:t>
      </w:r>
      <w:r>
        <w:rPr>
          <w:rFonts w:ascii="Arial" w:cs="Arial" w:eastAsia="Arial" w:hAnsi="Arial"/>
          <w:sz w:val="18"/>
          <w:szCs w:val="18"/>
          <w:color w:val="000000"/>
        </w:rPr>
        <w:t>instrument signed by each Party.</w:t>
      </w:r>
    </w:p>
    <w:p>
      <w:pPr>
        <w:spacing w:after="0" w:line="171"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8.03 </w:t>
      </w:r>
      <w:r>
        <w:rPr>
          <w:rFonts w:ascii="Arial" w:cs="Arial" w:eastAsia="Arial" w:hAnsi="Arial"/>
          <w:sz w:val="18"/>
          <w:szCs w:val="18"/>
          <w:u w:val="single" w:color="auto"/>
          <w:color w:val="000000"/>
        </w:rPr>
        <w:t>Waiver</w:t>
      </w:r>
      <w:r>
        <w:rPr>
          <w:rFonts w:ascii="Arial" w:cs="Arial" w:eastAsia="Arial" w:hAnsi="Arial"/>
          <w:sz w:val="18"/>
          <w:szCs w:val="18"/>
          <w:color w:val="000000"/>
        </w:rPr>
        <w:t>. No waiver hereunder shall be valid or binding unless set forth in writing and duly executed by the Party against</w:t>
      </w:r>
      <w:r>
        <w:rPr>
          <w:rFonts w:ascii="Arial" w:cs="Arial" w:eastAsia="Arial" w:hAnsi="Arial"/>
          <w:sz w:val="18"/>
          <w:szCs w:val="18"/>
          <w:color w:val="010000"/>
        </w:rPr>
        <w:t xml:space="preserve"> </w:t>
      </w:r>
      <w:r>
        <w:rPr>
          <w:rFonts w:ascii="Arial" w:cs="Arial" w:eastAsia="Arial" w:hAnsi="Arial"/>
          <w:sz w:val="18"/>
          <w:szCs w:val="18"/>
          <w:color w:val="000000"/>
        </w:rPr>
        <w:t>whom enforcement of the waiver is sought. Any such waiver shall constitute a waiver only with respect to the specific matter described in such writing and shall in no way impair the rights of the Party granting such waiver in any other respect or at any other time. Neither the waiver by any Party of a breach of or a default under any provision of this Agreement, nor the failure by any Party,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191"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010000"/>
        </w:rPr>
        <w:t xml:space="preserve">Section 8.04 </w:t>
      </w:r>
      <w:r>
        <w:rPr>
          <w:rFonts w:ascii="Arial" w:cs="Arial" w:eastAsia="Arial" w:hAnsi="Arial"/>
          <w:sz w:val="16"/>
          <w:szCs w:val="16"/>
          <w:u w:val="single" w:color="auto"/>
          <w:color w:val="000000"/>
        </w:rPr>
        <w:t>Disclosure Letter and Buyer Disclosure Letter References</w:t>
      </w:r>
      <w:r>
        <w:rPr>
          <w:rFonts w:ascii="Arial" w:cs="Arial" w:eastAsia="Arial" w:hAnsi="Arial"/>
          <w:sz w:val="16"/>
          <w:szCs w:val="16"/>
          <w:color w:val="000000"/>
        </w:rPr>
        <w:t>. The disclosure of any matter in any Section of the Disclosure</w:t>
      </w:r>
      <w:r>
        <w:rPr>
          <w:rFonts w:ascii="Arial" w:cs="Arial" w:eastAsia="Arial" w:hAnsi="Arial"/>
          <w:sz w:val="16"/>
          <w:szCs w:val="16"/>
          <w:color w:val="010000"/>
        </w:rPr>
        <w:t xml:space="preserve"> </w:t>
      </w:r>
      <w:r>
        <w:rPr>
          <w:rFonts w:ascii="Arial" w:cs="Arial" w:eastAsia="Arial" w:hAnsi="Arial"/>
          <w:sz w:val="16"/>
          <w:szCs w:val="16"/>
          <w:color w:val="000000"/>
        </w:rPr>
        <w:t>Letter or the Buyer Disclosure Letter, as applicable, shall be deemed to be a disclosure for all purposes of this Agreement and for all Sections of the Disclosure Letter or the Buyer Disclosure Letter, as applicable, (it being agreed that any matter disclosed in any Section of the Disclosure Letter or the Buyer Disclosure Letter, as applicable, shall be deemed to be disclosed herein with respect to any other Section of this Agreement to the extent that it is reasonably apparent from such disclosure that such disclosure is applicable to such other Section of this Agreement) but shall expressly not be deemed to constitute an admission or indication by any Seller or Buyer, as applicable, or to otherwise imply, that any such matter is material for the purposes of this Agreement. Nor shall any disclosure in a Section of the Disclosure Letter or the Buyer Disclosure Letter, as applicable, be deemed to constitute an acknowledgment that any such matter is required to be disclosed. No disclosure in any Section of the Disclosure Letter or the Buyer Disclosure Letter, as applicable, relating to a possible breach or violation of any Contract or Law shall be construed as an admission or indication that breach or violation exists or has actually occurred. The disclosure of any matter in any Section of the Disclosure Letter or the Buyer Disclosure Letter is not to be treated as constituting or implying any representation, warranty, assurance or undertaking by a Party not expressly set forth herein or as adding to or extending the scope of any of a Party’s representations or warranties set forth herein. Any capitalized terms used in any Disclosure Letter but not otherwise defined therein shall be defined as set forth herein.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1" w:name="page342"/>
    <w:bookmarkEnd w:id="341"/>
    <w:p>
      <w:pPr>
        <w:jc w:val="both"/>
        <w:ind w:firstLine="1290"/>
        <w:spacing w:after="0" w:line="274" w:lineRule="auto"/>
        <w:rPr>
          <w:sz w:val="20"/>
          <w:szCs w:val="20"/>
          <w:color w:val="auto"/>
        </w:rPr>
      </w:pPr>
      <w:r>
        <w:rPr>
          <w:rFonts w:ascii="Arial" w:cs="Arial" w:eastAsia="Arial" w:hAnsi="Arial"/>
          <w:sz w:val="17"/>
          <w:szCs w:val="17"/>
          <w:color w:val="010000"/>
        </w:rPr>
        <w:t xml:space="preserve">Section 8.05 </w:t>
      </w:r>
      <w:r>
        <w:rPr>
          <w:rFonts w:ascii="Arial" w:cs="Arial" w:eastAsia="Arial" w:hAnsi="Arial"/>
          <w:sz w:val="17"/>
          <w:szCs w:val="17"/>
          <w:u w:val="single" w:color="auto"/>
          <w:color w:val="000000"/>
        </w:rPr>
        <w:t>Expenses</w:t>
      </w:r>
      <w:r>
        <w:rPr>
          <w:rFonts w:ascii="Arial" w:cs="Arial" w:eastAsia="Arial" w:hAnsi="Arial"/>
          <w:sz w:val="17"/>
          <w:szCs w:val="17"/>
          <w:color w:val="000000"/>
        </w:rPr>
        <w:t>. Except as otherwise expressly provided herein, all costs and expenses incurred in connection with the</w:t>
      </w:r>
      <w:r>
        <w:rPr>
          <w:rFonts w:ascii="Arial" w:cs="Arial" w:eastAsia="Arial" w:hAnsi="Arial"/>
          <w:sz w:val="17"/>
          <w:szCs w:val="17"/>
          <w:color w:val="010000"/>
        </w:rPr>
        <w:t xml:space="preserve"> </w:t>
      </w:r>
      <w:r>
        <w:rPr>
          <w:rFonts w:ascii="Arial" w:cs="Arial" w:eastAsia="Arial" w:hAnsi="Arial"/>
          <w:sz w:val="17"/>
          <w:szCs w:val="17"/>
          <w:color w:val="000000"/>
        </w:rPr>
        <w:t xml:space="preserve">preparation, negotiation and execution of this Agreement, the Contemplated Transactions, and the consummation of the Contemplated Transactions, including any advisor fees and expenses, whether or not the Contemplated Transactions are consummated, shall be paid by the Person incurring such cost or expense;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8.05</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7.03</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75"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8.06 </w:t>
      </w:r>
      <w:r>
        <w:rPr>
          <w:rFonts w:ascii="Arial" w:cs="Arial" w:eastAsia="Arial" w:hAnsi="Arial"/>
          <w:sz w:val="18"/>
          <w:szCs w:val="18"/>
          <w:u w:val="single" w:color="auto"/>
          <w:color w:val="000000"/>
        </w:rPr>
        <w:t>Assignment</w:t>
      </w:r>
      <w:r>
        <w:rPr>
          <w:rFonts w:ascii="Arial" w:cs="Arial" w:eastAsia="Arial" w:hAnsi="Arial"/>
          <w:sz w:val="18"/>
          <w:szCs w:val="18"/>
          <w:color w:val="000000"/>
        </w:rPr>
        <w:t>. Neither this Agreement nor any rights, interests or obligations hereunder shall be assigned by any Party</w:t>
      </w:r>
      <w:r>
        <w:rPr>
          <w:rFonts w:ascii="Arial" w:cs="Arial" w:eastAsia="Arial" w:hAnsi="Arial"/>
          <w:sz w:val="18"/>
          <w:szCs w:val="18"/>
          <w:color w:val="010000"/>
        </w:rPr>
        <w:t xml:space="preserve"> </w:t>
      </w:r>
      <w:r>
        <w:rPr>
          <w:rFonts w:ascii="Arial" w:cs="Arial" w:eastAsia="Arial" w:hAnsi="Arial"/>
          <w:sz w:val="18"/>
          <w:szCs w:val="18"/>
          <w:color w:val="000000"/>
        </w:rPr>
        <w:t xml:space="preserve">(whether by operation of law or otherwise) without the prior written consent of the other Party, and any purported assignment without such consent shall be null and void </w:t>
      </w:r>
      <w:r>
        <w:rPr>
          <w:rFonts w:ascii="Arial" w:cs="Arial" w:eastAsia="Arial" w:hAnsi="Arial"/>
          <w:sz w:val="18"/>
          <w:szCs w:val="18"/>
          <w:i w:val="1"/>
          <w:iCs w:val="1"/>
          <w:color w:val="000000"/>
        </w:rPr>
        <w:t>ab initio</w:t>
      </w:r>
      <w:r>
        <w:rPr>
          <w:rFonts w:ascii="Arial" w:cs="Arial" w:eastAsia="Arial" w:hAnsi="Arial"/>
          <w:sz w:val="18"/>
          <w:szCs w:val="18"/>
          <w:color w:val="000000"/>
        </w:rPr>
        <w:t>.</w:t>
      </w:r>
    </w:p>
    <w:p>
      <w:pPr>
        <w:spacing w:after="0" w:line="182" w:lineRule="exact"/>
        <w:rPr>
          <w:sz w:val="20"/>
          <w:szCs w:val="20"/>
          <w:color w:val="auto"/>
        </w:rPr>
      </w:pPr>
    </w:p>
    <w:p>
      <w:pPr>
        <w:jc w:val="both"/>
        <w:ind w:right="20" w:firstLine="1290"/>
        <w:spacing w:after="0" w:line="275" w:lineRule="auto"/>
        <w:rPr>
          <w:sz w:val="20"/>
          <w:szCs w:val="20"/>
          <w:color w:val="auto"/>
        </w:rPr>
      </w:pPr>
      <w:r>
        <w:rPr>
          <w:rFonts w:ascii="Arial" w:cs="Arial" w:eastAsia="Arial" w:hAnsi="Arial"/>
          <w:sz w:val="18"/>
          <w:szCs w:val="18"/>
          <w:color w:val="010000"/>
        </w:rPr>
        <w:t xml:space="preserve">Section 8.07 </w:t>
      </w:r>
      <w:r>
        <w:rPr>
          <w:rFonts w:ascii="Arial" w:cs="Arial" w:eastAsia="Arial" w:hAnsi="Arial"/>
          <w:sz w:val="18"/>
          <w:szCs w:val="18"/>
          <w:u w:val="single" w:color="auto"/>
          <w:color w:val="000000"/>
        </w:rPr>
        <w:t>Parties in Interest</w:t>
      </w:r>
      <w:r>
        <w:rPr>
          <w:rFonts w:ascii="Arial" w:cs="Arial" w:eastAsia="Arial" w:hAnsi="Arial"/>
          <w:sz w:val="18"/>
          <w:szCs w:val="18"/>
          <w:color w:val="000000"/>
        </w:rPr>
        <w:t>. This Agreement will be binding upon, inure solely to the benefit of and be enforceable by the Parties and</w:t>
      </w:r>
      <w:r>
        <w:rPr>
          <w:rFonts w:ascii="Arial" w:cs="Arial" w:eastAsia="Arial" w:hAnsi="Arial"/>
          <w:sz w:val="18"/>
          <w:szCs w:val="18"/>
          <w:color w:val="010000"/>
        </w:rPr>
        <w:t xml:space="preserve"> </w:t>
      </w:r>
      <w:r>
        <w:rPr>
          <w:rFonts w:ascii="Arial" w:cs="Arial" w:eastAsia="Arial" w:hAnsi="Arial"/>
          <w:sz w:val="18"/>
          <w:szCs w:val="18"/>
          <w:color w:val="000000"/>
        </w:rPr>
        <w:t xml:space="preserve">their respective successors and permitted assigns, except to the extent otherwise provided in </w:t>
      </w:r>
      <w:r>
        <w:rPr>
          <w:rFonts w:ascii="Arial" w:cs="Arial" w:eastAsia="Arial" w:hAnsi="Arial"/>
          <w:sz w:val="18"/>
          <w:szCs w:val="18"/>
          <w:u w:val="single" w:color="auto"/>
          <w:color w:val="000000"/>
        </w:rPr>
        <w:t>Section 8.13</w:t>
      </w:r>
      <w:r>
        <w:rPr>
          <w:rFonts w:ascii="Arial" w:cs="Arial" w:eastAsia="Arial" w:hAnsi="Arial"/>
          <w:sz w:val="18"/>
          <w:szCs w:val="18"/>
          <w:color w:val="000000"/>
        </w:rPr>
        <w:t>.</w:t>
      </w:r>
    </w:p>
    <w:p>
      <w:pPr>
        <w:spacing w:after="0" w:line="171"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010000"/>
        </w:rPr>
        <w:t xml:space="preserve">Section 8.08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shall be construed, performed and enforced in accordance with the Laws of the State of</w:t>
      </w:r>
      <w:r>
        <w:rPr>
          <w:rFonts w:ascii="Arial" w:cs="Arial" w:eastAsia="Arial" w:hAnsi="Arial"/>
          <w:sz w:val="17"/>
          <w:szCs w:val="17"/>
          <w:color w:val="010000"/>
        </w:rPr>
        <w:t xml:space="preserve"> </w:t>
      </w:r>
      <w:r>
        <w:rPr>
          <w:rFonts w:ascii="Arial" w:cs="Arial" w:eastAsia="Arial" w:hAnsi="Arial"/>
          <w:sz w:val="17"/>
          <w:szCs w:val="17"/>
          <w:color w:val="000000"/>
        </w:rPr>
        <w:t>Delaware (without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6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8.09</w:t>
      </w:r>
      <w:r>
        <w:rPr>
          <w:sz w:val="20"/>
          <w:szCs w:val="20"/>
          <w:color w:val="auto"/>
        </w:rPr>
        <w:tab/>
      </w:r>
      <w:r>
        <w:rPr>
          <w:rFonts w:ascii="Arial" w:cs="Arial" w:eastAsia="Arial" w:hAnsi="Arial"/>
          <w:sz w:val="16"/>
          <w:szCs w:val="16"/>
          <w:u w:val="single" w:color="auto"/>
          <w:color w:val="auto"/>
        </w:rPr>
        <w:t>Jurisdiction</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52" w:lineRule="auto"/>
        <w:tabs>
          <w:tab w:leader="none" w:pos="2111" w:val="left"/>
        </w:tabs>
        <w:numPr>
          <w:ilvl w:val="0"/>
          <w:numId w:val="284"/>
        </w:numPr>
        <w:rPr>
          <w:rFonts w:ascii="Arial" w:cs="Arial" w:eastAsia="Arial" w:hAnsi="Arial"/>
          <w:sz w:val="18"/>
          <w:szCs w:val="18"/>
          <w:color w:val="010000"/>
        </w:rPr>
      </w:pPr>
      <w:r>
        <w:rPr>
          <w:rFonts w:ascii="Arial" w:cs="Arial" w:eastAsia="Arial" w:hAnsi="Arial"/>
          <w:sz w:val="18"/>
          <w:szCs w:val="18"/>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United State District Court for the District of Delaware or any state court sitting in the City of Wilmington 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the Contemplated Transactions in any court other than the aforesaid courts. Each of the Parties hereby agrees that service of process, summons, notice or document by registered mail addressed to them at its address provided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shall be effective service of process against them for any such Proceeding brought in any of the aforesaid courts.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2" w:name="page343"/>
    <w:bookmarkEnd w:id="342"/>
    <w:p>
      <w:pPr>
        <w:jc w:val="both"/>
        <w:ind w:left="-300" w:firstLine="640"/>
        <w:spacing w:after="0" w:line="271" w:lineRule="auto"/>
        <w:tabs>
          <w:tab w:leader="none" w:pos="881" w:val="left"/>
        </w:tabs>
        <w:numPr>
          <w:ilvl w:val="0"/>
          <w:numId w:val="285"/>
        </w:numPr>
        <w:rPr>
          <w:rFonts w:ascii="Arial" w:cs="Arial" w:eastAsia="Arial" w:hAnsi="Arial"/>
          <w:sz w:val="17"/>
          <w:szCs w:val="17"/>
          <w:color w:val="010000"/>
        </w:rPr>
      </w:pPr>
      <w:r>
        <w:rPr>
          <w:rFonts w:ascii="Arial" w:cs="Arial" w:eastAsia="Arial" w:hAnsi="Arial"/>
          <w:sz w:val="17"/>
          <w:szCs w:val="17"/>
          <w:color w:val="auto"/>
        </w:rPr>
        <w:t xml:space="preserve">Each of the Parties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7"/>
          <w:szCs w:val="17"/>
          <w:u w:val="single" w:color="auto"/>
          <w:color w:val="auto"/>
        </w:rPr>
        <w:t>Section 8.01</w:t>
      </w:r>
      <w:r>
        <w:rPr>
          <w:rFonts w:ascii="Arial" w:cs="Arial" w:eastAsia="Arial" w:hAnsi="Arial"/>
          <w:sz w:val="17"/>
          <w:szCs w:val="17"/>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176"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18"/>
          <w:szCs w:val="18"/>
          <w:color w:val="010000"/>
        </w:rPr>
        <w:t>Section 8.10</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3" w:lineRule="exact"/>
        <w:rPr>
          <w:sz w:val="20"/>
          <w:szCs w:val="20"/>
          <w:color w:val="auto"/>
        </w:rPr>
      </w:pPr>
    </w:p>
    <w:p>
      <w:pPr>
        <w:jc w:val="both"/>
        <w:ind w:left="-300" w:firstLine="640"/>
        <w:spacing w:after="0" w:line="252" w:lineRule="auto"/>
        <w:tabs>
          <w:tab w:leader="none" w:pos="911" w:val="left"/>
        </w:tabs>
        <w:numPr>
          <w:ilvl w:val="0"/>
          <w:numId w:val="286"/>
        </w:numPr>
        <w:rPr>
          <w:rFonts w:ascii="Arial" w:cs="Arial" w:eastAsia="Arial" w:hAnsi="Arial"/>
          <w:sz w:val="18"/>
          <w:szCs w:val="18"/>
          <w:color w:val="010000"/>
        </w:rPr>
      </w:pPr>
      <w:r>
        <w:rPr>
          <w:rFonts w:ascii="Arial" w:cs="Arial" w:eastAsia="Arial" w:hAnsi="Arial"/>
          <w:sz w:val="18"/>
          <w:szCs w:val="18"/>
          <w:color w:val="auto"/>
        </w:rPr>
        <w:t xml:space="preserve">EACH PARTY ACKNOWLEDGES AND AGREES THAT ANY CONTROVERSY OR CLAIM THAT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OR THE CONTEMPLATED TRANSACTIONS. THIS WAIVER MAY NOT BE MODIFIED EITHER ORALLY OR IN WRITING (OTHER THAN BY A MUTUAL WRITTEN WAIVER SPECIFICALLY REFERRING TO THIS </w:t>
      </w:r>
      <w:r>
        <w:rPr>
          <w:rFonts w:ascii="Arial" w:cs="Arial" w:eastAsia="Arial" w:hAnsi="Arial"/>
          <w:sz w:val="18"/>
          <w:szCs w:val="18"/>
          <w:u w:val="single" w:color="auto"/>
          <w:color w:val="auto"/>
        </w:rPr>
        <w:t>SECTION 8.10(a)</w:t>
      </w:r>
      <w:r>
        <w:rPr>
          <w:rFonts w:ascii="Arial" w:cs="Arial" w:eastAsia="Arial" w:hAnsi="Arial"/>
          <w:sz w:val="18"/>
          <w:szCs w:val="18"/>
          <w:color w:val="auto"/>
        </w:rPr>
        <w:t xml:space="preserve"> AND EXECUTED BY EACH PARTY). THIS WAIVER SHALL APPLY TO ANY SUBSEQUENT AMENDMENTS, RENEWALS, SUPPLEMENTS OR MODIFICATIONS TO THIS AGREEMENT OR ANY OTHER AGREEMENTS OR DOCUMENTS RELATING TO THE CONTEMPLATED TRANSACTIONS. The scope of this waiver is intended to be all-encompassing of any and all disputes that may be filed in any court and that relate to the subject matter of the Contemplated Transactions, including contract claims, tort claims, breach-of-duty claims and all other common law and statutory claims. In the event of litigation, this Agreement may be filed as a written consent to a trial by the court.</w:t>
      </w:r>
    </w:p>
    <w:p>
      <w:pPr>
        <w:spacing w:after="0" w:line="190" w:lineRule="exact"/>
        <w:rPr>
          <w:rFonts w:ascii="Arial" w:cs="Arial" w:eastAsia="Arial" w:hAnsi="Arial"/>
          <w:sz w:val="18"/>
          <w:szCs w:val="18"/>
          <w:color w:val="010000"/>
        </w:rPr>
      </w:pPr>
    </w:p>
    <w:p>
      <w:pPr>
        <w:jc w:val="both"/>
        <w:ind w:left="-300" w:firstLine="640"/>
        <w:spacing w:after="0" w:line="274" w:lineRule="auto"/>
        <w:tabs>
          <w:tab w:leader="none" w:pos="908" w:val="left"/>
        </w:tabs>
        <w:numPr>
          <w:ilvl w:val="0"/>
          <w:numId w:val="286"/>
        </w:numPr>
        <w:rPr>
          <w:rFonts w:ascii="Arial" w:cs="Arial" w:eastAsia="Arial" w:hAnsi="Arial"/>
          <w:sz w:val="17"/>
          <w:szCs w:val="17"/>
          <w:color w:val="010000"/>
        </w:rPr>
      </w:pPr>
      <w:r>
        <w:rPr>
          <w:rFonts w:ascii="Arial" w:cs="Arial" w:eastAsia="Arial" w:hAnsi="Arial"/>
          <w:sz w:val="17"/>
          <w:szCs w:val="17"/>
          <w:color w:val="auto"/>
        </w:rPr>
        <w:t xml:space="preserve">EACH PARTY CERTIFIES AND ACKNOWLEDGES THAT (I) NO REPRESENTATIVE, AGENT OR ATTORNEY OF THE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7"/>
          <w:szCs w:val="17"/>
          <w:u w:val="single" w:color="auto"/>
          <w:color w:val="auto"/>
        </w:rPr>
        <w:t>SECTION 8.10</w:t>
      </w:r>
      <w:r>
        <w:rPr>
          <w:rFonts w:ascii="Arial" w:cs="Arial" w:eastAsia="Arial" w:hAnsi="Arial"/>
          <w:sz w:val="17"/>
          <w:szCs w:val="17"/>
          <w:color w:val="auto"/>
        </w:rPr>
        <w:t>.</w:t>
      </w:r>
    </w:p>
    <w:p>
      <w:pPr>
        <w:spacing w:after="0" w:line="39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43" w:name="page344"/>
    <w:bookmarkEnd w:id="343"/>
    <w:p>
      <w:pPr>
        <w:jc w:val="both"/>
        <w:ind w:firstLine="1290"/>
        <w:spacing w:after="0" w:line="278" w:lineRule="auto"/>
        <w:rPr>
          <w:sz w:val="20"/>
          <w:szCs w:val="20"/>
          <w:color w:val="auto"/>
        </w:rPr>
      </w:pPr>
      <w:r>
        <w:rPr>
          <w:rFonts w:ascii="Arial" w:cs="Arial" w:eastAsia="Arial" w:hAnsi="Arial"/>
          <w:sz w:val="17"/>
          <w:szCs w:val="17"/>
          <w:color w:val="010000"/>
        </w:rPr>
        <w:t xml:space="preserve">Section 8.11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The Parties agree that this is an arm’s length transaction in which the Parties’ undertakings and</w:t>
      </w:r>
      <w:r>
        <w:rPr>
          <w:rFonts w:ascii="Arial" w:cs="Arial" w:eastAsia="Arial" w:hAnsi="Arial"/>
          <w:sz w:val="17"/>
          <w:szCs w:val="17"/>
          <w:color w:val="010000"/>
        </w:rPr>
        <w:t xml:space="preserve"> </w:t>
      </w:r>
      <w:r>
        <w:rPr>
          <w:rFonts w:ascii="Arial" w:cs="Arial" w:eastAsia="Arial" w:hAnsi="Arial"/>
          <w:sz w:val="17"/>
          <w:szCs w:val="17"/>
          <w:color w:val="000000"/>
        </w:rPr>
        <w:t>obligations are limited to the performance of their obligations under this Agreement. Buyer acknowledges that it is a sophisticated investor and that it has only a contractual relationship with each Seller, based solely on the terms of this Agreement and the other Transaction Documents and the Confidentiality Agreement, and that there is no special relationship of trust or reliance between any Seller and Buyer.</w:t>
      </w:r>
    </w:p>
    <w:p>
      <w:pPr>
        <w:spacing w:after="0" w:line="170"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010000"/>
        </w:rPr>
        <w:t xml:space="preserve">Section 8.12 </w:t>
      </w:r>
      <w:r>
        <w:rPr>
          <w:rFonts w:ascii="Arial" w:cs="Arial" w:eastAsia="Arial" w:hAnsi="Arial"/>
          <w:sz w:val="17"/>
          <w:szCs w:val="17"/>
          <w:u w:val="single" w:color="auto"/>
          <w:color w:val="000000"/>
        </w:rPr>
        <w:t>Counterparts; Effectiveness</w:t>
      </w:r>
      <w:r>
        <w:rPr>
          <w:rFonts w:ascii="Arial" w:cs="Arial" w:eastAsia="Arial" w:hAnsi="Arial"/>
          <w:sz w:val="17"/>
          <w:szCs w:val="17"/>
          <w:color w:val="000000"/>
        </w:rPr>
        <w:t>. This Agreement may be executed in any number of counterparts, each of which shall be an</w:t>
      </w:r>
      <w:r>
        <w:rPr>
          <w:rFonts w:ascii="Arial" w:cs="Arial" w:eastAsia="Arial" w:hAnsi="Arial"/>
          <w:sz w:val="17"/>
          <w:szCs w:val="17"/>
          <w:color w:val="010000"/>
        </w:rPr>
        <w:t xml:space="preserve"> </w:t>
      </w:r>
      <w:r>
        <w:rPr>
          <w:rFonts w:ascii="Arial" w:cs="Arial" w:eastAsia="Arial" w:hAnsi="Arial"/>
          <w:sz w:val="17"/>
          <w:szCs w:val="17"/>
          <w:color w:val="000000"/>
        </w:rPr>
        <w:t>original, with the 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176" w:lineRule="exact"/>
        <w:rPr>
          <w:sz w:val="20"/>
          <w:szCs w:val="20"/>
          <w:color w:val="auto"/>
        </w:rPr>
      </w:pPr>
    </w:p>
    <w:p>
      <w:pPr>
        <w:jc w:val="both"/>
        <w:ind w:firstLine="1290"/>
        <w:spacing w:after="0" w:line="300" w:lineRule="auto"/>
        <w:rPr>
          <w:sz w:val="20"/>
          <w:szCs w:val="20"/>
          <w:color w:val="auto"/>
        </w:rPr>
      </w:pPr>
      <w:r>
        <w:rPr>
          <w:rFonts w:ascii="Arial" w:cs="Arial" w:eastAsia="Arial" w:hAnsi="Arial"/>
          <w:sz w:val="16"/>
          <w:szCs w:val="16"/>
          <w:color w:val="010000"/>
        </w:rPr>
        <w:t xml:space="preserve">Section 8.13 </w:t>
      </w:r>
      <w:r>
        <w:rPr>
          <w:rFonts w:ascii="Arial" w:cs="Arial" w:eastAsia="Arial" w:hAnsi="Arial"/>
          <w:sz w:val="16"/>
          <w:szCs w:val="16"/>
          <w:u w:val="single" w:color="auto"/>
          <w:color w:val="000000"/>
        </w:rPr>
        <w:t>Third-Party Beneficiaries</w:t>
      </w:r>
      <w:r>
        <w:rPr>
          <w:rFonts w:ascii="Arial" w:cs="Arial" w:eastAsia="Arial" w:hAnsi="Arial"/>
          <w:sz w:val="16"/>
          <w:szCs w:val="16"/>
          <w:color w:val="000000"/>
        </w:rPr>
        <w:t>. The representations, warranties and agreements of the Parties contained herein are intended</w:t>
      </w:r>
      <w:r>
        <w:rPr>
          <w:rFonts w:ascii="Arial" w:cs="Arial" w:eastAsia="Arial" w:hAnsi="Arial"/>
          <w:sz w:val="16"/>
          <w:szCs w:val="16"/>
          <w:color w:val="010000"/>
        </w:rPr>
        <w:t xml:space="preserve"> </w:t>
      </w:r>
      <w:r>
        <w:rPr>
          <w:rFonts w:ascii="Arial" w:cs="Arial" w:eastAsia="Arial" w:hAnsi="Arial"/>
          <w:sz w:val="16"/>
          <w:szCs w:val="16"/>
          <w:color w:val="000000"/>
        </w:rPr>
        <w:t xml:space="preserve">solely for the benefit of the Party to whom such representations, warranties or agreements are made, and shall confer no rights hereunder, whether legal or equitable, in any other Person, and no other Person shall be entitled to rely thereon;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the Parties specifically acknowledge and agree that the provisions of </w:t>
      </w:r>
      <w:r>
        <w:rPr>
          <w:rFonts w:ascii="Arial" w:cs="Arial" w:eastAsia="Arial" w:hAnsi="Arial"/>
          <w:sz w:val="16"/>
          <w:szCs w:val="16"/>
          <w:u w:val="single" w:color="auto"/>
          <w:color w:val="000000"/>
        </w:rPr>
        <w:t>Section 8.21</w:t>
      </w:r>
      <w:r>
        <w:rPr>
          <w:rFonts w:ascii="Arial" w:cs="Arial" w:eastAsia="Arial" w:hAnsi="Arial"/>
          <w:sz w:val="16"/>
          <w:szCs w:val="16"/>
          <w:color w:val="000000"/>
        </w:rPr>
        <w:t xml:space="preserve"> are intended to be for the benefit of, and shall be enforceable by, the persons identified therein.</w:t>
      </w:r>
    </w:p>
    <w:p>
      <w:pPr>
        <w:spacing w:after="0" w:line="155"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010000"/>
        </w:rPr>
        <w:t xml:space="preserve">Section 8.14 </w:t>
      </w:r>
      <w:r>
        <w:rPr>
          <w:rFonts w:ascii="Arial" w:cs="Arial" w:eastAsia="Arial" w:hAnsi="Arial"/>
          <w:sz w:val="17"/>
          <w:szCs w:val="17"/>
          <w:u w:val="single" w:color="auto"/>
          <w:color w:val="000000"/>
        </w:rPr>
        <w:t>Entire Agreement</w:t>
      </w:r>
      <w:r>
        <w:rPr>
          <w:rFonts w:ascii="Arial" w:cs="Arial" w:eastAsia="Arial" w:hAnsi="Arial"/>
          <w:sz w:val="17"/>
          <w:szCs w:val="17"/>
          <w:color w:val="000000"/>
        </w:rPr>
        <w:t>. This Agreement (including the other Transaction Documents and the other documents and instruments</w:t>
      </w:r>
      <w:r>
        <w:rPr>
          <w:rFonts w:ascii="Arial" w:cs="Arial" w:eastAsia="Arial" w:hAnsi="Arial"/>
          <w:sz w:val="17"/>
          <w:szCs w:val="17"/>
          <w:color w:val="010000"/>
        </w:rPr>
        <w:t xml:space="preserve"> </w:t>
      </w:r>
      <w:r>
        <w:rPr>
          <w:rFonts w:ascii="Arial" w:cs="Arial" w:eastAsia="Arial" w:hAnsi="Arial"/>
          <w:sz w:val="17"/>
          <w:szCs w:val="17"/>
          <w:color w:val="000000"/>
        </w:rPr>
        <w:t>referred to herein and therein), the Confidentiality Agreement, the Disclosure Letter, and the Buyer Disclosure Letter set forth the entire agreement and understanding of the Parties in respect of the Contemplated Transactions and supersede all prior discussions, negotiations, agreements, arrangements and understandings (including the Initial Contribution Agreement and the First Amended Contribution Agreement), whether oral or written, relating to the subject matter hereof and thereof. There are no warranties, representations or other agreements between the Parties in connection with the subject matter hereof, except as specifically set forth herein or the other Transaction Documents, or in the Confidentiality Agreement.</w:t>
      </w:r>
    </w:p>
    <w:p>
      <w:pPr>
        <w:spacing w:after="0" w:line="176"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010000"/>
        </w:rPr>
        <w:t xml:space="preserve">Section 8.15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provision, covenant or restriction of this Agreement is held by a court of competent jurisdiction or</w:t>
      </w:r>
      <w:r>
        <w:rPr>
          <w:rFonts w:ascii="Arial" w:cs="Arial" w:eastAsia="Arial" w:hAnsi="Arial"/>
          <w:sz w:val="17"/>
          <w:szCs w:val="17"/>
          <w:color w:val="010000"/>
        </w:rPr>
        <w:t xml:space="preserve"> </w:t>
      </w:r>
      <w:r>
        <w:rPr>
          <w:rFonts w:ascii="Arial" w:cs="Arial" w:eastAsia="Arial" w:hAnsi="Arial"/>
          <w:sz w:val="17"/>
          <w:szCs w:val="17"/>
          <w:color w:val="000000"/>
        </w:rPr>
        <w:t>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Contemplated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Contemplated Transactions be consummated as originally contemplated to the fullest extent possible.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4" w:name="page345"/>
    <w:bookmarkEnd w:id="344"/>
    <w:p>
      <w:pPr>
        <w:jc w:val="both"/>
        <w:ind w:firstLine="1290"/>
        <w:spacing w:after="0" w:line="271" w:lineRule="auto"/>
        <w:rPr>
          <w:sz w:val="20"/>
          <w:szCs w:val="20"/>
          <w:color w:val="auto"/>
        </w:rPr>
      </w:pPr>
      <w:r>
        <w:rPr>
          <w:rFonts w:ascii="Arial" w:cs="Arial" w:eastAsia="Arial" w:hAnsi="Arial"/>
          <w:sz w:val="17"/>
          <w:szCs w:val="17"/>
          <w:color w:val="010000"/>
        </w:rPr>
        <w:t xml:space="preserve">Section 8.16 </w:t>
      </w:r>
      <w:r>
        <w:rPr>
          <w:rFonts w:ascii="Arial" w:cs="Arial" w:eastAsia="Arial" w:hAnsi="Arial"/>
          <w:sz w:val="17"/>
          <w:szCs w:val="17"/>
          <w:u w:val="single" w:color="auto"/>
          <w:color w:val="000000"/>
        </w:rPr>
        <w:t>Non-Survival of Representations, Warranties and Covenants</w:t>
      </w:r>
      <w:r>
        <w:rPr>
          <w:rFonts w:ascii="Arial" w:cs="Arial" w:eastAsia="Arial" w:hAnsi="Arial"/>
          <w:sz w:val="17"/>
          <w:szCs w:val="17"/>
          <w:color w:val="000000"/>
        </w:rPr>
        <w:t>. No representation, warranty, covenant or other agreement</w:t>
      </w:r>
      <w:r>
        <w:rPr>
          <w:rFonts w:ascii="Arial" w:cs="Arial" w:eastAsia="Arial" w:hAnsi="Arial"/>
          <w:sz w:val="17"/>
          <w:szCs w:val="17"/>
          <w:color w:val="010000"/>
        </w:rPr>
        <w:t xml:space="preserve"> </w:t>
      </w:r>
      <w:r>
        <w:rPr>
          <w:rFonts w:ascii="Arial" w:cs="Arial" w:eastAsia="Arial" w:hAnsi="Arial"/>
          <w:sz w:val="17"/>
          <w:szCs w:val="17"/>
          <w:color w:val="000000"/>
        </w:rPr>
        <w:t xml:space="preserve">contained herein or in any instrument or certificate delivered by any Party at Closing will survive the Closing or termination of this Agreement, and no Party shall have any liability to the other Party after the Closing for any breach thereof, except for (a) covenants and agreements that contemplate performance after the Closing or after the termination of this Agreement or otherwise expressly by their terms survive the Closing or termination of this Agreement, (b) the representations, warranties, covenants and other agreements set forth in </w:t>
      </w:r>
      <w:r>
        <w:rPr>
          <w:rFonts w:ascii="Arial" w:cs="Arial" w:eastAsia="Arial" w:hAnsi="Arial"/>
          <w:sz w:val="17"/>
          <w:szCs w:val="17"/>
          <w:u w:val="single" w:color="auto"/>
          <w:color w:val="000000"/>
        </w:rPr>
        <w:t>Section 3.28</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Section 4.17</w:t>
      </w:r>
      <w:r>
        <w:rPr>
          <w:rFonts w:ascii="Arial" w:cs="Arial" w:eastAsia="Arial" w:hAnsi="Arial"/>
          <w:sz w:val="17"/>
          <w:szCs w:val="17"/>
          <w:color w:val="000000"/>
        </w:rPr>
        <w:t xml:space="preserve">, each of which will survive in accordance with its terms,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8.16</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7.03</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76"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8.17</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3" w:lineRule="exact"/>
        <w:rPr>
          <w:sz w:val="20"/>
          <w:szCs w:val="20"/>
          <w:color w:val="auto"/>
        </w:rPr>
      </w:pPr>
    </w:p>
    <w:p>
      <w:pPr>
        <w:jc w:val="both"/>
        <w:ind w:left="900" w:firstLine="640"/>
        <w:spacing w:after="0" w:line="270" w:lineRule="auto"/>
        <w:tabs>
          <w:tab w:leader="none" w:pos="2192" w:val="left"/>
        </w:tabs>
        <w:numPr>
          <w:ilvl w:val="0"/>
          <w:numId w:val="287"/>
        </w:numPr>
        <w:rPr>
          <w:rFonts w:ascii="Arial" w:cs="Arial" w:eastAsia="Arial" w:hAnsi="Arial"/>
          <w:sz w:val="17"/>
          <w:szCs w:val="17"/>
          <w:color w:val="010000"/>
        </w:rPr>
      </w:pPr>
      <w:r>
        <w:rPr>
          <w:rFonts w:ascii="Arial" w:cs="Arial" w:eastAsia="Arial" w:hAnsi="Arial"/>
          <w:sz w:val="17"/>
          <w:szCs w:val="17"/>
          <w:color w:val="auto"/>
        </w:rPr>
        <w:t xml:space="preserve">Each Party acknowledges and agrees that irreparable injury to the other Party would occur if any provision hereof were not performed in accordance with its specific terms or were otherwise breached, and that such injury would not be adequately compensable in damages because of the difficulty of ascertaining the amount of damages that would be suffered in the event that this Agreement were breached. It is accordingly agreed that, subject to the further provisions of this </w:t>
      </w:r>
      <w:r>
        <w:rPr>
          <w:rFonts w:ascii="Arial" w:cs="Arial" w:eastAsia="Arial" w:hAnsi="Arial"/>
          <w:sz w:val="17"/>
          <w:szCs w:val="17"/>
          <w:u w:val="single" w:color="auto"/>
          <w:color w:val="auto"/>
        </w:rPr>
        <w:t>Section 8.17</w:t>
      </w:r>
      <w:r>
        <w:rPr>
          <w:rFonts w:ascii="Arial" w:cs="Arial" w:eastAsia="Arial" w:hAnsi="Arial"/>
          <w:sz w:val="17"/>
          <w:szCs w:val="17"/>
          <w:color w:val="auto"/>
        </w:rPr>
        <w:t xml:space="preserve">, prior to the valid termination of this Agreement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 each Party shall be entitled, in addition to any other remedy to which it is entitled at law or in equity, to specific enforcement of, and injunctive relief, without proof of actual damages, to prevent any breach or violation of, the terms hereof, and the other Party shall not take action, directly or indirectly, in opposition to the Party seeking such relief on the grounds that any other remedy or relief is available at law or in equity. Any requirements for the securing or posting of any bond with such remedy are hereby waived.</w:t>
      </w:r>
    </w:p>
    <w:p>
      <w:pPr>
        <w:spacing w:after="0" w:line="176" w:lineRule="exact"/>
        <w:rPr>
          <w:rFonts w:ascii="Arial" w:cs="Arial" w:eastAsia="Arial" w:hAnsi="Arial"/>
          <w:sz w:val="17"/>
          <w:szCs w:val="17"/>
          <w:color w:val="010000"/>
        </w:rPr>
      </w:pPr>
    </w:p>
    <w:p>
      <w:pPr>
        <w:jc w:val="both"/>
        <w:ind w:left="900" w:firstLine="640"/>
        <w:spacing w:after="0" w:line="262" w:lineRule="auto"/>
        <w:tabs>
          <w:tab w:leader="none" w:pos="2229" w:val="left"/>
        </w:tabs>
        <w:numPr>
          <w:ilvl w:val="0"/>
          <w:numId w:val="287"/>
        </w:numPr>
        <w:rPr>
          <w:rFonts w:ascii="Arial" w:cs="Arial" w:eastAsia="Arial" w:hAnsi="Arial"/>
          <w:sz w:val="18"/>
          <w:szCs w:val="18"/>
          <w:color w:val="010000"/>
        </w:rPr>
      </w:pPr>
      <w:r>
        <w:rPr>
          <w:rFonts w:ascii="Arial" w:cs="Arial" w:eastAsia="Arial" w:hAnsi="Arial"/>
          <w:sz w:val="18"/>
          <w:szCs w:val="18"/>
          <w:color w:val="auto"/>
        </w:rPr>
        <w:t>The Parties agree that in no case shall either Party be entitled to any indirect, consequential, incidental, punitive or special damages (including loss of future revenue, lost profits, diminution in value or multiple of earnings damages) in connection with any claim arising out of or related to this Agreement or the Contemplated Transactions.</w:t>
      </w:r>
    </w:p>
    <w:p>
      <w:pPr>
        <w:spacing w:after="0" w:line="182"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010000"/>
        </w:rPr>
        <w:t xml:space="preserve">Section 8.18 </w:t>
      </w:r>
      <w:r>
        <w:rPr>
          <w:rFonts w:ascii="Arial" w:cs="Arial" w:eastAsia="Arial" w:hAnsi="Arial"/>
          <w:sz w:val="18"/>
          <w:szCs w:val="18"/>
          <w:u w:val="single" w:color="auto"/>
          <w:color w:val="000000"/>
        </w:rPr>
        <w:t>Representation by Counsel</w:t>
      </w:r>
      <w:r>
        <w:rPr>
          <w:rFonts w:ascii="Arial" w:cs="Arial" w:eastAsia="Arial" w:hAnsi="Arial"/>
          <w:sz w:val="18"/>
          <w:szCs w:val="18"/>
          <w:color w:val="000000"/>
        </w:rPr>
        <w:t>. Each Party acknowledges to the other that it has been represented by independent legal counsel</w:t>
      </w:r>
      <w:r>
        <w:rPr>
          <w:rFonts w:ascii="Arial" w:cs="Arial" w:eastAsia="Arial" w:hAnsi="Arial"/>
          <w:sz w:val="18"/>
          <w:szCs w:val="18"/>
          <w:color w:val="010000"/>
        </w:rPr>
        <w:t xml:space="preserve"> </w:t>
      </w:r>
      <w:r>
        <w:rPr>
          <w:rFonts w:ascii="Arial" w:cs="Arial" w:eastAsia="Arial" w:hAnsi="Arial"/>
          <w:sz w:val="18"/>
          <w:szCs w:val="18"/>
          <w:color w:val="000000"/>
        </w:rPr>
        <w:t>of its own choice throughout all of the negotiations that preceded the execution of this Agreement. Each Party further acknowledges that it and its counsel have had adequate opportunity to make whatever investigation or inquiry they may deem necessary or desirable in connection with the subject matter of this Agreement prior to the execution 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5" w:name="page346"/>
    <w:bookmarkEnd w:id="345"/>
    <w:p>
      <w:pPr>
        <w:jc w:val="both"/>
        <w:ind w:firstLine="1290"/>
        <w:spacing w:after="0" w:line="262" w:lineRule="auto"/>
        <w:rPr>
          <w:sz w:val="20"/>
          <w:szCs w:val="20"/>
          <w:color w:val="auto"/>
        </w:rPr>
      </w:pPr>
      <w:r>
        <w:rPr>
          <w:rFonts w:ascii="Arial" w:cs="Arial" w:eastAsia="Arial" w:hAnsi="Arial"/>
          <w:sz w:val="18"/>
          <w:szCs w:val="18"/>
          <w:color w:val="010000"/>
        </w:rPr>
        <w:t xml:space="preserve">Section 8.19 </w:t>
      </w:r>
      <w:r>
        <w:rPr>
          <w:rFonts w:ascii="Arial" w:cs="Arial" w:eastAsia="Arial" w:hAnsi="Arial"/>
          <w:sz w:val="18"/>
          <w:szCs w:val="18"/>
          <w:u w:val="single" w:color="auto"/>
          <w:color w:val="000000"/>
        </w:rPr>
        <w:t>Rules of Construction</w:t>
      </w:r>
      <w:r>
        <w:rPr>
          <w:rFonts w:ascii="Arial" w:cs="Arial" w:eastAsia="Arial" w:hAnsi="Arial"/>
          <w:sz w:val="18"/>
          <w:szCs w:val="18"/>
          <w:color w:val="000000"/>
        </w:rPr>
        <w:t>. The Parties have participated jointly in the negotiation and drafting of this Agreement. In the event</w:t>
      </w:r>
      <w:r>
        <w:rPr>
          <w:rFonts w:ascii="Arial" w:cs="Arial" w:eastAsia="Arial" w:hAnsi="Arial"/>
          <w:sz w:val="18"/>
          <w:szCs w:val="18"/>
          <w:color w:val="010000"/>
        </w:rPr>
        <w:t xml:space="preserve"> </w:t>
      </w:r>
      <w:r>
        <w:rPr>
          <w:rFonts w:ascii="Arial" w:cs="Arial" w:eastAsia="Arial" w:hAnsi="Arial"/>
          <w:sz w:val="18"/>
          <w:szCs w:val="18"/>
          <w:color w:val="000000"/>
        </w:rPr>
        <w:t>an ambiguity or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82"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8.20 </w:t>
      </w:r>
      <w:r>
        <w:rPr>
          <w:rFonts w:ascii="Arial" w:cs="Arial" w:eastAsia="Arial" w:hAnsi="Arial"/>
          <w:sz w:val="18"/>
          <w:szCs w:val="18"/>
          <w:u w:val="single" w:color="auto"/>
          <w:color w:val="000000"/>
        </w:rPr>
        <w:t>Headings</w:t>
      </w:r>
      <w:r>
        <w:rPr>
          <w:rFonts w:ascii="Arial" w:cs="Arial" w:eastAsia="Arial" w:hAnsi="Arial"/>
          <w:sz w:val="18"/>
          <w:szCs w:val="18"/>
          <w:color w:val="000000"/>
        </w:rPr>
        <w:t>. Headings of the Articles and Sections of this Agreement, and the Table of Contents are for convenience of the</w:t>
      </w:r>
      <w:r>
        <w:rPr>
          <w:rFonts w:ascii="Arial" w:cs="Arial" w:eastAsia="Arial" w:hAnsi="Arial"/>
          <w:sz w:val="18"/>
          <w:szCs w:val="18"/>
          <w:color w:val="010000"/>
        </w:rPr>
        <w:t xml:space="preserve"> </w:t>
      </w:r>
      <w:r>
        <w:rPr>
          <w:rFonts w:ascii="Arial" w:cs="Arial" w:eastAsia="Arial" w:hAnsi="Arial"/>
          <w:sz w:val="18"/>
          <w:szCs w:val="18"/>
          <w:color w:val="000000"/>
        </w:rPr>
        <w:t>Parties only, and shall be given no substantive or interpretative effect whatsoever.</w:t>
      </w:r>
    </w:p>
    <w:p>
      <w:pPr>
        <w:spacing w:after="0" w:line="171" w:lineRule="exact"/>
        <w:rPr>
          <w:sz w:val="20"/>
          <w:szCs w:val="20"/>
          <w:color w:val="auto"/>
        </w:rPr>
      </w:pPr>
    </w:p>
    <w:p>
      <w:pPr>
        <w:jc w:val="both"/>
        <w:ind w:firstLine="1290"/>
        <w:spacing w:after="0" w:line="290" w:lineRule="auto"/>
        <w:rPr>
          <w:sz w:val="20"/>
          <w:szCs w:val="20"/>
          <w:color w:val="auto"/>
        </w:rPr>
      </w:pPr>
      <w:r>
        <w:rPr>
          <w:rFonts w:ascii="Arial" w:cs="Arial" w:eastAsia="Arial" w:hAnsi="Arial"/>
          <w:sz w:val="16"/>
          <w:szCs w:val="16"/>
          <w:color w:val="010000"/>
        </w:rPr>
        <w:t xml:space="preserve">Section 8.21 </w:t>
      </w:r>
      <w:r>
        <w:rPr>
          <w:rFonts w:ascii="Arial" w:cs="Arial" w:eastAsia="Arial" w:hAnsi="Arial"/>
          <w:sz w:val="16"/>
          <w:szCs w:val="16"/>
          <w:u w:val="single" w:color="auto"/>
          <w:color w:val="000000"/>
        </w:rPr>
        <w:t>Non-Recourse</w:t>
      </w:r>
      <w:r>
        <w:rPr>
          <w:rFonts w:ascii="Arial" w:cs="Arial" w:eastAsia="Arial" w:hAnsi="Arial"/>
          <w:sz w:val="16"/>
          <w:szCs w:val="16"/>
          <w:color w:val="000000"/>
        </w:rPr>
        <w:t>. No past, present or future director, officer, employee, incorporator, agent, attorney or representative of any</w:t>
      </w:r>
      <w:r>
        <w:rPr>
          <w:rFonts w:ascii="Arial" w:cs="Arial" w:eastAsia="Arial" w:hAnsi="Arial"/>
          <w:sz w:val="16"/>
          <w:szCs w:val="16"/>
          <w:color w:val="010000"/>
        </w:rPr>
        <w:t xml:space="preserve"> </w:t>
      </w:r>
      <w:r>
        <w:rPr>
          <w:rFonts w:ascii="Arial" w:cs="Arial" w:eastAsia="Arial" w:hAnsi="Arial"/>
          <w:sz w:val="16"/>
          <w:szCs w:val="16"/>
          <w:color w:val="000000"/>
        </w:rPr>
        <w:t>Seller, the Company, or the Company’s Subsidiaries or any of their respective Affiliates shall be deemed to (a) have made any representations or warranties, or entered into any covenants or agreements, in connection with the Contemplated Transactions or (b) have any personal liability to Buyer for any obligations or liabilities of any Seller under this Agreement or any other Transaction Document for any claim based on, in respect of, or by reason of, the Contemplated Transactions. It is further understood that any Certification contemplated by this Agreement and executed by an officer or other representative of a Party shall be deemed to have been delivered only in such officer’s or representative’s capacity as an officer or representative, as applicable, of such Party (and not in his or her individual capacity) and shall not entitle any Party to assert a claim against such officer or representative in his or her individual capacity.</w:t>
      </w:r>
    </w:p>
    <w:p>
      <w:pPr>
        <w:spacing w:after="0" w:line="164" w:lineRule="exact"/>
        <w:rPr>
          <w:sz w:val="20"/>
          <w:szCs w:val="20"/>
          <w:color w:val="auto"/>
        </w:rPr>
      </w:pPr>
    </w:p>
    <w:p>
      <w:pPr>
        <w:jc w:val="both"/>
        <w:ind w:firstLine="1290"/>
        <w:spacing w:after="0" w:line="306" w:lineRule="auto"/>
        <w:rPr>
          <w:sz w:val="20"/>
          <w:szCs w:val="20"/>
          <w:color w:val="auto"/>
        </w:rPr>
      </w:pPr>
      <w:r>
        <w:rPr>
          <w:rFonts w:ascii="Arial" w:cs="Arial" w:eastAsia="Arial" w:hAnsi="Arial"/>
          <w:sz w:val="17"/>
          <w:szCs w:val="17"/>
          <w:color w:val="010000"/>
        </w:rPr>
        <w:t xml:space="preserve">Section 8.22 </w:t>
      </w:r>
      <w:r>
        <w:rPr>
          <w:rFonts w:ascii="Arial" w:cs="Arial" w:eastAsia="Arial" w:hAnsi="Arial"/>
          <w:sz w:val="17"/>
          <w:szCs w:val="17"/>
          <w:u w:val="single" w:color="auto"/>
          <w:color w:val="000000"/>
        </w:rPr>
        <w:t>Inconsistencies with Other Agreements</w:t>
      </w:r>
      <w:r>
        <w:rPr>
          <w:rFonts w:ascii="Arial" w:cs="Arial" w:eastAsia="Arial" w:hAnsi="Arial"/>
          <w:sz w:val="17"/>
          <w:szCs w:val="17"/>
          <w:color w:val="000000"/>
        </w:rPr>
        <w:t>. In the event of any inconsistency between the provisions in the body of this</w:t>
      </w:r>
      <w:r>
        <w:rPr>
          <w:rFonts w:ascii="Arial" w:cs="Arial" w:eastAsia="Arial" w:hAnsi="Arial"/>
          <w:sz w:val="17"/>
          <w:szCs w:val="17"/>
          <w:color w:val="010000"/>
        </w:rPr>
        <w:t xml:space="preserve"> </w:t>
      </w:r>
      <w:r>
        <w:rPr>
          <w:rFonts w:ascii="Arial" w:cs="Arial" w:eastAsia="Arial" w:hAnsi="Arial"/>
          <w:sz w:val="17"/>
          <w:szCs w:val="17"/>
          <w:color w:val="000000"/>
        </w:rPr>
        <w:t>Agreement and those in the other Transaction Documents referred to herein, the provisions in the body of this Agreement will prevail and govern.</w:t>
      </w:r>
    </w:p>
    <w:p>
      <w:pPr>
        <w:spacing w:after="0" w:line="147"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8.23 </w:t>
      </w:r>
      <w:r>
        <w:rPr>
          <w:rFonts w:ascii="Arial" w:cs="Arial" w:eastAsia="Arial" w:hAnsi="Arial"/>
          <w:sz w:val="18"/>
          <w:szCs w:val="18"/>
          <w:u w:val="single" w:color="auto"/>
          <w:color w:val="000000"/>
        </w:rPr>
        <w:t>Obligations of Buyer</w:t>
      </w:r>
      <w:r>
        <w:rPr>
          <w:rFonts w:ascii="Arial" w:cs="Arial" w:eastAsia="Arial" w:hAnsi="Arial"/>
          <w:sz w:val="18"/>
          <w:szCs w:val="18"/>
          <w:color w:val="000000"/>
        </w:rPr>
        <w:t>. Whenever this Agreement requires a Subsidiary of Buyer to take any action, such requirement shall</w:t>
      </w:r>
      <w:r>
        <w:rPr>
          <w:rFonts w:ascii="Arial" w:cs="Arial" w:eastAsia="Arial" w:hAnsi="Arial"/>
          <w:sz w:val="18"/>
          <w:szCs w:val="18"/>
          <w:color w:val="010000"/>
        </w:rPr>
        <w:t xml:space="preserve"> </w:t>
      </w:r>
      <w:r>
        <w:rPr>
          <w:rFonts w:ascii="Arial" w:cs="Arial" w:eastAsia="Arial" w:hAnsi="Arial"/>
          <w:sz w:val="18"/>
          <w:szCs w:val="18"/>
          <w:color w:val="000000"/>
        </w:rPr>
        <w:t>be deemed to include an undertaking on the part of Buyer to cause such Subsidiary to take such action.</w:t>
      </w:r>
    </w:p>
    <w:p>
      <w:pPr>
        <w:spacing w:after="0" w:line="17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8.24</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53" w:lineRule="auto"/>
        <w:tabs>
          <w:tab w:leader="none" w:pos="2178" w:val="left"/>
        </w:tabs>
        <w:numPr>
          <w:ilvl w:val="0"/>
          <w:numId w:val="288"/>
        </w:numPr>
        <w:rPr>
          <w:rFonts w:ascii="Arial" w:cs="Arial" w:eastAsia="Arial" w:hAnsi="Arial"/>
          <w:sz w:val="18"/>
          <w:szCs w:val="18"/>
          <w:color w:val="010000"/>
        </w:rPr>
      </w:pPr>
      <w:r>
        <w:rPr>
          <w:rFonts w:ascii="Arial" w:cs="Arial" w:eastAsia="Arial" w:hAnsi="Arial"/>
          <w:sz w:val="18"/>
          <w:szCs w:val="18"/>
          <w:color w:val="auto"/>
        </w:rPr>
        <w:t xml:space="preserve">An item arising with respect to a specific representation or warranty shall be deemed to be “reflected on” or “set forth in” a balance sheet or financial statements, to the extent any such phrase appears in such representation or warranty, if (i) there is a reserve, accrual or other similar item underlying a number on such balance sheet or financial statements that relate to the subject matter of such representation, (ii) such item is otherwise specifically set forth on the balance sheet or financial statements or (iii) such item is reflected on the balance sheet or financial statements and is specifically set forth in the notes thereto. For the avoidance of doubt, references to “Subsidiary” (or a comparable term) in any statement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deemed to refer to such defined term (or comparable term) determined as of the date on which such statement is made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6" w:name="page347"/>
    <w:bookmarkEnd w:id="346"/>
    <w:p>
      <w:pPr>
        <w:ind w:left="-300" w:right="20" w:firstLine="640"/>
        <w:spacing w:after="0" w:line="275" w:lineRule="auto"/>
        <w:tabs>
          <w:tab w:leader="none" w:pos="935" w:val="left"/>
        </w:tabs>
        <w:numPr>
          <w:ilvl w:val="0"/>
          <w:numId w:val="289"/>
        </w:numPr>
        <w:rPr>
          <w:rFonts w:ascii="Arial" w:cs="Arial" w:eastAsia="Arial" w:hAnsi="Arial"/>
          <w:sz w:val="18"/>
          <w:szCs w:val="18"/>
          <w:color w:val="010000"/>
        </w:rPr>
      </w:pPr>
      <w:r>
        <w:rPr>
          <w:rFonts w:ascii="Arial" w:cs="Arial" w:eastAsia="Arial" w:hAnsi="Arial"/>
          <w:sz w:val="18"/>
          <w:szCs w:val="18"/>
          <w:color w:val="auto"/>
        </w:rPr>
        <w:t>The phrases “the date of this Agreement”, “the date hereof” and terms of similar import, unless the context otherwise requires, shall be deemed to refer to April 17, 2018.</w:t>
      </w:r>
    </w:p>
    <w:p>
      <w:pPr>
        <w:spacing w:after="0" w:line="170" w:lineRule="exact"/>
        <w:rPr>
          <w:rFonts w:ascii="Arial" w:cs="Arial" w:eastAsia="Arial" w:hAnsi="Arial"/>
          <w:sz w:val="18"/>
          <w:szCs w:val="18"/>
          <w:color w:val="010000"/>
        </w:rPr>
      </w:pPr>
    </w:p>
    <w:p>
      <w:pPr>
        <w:ind w:left="-300" w:firstLine="640"/>
        <w:spacing w:after="0" w:line="275" w:lineRule="auto"/>
        <w:tabs>
          <w:tab w:leader="none" w:pos="871" w:val="left"/>
        </w:tabs>
        <w:numPr>
          <w:ilvl w:val="0"/>
          <w:numId w:val="289"/>
        </w:numPr>
        <w:rPr>
          <w:rFonts w:ascii="Arial" w:cs="Arial" w:eastAsia="Arial" w:hAnsi="Arial"/>
          <w:sz w:val="18"/>
          <w:szCs w:val="18"/>
          <w:color w:val="010000"/>
        </w:rPr>
      </w:pPr>
      <w:r>
        <w:rPr>
          <w:rFonts w:ascii="Arial" w:cs="Arial" w:eastAsia="Arial" w:hAnsi="Arial"/>
          <w:sz w:val="18"/>
          <w:szCs w:val="18"/>
          <w:color w:val="auto"/>
        </w:rPr>
        <w:t>The words “hereof”, “herein” and “hereunder” and words of like import used in this Agreement shall refer to this Agreement as a whole and not to any particular provision of this Agreement.</w:t>
      </w:r>
    </w:p>
    <w:p>
      <w:pPr>
        <w:spacing w:after="0" w:line="170" w:lineRule="exact"/>
        <w:rPr>
          <w:rFonts w:ascii="Arial" w:cs="Arial" w:eastAsia="Arial" w:hAnsi="Arial"/>
          <w:sz w:val="18"/>
          <w:szCs w:val="18"/>
          <w:color w:val="010000"/>
        </w:rPr>
      </w:pPr>
    </w:p>
    <w:p>
      <w:pPr>
        <w:ind w:left="860" w:hanging="520"/>
        <w:spacing w:after="0"/>
        <w:tabs>
          <w:tab w:leader="none" w:pos="860" w:val="left"/>
        </w:tabs>
        <w:numPr>
          <w:ilvl w:val="0"/>
          <w:numId w:val="289"/>
        </w:numPr>
        <w:rPr>
          <w:rFonts w:ascii="Arial" w:cs="Arial" w:eastAsia="Arial" w:hAnsi="Arial"/>
          <w:sz w:val="18"/>
          <w:szCs w:val="18"/>
          <w:color w:val="010000"/>
        </w:rPr>
      </w:pPr>
      <w:r>
        <w:rPr>
          <w:rFonts w:ascii="Arial" w:cs="Arial" w:eastAsia="Arial" w:hAnsi="Arial"/>
          <w:sz w:val="18"/>
          <w:szCs w:val="18"/>
          <w:color w:val="auto"/>
        </w:rPr>
        <w:t>References to Articles and Sections are to Articles and Sections of this Agreement unless otherwise specified.</w:t>
      </w:r>
    </w:p>
    <w:p>
      <w:pPr>
        <w:spacing w:after="0" w:line="223" w:lineRule="exact"/>
        <w:rPr>
          <w:rFonts w:ascii="Arial" w:cs="Arial" w:eastAsia="Arial" w:hAnsi="Arial"/>
          <w:sz w:val="18"/>
          <w:szCs w:val="18"/>
          <w:color w:val="010000"/>
        </w:rPr>
      </w:pPr>
    </w:p>
    <w:p>
      <w:pPr>
        <w:ind w:left="-300" w:firstLine="640"/>
        <w:spacing w:after="0" w:line="306" w:lineRule="auto"/>
        <w:tabs>
          <w:tab w:leader="none" w:pos="884" w:val="left"/>
        </w:tabs>
        <w:numPr>
          <w:ilvl w:val="0"/>
          <w:numId w:val="289"/>
        </w:numPr>
        <w:rPr>
          <w:rFonts w:ascii="Arial" w:cs="Arial" w:eastAsia="Arial" w:hAnsi="Arial"/>
          <w:sz w:val="17"/>
          <w:szCs w:val="17"/>
          <w:color w:val="010000"/>
        </w:rPr>
      </w:pPr>
      <w:r>
        <w:rPr>
          <w:rFonts w:ascii="Arial" w:cs="Arial" w:eastAsia="Arial" w:hAnsi="Arial"/>
          <w:sz w:val="17"/>
          <w:szCs w:val="17"/>
          <w:color w:val="auto"/>
        </w:rPr>
        <w:t>All documents that have been made available to Buyer or its Representatives by any Seller or its Representatives for review at an electronic data room and all other Evaluation Material shall be deemed disclosed and delivered pursuant to this Agreement.</w:t>
      </w:r>
    </w:p>
    <w:p>
      <w:pPr>
        <w:spacing w:after="0" w:line="146" w:lineRule="exact"/>
        <w:rPr>
          <w:rFonts w:ascii="Arial" w:cs="Arial" w:eastAsia="Arial" w:hAnsi="Arial"/>
          <w:sz w:val="17"/>
          <w:szCs w:val="17"/>
          <w:color w:val="010000"/>
        </w:rPr>
      </w:pPr>
    </w:p>
    <w:p>
      <w:pPr>
        <w:ind w:left="840" w:hanging="500"/>
        <w:spacing w:after="0"/>
        <w:tabs>
          <w:tab w:leader="none" w:pos="840" w:val="left"/>
        </w:tabs>
        <w:numPr>
          <w:ilvl w:val="0"/>
          <w:numId w:val="289"/>
        </w:numPr>
        <w:rPr>
          <w:rFonts w:ascii="Arial" w:cs="Arial" w:eastAsia="Arial" w:hAnsi="Arial"/>
          <w:sz w:val="18"/>
          <w:szCs w:val="18"/>
          <w:color w:val="010000"/>
        </w:rPr>
      </w:pPr>
      <w:r>
        <w:rPr>
          <w:rFonts w:ascii="Arial" w:cs="Arial" w:eastAsia="Arial" w:hAnsi="Arial"/>
          <w:sz w:val="18"/>
          <w:szCs w:val="18"/>
          <w:color w:val="auto"/>
        </w:rPr>
        <w:t>Any singular term in this Agreement shall be deemed to include the plural, and any plural term the singular.</w:t>
      </w:r>
    </w:p>
    <w:p>
      <w:pPr>
        <w:spacing w:after="0" w:line="223" w:lineRule="exact"/>
        <w:rPr>
          <w:rFonts w:ascii="Arial" w:cs="Arial" w:eastAsia="Arial" w:hAnsi="Arial"/>
          <w:sz w:val="18"/>
          <w:szCs w:val="18"/>
          <w:color w:val="010000"/>
        </w:rPr>
      </w:pPr>
    </w:p>
    <w:p>
      <w:pPr>
        <w:ind w:left="860" w:hanging="520"/>
        <w:spacing w:after="0"/>
        <w:tabs>
          <w:tab w:leader="none" w:pos="860" w:val="left"/>
        </w:tabs>
        <w:numPr>
          <w:ilvl w:val="0"/>
          <w:numId w:val="289"/>
        </w:numPr>
        <w:rPr>
          <w:rFonts w:ascii="Arial" w:cs="Arial" w:eastAsia="Arial" w:hAnsi="Arial"/>
          <w:sz w:val="18"/>
          <w:szCs w:val="18"/>
          <w:color w:val="010000"/>
        </w:rPr>
      </w:pPr>
      <w:r>
        <w:rPr>
          <w:rFonts w:ascii="Arial" w:cs="Arial" w:eastAsia="Arial" w:hAnsi="Arial"/>
          <w:sz w:val="18"/>
          <w:szCs w:val="18"/>
          <w:color w:val="auto"/>
        </w:rPr>
        <w:t>The word “or” shall be inclusive and not exclusive, unless the context otherwise requires.</w:t>
      </w:r>
    </w:p>
    <w:p>
      <w:pPr>
        <w:spacing w:after="0" w:line="223" w:lineRule="exact"/>
        <w:rPr>
          <w:rFonts w:ascii="Arial" w:cs="Arial" w:eastAsia="Arial" w:hAnsi="Arial"/>
          <w:sz w:val="18"/>
          <w:szCs w:val="18"/>
          <w:color w:val="010000"/>
        </w:rPr>
      </w:pPr>
    </w:p>
    <w:p>
      <w:pPr>
        <w:ind w:left="-300" w:firstLine="640"/>
        <w:spacing w:after="0" w:line="275" w:lineRule="auto"/>
        <w:tabs>
          <w:tab w:leader="none" w:pos="881" w:val="left"/>
        </w:tabs>
        <w:numPr>
          <w:ilvl w:val="0"/>
          <w:numId w:val="289"/>
        </w:numPr>
        <w:rPr>
          <w:rFonts w:ascii="Arial" w:cs="Arial" w:eastAsia="Arial" w:hAnsi="Arial"/>
          <w:sz w:val="18"/>
          <w:szCs w:val="18"/>
          <w:color w:val="010000"/>
        </w:rPr>
      </w:pPr>
      <w:r>
        <w:rPr>
          <w:rFonts w:ascii="Arial" w:cs="Arial" w:eastAsia="Arial" w:hAnsi="Arial"/>
          <w:sz w:val="18"/>
          <w:szCs w:val="18"/>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170" w:lineRule="exact"/>
        <w:rPr>
          <w:rFonts w:ascii="Arial" w:cs="Arial" w:eastAsia="Arial" w:hAnsi="Arial"/>
          <w:sz w:val="18"/>
          <w:szCs w:val="18"/>
          <w:color w:val="010000"/>
        </w:rPr>
      </w:pPr>
    </w:p>
    <w:p>
      <w:pPr>
        <w:ind w:left="-300" w:right="20" w:firstLine="640"/>
        <w:spacing w:after="0" w:line="275" w:lineRule="auto"/>
        <w:tabs>
          <w:tab w:leader="none" w:pos="895" w:val="left"/>
        </w:tabs>
        <w:numPr>
          <w:ilvl w:val="0"/>
          <w:numId w:val="289"/>
        </w:numPr>
        <w:rPr>
          <w:rFonts w:ascii="Arial" w:cs="Arial" w:eastAsia="Arial" w:hAnsi="Arial"/>
          <w:sz w:val="18"/>
          <w:szCs w:val="18"/>
          <w:color w:val="010000"/>
        </w:rPr>
      </w:pPr>
      <w:r>
        <w:rPr>
          <w:rFonts w:ascii="Arial" w:cs="Arial" w:eastAsia="Arial" w:hAnsi="Arial"/>
          <w:sz w:val="18"/>
          <w:szCs w:val="18"/>
          <w:color w:val="auto"/>
        </w:rPr>
        <w:t>“Writing”, “written” and comparable terms refer to printing, typing and other means of reproducing words (including electronic media) in a visible form.</w:t>
      </w:r>
    </w:p>
    <w:p>
      <w:pPr>
        <w:spacing w:after="0" w:line="170" w:lineRule="exact"/>
        <w:rPr>
          <w:rFonts w:ascii="Arial" w:cs="Arial" w:eastAsia="Arial" w:hAnsi="Arial"/>
          <w:sz w:val="18"/>
          <w:szCs w:val="18"/>
          <w:color w:val="010000"/>
        </w:rPr>
      </w:pPr>
    </w:p>
    <w:p>
      <w:pPr>
        <w:jc w:val="both"/>
        <w:ind w:left="-300" w:firstLine="640"/>
        <w:spacing w:after="0" w:line="274" w:lineRule="auto"/>
        <w:tabs>
          <w:tab w:leader="none" w:pos="881" w:val="left"/>
        </w:tabs>
        <w:numPr>
          <w:ilvl w:val="0"/>
          <w:numId w:val="289"/>
        </w:numPr>
        <w:rPr>
          <w:rFonts w:ascii="Arial" w:cs="Arial" w:eastAsia="Arial" w:hAnsi="Arial"/>
          <w:sz w:val="17"/>
          <w:szCs w:val="17"/>
          <w:color w:val="010000"/>
        </w:rPr>
      </w:pPr>
      <w:r>
        <w:rPr>
          <w:rFonts w:ascii="Arial" w:cs="Arial" w:eastAsia="Arial" w:hAnsi="Arial"/>
          <w:sz w:val="17"/>
          <w:szCs w:val="17"/>
          <w:color w:val="auto"/>
        </w:rPr>
        <w:t xml:space="preserve">References to any Contract are to that Contract as amended, modified or supplemented from time to time in accordance with the terms hereof and thereof. The disclosure of the name of, or any party to, a Contract, or the terms or conditions of a Contract, in any Section of the Disclosure Letter is subject to the restrictions set forth in such Contract or under applicable Law with respect to such disclosure, and no representations or warranties of Sellers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deemed to be untrue or inaccurate by reason of the disclosure in such Section of the Disclosure Letter being omitted or otherwise limited in order to comply with such restrictions.</w:t>
      </w:r>
    </w:p>
    <w:p>
      <w:pPr>
        <w:spacing w:after="0" w:line="174" w:lineRule="exact"/>
        <w:rPr>
          <w:rFonts w:ascii="Arial" w:cs="Arial" w:eastAsia="Arial" w:hAnsi="Arial"/>
          <w:sz w:val="17"/>
          <w:szCs w:val="17"/>
          <w:color w:val="010000"/>
        </w:rPr>
      </w:pPr>
    </w:p>
    <w:p>
      <w:pPr>
        <w:jc w:val="both"/>
        <w:ind w:left="-300" w:firstLine="640"/>
        <w:spacing w:after="0" w:line="262" w:lineRule="auto"/>
        <w:tabs>
          <w:tab w:leader="none" w:pos="894" w:val="left"/>
        </w:tabs>
        <w:numPr>
          <w:ilvl w:val="0"/>
          <w:numId w:val="289"/>
        </w:numPr>
        <w:rPr>
          <w:rFonts w:ascii="Arial" w:cs="Arial" w:eastAsia="Arial" w:hAnsi="Arial"/>
          <w:sz w:val="18"/>
          <w:szCs w:val="18"/>
          <w:color w:val="010000"/>
        </w:rPr>
      </w:pPr>
      <w:r>
        <w:rPr>
          <w:rFonts w:ascii="Arial" w:cs="Arial" w:eastAsia="Arial" w:hAnsi="Arial"/>
          <w:sz w:val="18"/>
          <w:szCs w:val="18"/>
          <w:color w:val="auto"/>
        </w:rPr>
        <w:t xml:space="preserve">References to any Person include the successors and permitted assigns of that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the avoidance of doubt, nothing in this </w:t>
      </w:r>
      <w:r>
        <w:rPr>
          <w:rFonts w:ascii="Arial" w:cs="Arial" w:eastAsia="Arial" w:hAnsi="Arial"/>
          <w:sz w:val="18"/>
          <w:szCs w:val="18"/>
          <w:u w:val="single" w:color="auto"/>
          <w:color w:val="auto"/>
        </w:rPr>
        <w:t>Section 8.24(k)</w:t>
      </w:r>
      <w:r>
        <w:rPr>
          <w:rFonts w:ascii="Arial" w:cs="Arial" w:eastAsia="Arial" w:hAnsi="Arial"/>
          <w:sz w:val="18"/>
          <w:szCs w:val="18"/>
          <w:color w:val="auto"/>
        </w:rPr>
        <w:t xml:space="preserve"> is intended to authorize, nor shall it be deemed to have authorized, any assignment or transfer not otherwise permitted by this Agreement.</w:t>
      </w:r>
    </w:p>
    <w:p>
      <w:pPr>
        <w:spacing w:after="0" w:line="39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47" w:name="page348"/>
    <w:bookmarkEnd w:id="347"/>
    <w:p>
      <w:pPr>
        <w:jc w:val="both"/>
        <w:ind w:left="-300" w:firstLine="640"/>
        <w:spacing w:after="0" w:line="258" w:lineRule="auto"/>
        <w:tabs>
          <w:tab w:leader="none" w:pos="828" w:val="left"/>
        </w:tabs>
        <w:numPr>
          <w:ilvl w:val="0"/>
          <w:numId w:val="290"/>
        </w:numPr>
        <w:rPr>
          <w:rFonts w:ascii="Arial" w:cs="Arial" w:eastAsia="Arial" w:hAnsi="Arial"/>
          <w:sz w:val="18"/>
          <w:szCs w:val="18"/>
          <w:color w:val="010000"/>
        </w:rPr>
      </w:pPr>
      <w:r>
        <w:rPr>
          <w:rFonts w:ascii="Arial" w:cs="Arial" w:eastAsia="Arial" w:hAnsi="Arial"/>
          <w:sz w:val="18"/>
          <w:szCs w:val="18"/>
          <w:color w:val="auto"/>
        </w:rPr>
        <w:t>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85" w:lineRule="exact"/>
        <w:rPr>
          <w:rFonts w:ascii="Arial" w:cs="Arial" w:eastAsia="Arial" w:hAnsi="Arial"/>
          <w:sz w:val="18"/>
          <w:szCs w:val="18"/>
          <w:color w:val="010000"/>
        </w:rPr>
      </w:pPr>
    </w:p>
    <w:p>
      <w:pPr>
        <w:ind w:left="-300" w:firstLine="640"/>
        <w:spacing w:after="0" w:line="275" w:lineRule="auto"/>
        <w:tabs>
          <w:tab w:leader="none" w:pos="958" w:val="left"/>
        </w:tabs>
        <w:numPr>
          <w:ilvl w:val="0"/>
          <w:numId w:val="290"/>
        </w:numPr>
        <w:rPr>
          <w:rFonts w:ascii="Arial" w:cs="Arial" w:eastAsia="Arial" w:hAnsi="Arial"/>
          <w:sz w:val="18"/>
          <w:szCs w:val="18"/>
          <w:color w:val="010000"/>
        </w:rPr>
      </w:pPr>
      <w:r>
        <w:rPr>
          <w:rFonts w:ascii="Arial" w:cs="Arial" w:eastAsia="Arial" w:hAnsi="Arial"/>
          <w:sz w:val="18"/>
          <w:szCs w:val="18"/>
          <w:color w:val="auto"/>
        </w:rPr>
        <w:t>Unless the context otherwise requires, references to “Law”, “Laws” or to a particular Law shall be deemed to refer to such Law as amended from time to time, and to the rules and regulations promulgated thereunder.</w:t>
      </w:r>
    </w:p>
    <w:p>
      <w:pPr>
        <w:spacing w:after="0" w:line="171"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SELLERS:</w:t>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PRIORITY INVESTMENT HOLDINGS, LLC</w:t>
      </w:r>
    </w:p>
    <w:p>
      <w:pPr>
        <w:spacing w:after="0" w:line="223" w:lineRule="exact"/>
        <w:rPr>
          <w:sz w:val="20"/>
          <w:szCs w:val="20"/>
          <w:color w:val="auto"/>
        </w:rPr>
      </w:pPr>
    </w:p>
    <w:tbl>
      <w:tblPr>
        <w:tblLayout w:type="fixed"/>
        <w:tblInd w:w="506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C. Priore</w:t>
            </w:r>
          </w:p>
        </w:tc>
      </w:tr>
      <w:tr>
        <w:trPr>
          <w:trHeight w:val="194"/>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Thomas C. Priore</w:t>
            </w:r>
          </w:p>
        </w:tc>
      </w:tr>
      <w:tr>
        <w:trPr>
          <w:trHeight w:val="230"/>
        </w:trPr>
        <w:tc>
          <w:tcPr>
            <w:tcW w:w="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PRIORITY INCENTIVE EQUITY HOLDINGS, LLC</w:t>
      </w:r>
    </w:p>
    <w:p>
      <w:pPr>
        <w:spacing w:after="0" w:line="223" w:lineRule="exact"/>
        <w:rPr>
          <w:sz w:val="20"/>
          <w:szCs w:val="20"/>
          <w:color w:val="auto"/>
        </w:rPr>
      </w:pPr>
    </w:p>
    <w:tbl>
      <w:tblPr>
        <w:tblLayout w:type="fixed"/>
        <w:tblInd w:w="506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Priority Investment Holdings, LLC, its</w:t>
            </w:r>
          </w:p>
        </w:tc>
      </w:tr>
      <w:tr>
        <w:trPr>
          <w:trHeight w:val="230"/>
        </w:trPr>
        <w:tc>
          <w:tcPr>
            <w:tcW w:w="580" w:type="dxa"/>
            <w:vAlign w:val="bottom"/>
          </w:tcPr>
          <w:p>
            <w:pPr>
              <w:spacing w:after="0"/>
              <w:rPr>
                <w:sz w:val="19"/>
                <w:szCs w:val="19"/>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95"/>
              </w:rPr>
              <w:t>Manager</w:t>
            </w:r>
          </w:p>
        </w:tc>
        <w:tc>
          <w:tcPr>
            <w:tcW w:w="4380" w:type="dxa"/>
            <w:vAlign w:val="bottom"/>
          </w:tcPr>
          <w:p>
            <w:pPr>
              <w:spacing w:after="0"/>
              <w:rPr>
                <w:sz w:val="19"/>
                <w:szCs w:val="19"/>
                <w:color w:val="auto"/>
              </w:rPr>
            </w:pPr>
          </w:p>
        </w:tc>
      </w:tr>
      <w:tr>
        <w:trPr>
          <w:trHeight w:val="4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C. Priore</w:t>
            </w:r>
          </w:p>
        </w:tc>
      </w:tr>
      <w:tr>
        <w:trPr>
          <w:trHeight w:val="194"/>
        </w:trPr>
        <w:tc>
          <w:tcPr>
            <w:tcW w:w="5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ind w:left="60"/>
              <w:spacing w:after="0" w:line="195" w:lineRule="exact"/>
              <w:rPr>
                <w:sz w:val="20"/>
                <w:szCs w:val="20"/>
                <w:color w:val="auto"/>
              </w:rPr>
            </w:pPr>
            <w:r>
              <w:rPr>
                <w:rFonts w:ascii="Arial" w:cs="Arial" w:eastAsia="Arial" w:hAnsi="Arial"/>
                <w:sz w:val="18"/>
                <w:szCs w:val="18"/>
                <w:color w:val="auto"/>
              </w:rPr>
              <w:t>Thomas C. Priore</w:t>
            </w:r>
          </w:p>
        </w:tc>
      </w:tr>
      <w:tr>
        <w:trPr>
          <w:trHeight w:val="230"/>
        </w:trPr>
        <w:tc>
          <w:tcPr>
            <w:tcW w:w="58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20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Contribution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7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BUYER:</w:t>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 I ACQUISITIONS, INC.</w:t>
      </w:r>
    </w:p>
    <w:p>
      <w:pPr>
        <w:spacing w:after="0" w:line="223" w:lineRule="exact"/>
        <w:rPr>
          <w:sz w:val="20"/>
          <w:szCs w:val="20"/>
          <w:color w:val="auto"/>
        </w:rPr>
      </w:pPr>
    </w:p>
    <w:tbl>
      <w:tblPr>
        <w:tblLayout w:type="fixed"/>
        <w:tblInd w:w="506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4"/>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Contribution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7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Amended and Restated Operating Agreement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 as Annex D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51" w:name="page352"/>
    <w:bookmarkEnd w:id="351"/>
    <w:p>
      <w:pPr>
        <w:jc w:val="center"/>
        <w:ind w:right="-20"/>
        <w:spacing w:after="0"/>
        <w:rPr>
          <w:sz w:val="20"/>
          <w:szCs w:val="20"/>
          <w:color w:val="auto"/>
        </w:rPr>
      </w:pPr>
      <w:r>
        <w:rPr>
          <w:rFonts w:ascii="Arial" w:cs="Arial" w:eastAsia="Arial" w:hAnsi="Arial"/>
          <w:sz w:val="18"/>
          <w:szCs w:val="18"/>
          <w:u w:val="single" w:color="auto"/>
          <w:color w:val="auto"/>
        </w:rPr>
        <w:t>Exhibit B</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Buyer A&amp;R Charter</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[Attached as Annex E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455930</wp:posOffset>
            </wp:positionV>
            <wp:extent cx="7247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52" w:name="page353"/>
    <w:bookmarkEnd w:id="352"/>
    <w:p>
      <w:pPr>
        <w:jc w:val="center"/>
        <w:ind w:right="-20"/>
        <w:spacing w:after="0"/>
        <w:rPr>
          <w:sz w:val="20"/>
          <w:szCs w:val="20"/>
          <w:color w:val="auto"/>
        </w:rPr>
      </w:pPr>
      <w:r>
        <w:rPr>
          <w:rFonts w:ascii="Arial" w:cs="Arial" w:eastAsia="Arial" w:hAnsi="Arial"/>
          <w:sz w:val="18"/>
          <w:szCs w:val="18"/>
          <w:u w:val="single" w:color="auto"/>
          <w:color w:val="auto"/>
        </w:rPr>
        <w:t>Exhibit C</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Buyer A&amp;R By-laws</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[Attached as Annex F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455930</wp:posOffset>
            </wp:positionV>
            <wp:extent cx="7247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53" w:name="page354"/>
    <w:bookmarkEnd w:id="353"/>
    <w:p>
      <w:pPr>
        <w:jc w:val="center"/>
        <w:ind w:right="-20"/>
        <w:spacing w:after="0"/>
        <w:rPr>
          <w:sz w:val="20"/>
          <w:szCs w:val="20"/>
          <w:color w:val="auto"/>
        </w:rPr>
      </w:pPr>
      <w:r>
        <w:rPr>
          <w:rFonts w:ascii="Arial" w:cs="Arial" w:eastAsia="Arial" w:hAnsi="Arial"/>
          <w:sz w:val="18"/>
          <w:szCs w:val="18"/>
          <w:u w:val="single" w:color="auto"/>
          <w:color w:val="auto"/>
        </w:rPr>
        <w:t>Exhibit D</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Form of Registration Rights Agreement</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151130</wp:posOffset>
            </wp:positionV>
            <wp:extent cx="7247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REGISTRATION RIGHTS AGREEMENT</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and among</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 I Acquisitions, Inc.</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other parties hereto</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as of [____],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151130</wp:posOffset>
            </wp:positionV>
            <wp:extent cx="7247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603250</wp:posOffset>
            </wp:positionV>
            <wp:extent cx="7247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54" w:name="page355"/>
    <w:bookmarkEnd w:id="354"/>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800" w:type="dxa"/>
            <w:vAlign w:val="bottom"/>
          </w:tcPr>
          <w:p>
            <w:pPr>
              <w:ind w:left="260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68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1.1</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Certain Definitions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1.2</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Definitional Provisions; Interpretation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6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REGISTRATION RIGHTS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2.1</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Demand a Non-Shelf Registered Offering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2.2</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Piggyback on a Non-Shelf Registered Offering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2.3</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Demand and be Included in a Shelf Registration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2.4</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Demand and Piggyback Rights for Shelf Takedowns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2.5</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Reload a Shelf</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2.6</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Limitations on Demand and Piggyback Rights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2.7</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Notifications Regarding Registration Statements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2.8</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Notifications Regarding Registration Piggyback Rights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2.9</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Notifications Regarding Demanded Underwritten Takedowns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2.10</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of Distribution, Underwriters and Counsel</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2.11</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Cutbacks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2.12</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Lock-ups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2.13</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2.14</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Facilitating Registrations and Offerings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6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INDEMNIFICATION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3.1</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Indemnification by the Company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3.2</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Indemnification by the Holders and Underwriters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3.3</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Notices of Claims, Etc.</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3.4</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3.5</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Non-Exclusivity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55" w:name="page356"/>
    <w:bookmarkEnd w:id="355"/>
    <w:tbl>
      <w:tblPr>
        <w:tblLayout w:type="fixed"/>
        <w:tblInd w:w="0" w:type="dxa"/>
        <w:tblCellMar>
          <w:top w:w="0" w:type="dxa"/>
          <w:left w:w="0" w:type="dxa"/>
          <w:bottom w:w="0" w:type="dxa"/>
          <w:right w:w="0" w:type="dxa"/>
        </w:tblCellMar>
      </w:tblPr>
      <w:tr>
        <w:trPr>
          <w:trHeight w:val="215"/>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ARTICLE IV OTHER</w:t>
            </w:r>
          </w:p>
        </w:tc>
        <w:tc>
          <w:tcPr>
            <w:tcW w:w="6220" w:type="dxa"/>
            <w:vAlign w:val="bottom"/>
            <w:shd w:val="clear" w:color="auto" w:fill="CCEEFF"/>
          </w:tcPr>
          <w:p>
            <w:pPr>
              <w:spacing w:after="0"/>
              <w:rPr>
                <w:sz w:val="18"/>
                <w:szCs w:val="18"/>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Notices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4.2</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Assignment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4.3</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Amendments; Waiver</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4.4</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Parties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4.5</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Rule 144</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4.6</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In-Kind Distributions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4.7</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Governing Law</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4.8</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CONSENT TO JURISDICTION</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4.9</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MUTUAL WAIVER OF JURY TRIAL</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4.10</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Specific Performance</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4.11</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Entire Agreement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4.12</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Severability</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4.13</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Counterparts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4.14</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Effectiveness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356" w:name="page357"/>
    <w:bookmarkEnd w:id="356"/>
    <w:p>
      <w:pPr>
        <w:jc w:val="center"/>
        <w:ind w:right="-79"/>
        <w:spacing w:after="0"/>
        <w:rPr>
          <w:sz w:val="20"/>
          <w:szCs w:val="20"/>
          <w:color w:val="auto"/>
        </w:rPr>
      </w:pPr>
      <w:r>
        <w:rPr>
          <w:rFonts w:ascii="Arial" w:cs="Arial" w:eastAsia="Arial" w:hAnsi="Arial"/>
          <w:sz w:val="18"/>
          <w:szCs w:val="18"/>
          <w:color w:val="auto"/>
        </w:rPr>
        <w:t>REGISTRATION RIGHTS AGREEMENT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REGISTRATION RIGHTS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[____], 2018 and is by and among M I Acquisitions, Inc.</w:t>
      </w:r>
    </w:p>
    <w:p>
      <w:pPr>
        <w:spacing w:after="0" w:line="46" w:lineRule="exact"/>
        <w:rPr>
          <w:sz w:val="20"/>
          <w:szCs w:val="20"/>
          <w:color w:val="auto"/>
        </w:rPr>
      </w:pPr>
    </w:p>
    <w:p>
      <w:pPr>
        <w:ind w:right="240"/>
        <w:spacing w:after="0" w:line="288"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Company</w:t>
      </w:r>
      <w:r>
        <w:rPr>
          <w:rFonts w:ascii="Arial" w:cs="Arial" w:eastAsia="Arial" w:hAnsi="Arial"/>
          <w:sz w:val="17"/>
          <w:szCs w:val="17"/>
          <w:color w:val="auto"/>
        </w:rPr>
        <w:t>"), Priority Investment Holdings, LLC, a Delaware limited liability company ("</w:t>
      </w:r>
      <w:r>
        <w:rPr>
          <w:rFonts w:ascii="Arial" w:cs="Arial" w:eastAsia="Arial" w:hAnsi="Arial"/>
          <w:sz w:val="17"/>
          <w:szCs w:val="17"/>
          <w:u w:val="single" w:color="auto"/>
          <w:color w:val="auto"/>
        </w:rPr>
        <w:t>PIH</w:t>
      </w:r>
      <w:r>
        <w:rPr>
          <w:rFonts w:ascii="Arial" w:cs="Arial" w:eastAsia="Arial" w:hAnsi="Arial"/>
          <w:sz w:val="17"/>
          <w:szCs w:val="17"/>
          <w:color w:val="auto"/>
        </w:rPr>
        <w:t>"), Priority Incentive Equity Holdings, LLC, a Delaware limited liability company ("</w:t>
      </w:r>
      <w:r>
        <w:rPr>
          <w:rFonts w:ascii="Arial" w:cs="Arial" w:eastAsia="Arial" w:hAnsi="Arial"/>
          <w:sz w:val="17"/>
          <w:szCs w:val="17"/>
          <w:u w:val="single" w:color="auto"/>
          <w:color w:val="auto"/>
        </w:rPr>
        <w:t>PIEH</w:t>
      </w:r>
      <w:r>
        <w:rPr>
          <w:rFonts w:ascii="Arial" w:cs="Arial" w:eastAsia="Arial" w:hAnsi="Arial"/>
          <w:sz w:val="17"/>
          <w:szCs w:val="17"/>
          <w:color w:val="auto"/>
        </w:rPr>
        <w:t>"), and the investors listed on Schedule A hereto (each, an "</w:t>
      </w:r>
      <w:r>
        <w:rPr>
          <w:rFonts w:ascii="Arial" w:cs="Arial" w:eastAsia="Arial" w:hAnsi="Arial"/>
          <w:sz w:val="17"/>
          <w:szCs w:val="17"/>
          <w:u w:val="single" w:color="auto"/>
          <w:color w:val="auto"/>
        </w:rPr>
        <w:t>Investor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Investors</w:t>
      </w:r>
      <w:r>
        <w:rPr>
          <w:rFonts w:ascii="Arial" w:cs="Arial" w:eastAsia="Arial" w:hAnsi="Arial"/>
          <w:sz w:val="17"/>
          <w:szCs w:val="17"/>
          <w:color w:val="auto"/>
        </w:rPr>
        <w:t>").</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BACKGROUND</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 PIH and PIEH have entered into that certain Contribution Agreement, dated as of [_____], 2018 (as amended</w:t>
      </w:r>
    </w:p>
    <w:p>
      <w:pPr>
        <w:spacing w:after="0" w:line="4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from time to time in accordance with the terms thereof, the "</w:t>
      </w:r>
      <w:r>
        <w:rPr>
          <w:rFonts w:ascii="Arial" w:cs="Arial" w:eastAsia="Arial" w:hAnsi="Arial"/>
          <w:sz w:val="18"/>
          <w:szCs w:val="18"/>
          <w:u w:val="single" w:color="auto"/>
          <w:color w:val="auto"/>
        </w:rPr>
        <w:t>Contribution Agreement</w:t>
      </w:r>
      <w:r>
        <w:rPr>
          <w:rFonts w:ascii="Arial" w:cs="Arial" w:eastAsia="Arial" w:hAnsi="Arial"/>
          <w:sz w:val="18"/>
          <w:szCs w:val="18"/>
          <w:color w:val="auto"/>
        </w:rPr>
        <w:t>"), pursuant to which PIH and PIEH will exchange their equity interests in Priority Holdings, LLC for shares of Common Stock of the Company;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Investors hold or will hold shares of Common Stock of the Company; and</w:t>
      </w:r>
    </w:p>
    <w:p>
      <w:pPr>
        <w:spacing w:after="0" w:line="223" w:lineRule="exact"/>
        <w:rPr>
          <w:sz w:val="20"/>
          <w:szCs w:val="20"/>
          <w:color w:val="auto"/>
        </w:rPr>
      </w:pPr>
    </w:p>
    <w:p>
      <w:pPr>
        <w:ind w:right="100" w:firstLine="1290"/>
        <w:spacing w:after="0" w:line="340" w:lineRule="auto"/>
        <w:rPr>
          <w:sz w:val="20"/>
          <w:szCs w:val="20"/>
          <w:color w:val="auto"/>
        </w:rPr>
      </w:pPr>
      <w:r>
        <w:rPr>
          <w:rFonts w:ascii="Arial" w:cs="Arial" w:eastAsia="Arial" w:hAnsi="Arial"/>
          <w:sz w:val="16"/>
          <w:szCs w:val="16"/>
          <w:color w:val="auto"/>
        </w:rPr>
        <w:t>WHEREAS, as a condition to the willingness of PIH and PIEH to enter into the Contribution Agreement, the Company has agreed to enter into this Agreement in order to provide rights relating to the registration of shares of Common Stock issued or issuable to PIH and PIEH and the Investors.</w:t>
      </w:r>
    </w:p>
    <w:p>
      <w:pPr>
        <w:spacing w:after="0" w:line="124" w:lineRule="exact"/>
        <w:rPr>
          <w:sz w:val="20"/>
          <w:szCs w:val="20"/>
          <w:color w:val="auto"/>
        </w:rPr>
      </w:pPr>
    </w:p>
    <w:p>
      <w:pPr>
        <w:jc w:val="both"/>
        <w:ind w:right="20" w:firstLine="1290"/>
        <w:spacing w:after="0" w:line="340" w:lineRule="auto"/>
        <w:rPr>
          <w:sz w:val="20"/>
          <w:szCs w:val="20"/>
          <w:color w:val="auto"/>
        </w:rPr>
      </w:pPr>
      <w:r>
        <w:rPr>
          <w:rFonts w:ascii="Arial" w:cs="Arial" w:eastAsia="Arial" w:hAnsi="Arial"/>
          <w:sz w:val="16"/>
          <w:szCs w:val="16"/>
          <w:color w:val="auto"/>
        </w:rPr>
        <w:t>NOW, THEREFORE, in consideration of the respective representations, warranties, covenants and agreements set forth herein and for good and valuable consideration, the receipt and sufficiency of which are hereby acknowledged, the parties, intending to be legally bound hereby, agree as follows: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3"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22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has the meaning ascribed thereto in Rule 12b-2 promulgated under the Exchange Act, as in effect on the date hereof.</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3" w:lineRule="exact"/>
        <w:rPr>
          <w:sz w:val="20"/>
          <w:szCs w:val="20"/>
          <w:color w:val="auto"/>
        </w:rPr>
      </w:pPr>
    </w:p>
    <w:p>
      <w:pPr>
        <w:ind w:right="12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federal or New York State holiday or other day on which commercial banks in New York City are authorized or required by law to close.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40"/>
          </w:cols>
          <w:pgMar w:left="240" w:top="905" w:right="319" w:bottom="1440" w:gutter="0" w:footer="0" w:header="0"/>
        </w:sectPr>
      </w:pPr>
    </w:p>
    <w:bookmarkStart w:id="357" w:name="page358"/>
    <w:bookmarkEnd w:id="357"/>
    <w:p>
      <w:pPr>
        <w:ind w:right="46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shares of common stock, par value $0.0001 per share, of the Company, and any other capital stock of the Company into which such common stock is reclassified or reconstituted.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Party</w:t>
      </w:r>
      <w:r>
        <w:rPr>
          <w:rFonts w:ascii="Arial" w:cs="Arial" w:eastAsia="Arial" w:hAnsi="Arial"/>
          <w:sz w:val="18"/>
          <w:szCs w:val="18"/>
          <w:color w:val="auto"/>
        </w:rPr>
        <w:t>" has the meaning set forth in Section 2.2(a).</w:t>
      </w:r>
    </w:p>
    <w:p>
      <w:pPr>
        <w:spacing w:after="0" w:line="223" w:lineRule="exact"/>
        <w:rPr>
          <w:sz w:val="20"/>
          <w:szCs w:val="20"/>
          <w:color w:val="auto"/>
        </w:rPr>
      </w:pPr>
    </w:p>
    <w:p>
      <w:pPr>
        <w:ind w:right="2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and the rules and regulations promulgated thereunder, as the same may be amended from time to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Financial Industry Regulatory Authority, Inc.</w:t>
      </w:r>
    </w:p>
    <w:p>
      <w:pPr>
        <w:spacing w:after="0" w:line="223" w:lineRule="exact"/>
        <w:rPr>
          <w:sz w:val="20"/>
          <w:szCs w:val="20"/>
          <w:color w:val="auto"/>
        </w:rPr>
      </w:pPr>
    </w:p>
    <w:p>
      <w:pPr>
        <w:ind w:right="46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71" w:lineRule="exact"/>
        <w:rPr>
          <w:sz w:val="20"/>
          <w:szCs w:val="20"/>
          <w:color w:val="auto"/>
        </w:rPr>
      </w:pPr>
    </w:p>
    <w:p>
      <w:pPr>
        <w:ind w:right="300" w:firstLine="1290"/>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means each of PIH, PIEH and the Investors that is a holder of Registrable Securities or securities exercisable, exchangeable or convertible into Registrable Securities or any Transferee of such Person to whom registration rights are assigned pursuant to Section 4.2.</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and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have the meanings set forth in Section 3.1.</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right="40" w:firstLine="129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has the meaning set forth in Section 2.4(d)(i).</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 cooperative, an unincorporated organization, or other form of business organization, whether or not regarded as a legal entity under applicable Law, or any Governmental Authority or any department, agency or political subdivision thereof.</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PIH</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PIEH</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right="140" w:firstLine="129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all (i) shares of Common Stock, (ii) Units, (iii) Warrants and (iv) any Securities into which the Common Stock, Units or Warrants may be converted or exchanged pursuant to any merger, consolidation, sale of all or any part of its assets, corporate conversion or other extraordinary transaction of the Company held by a Holder (whether now held or beneficially owned or hereafter acquired, and including any such Securities received by a Holder upon the conversion or exchange of, or pursuant to a transaction with respect to, other securities held by such Holder). As to any Registrable Securities, such Securities will cease to be Registrable Securities when:</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58" w:name="page359"/>
    <w:bookmarkEnd w:id="358"/>
    <w:p>
      <w:pPr>
        <w:ind w:right="200" w:firstLine="1943"/>
        <w:spacing w:after="0" w:line="275" w:lineRule="auto"/>
        <w:tabs>
          <w:tab w:leader="none" w:pos="258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registration statement covering such Registrable Securities has been declared effective and such Registrable Securities have been disposed of pursuant to such effective registration statement;</w:t>
      </w:r>
    </w:p>
    <w:p>
      <w:pPr>
        <w:spacing w:after="0" w:line="170" w:lineRule="exact"/>
        <w:rPr>
          <w:rFonts w:ascii="Arial" w:cs="Arial" w:eastAsia="Arial" w:hAnsi="Arial"/>
          <w:sz w:val="18"/>
          <w:szCs w:val="18"/>
          <w:color w:val="auto"/>
        </w:rPr>
      </w:pPr>
    </w:p>
    <w:p>
      <w:pPr>
        <w:ind w:left="2600" w:hanging="657"/>
        <w:spacing w:after="0"/>
        <w:tabs>
          <w:tab w:leader="none" w:pos="26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such Registrable Securities shall have been sold pursuant to Rule 144 or 145 (or any similar provision then in effect) under</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 or</w:t>
      </w:r>
    </w:p>
    <w:p>
      <w:pPr>
        <w:spacing w:after="0" w:line="208" w:lineRule="exact"/>
        <w:rPr>
          <w:rFonts w:ascii="Arial" w:cs="Arial" w:eastAsia="Arial" w:hAnsi="Arial"/>
          <w:sz w:val="16"/>
          <w:szCs w:val="16"/>
          <w:color w:val="auto"/>
        </w:rPr>
      </w:pPr>
    </w:p>
    <w:p>
      <w:pPr>
        <w:ind w:left="2600" w:hanging="657"/>
        <w:spacing w:after="0"/>
        <w:tabs>
          <w:tab w:leader="none" w:pos="26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such Registrable Securities cease to be outstanding.</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any and all expenses incurred in connection with the performance of or compliance with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209" w:lineRule="exact"/>
        <w:rPr>
          <w:sz w:val="20"/>
          <w:szCs w:val="20"/>
          <w:color w:val="auto"/>
        </w:rPr>
      </w:pPr>
    </w:p>
    <w:p>
      <w:pPr>
        <w:ind w:right="420" w:firstLine="1943"/>
        <w:spacing w:after="0" w:line="275" w:lineRule="auto"/>
        <w:tabs>
          <w:tab w:leader="none" w:pos="258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all SEC, stock exchange, or FINRA registration and filing fees (including, if applicable, the fees and expenses of any "qualified independent underwriter," as such term is defined in Rule 5121 of FINRA, and of its counsel);</w:t>
      </w:r>
    </w:p>
    <w:p>
      <w:pPr>
        <w:spacing w:after="0" w:line="170" w:lineRule="exact"/>
        <w:rPr>
          <w:rFonts w:ascii="Arial" w:cs="Arial" w:eastAsia="Arial" w:hAnsi="Arial"/>
          <w:sz w:val="18"/>
          <w:szCs w:val="18"/>
          <w:color w:val="auto"/>
        </w:rPr>
      </w:pPr>
    </w:p>
    <w:p>
      <w:pPr>
        <w:ind w:right="140" w:firstLine="1943"/>
        <w:spacing w:after="0" w:line="275" w:lineRule="auto"/>
        <w:tabs>
          <w:tab w:leader="none" w:pos="259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all fees and expenses of complying with securities or blue sky Laws (including fees and disbursements of counsel for the underwriters in connection with blue sky qualifications of the Registrable Securities);</w:t>
      </w:r>
    </w:p>
    <w:p>
      <w:pPr>
        <w:spacing w:after="0" w:line="170" w:lineRule="exact"/>
        <w:rPr>
          <w:rFonts w:ascii="Arial" w:cs="Arial" w:eastAsia="Arial" w:hAnsi="Arial"/>
          <w:sz w:val="18"/>
          <w:szCs w:val="18"/>
          <w:color w:val="auto"/>
        </w:rPr>
      </w:pPr>
    </w:p>
    <w:p>
      <w:pPr>
        <w:ind w:left="2600" w:hanging="657"/>
        <w:spacing w:after="0"/>
        <w:tabs>
          <w:tab w:leader="none" w:pos="26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all printing, messenger and delivery expenses;</w:t>
      </w:r>
    </w:p>
    <w:p>
      <w:pPr>
        <w:spacing w:after="0" w:line="223" w:lineRule="exact"/>
        <w:rPr>
          <w:rFonts w:ascii="Arial" w:cs="Arial" w:eastAsia="Arial" w:hAnsi="Arial"/>
          <w:sz w:val="18"/>
          <w:szCs w:val="18"/>
          <w:color w:val="auto"/>
        </w:rPr>
      </w:pPr>
    </w:p>
    <w:p>
      <w:pPr>
        <w:ind w:left="2600" w:hanging="657"/>
        <w:spacing w:after="0"/>
        <w:tabs>
          <w:tab w:leader="none" w:pos="260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all fees and expenses incurred in connection with the listing of the Registrable Securities on any securities exchange or</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FINRA and all rating agency fees;</w:t>
      </w:r>
    </w:p>
    <w:p>
      <w:pPr>
        <w:spacing w:after="0" w:line="208" w:lineRule="exact"/>
        <w:rPr>
          <w:rFonts w:ascii="Arial" w:cs="Arial" w:eastAsia="Arial" w:hAnsi="Arial"/>
          <w:sz w:val="16"/>
          <w:szCs w:val="16"/>
          <w:color w:val="auto"/>
        </w:rPr>
      </w:pPr>
    </w:p>
    <w:p>
      <w:pPr>
        <w:ind w:right="100" w:firstLine="1943"/>
        <w:spacing w:after="0" w:line="275" w:lineRule="auto"/>
        <w:tabs>
          <w:tab w:leader="none" w:pos="258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fees and disbursements of counsel for the Company and of its independent public accountants, including the expenses of any special audits and/or "cold comfort" letters required by or incident to such performance and compliance;</w:t>
      </w:r>
    </w:p>
    <w:p>
      <w:pPr>
        <w:spacing w:after="0" w:line="170" w:lineRule="exact"/>
        <w:rPr>
          <w:rFonts w:ascii="Arial" w:cs="Arial" w:eastAsia="Arial" w:hAnsi="Arial"/>
          <w:sz w:val="18"/>
          <w:szCs w:val="18"/>
          <w:color w:val="auto"/>
        </w:rPr>
      </w:pPr>
    </w:p>
    <w:p>
      <w:pPr>
        <w:ind w:right="120" w:firstLine="1943"/>
        <w:spacing w:after="0" w:line="262" w:lineRule="auto"/>
        <w:tabs>
          <w:tab w:leader="none" w:pos="260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fees and disbursements of underwriters customarily paid by the issuers or sellers of Securities, including liability insurance if the Company so desires or if the underwriters so require, and the reasonable fees and expenses of any special experts retained in connection with the requested registration, but excluding underwriting discounts and commissions and transfer taxes, if any;</w:t>
      </w:r>
    </w:p>
    <w:p>
      <w:pPr>
        <w:spacing w:after="0" w:line="182" w:lineRule="exact"/>
        <w:rPr>
          <w:rFonts w:ascii="Arial" w:cs="Arial" w:eastAsia="Arial" w:hAnsi="Arial"/>
          <w:sz w:val="18"/>
          <w:szCs w:val="18"/>
          <w:color w:val="auto"/>
        </w:rPr>
      </w:pPr>
    </w:p>
    <w:p>
      <w:pPr>
        <w:ind w:right="200" w:firstLine="1943"/>
        <w:spacing w:after="0" w:line="275" w:lineRule="auto"/>
        <w:tabs>
          <w:tab w:leader="none" w:pos="259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fees and disbursements of counsel (including the fees and disbursements of outside counsel for Holders) incurred in connection with any registration statement or registered offering covering Registrable Securities held by the Holders;</w:t>
      </w:r>
    </w:p>
    <w:p>
      <w:pPr>
        <w:spacing w:after="0" w:line="170" w:lineRule="exact"/>
        <w:rPr>
          <w:rFonts w:ascii="Arial" w:cs="Arial" w:eastAsia="Arial" w:hAnsi="Arial"/>
          <w:sz w:val="18"/>
          <w:szCs w:val="18"/>
          <w:color w:val="auto"/>
        </w:rPr>
      </w:pPr>
    </w:p>
    <w:p>
      <w:pPr>
        <w:ind w:right="280" w:firstLine="1943"/>
        <w:spacing w:after="0" w:line="340" w:lineRule="auto"/>
        <w:tabs>
          <w:tab w:leader="none" w:pos="2593"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costs and expenses of the Company relating to analyst and investor presentations or any "road show" undertaken in connection with the registration and/or marketing of the Registrable Securities (including the reasonable out-of-pocket expenses of the Holders); and</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59" w:name="page360"/>
    <w:bookmarkEnd w:id="359"/>
    <w:p>
      <w:pPr>
        <w:ind w:left="1300" w:right="3200" w:firstLine="643"/>
        <w:spacing w:after="0" w:line="561" w:lineRule="auto"/>
        <w:tabs>
          <w:tab w:leader="none" w:pos="260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any other fees and disbursements customarily paid by the issuers of securities. "</w:t>
      </w:r>
      <w:r>
        <w:rPr>
          <w:rFonts w:ascii="Arial" w:cs="Arial" w:eastAsia="Arial" w:hAnsi="Arial"/>
          <w:sz w:val="16"/>
          <w:szCs w:val="16"/>
          <w:u w:val="single" w:color="auto"/>
          <w:color w:val="auto"/>
        </w:rPr>
        <w:t>SEC</w:t>
      </w:r>
      <w:r>
        <w:rPr>
          <w:rFonts w:ascii="Arial" w:cs="Arial" w:eastAsia="Arial" w:hAnsi="Arial"/>
          <w:sz w:val="16"/>
          <w:szCs w:val="16"/>
          <w:color w:val="auto"/>
        </w:rPr>
        <w:t>" means the U.S. Securities and Exchange Commission or any successor agency.</w:t>
      </w:r>
    </w:p>
    <w:p>
      <w:pPr>
        <w:ind w:right="6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the rules and regulations promulgated thereunder, as the same may be amended from time to time.</w:t>
      </w:r>
    </w:p>
    <w:p>
      <w:pPr>
        <w:spacing w:after="0" w:line="171" w:lineRule="exact"/>
        <w:rPr>
          <w:sz w:val="20"/>
          <w:szCs w:val="20"/>
          <w:color w:val="auto"/>
        </w:rPr>
      </w:pPr>
    </w:p>
    <w:p>
      <w:pPr>
        <w:ind w:right="100" w:firstLine="129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(including its correlative meanings, "</w:t>
      </w:r>
      <w:r>
        <w:rPr>
          <w:rFonts w:ascii="Arial" w:cs="Arial" w:eastAsia="Arial" w:hAnsi="Arial"/>
          <w:sz w:val="16"/>
          <w:szCs w:val="16"/>
          <w:u w:val="single" w:color="auto"/>
          <w:color w:val="auto"/>
        </w:rPr>
        <w:t>Transferor</w:t>
      </w:r>
      <w:r>
        <w:rPr>
          <w:rFonts w:ascii="Arial" w:cs="Arial" w:eastAsia="Arial" w:hAnsi="Arial"/>
          <w:sz w:val="16"/>
          <w:szCs w:val="16"/>
          <w:color w:val="auto"/>
        </w:rPr>
        <w:t>", "</w:t>
      </w:r>
      <w:r>
        <w:rPr>
          <w:rFonts w:ascii="Arial" w:cs="Arial" w:eastAsia="Arial" w:hAnsi="Arial"/>
          <w:sz w:val="16"/>
          <w:szCs w:val="16"/>
          <w:u w:val="single" w:color="auto"/>
          <w:color w:val="auto"/>
        </w:rPr>
        <w:t>Transferee</w:t>
      </w:r>
      <w:r>
        <w:rPr>
          <w:rFonts w:ascii="Arial" w:cs="Arial" w:eastAsia="Arial" w:hAnsi="Arial"/>
          <w:sz w:val="16"/>
          <w:szCs w:val="16"/>
          <w:color w:val="auto"/>
        </w:rPr>
        <w:t>" and "</w:t>
      </w:r>
      <w:r>
        <w:rPr>
          <w:rFonts w:ascii="Arial" w:cs="Arial" w:eastAsia="Arial" w:hAnsi="Arial"/>
          <w:sz w:val="16"/>
          <w:szCs w:val="16"/>
          <w:u w:val="single" w:color="auto"/>
          <w:color w:val="auto"/>
        </w:rPr>
        <w:t>Transferred</w:t>
      </w:r>
      <w:r>
        <w:rPr>
          <w:rFonts w:ascii="Arial" w:cs="Arial" w:eastAsia="Arial" w:hAnsi="Arial"/>
          <w:sz w:val="16"/>
          <w:szCs w:val="16"/>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Arial" w:cs="Arial" w:eastAsia="Arial" w:hAnsi="Arial"/>
          <w:sz w:val="16"/>
          <w:szCs w:val="16"/>
          <w:u w:val="single" w:color="auto"/>
          <w:color w:val="auto"/>
        </w:rPr>
        <w:t>Transfer</w:t>
      </w:r>
      <w:r>
        <w:rPr>
          <w:rFonts w:ascii="Arial" w:cs="Arial" w:eastAsia="Arial" w:hAnsi="Arial"/>
          <w:sz w:val="16"/>
          <w:szCs w:val="16"/>
          <w:color w:val="auto"/>
        </w:rPr>
        <w:t>" shall have such correlative meaning as the context may require.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means the units of the Company, each comprised of one share of Common Stock and one Warrant.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warrants to purchase shares of Common Stock of the Company.</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WKSI</w:t>
      </w:r>
      <w:r>
        <w:rPr>
          <w:rFonts w:ascii="Arial" w:cs="Arial" w:eastAsia="Arial" w:hAnsi="Arial"/>
          <w:sz w:val="18"/>
          <w:szCs w:val="18"/>
          <w:color w:val="auto"/>
        </w:rPr>
        <w:t>" means a well-known seasoned issuer, as defined in Rule 405 under the Securities Act.</w:t>
      </w:r>
    </w:p>
    <w:p>
      <w:pPr>
        <w:spacing w:after="0" w:line="22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Other Definitional Provisions; Interpretation</w:t>
      </w:r>
      <w:r>
        <w:rPr>
          <w:rFonts w:ascii="Arial" w:cs="Arial" w:eastAsia="Arial" w:hAnsi="Arial"/>
          <w:sz w:val="16"/>
          <w:szCs w:val="16"/>
          <w:color w:val="auto"/>
        </w:rPr>
        <w:t>.</w:t>
      </w:r>
    </w:p>
    <w:p>
      <w:pPr>
        <w:spacing w:after="0" w:line="223" w:lineRule="exact"/>
        <w:rPr>
          <w:sz w:val="20"/>
          <w:szCs w:val="20"/>
          <w:color w:val="auto"/>
        </w:rPr>
      </w:pPr>
    </w:p>
    <w:p>
      <w:pPr>
        <w:ind w:right="180" w:firstLine="1943"/>
        <w:spacing w:after="0" w:line="262" w:lineRule="auto"/>
        <w:tabs>
          <w:tab w:leader="none" w:pos="257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 and references in this Agreement to a designated "Article" or "Section" refer to an Article or Section of this Agreement unless otherwise specified.</w:t>
      </w:r>
    </w:p>
    <w:p>
      <w:pPr>
        <w:spacing w:after="0" w:line="182" w:lineRule="exact"/>
        <w:rPr>
          <w:rFonts w:ascii="Arial" w:cs="Arial" w:eastAsia="Arial" w:hAnsi="Arial"/>
          <w:sz w:val="18"/>
          <w:szCs w:val="18"/>
          <w:color w:val="auto"/>
        </w:rPr>
      </w:pPr>
    </w:p>
    <w:p>
      <w:pPr>
        <w:ind w:right="300" w:firstLine="1943"/>
        <w:spacing w:after="0" w:line="275" w:lineRule="auto"/>
        <w:tabs>
          <w:tab w:leader="none" w:pos="258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headings in this Agreement are included for convenience of reference only and do not limit or otherwise affect the meaning or interpretation of this Agreement.</w:t>
      </w:r>
    </w:p>
    <w:p>
      <w:pPr>
        <w:spacing w:after="0" w:line="170" w:lineRule="exact"/>
        <w:rPr>
          <w:rFonts w:ascii="Arial" w:cs="Arial" w:eastAsia="Arial" w:hAnsi="Arial"/>
          <w:sz w:val="18"/>
          <w:szCs w:val="18"/>
          <w:color w:val="auto"/>
        </w:rPr>
      </w:pPr>
    </w:p>
    <w:p>
      <w:pPr>
        <w:ind w:left="2580" w:hanging="637"/>
        <w:spacing w:after="0"/>
        <w:tabs>
          <w:tab w:leader="none" w:pos="258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meanings given to terms defined herein are equally applicable to both the singular and plural forms of such terms.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REGISTRATION RIGHTS</w:t>
      </w:r>
    </w:p>
    <w:p>
      <w:pPr>
        <w:spacing w:after="0" w:line="223" w:lineRule="exact"/>
        <w:rPr>
          <w:sz w:val="20"/>
          <w:szCs w:val="20"/>
          <w:color w:val="auto"/>
        </w:rPr>
      </w:pPr>
    </w:p>
    <w:p>
      <w:pPr>
        <w:ind w:firstLine="1290"/>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 to Demand a Non-Shelf Registered Offering</w:t>
      </w:r>
      <w:r>
        <w:rPr>
          <w:rFonts w:ascii="Arial" w:cs="Arial" w:eastAsia="Arial" w:hAnsi="Arial"/>
          <w:sz w:val="18"/>
          <w:szCs w:val="18"/>
          <w:color w:val="auto"/>
        </w:rPr>
        <w:t>. Upon the demand of PIH or PIEH made at any time and from time to time, the Company will facilitate in the manner described in this Agreement a non-shelf registered offering of the Registrable Securities requested by such Holder to be included in such offering. Any demanded non-shelf registered offering may, at the Company's option, include shares of Common Stock to be sold by the Company for its own account and will also include Registrable Securities to be sold by Holders that exercise their related piggyback rights on a timely basis.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60" w:name="page361"/>
    <w:bookmarkEnd w:id="360"/>
    <w:p>
      <w:pPr>
        <w:ind w:right="60" w:firstLine="1290"/>
        <w:spacing w:after="0" w:line="292"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Right to Piggyback on a Non-Shelf Registered Offering</w:t>
      </w:r>
      <w:r>
        <w:rPr>
          <w:rFonts w:ascii="Arial" w:cs="Arial" w:eastAsia="Arial" w:hAnsi="Arial"/>
          <w:sz w:val="16"/>
          <w:szCs w:val="16"/>
          <w:color w:val="auto"/>
        </w:rPr>
        <w:t>. In connection with any registered offering of Common Stock covered by a non-shelf registration statement (whether pursuant to the exercise of demand rights or at the initiative of the Company), any non-demanding Holders may exercise piggyback rights to have included in such offering Registrable Securities held by them. The Company will facilitate in the manner described in this Agreement any such non-shelf registered offering. For the avoidance of doubt, if a Holder exercises the demand set forth in Section 2.1, each Holder (including the demanding Holder) shall have the right to sell Registrable Securities in the offering on a "pro rata" basis with "pro rata" being determined by dividing the number of Registrable Securities held by a Holder by the number of Registrable Securities held by all Holders.</w:t>
      </w:r>
    </w:p>
    <w:p>
      <w:pPr>
        <w:spacing w:after="0" w:line="162" w:lineRule="exact"/>
        <w:rPr>
          <w:sz w:val="20"/>
          <w:szCs w:val="20"/>
          <w:color w:val="auto"/>
        </w:rPr>
      </w:pPr>
    </w:p>
    <w:p>
      <w:pPr>
        <w:ind w:right="100" w:firstLine="1290"/>
        <w:spacing w:after="0" w:line="25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Right to Demand and be Included in a Shelf Registration</w:t>
      </w:r>
      <w:r>
        <w:rPr>
          <w:rFonts w:ascii="Arial" w:cs="Arial" w:eastAsia="Arial" w:hAnsi="Arial"/>
          <w:sz w:val="18"/>
          <w:szCs w:val="18"/>
          <w:color w:val="auto"/>
        </w:rPr>
        <w:t>. Upon the demand of any Holder, made at any time and from time to time when the Company is eligible to utilize Form S-3 or a successor form to sell Registrable Securities in a secondary offering on a delayed or continuous basis in accordance with Rule 415 of the Securities Act, the Company will facilitate in the manner described in this Agreement a shelf registration of Registrable Securities held by the Holders. Any shelf registration filed by the Company covering shares (whether pursuant to a Holder's demand or the initiative of the Company) will cover Registrable Securities held by each of the Holders up to the highest common percentage of their original respective holdings, which highest common percentage will be agreed upon by the demanding Holder. If at the time of such request the Company is a WKSI, such shelf registration would, at the request of such majority Holders, cover an unspecified number of shares and Registrable Securities to be sold by the Company and the Holders.</w:t>
      </w:r>
    </w:p>
    <w:p>
      <w:pPr>
        <w:spacing w:after="0" w:line="190" w:lineRule="exact"/>
        <w:rPr>
          <w:sz w:val="20"/>
          <w:szCs w:val="20"/>
          <w:color w:val="auto"/>
        </w:rPr>
      </w:pPr>
    </w:p>
    <w:p>
      <w:pPr>
        <w:ind w:firstLine="1290"/>
        <w:spacing w:after="0" w:line="271"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Demand and Piggyback Rights for Shelf Takedowns</w:t>
      </w:r>
      <w:r>
        <w:rPr>
          <w:rFonts w:ascii="Arial" w:cs="Arial" w:eastAsia="Arial" w:hAnsi="Arial"/>
          <w:sz w:val="17"/>
          <w:szCs w:val="17"/>
          <w:color w:val="auto"/>
        </w:rPr>
        <w:t>. Upon the demand of one or more of PIH or PIEH made at any time and from time to time, the Company will facilitate in the manner described in this Agreement a "takedown" of Registrable Securities off of an effective shelf registration statement. In connection with any underwritten shelf takedown (whether pursuant to the exercise of such demand rights or at the initiative of the Company), the Holders may exercise piggyback rights to have included in such takedown Registrable Securities held by them that are registered on such shelf. Notwithstanding the foregoing, Holders may not demand a shelf takedown for an offering that will result in the imposition of a lock-up on the Company and the Holders unless the Registrable Securities requested to be sold by the demanding Holders in such takedown have an aggregate market value (based on the most recent closing price of the Common Stock at the time of the demand) of at least $[__] million.</w:t>
      </w:r>
    </w:p>
    <w:p>
      <w:pPr>
        <w:spacing w:after="0" w:line="176" w:lineRule="exact"/>
        <w:rPr>
          <w:sz w:val="20"/>
          <w:szCs w:val="20"/>
          <w:color w:val="auto"/>
        </w:rPr>
      </w:pPr>
    </w:p>
    <w:p>
      <w:pPr>
        <w:ind w:right="20" w:firstLine="1290"/>
        <w:spacing w:after="0" w:line="258"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Right to Reload a Shelf</w:t>
      </w:r>
      <w:r>
        <w:rPr>
          <w:rFonts w:ascii="Arial" w:cs="Arial" w:eastAsia="Arial" w:hAnsi="Arial"/>
          <w:sz w:val="18"/>
          <w:szCs w:val="18"/>
          <w:color w:val="auto"/>
        </w:rPr>
        <w:t>. Upon the written request of a Holder, the Company will file and seek the effectiveness of a post-effective amendment to an existing shelf in order to register up to the number of Registrable Securities previously taken down off of such shelf by such Holder and not yet "reloaded" onto such shelf. The Holders and the Company will consult and coordinate with each other in order to accomplish such replenishments from time to time in a sensible manner.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61" w:name="page362"/>
    <w:bookmarkEnd w:id="361"/>
    <w:p>
      <w:pPr>
        <w:ind w:left="1300"/>
        <w:spacing w:after="0"/>
        <w:tabs>
          <w:tab w:leader="none" w:pos="258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Limitations on Demand and Piggyback Rights</w:t>
      </w:r>
      <w:r>
        <w:rPr>
          <w:rFonts w:ascii="Arial" w:cs="Arial" w:eastAsia="Arial" w:hAnsi="Arial"/>
          <w:sz w:val="16"/>
          <w:szCs w:val="16"/>
          <w:color w:val="auto"/>
        </w:rPr>
        <w:t>.</w:t>
      </w:r>
    </w:p>
    <w:p>
      <w:pPr>
        <w:spacing w:after="0" w:line="223" w:lineRule="exact"/>
        <w:rPr>
          <w:sz w:val="20"/>
          <w:szCs w:val="20"/>
          <w:color w:val="auto"/>
        </w:rPr>
      </w:pPr>
    </w:p>
    <w:p>
      <w:pPr>
        <w:ind w:firstLine="1943"/>
        <w:spacing w:after="0" w:line="283" w:lineRule="auto"/>
        <w:tabs>
          <w:tab w:leader="none" w:pos="2573" w:val="left"/>
        </w:tabs>
        <w:numPr>
          <w:ilvl w:val="1"/>
          <w:numId w:val="295"/>
        </w:numPr>
        <w:rPr>
          <w:rFonts w:ascii="Arial" w:cs="Arial" w:eastAsia="Arial" w:hAnsi="Arial"/>
          <w:sz w:val="16"/>
          <w:szCs w:val="16"/>
          <w:color w:val="auto"/>
        </w:rPr>
      </w:pPr>
      <w:r>
        <w:rPr>
          <w:rFonts w:ascii="Arial" w:cs="Arial" w:eastAsia="Arial" w:hAnsi="Arial"/>
          <w:sz w:val="16"/>
          <w:szCs w:val="16"/>
          <w:color w:val="auto"/>
        </w:rPr>
        <w:t>Any demand for the filing of a registration statement or for a registered offering or takedown will be subject to the constraints of any applicable lock-up arrangements, and such demand must be deferred until such lock-up arrangements no longer apply. If a demand has been made for a non-shelf registered offering or for an underwritten takedown, no further demands may be made so long as the related offering is still being pursued. After an underwritten offering demanded by a Holder, such Holder may not make another demand for an underwritten offering prior to 60 days after the expiration of the lock-up applicable to its prior demanded offering unless another Holder joins in the demand. Notwithstanding anything in this Agreement to the contrary, the Holders will not have piggyback or other registration rights with respect to registered primary offerings by the Company (i) covered by a Form S-8 registration statement or a successor form applicable to employee benefit-related offers and sales, (ii) where the shares are not being sold for cash or</w:t>
      </w:r>
    </w:p>
    <w:p>
      <w:pPr>
        <w:spacing w:after="0" w:line="1" w:lineRule="exact"/>
        <w:rPr>
          <w:rFonts w:ascii="Arial" w:cs="Arial" w:eastAsia="Arial" w:hAnsi="Arial"/>
          <w:sz w:val="16"/>
          <w:szCs w:val="16"/>
          <w:color w:val="auto"/>
        </w:rPr>
      </w:pPr>
    </w:p>
    <w:p>
      <w:pPr>
        <w:ind w:right="420" w:firstLine="8"/>
        <w:spacing w:after="0" w:line="258" w:lineRule="auto"/>
        <w:tabs>
          <w:tab w:leader="none" w:pos="31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where the offering is a bona fide offering of securities other than shares or other Registrable Securities, even if such securities are convertible into or exchangeable or exercisable for shares.</w:t>
      </w:r>
    </w:p>
    <w:p>
      <w:pPr>
        <w:spacing w:after="0" w:line="185" w:lineRule="exact"/>
        <w:rPr>
          <w:rFonts w:ascii="Arial" w:cs="Arial" w:eastAsia="Arial" w:hAnsi="Arial"/>
          <w:sz w:val="18"/>
          <w:szCs w:val="18"/>
          <w:color w:val="auto"/>
        </w:rPr>
      </w:pPr>
    </w:p>
    <w:p>
      <w:pPr>
        <w:ind w:right="20" w:firstLine="1943"/>
        <w:spacing w:after="0" w:line="285" w:lineRule="auto"/>
        <w:tabs>
          <w:tab w:leader="none" w:pos="2589"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Company may postpone the filing of a demanded registration statement or suspend the effectiveness of any shelf registration statement for a reasonable "blackout period" not in excess of 90 days if the board of directors of the Company determines that such registration or offering could materially interfere with a bona fide business or financing transaction of the Company or is reasonably likely to require premature disclosure of information, the premature disclosure of which could materially and adversely affect the Company. The blackout period will end upon the earlier to occur of,</w:t>
      </w:r>
    </w:p>
    <w:p>
      <w:pPr>
        <w:jc w:val="both"/>
        <w:ind w:right="340" w:firstLine="8"/>
        <w:spacing w:after="0" w:line="254" w:lineRule="auto"/>
        <w:tabs>
          <w:tab w:leader="none" w:pos="21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 the case of a bona fide business or financing transaction, a date not later than 90 days from the date such deferral commenced, and (ii) in the case of disclosure of non-public information, the earlier to occur of (x) the filing by the Company of its next succeeding Form 10-K or Form 10-Q, or (y) the date upon which such information is otherwise disclosed.</w:t>
      </w:r>
    </w:p>
    <w:p>
      <w:pPr>
        <w:spacing w:after="0" w:line="189" w:lineRule="exact"/>
        <w:rPr>
          <w:sz w:val="20"/>
          <w:szCs w:val="20"/>
          <w:color w:val="auto"/>
        </w:rPr>
      </w:pPr>
    </w:p>
    <w:p>
      <w:pPr>
        <w:ind w:right="100" w:firstLine="1290"/>
        <w:spacing w:after="0" w:line="254"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Notifications Regarding Registration Statements</w:t>
      </w:r>
      <w:r>
        <w:rPr>
          <w:rFonts w:ascii="Arial" w:cs="Arial" w:eastAsia="Arial" w:hAnsi="Arial"/>
          <w:sz w:val="18"/>
          <w:szCs w:val="18"/>
          <w:color w:val="auto"/>
        </w:rPr>
        <w:t>. Prior to exercising demand rights for a registration statement, the Holders will consult with each other in this regard. In order for one or more Holders to exercise their right to demand that a registration statement be filed, they must so notify the Company in writing indicating the number of Registrable Securities sought to be registered and the proposed plan of distribution. The Company will keep the Holders contemporaneously apprised of any registration of Common Stock, whether pursuant to a Holder demand or otherwise, with respect to which a piggyback opportunity is available. Pending any required public disclosure and subject to applicable legal requirements, the parties will maintain the confidentiality of these discussions.</w:t>
      </w:r>
    </w:p>
    <w:p>
      <w:pPr>
        <w:spacing w:after="0" w:line="191" w:lineRule="exact"/>
        <w:rPr>
          <w:sz w:val="20"/>
          <w:szCs w:val="20"/>
          <w:color w:val="auto"/>
        </w:rPr>
      </w:pPr>
    </w:p>
    <w:p>
      <w:pPr>
        <w:ind w:right="80" w:firstLine="1290"/>
        <w:spacing w:after="0" w:line="253"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Notifications Regarding Registration Piggyback Rights</w:t>
      </w:r>
      <w:r>
        <w:rPr>
          <w:rFonts w:ascii="Arial" w:cs="Arial" w:eastAsia="Arial" w:hAnsi="Arial"/>
          <w:sz w:val="18"/>
          <w:szCs w:val="18"/>
          <w:color w:val="auto"/>
        </w:rPr>
        <w:t>. Any Holder wishing to exercise its piggyback rights with respect to a non-shelf registration statement must notify the Company and the other Holders of the number of Registrable Securities it seeks to have included in such registration statement. Such notice must be given as soon as practicable, but in no event later than 5:00 pm, New York City time, on the second trading day prior to (i) if applicable, the date on which the preliminary prospectus intended to be used in connection with pre-effective marketing efforts for the relevant offering is expected to be finalized, and (ii) in any case, the date on which the pricing of the relevant offering is expected to occur. No such notice is required in connection with a shelf registration statement, as Registrable Securities held by all Holders will be included subject to the limitations described in Section 2.3.</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362" w:name="page363"/>
    <w:bookmarkEnd w:id="362"/>
    <w:p>
      <w:pPr>
        <w:ind w:left="1300"/>
        <w:spacing w:after="0"/>
        <w:tabs>
          <w:tab w:leader="none" w:pos="258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Notifications Regarding Demanded Underwritten Takedowns</w:t>
      </w:r>
      <w:r>
        <w:rPr>
          <w:rFonts w:ascii="Arial" w:cs="Arial" w:eastAsia="Arial" w:hAnsi="Arial"/>
          <w:sz w:val="16"/>
          <w:szCs w:val="16"/>
          <w:color w:val="auto"/>
        </w:rPr>
        <w:t>.</w:t>
      </w:r>
    </w:p>
    <w:p>
      <w:pPr>
        <w:spacing w:after="0" w:line="223" w:lineRule="exact"/>
        <w:rPr>
          <w:sz w:val="20"/>
          <w:szCs w:val="20"/>
          <w:color w:val="auto"/>
        </w:rPr>
      </w:pPr>
    </w:p>
    <w:p>
      <w:pPr>
        <w:ind w:firstLine="1943"/>
        <w:spacing w:after="0" w:line="253" w:lineRule="auto"/>
        <w:tabs>
          <w:tab w:leader="none" w:pos="258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Prior to exercising their demand rights for an underwritten takedown of Registrable Securities off of a shelf registration statement, the Holders will consult with each other in this regard. The Company will keep the Holders contemporaneously apprised of all pertinent aspects of any underwritten shelf takedown in order that they may have a reasonable opportunity to exercise their related piggyback rights. Without limiting the Company's obligation as described in the preceding sentence, having a reasonable opportunity requires that the Holders be notified by the Company of an anticipated underwritten takedown (whether pursuant to a demand made by other Holders or made at the Company's own initiative) no later than 5:00 pm, New York City time, on (i) if applicable, the second trading day prior to the date on which the preliminary prospectus or prospectus supplement intended to be used in connection with pre-pricing marketing efforts for such takedown is finalized, and (ii) in all cases, the second trading day prior to the date on which the pricing of the relevant takedown occurs.</w:t>
      </w:r>
    </w:p>
    <w:p>
      <w:pPr>
        <w:spacing w:after="0" w:line="190" w:lineRule="exact"/>
        <w:rPr>
          <w:rFonts w:ascii="Arial" w:cs="Arial" w:eastAsia="Arial" w:hAnsi="Arial"/>
          <w:sz w:val="18"/>
          <w:szCs w:val="18"/>
          <w:color w:val="auto"/>
        </w:rPr>
      </w:pPr>
    </w:p>
    <w:p>
      <w:pPr>
        <w:ind w:firstLine="1943"/>
        <w:spacing w:after="0" w:line="255" w:lineRule="auto"/>
        <w:tabs>
          <w:tab w:leader="none" w:pos="258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Holder wishing to exercise its piggyback rights with respect to an underwritten shelf takedown must notify the Company and the other Holders of the number of Registrable Securities it seeks to have included in such takedown. Such notice must be given as soon as practicable, but in no event later than 5:00 pm, New York City time, on (i) if applicable, the trading day prior to the date on which the preliminary prospectus or prospectus supplement intended to be used in connection with marketing efforts for the relevant offering is expected to be finalized, and (ii) in all cases, the trading day prior to the date on which the pricing of the relevant takedown occurs.</w:t>
      </w:r>
    </w:p>
    <w:p>
      <w:pPr>
        <w:spacing w:after="0" w:line="190" w:lineRule="exact"/>
        <w:rPr>
          <w:rFonts w:ascii="Arial" w:cs="Arial" w:eastAsia="Arial" w:hAnsi="Arial"/>
          <w:sz w:val="18"/>
          <w:szCs w:val="18"/>
          <w:color w:val="auto"/>
        </w:rPr>
      </w:pPr>
    </w:p>
    <w:p>
      <w:pPr>
        <w:ind w:right="100" w:firstLine="1943"/>
        <w:spacing w:after="0" w:line="275" w:lineRule="auto"/>
        <w:tabs>
          <w:tab w:leader="none" w:pos="258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Pending any required public disclosure and subject to applicable legal requirements, the parties will maintain appropriate confidentiality of their discussions regarding a prospective underwritten takedown.</w:t>
      </w:r>
    </w:p>
    <w:p>
      <w:pPr>
        <w:spacing w:after="0" w:line="171" w:lineRule="exact"/>
        <w:rPr>
          <w:sz w:val="20"/>
          <w:szCs w:val="20"/>
          <w:color w:val="auto"/>
        </w:rPr>
      </w:pPr>
    </w:p>
    <w:p>
      <w:pPr>
        <w:ind w:firstLine="1290"/>
        <w:spacing w:after="0" w:line="25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Plan of Distribution, Underwriters and Counsel</w:t>
      </w:r>
      <w:r>
        <w:rPr>
          <w:rFonts w:ascii="Arial" w:cs="Arial" w:eastAsia="Arial" w:hAnsi="Arial"/>
          <w:sz w:val="18"/>
          <w:szCs w:val="18"/>
          <w:color w:val="auto"/>
        </w:rPr>
        <w:t>. If a majority of the shares or other Registrable Securities proposed to be sold in an underwritten offering through a non-shelf registration statement or through a shelf takedown is being sold by the Company for its own account, the Company will be entitled to determine the plan of distribution and select the managing underwriters for such offering. Otherwise, Holders holding a majority of the Registrable Securities requested to be included in such offering will be entitled to determine the plan of distribution and select the managing underwriters, and such majority will also be entitled to select counsel for the selling Holders (which may be the same as counsel for the Company). In the case of a shelf registration statement, the plan of distribution will provide as much flexibility as is reasonably possible, including with respect or resales by transferee Holders.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363" w:name="page364"/>
    <w:bookmarkEnd w:id="363"/>
    <w:p>
      <w:pPr>
        <w:ind w:firstLine="1290"/>
        <w:spacing w:after="0" w:line="268"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Cutbacks</w:t>
      </w:r>
      <w:r>
        <w:rPr>
          <w:rFonts w:ascii="Arial" w:cs="Arial" w:eastAsia="Arial" w:hAnsi="Arial"/>
          <w:sz w:val="17"/>
          <w:szCs w:val="17"/>
          <w:color w:val="auto"/>
        </w:rPr>
        <w:t>. If the managing underwriters advise the Company and the selling Holders that, in their opinion, the number of shares or other Registrable Securities requested to be included in an underwritten offering exceeds the amount that can be sold in such offering without adversely affecting the distribution of the shares or other Registrable Securities being offered, such offering will include only the number of shares or other Registrable Securities that the underwriters advise can be sold in such offering. If the Company is selling shares for its own account in such offering, the Company will have first priority. To the extent of any remaining capacity, and in all other cases where the Company is not selling shares in the relevant offering, the selling Holders will be subject to cutback pro rata based on the number of Registrable Securities initially requested by them to be included in such offering, without distinguishing between Holders based on who made the demand for such offering or who is exercising piggyback rights. If the Company and all of the selling Holders are able to include all of the shares and Registrable Securities initially requested by them to be included in such offering, to the extent of any remaining capacity, securities for the account of other persons that the Company is obligated to register pursuant to written contractual piggy-back registration rights with such persons may also be included in such offering.</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Lock-ups</w:t>
      </w:r>
      <w:r>
        <w:rPr>
          <w:rFonts w:ascii="Arial" w:cs="Arial" w:eastAsia="Arial" w:hAnsi="Arial"/>
          <w:sz w:val="16"/>
          <w:szCs w:val="16"/>
          <w:color w:val="auto"/>
        </w:rPr>
        <w:t>.</w:t>
      </w:r>
    </w:p>
    <w:p>
      <w:pPr>
        <w:spacing w:after="0" w:line="223" w:lineRule="exact"/>
        <w:rPr>
          <w:sz w:val="20"/>
          <w:szCs w:val="20"/>
          <w:color w:val="auto"/>
        </w:rPr>
      </w:pPr>
    </w:p>
    <w:p>
      <w:pPr>
        <w:ind w:right="60" w:firstLine="1943"/>
        <w:spacing w:after="0" w:line="288" w:lineRule="auto"/>
        <w:tabs>
          <w:tab w:leader="none" w:pos="2582" w:val="left"/>
        </w:tabs>
        <w:numPr>
          <w:ilvl w:val="0"/>
          <w:numId w:val="299"/>
        </w:numPr>
        <w:rPr>
          <w:rFonts w:ascii="Arial" w:cs="Arial" w:eastAsia="Arial" w:hAnsi="Arial"/>
          <w:sz w:val="16"/>
          <w:szCs w:val="16"/>
          <w:color w:val="auto"/>
        </w:rPr>
      </w:pPr>
      <w:r>
        <w:rPr>
          <w:rFonts w:ascii="Arial" w:cs="Arial" w:eastAsia="Arial" w:hAnsi="Arial"/>
          <w:sz w:val="16"/>
          <w:szCs w:val="16"/>
          <w:color w:val="auto"/>
        </w:rPr>
        <w:t>Other than as described in clause (b) below, in connection with any underwritten offering of shares or other Registrable Securities, the Company and each Holder will agree (in the case of Holders, with respect to Registrable Securities respectively held by them) to be bound by the underwriting agreement's lock-up restrictions (which must apply in like manner to all of them) that are agreed to (x) by the Company, if a majority of the shares or other Registrable Securities being sold in such offering are being sold for its account, and (y) by Holders holding a majority of Registrable Securities being sold by all Holders, if a majority of the shares or other Registrable Securities being sold in such offering are being sold by Holders. Other than as described in clause (b) below, pending the signing of the applicable underwriting agreement, from the point at which a Holder receives written notice that the Company intends to pursue an underwritten registered public offering of shares with respect to which a piggyback opportunity will apply pursuant to this Agreement and until the applicable underwriting agreement is entered into or such offering is abandoned, each Holder agrees to be bound by the same restrictions on transfer as were applicable under the underwriting agreement applicable to the Company's IPO.</w:t>
      </w:r>
    </w:p>
    <w:p>
      <w:pPr>
        <w:spacing w:after="0" w:line="163" w:lineRule="exact"/>
        <w:rPr>
          <w:rFonts w:ascii="Arial" w:cs="Arial" w:eastAsia="Arial" w:hAnsi="Arial"/>
          <w:sz w:val="16"/>
          <w:szCs w:val="16"/>
          <w:color w:val="auto"/>
        </w:rPr>
      </w:pPr>
    </w:p>
    <w:p>
      <w:pPr>
        <w:ind w:right="20" w:firstLine="1943"/>
        <w:spacing w:after="0" w:line="275" w:lineRule="auto"/>
        <w:tabs>
          <w:tab w:leader="none" w:pos="258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At any time, each Holder shall have the right to elect to relinquish all rights under this Article II. If any Holder makes such election, it will no longer be subject to this Section 2.12.</w:t>
      </w:r>
    </w:p>
    <w:p>
      <w:pPr>
        <w:spacing w:after="0" w:line="171" w:lineRule="exact"/>
        <w:rPr>
          <w:sz w:val="20"/>
          <w:szCs w:val="20"/>
          <w:color w:val="auto"/>
        </w:rPr>
      </w:pPr>
    </w:p>
    <w:p>
      <w:pPr>
        <w:ind w:right="40" w:firstLine="1290"/>
        <w:spacing w:after="0" w:line="262"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Expenses</w:t>
      </w:r>
      <w:r>
        <w:rPr>
          <w:rFonts w:ascii="Arial" w:cs="Arial" w:eastAsia="Arial" w:hAnsi="Arial"/>
          <w:sz w:val="18"/>
          <w:szCs w:val="18"/>
          <w:color w:val="auto"/>
        </w:rPr>
        <w:t>. All Registration Expenses incurred in connection with any registration statement or registered offering covering Registrable Securities held by Holders will be borne by the Company. However, underwriters', brokers' and dealers' discounts and commissions applicable to Registrable Securities sold for the account of a Holder will be borne by such Holder.</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Facilitating Registrations and Offerings</w:t>
      </w:r>
      <w:r>
        <w:rPr>
          <w:rFonts w:ascii="Arial" w:cs="Arial" w:eastAsia="Arial" w:hAnsi="Arial"/>
          <w:sz w:val="16"/>
          <w:szCs w:val="16"/>
          <w:color w:val="auto"/>
        </w:rPr>
        <w:t>.</w:t>
      </w:r>
    </w:p>
    <w:p>
      <w:pPr>
        <w:spacing w:after="0" w:line="223" w:lineRule="exact"/>
        <w:rPr>
          <w:sz w:val="20"/>
          <w:szCs w:val="20"/>
          <w:color w:val="auto"/>
        </w:rPr>
      </w:pPr>
    </w:p>
    <w:p>
      <w:pPr>
        <w:ind w:right="160" w:firstLine="1943"/>
        <w:spacing w:after="0" w:line="258" w:lineRule="auto"/>
        <w:tabs>
          <w:tab w:leader="none" w:pos="258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the Company becomes obligated under this Agreement to facilitate a registration and offering of Registrable Securities on behalf of Holders, the Company will do so with the same degree of care and dispatch as would reasonably be expected in the case of a registration and offering by the Company of shares for its own account. Without limiting this general obligation, the Company will fulfill its specific obligations as described in this Section 2.14.</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64" w:name="page365"/>
    <w:bookmarkEnd w:id="364"/>
    <w:p>
      <w:pPr>
        <w:ind w:left="2600" w:hanging="657"/>
        <w:spacing w:after="0"/>
        <w:tabs>
          <w:tab w:leader="none" w:pos="260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In connection with each registration statement that is demanded by Holders or as to which piggyback rights otherwise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apply, the Company will:</w:t>
      </w:r>
    </w:p>
    <w:p>
      <w:pPr>
        <w:spacing w:after="0" w:line="209" w:lineRule="exact"/>
        <w:rPr>
          <w:sz w:val="20"/>
          <w:szCs w:val="20"/>
          <w:color w:val="auto"/>
        </w:rPr>
      </w:pPr>
    </w:p>
    <w:p>
      <w:pPr>
        <w:ind w:right="40" w:firstLine="2589"/>
        <w:spacing w:after="0" w:line="258" w:lineRule="auto"/>
        <w:tabs>
          <w:tab w:leader="none" w:pos="319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covering the applicable Registrable Securities, file amendments thereto as warranted, seek the effectiveness thereof, and file with the SEC prospectuses and prospectus supplements as may be required, all in consultation with the Holders and as reasonably necessary in order to permit the offer and sale of such Registrable Securities in accordance with the applicable plan of distribution;</w:t>
      </w:r>
    </w:p>
    <w:p>
      <w:pPr>
        <w:spacing w:after="0" w:line="185" w:lineRule="exact"/>
        <w:rPr>
          <w:rFonts w:ascii="Arial" w:cs="Arial" w:eastAsia="Arial" w:hAnsi="Arial"/>
          <w:sz w:val="18"/>
          <w:szCs w:val="18"/>
          <w:color w:val="auto"/>
        </w:rPr>
      </w:pPr>
    </w:p>
    <w:p>
      <w:pPr>
        <w:ind w:right="140" w:firstLine="2589"/>
        <w:spacing w:after="0" w:line="295" w:lineRule="auto"/>
        <w:tabs>
          <w:tab w:leader="none" w:pos="3203" w:val="left"/>
        </w:tabs>
        <w:numPr>
          <w:ilvl w:val="1"/>
          <w:numId w:val="302"/>
        </w:numPr>
        <w:rPr>
          <w:rFonts w:ascii="Arial" w:cs="Arial" w:eastAsia="Arial" w:hAnsi="Arial"/>
          <w:sz w:val="16"/>
          <w:szCs w:val="16"/>
          <w:color w:val="auto"/>
        </w:rPr>
      </w:pPr>
      <w:r>
        <w:rPr>
          <w:rFonts w:ascii="Arial" w:cs="Arial" w:eastAsia="Arial" w:hAnsi="Arial"/>
          <w:sz w:val="16"/>
          <w:szCs w:val="16"/>
          <w:color w:val="auto"/>
        </w:rPr>
        <w:t>within a reasonable time prior to the filing of any registration statement, any prospectus, any amendment to a registration statement, amendment or supplement to a prospectus or any free writing prospectus, provide copies of such documents to the selling Holders and to the underwriter or underwriters of an underwritten offering, if applicable, and to their respective counsel; fairly consider such reasonable changes in any such documents prior to or after the filing thereof as the counsel to the Holders or the underwriter or the underwriters may request; and make such of the representatives of the Company as shall be reasonably requested by the selling Holders or any underwriter available for discussion of such documents;</w:t>
      </w:r>
    </w:p>
    <w:p>
      <w:pPr>
        <w:spacing w:after="0" w:line="159" w:lineRule="exact"/>
        <w:rPr>
          <w:rFonts w:ascii="Arial" w:cs="Arial" w:eastAsia="Arial" w:hAnsi="Arial"/>
          <w:sz w:val="16"/>
          <w:szCs w:val="16"/>
          <w:color w:val="auto"/>
        </w:rPr>
      </w:pPr>
    </w:p>
    <w:p>
      <w:pPr>
        <w:ind w:right="140" w:firstLine="2589"/>
        <w:spacing w:after="0" w:line="278" w:lineRule="auto"/>
        <w:tabs>
          <w:tab w:leader="none" w:pos="3208" w:val="left"/>
        </w:tabs>
        <w:numPr>
          <w:ilvl w:val="1"/>
          <w:numId w:val="302"/>
        </w:numPr>
        <w:rPr>
          <w:rFonts w:ascii="Arial" w:cs="Arial" w:eastAsia="Arial" w:hAnsi="Arial"/>
          <w:sz w:val="17"/>
          <w:szCs w:val="17"/>
          <w:color w:val="auto"/>
        </w:rPr>
      </w:pPr>
      <w:r>
        <w:rPr>
          <w:rFonts w:ascii="Arial" w:cs="Arial" w:eastAsia="Arial" w:hAnsi="Arial"/>
          <w:sz w:val="17"/>
          <w:szCs w:val="17"/>
          <w:color w:val="auto"/>
        </w:rPr>
        <w:t>within a reasonable time prior to the filing of any document which is to be incorporated by reference into a registration statement or a prospectus, provide copies of such document to counsel for the Holders and underwriters; fairly consider such reasonable changes in such document prior to or after the filing thereof as counsel for such Holders or such underwriter shall request; and make such of the representatives of the Company as shall be reasonably requested by such counsel available for discussion of such document;</w:t>
      </w:r>
    </w:p>
    <w:p>
      <w:pPr>
        <w:spacing w:after="0" w:line="169" w:lineRule="exact"/>
        <w:rPr>
          <w:rFonts w:ascii="Arial" w:cs="Arial" w:eastAsia="Arial" w:hAnsi="Arial"/>
          <w:sz w:val="17"/>
          <w:szCs w:val="17"/>
          <w:color w:val="auto"/>
        </w:rPr>
      </w:pPr>
    </w:p>
    <w:p>
      <w:pPr>
        <w:ind w:right="160" w:firstLine="2589"/>
        <w:spacing w:after="0" w:line="290" w:lineRule="auto"/>
        <w:tabs>
          <w:tab w:leader="none" w:pos="3198" w:val="left"/>
        </w:tabs>
        <w:numPr>
          <w:ilvl w:val="1"/>
          <w:numId w:val="302"/>
        </w:numPr>
        <w:rPr>
          <w:rFonts w:ascii="Arial" w:cs="Arial" w:eastAsia="Arial" w:hAnsi="Arial"/>
          <w:sz w:val="16"/>
          <w:szCs w:val="16"/>
          <w:color w:val="auto"/>
        </w:rPr>
      </w:pPr>
      <w:r>
        <w:rPr>
          <w:rFonts w:ascii="Arial" w:cs="Arial" w:eastAsia="Arial" w:hAnsi="Arial"/>
          <w:sz w:val="16"/>
          <w:szCs w:val="16"/>
          <w:color w:val="auto"/>
        </w:rPr>
        <w:t>use all reasonable efforts to cause each registration statement and the related prospectus and any amendment or supplement thereto, as of the effective date of such registration statement, amendment or supplement and during the distribution of the Registrable Securities</w:t>
      </w:r>
    </w:p>
    <w:p>
      <w:pPr>
        <w:ind w:right="320" w:firstLine="8"/>
        <w:spacing w:after="0" w:line="321" w:lineRule="auto"/>
        <w:tabs>
          <w:tab w:leader="none" w:pos="25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to comply in all material respects with the requirements of the Securities Act and the rules and regulations of the SEC and (y) not to contain any untrue statement of a material fact or omit to state a material fact required to be stated therein or necessary to make the statements therein not misleading;</w:t>
      </w:r>
    </w:p>
    <w:p>
      <w:pPr>
        <w:spacing w:after="0" w:line="138" w:lineRule="exact"/>
        <w:rPr>
          <w:rFonts w:ascii="Arial" w:cs="Arial" w:eastAsia="Arial" w:hAnsi="Arial"/>
          <w:sz w:val="16"/>
          <w:szCs w:val="16"/>
          <w:color w:val="auto"/>
        </w:rPr>
      </w:pPr>
    </w:p>
    <w:p>
      <w:pPr>
        <w:ind w:firstLine="2589"/>
        <w:spacing w:after="0" w:line="287" w:lineRule="auto"/>
        <w:tabs>
          <w:tab w:leader="none" w:pos="3193" w:val="left"/>
        </w:tabs>
        <w:numPr>
          <w:ilvl w:val="1"/>
          <w:numId w:val="303"/>
        </w:numPr>
        <w:rPr>
          <w:rFonts w:ascii="Arial" w:cs="Arial" w:eastAsia="Arial" w:hAnsi="Arial"/>
          <w:sz w:val="16"/>
          <w:szCs w:val="16"/>
          <w:color w:val="auto"/>
        </w:rPr>
      </w:pPr>
      <w:r>
        <w:rPr>
          <w:rFonts w:ascii="Arial" w:cs="Arial" w:eastAsia="Arial" w:hAnsi="Arial"/>
          <w:sz w:val="16"/>
          <w:szCs w:val="16"/>
          <w:color w:val="auto"/>
        </w:rPr>
        <w:t>notify each Holder promptly, and, if requested by such Holder, confirm such advice in writing, (A) when a registration statement has become effective and when any post-effective amendments and supplements thereto become effective if such registration statement or post-effective amendment is not automatically effective upon filing pursuant to Rule 462 of the Securities Act, (B) of the issuance by the SEC or any state securities authority of any stop order, injunction or other order or requirement suspending the effectiveness of a registration statement or the initiation of any proceedings for that purpose, (C) if, between the effective date of a registration statement and the closing of any sale of securities covered thereby pursuant to any agreement to which the Company is a party, the representations and warranties of the Company contained in such agreement cease to be true and correct in all material respects or if the Company receives any notification with respect to the suspension of the qualification of the Registrable Securities for sale in any jurisdiction or the initiation of any proceeding for such purpose, and (D) of the happening of any event during the period a registration statement is effective as a result of which such registration statement or the related Prospectus contains any untrue statement of a material fact or omits to state any material fact required to be stated therein or necessary to make the statements therein not misleading;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65" w:name="page366"/>
    <w:bookmarkEnd w:id="365"/>
    <w:p>
      <w:pPr>
        <w:ind w:right="260" w:firstLine="2589"/>
        <w:spacing w:after="0" w:line="275" w:lineRule="auto"/>
        <w:tabs>
          <w:tab w:leader="none" w:pos="319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furnish counsel for each underwriter, if any, and for the Holders copies of any correspondence with the SEC or any state securities authority relating to the registration statement or prospectus;</w:t>
      </w:r>
    </w:p>
    <w:p>
      <w:pPr>
        <w:spacing w:after="0" w:line="170" w:lineRule="exact"/>
        <w:rPr>
          <w:rFonts w:ascii="Arial" w:cs="Arial" w:eastAsia="Arial" w:hAnsi="Arial"/>
          <w:sz w:val="18"/>
          <w:szCs w:val="18"/>
          <w:color w:val="auto"/>
        </w:rPr>
      </w:pPr>
    </w:p>
    <w:p>
      <w:pPr>
        <w:ind w:right="140" w:firstLine="2589"/>
        <w:spacing w:after="0" w:line="262" w:lineRule="auto"/>
        <w:tabs>
          <w:tab w:leader="none" w:pos="3203" w:val="left"/>
        </w:tabs>
        <w:numPr>
          <w:ilvl w:val="1"/>
          <w:numId w:val="304"/>
        </w:numPr>
        <w:rPr>
          <w:rFonts w:ascii="Arial" w:cs="Arial" w:eastAsia="Arial" w:hAnsi="Arial"/>
          <w:sz w:val="18"/>
          <w:szCs w:val="18"/>
          <w:color w:val="auto"/>
        </w:rPr>
      </w:pPr>
      <w:r>
        <w:rPr>
          <w:rFonts w:ascii="Arial" w:cs="Arial" w:eastAsia="Arial" w:hAnsi="Arial"/>
          <w:sz w:val="18"/>
          <w:szCs w:val="18"/>
          <w:color w:val="auto"/>
        </w:rPr>
        <w:t>otherwise use all reasonable efforts to comply with all applicable rules and regulations of the SEC, including making available to its security holders an earnings statement covering at least 12 months which shall satisfy the provisions of Section 11(a) of the Securities Act and Rule 158 thereunder (or any similar provision then in force); and</w:t>
      </w:r>
    </w:p>
    <w:p>
      <w:pPr>
        <w:spacing w:after="0" w:line="182" w:lineRule="exact"/>
        <w:rPr>
          <w:rFonts w:ascii="Arial" w:cs="Arial" w:eastAsia="Arial" w:hAnsi="Arial"/>
          <w:sz w:val="18"/>
          <w:szCs w:val="18"/>
          <w:color w:val="auto"/>
        </w:rPr>
      </w:pPr>
    </w:p>
    <w:p>
      <w:pPr>
        <w:ind w:left="3220" w:hanging="631"/>
        <w:spacing w:after="0"/>
        <w:tabs>
          <w:tab w:leader="none" w:pos="322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use all reasonable efforts to obtain the withdrawal of any order suspending the effectiveness of a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 at the earliest possible time.</w:t>
      </w:r>
    </w:p>
    <w:p>
      <w:pPr>
        <w:spacing w:after="0" w:line="208" w:lineRule="exact"/>
        <w:rPr>
          <w:rFonts w:ascii="Arial" w:cs="Arial" w:eastAsia="Arial" w:hAnsi="Arial"/>
          <w:sz w:val="17"/>
          <w:szCs w:val="17"/>
          <w:color w:val="auto"/>
        </w:rPr>
      </w:pPr>
    </w:p>
    <w:p>
      <w:pPr>
        <w:ind w:right="600" w:firstLine="1943"/>
        <w:spacing w:after="0" w:line="275" w:lineRule="auto"/>
        <w:tabs>
          <w:tab w:leader="none" w:pos="258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 connection with any non-shelf registered offering or shelf takedown that is demanded by Holders or as to which piggyback rights otherwise apply, the Company will:</w:t>
      </w:r>
    </w:p>
    <w:p>
      <w:pPr>
        <w:spacing w:after="0" w:line="170" w:lineRule="exact"/>
        <w:rPr>
          <w:rFonts w:ascii="Arial" w:cs="Arial" w:eastAsia="Arial" w:hAnsi="Arial"/>
          <w:sz w:val="18"/>
          <w:szCs w:val="18"/>
          <w:color w:val="auto"/>
        </w:rPr>
      </w:pPr>
    </w:p>
    <w:p>
      <w:pPr>
        <w:ind w:right="60" w:firstLine="2589"/>
        <w:spacing w:after="0" w:line="274" w:lineRule="auto"/>
        <w:tabs>
          <w:tab w:leader="none" w:pos="3198" w:val="left"/>
        </w:tabs>
        <w:numPr>
          <w:ilvl w:val="1"/>
          <w:numId w:val="305"/>
        </w:numPr>
        <w:rPr>
          <w:rFonts w:ascii="Arial" w:cs="Arial" w:eastAsia="Arial" w:hAnsi="Arial"/>
          <w:sz w:val="17"/>
          <w:szCs w:val="17"/>
          <w:color w:val="auto"/>
        </w:rPr>
      </w:pPr>
      <w:r>
        <w:rPr>
          <w:rFonts w:ascii="Arial" w:cs="Arial" w:eastAsia="Arial" w:hAnsi="Arial"/>
          <w:sz w:val="17"/>
          <w:szCs w:val="17"/>
          <w:color w:val="auto"/>
        </w:rPr>
        <w:t>cooperate with the selling Holders and the sole underwriter or managing underwriter of an underwritten offering, if any, to facilitate the timely preparation and delivery of certificates representing the Registrable Securities to be sold and not bearing any restrictive legends; and enable such Registrable Securities to be in such denominations (consistent with the provisions of the governing documents thereof) and registered in such names as the selling Holders or the sole underwriter or managing underwriter of an underwritten offering of Registrable Securities, if any, may reasonably request at least five days prior to any sale of such Registrable Securities;</w:t>
      </w:r>
    </w:p>
    <w:p>
      <w:pPr>
        <w:spacing w:after="0" w:line="174" w:lineRule="exact"/>
        <w:rPr>
          <w:rFonts w:ascii="Arial" w:cs="Arial" w:eastAsia="Arial" w:hAnsi="Arial"/>
          <w:sz w:val="17"/>
          <w:szCs w:val="17"/>
          <w:color w:val="auto"/>
        </w:rPr>
      </w:pPr>
    </w:p>
    <w:p>
      <w:pPr>
        <w:ind w:firstLine="2589"/>
        <w:spacing w:after="0" w:line="274" w:lineRule="auto"/>
        <w:tabs>
          <w:tab w:leader="none" w:pos="3203" w:val="left"/>
        </w:tabs>
        <w:numPr>
          <w:ilvl w:val="1"/>
          <w:numId w:val="305"/>
        </w:numPr>
        <w:rPr>
          <w:rFonts w:ascii="Arial" w:cs="Arial" w:eastAsia="Arial" w:hAnsi="Arial"/>
          <w:sz w:val="17"/>
          <w:szCs w:val="17"/>
          <w:color w:val="auto"/>
        </w:rPr>
      </w:pPr>
      <w:r>
        <w:rPr>
          <w:rFonts w:ascii="Arial" w:cs="Arial" w:eastAsia="Arial" w:hAnsi="Arial"/>
          <w:sz w:val="17"/>
          <w:szCs w:val="17"/>
          <w:color w:val="auto"/>
        </w:rPr>
        <w:t>furnish to each Holder and to each underwriter, if any, participating in the relevant offering, without charge, as many copies of the applicable prospectus, including each preliminary prospectus, and any amendment or supplement thereto and such other documents as such Holder or underwriter may reasonably request in order to facilitate the public sale or other disposition of the Registrable Securities; the Company hereby consents to the use of the prospectus, including each preliminary prospectus, by each such Holder and underwriter in connection with the offering and sale of the Registrable Securities covered by the prospectus or the preliminary prospectus;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66" w:name="page367"/>
    <w:bookmarkEnd w:id="366"/>
    <w:p>
      <w:pPr>
        <w:ind w:right="20" w:firstLine="2589"/>
        <w:spacing w:after="0" w:line="289" w:lineRule="auto"/>
        <w:tabs>
          <w:tab w:leader="none" w:pos="3208" w:val="left"/>
        </w:tabs>
        <w:numPr>
          <w:ilvl w:val="0"/>
          <w:numId w:val="306"/>
        </w:numPr>
        <w:rPr>
          <w:rFonts w:ascii="Arial" w:cs="Arial" w:eastAsia="Arial" w:hAnsi="Arial"/>
          <w:sz w:val="16"/>
          <w:szCs w:val="16"/>
          <w:color w:val="auto"/>
        </w:rPr>
      </w:pPr>
      <w:r>
        <w:rPr>
          <w:rFonts w:ascii="Arial" w:cs="Arial" w:eastAsia="Arial" w:hAnsi="Arial"/>
          <w:sz w:val="16"/>
          <w:szCs w:val="16"/>
          <w:color w:val="auto"/>
        </w:rPr>
        <w:t>use all reasonable efforts to register or qualify the Registrable Securities being offered and sold, no later than the time the applicable registration statement becomes effective, under all applicable state securities or "blue sky" laws of such jurisdictions as each underwriter, if any, or any Holder holding Registrable Securities covered by a registration statement, shall reasonably request; use all reasonable efforts to keep each such registration or qualification effective during the period such registration statement is required to be kept effective; and do any and all other acts and things which may be reasonably necessary or advisable to enable each such underwriter, if any, and each such Holder to consummate the disposition in each such jurisdiction of such Registrable Securities owned by such Holder; provided, however, that the Company shall not be obligated to qualify as a foreign corporation or as a dealer in securities in any jurisdiction in which it is not so qualified or to consent to be subject to general service of process (other than service of process in connection with such registration or qualification or any sale of Registrable Securities in connection therewith) in any such jurisdiction;</w:t>
      </w:r>
    </w:p>
    <w:p>
      <w:pPr>
        <w:spacing w:after="0" w:line="163" w:lineRule="exact"/>
        <w:rPr>
          <w:rFonts w:ascii="Arial" w:cs="Arial" w:eastAsia="Arial" w:hAnsi="Arial"/>
          <w:sz w:val="16"/>
          <w:szCs w:val="16"/>
          <w:color w:val="auto"/>
        </w:rPr>
      </w:pPr>
    </w:p>
    <w:p>
      <w:pPr>
        <w:ind w:right="160" w:firstLine="2589"/>
        <w:spacing w:after="0" w:line="262" w:lineRule="auto"/>
        <w:tabs>
          <w:tab w:leader="none" w:pos="319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cause all Registrable Securities being sold to be qualified for inclusion in or listed on the Nasdaq Capital Market or any securities exchange on which Registrable Securities issued by the Company are then so qualified or listed if so requested by the Holders, or if so requested by the underwriter or underwriters of an underwritten offering of Registrable Securities, if any;</w:t>
      </w:r>
    </w:p>
    <w:p>
      <w:pPr>
        <w:spacing w:after="0" w:line="182" w:lineRule="exact"/>
        <w:rPr>
          <w:rFonts w:ascii="Arial" w:cs="Arial" w:eastAsia="Arial" w:hAnsi="Arial"/>
          <w:sz w:val="18"/>
          <w:szCs w:val="18"/>
          <w:color w:val="auto"/>
        </w:rPr>
      </w:pPr>
    </w:p>
    <w:p>
      <w:pPr>
        <w:ind w:right="180" w:firstLine="2589"/>
        <w:spacing w:after="0" w:line="275" w:lineRule="auto"/>
        <w:tabs>
          <w:tab w:leader="none" w:pos="319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cooperate and assist in any filings required to be made with FINRA and in the performance of any due diligence investigation by any underwriter in an underwritten offering;</w:t>
      </w:r>
    </w:p>
    <w:p>
      <w:pPr>
        <w:spacing w:after="0" w:line="170" w:lineRule="exact"/>
        <w:rPr>
          <w:rFonts w:ascii="Arial" w:cs="Arial" w:eastAsia="Arial" w:hAnsi="Arial"/>
          <w:sz w:val="18"/>
          <w:szCs w:val="18"/>
          <w:color w:val="auto"/>
        </w:rPr>
      </w:pPr>
    </w:p>
    <w:p>
      <w:pPr>
        <w:ind w:right="80" w:firstLine="2589"/>
        <w:spacing w:after="0" w:line="285" w:lineRule="auto"/>
        <w:tabs>
          <w:tab w:leader="none" w:pos="3198" w:val="left"/>
        </w:tabs>
        <w:numPr>
          <w:ilvl w:val="0"/>
          <w:numId w:val="306"/>
        </w:numPr>
        <w:rPr>
          <w:rFonts w:ascii="Arial" w:cs="Arial" w:eastAsia="Arial" w:hAnsi="Arial"/>
          <w:sz w:val="17"/>
          <w:szCs w:val="17"/>
          <w:color w:val="auto"/>
        </w:rPr>
      </w:pPr>
      <w:r>
        <w:rPr>
          <w:rFonts w:ascii="Arial" w:cs="Arial" w:eastAsia="Arial" w:hAnsi="Arial"/>
          <w:sz w:val="17"/>
          <w:szCs w:val="17"/>
          <w:color w:val="auto"/>
        </w:rPr>
        <w:t>use all reasonable efforts to facilitate the distribution and sale of any Registrable Securities to be offered pursuant to this Agreement, including without limitation by making road show presentations, holding meetings with and making calls to potential investors and taking such other actions as shall be requested by the Holders or the lead managing underwriter of an underwritten offering; and</w:t>
      </w:r>
    </w:p>
    <w:p>
      <w:pPr>
        <w:spacing w:after="0" w:line="163" w:lineRule="exact"/>
        <w:rPr>
          <w:rFonts w:ascii="Arial" w:cs="Arial" w:eastAsia="Arial" w:hAnsi="Arial"/>
          <w:sz w:val="17"/>
          <w:szCs w:val="17"/>
          <w:color w:val="auto"/>
        </w:rPr>
      </w:pPr>
    </w:p>
    <w:p>
      <w:pPr>
        <w:ind w:firstLine="2589"/>
        <w:spacing w:after="0" w:line="258" w:lineRule="auto"/>
        <w:tabs>
          <w:tab w:leader="none" w:pos="320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enter into customary agreements (including, in the case of an underwritten offering, underwriting agreements in customary form, and including provisions with respect to indemnification and contribution in customary form and consistent with the provisions relating to indemnification and contribution contained herein) and take all other customary and appropriate actions in order to expedite or facilitate the disposition of such Registrable Securities and in connection therewith:</w:t>
      </w:r>
    </w:p>
    <w:p>
      <w:pPr>
        <w:spacing w:after="0" w:line="185" w:lineRule="exact"/>
        <w:rPr>
          <w:rFonts w:ascii="Arial" w:cs="Arial" w:eastAsia="Arial" w:hAnsi="Arial"/>
          <w:sz w:val="18"/>
          <w:szCs w:val="18"/>
          <w:color w:val="auto"/>
        </w:rPr>
      </w:pPr>
    </w:p>
    <w:p>
      <w:pPr>
        <w:ind w:left="3880" w:hanging="646"/>
        <w:spacing w:after="0"/>
        <w:tabs>
          <w:tab w:leader="none" w:pos="388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make such representations and warranties to the selling Holders and the underwriters, if any, in form,</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substance and scope as are customarily made by issuers to underwriters in similar underwritten offerings;</w:t>
      </w:r>
    </w:p>
    <w:p>
      <w:pPr>
        <w:spacing w:after="0" w:line="208" w:lineRule="exact"/>
        <w:rPr>
          <w:rFonts w:ascii="Arial" w:cs="Arial" w:eastAsia="Arial" w:hAnsi="Arial"/>
          <w:sz w:val="16"/>
          <w:szCs w:val="16"/>
          <w:color w:val="auto"/>
        </w:rPr>
      </w:pPr>
    </w:p>
    <w:p>
      <w:pPr>
        <w:jc w:val="both"/>
        <w:ind w:right="200" w:firstLine="3234"/>
        <w:spacing w:after="0" w:line="258" w:lineRule="auto"/>
        <w:tabs>
          <w:tab w:leader="none" w:pos="386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obtain opinions of counsel to the Company and updates thereof (which counsel and opinions (in form, scope and substance) shall be reasonably satisfactory to the lead managing underwriter, if any) addressed to each selling Holder and the underwriters, if any, covering the matters customarily covered in opinions requested in sales of securities or underwritten offerings and such other matters as may be reasonably requested by such Holders and underwriters;</w:t>
      </w:r>
    </w:p>
    <w:p>
      <w:pPr>
        <w:spacing w:after="0" w:line="185" w:lineRule="exact"/>
        <w:rPr>
          <w:rFonts w:ascii="Arial" w:cs="Arial" w:eastAsia="Arial" w:hAnsi="Arial"/>
          <w:sz w:val="18"/>
          <w:szCs w:val="18"/>
          <w:color w:val="auto"/>
        </w:rPr>
      </w:pPr>
    </w:p>
    <w:p>
      <w:pPr>
        <w:ind w:right="240" w:firstLine="3234"/>
        <w:spacing w:after="0" w:line="285" w:lineRule="auto"/>
        <w:tabs>
          <w:tab w:leader="none" w:pos="3868" w:val="left"/>
        </w:tabs>
        <w:numPr>
          <w:ilvl w:val="1"/>
          <w:numId w:val="306"/>
        </w:numPr>
        <w:rPr>
          <w:rFonts w:ascii="Arial" w:cs="Arial" w:eastAsia="Arial" w:hAnsi="Arial"/>
          <w:sz w:val="17"/>
          <w:szCs w:val="17"/>
          <w:color w:val="auto"/>
        </w:rPr>
      </w:pPr>
      <w:r>
        <w:rPr>
          <w:rFonts w:ascii="Arial" w:cs="Arial" w:eastAsia="Arial" w:hAnsi="Arial"/>
          <w:sz w:val="17"/>
          <w:szCs w:val="17"/>
          <w:color w:val="auto"/>
        </w:rPr>
        <w:t>obtain "cold comfort" letters and updates thereto from the Company's independent certified public accountants addressed to the selling Holders, if permissible, and the underwriters, if any, which letters shall be customary in form and shall cover matters of the type customarily covered in "cold comfort" letters to underwriters in connection with primary underwritten offerings; and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7" w:name="page368"/>
    <w:bookmarkEnd w:id="367"/>
    <w:p>
      <w:pPr>
        <w:ind w:right="40" w:firstLine="3234"/>
        <w:spacing w:after="0" w:line="339" w:lineRule="auto"/>
        <w:tabs>
          <w:tab w:leader="none" w:pos="3878" w:val="left"/>
        </w:tabs>
        <w:numPr>
          <w:ilvl w:val="0"/>
          <w:numId w:val="307"/>
        </w:numPr>
        <w:rPr>
          <w:rFonts w:ascii="Arial" w:cs="Arial" w:eastAsia="Arial" w:hAnsi="Arial"/>
          <w:sz w:val="15"/>
          <w:szCs w:val="15"/>
          <w:color w:val="auto"/>
        </w:rPr>
      </w:pPr>
      <w:r>
        <w:rPr>
          <w:rFonts w:ascii="Arial" w:cs="Arial" w:eastAsia="Arial" w:hAnsi="Arial"/>
          <w:sz w:val="15"/>
          <w:szCs w:val="15"/>
          <w:color w:val="auto"/>
        </w:rPr>
        <w:t>to the extent requested and customary for the relevant transaction, enter into a securities sales agreement with the Holders providing for, among other things, the appointment of an agent for the selling Holders for the purpose of soliciting purchases of Registrable Securities, which agreement shall be customary in form, substance and scope and shall contain customary representations, warranties and covenants.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above shall be done at such times as customarily occur in similar registered offerings or shelf takedowns.</w:t>
      </w:r>
    </w:p>
    <w:p>
      <w:pPr>
        <w:spacing w:after="0" w:line="223" w:lineRule="exact"/>
        <w:rPr>
          <w:sz w:val="20"/>
          <w:szCs w:val="20"/>
          <w:color w:val="auto"/>
        </w:rPr>
      </w:pPr>
    </w:p>
    <w:p>
      <w:pPr>
        <w:ind w:right="120" w:firstLine="1943"/>
        <w:spacing w:after="0" w:line="255" w:lineRule="auto"/>
        <w:tabs>
          <w:tab w:leader="none" w:pos="259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 connection with each registration and offering of Registrable Securities to be sold by Holders, the Company will, in accordance with customary practice, make available for inspection by representatives of the Holders and underwriters and any counsel or accountant retained by such Holder or underwriters all relevant financial and other records, pertinent corporate documents and properties of the Company and cause appropriate officers, managers and employees of the Company to supply all information reasonably requested by any such representative, underwriter, counsel or accountant in connection with their due diligence exercise.</w:t>
      </w:r>
    </w:p>
    <w:p>
      <w:pPr>
        <w:spacing w:after="0" w:line="190" w:lineRule="exact"/>
        <w:rPr>
          <w:rFonts w:ascii="Arial" w:cs="Arial" w:eastAsia="Arial" w:hAnsi="Arial"/>
          <w:sz w:val="18"/>
          <w:szCs w:val="18"/>
          <w:color w:val="auto"/>
        </w:rPr>
      </w:pPr>
    </w:p>
    <w:p>
      <w:pPr>
        <w:ind w:firstLine="1943"/>
        <w:spacing w:after="0" w:line="285" w:lineRule="auto"/>
        <w:tabs>
          <w:tab w:leader="none" w:pos="2582" w:val="left"/>
        </w:tabs>
        <w:numPr>
          <w:ilvl w:val="0"/>
          <w:numId w:val="308"/>
        </w:numPr>
        <w:rPr>
          <w:rFonts w:ascii="Arial" w:cs="Arial" w:eastAsia="Arial" w:hAnsi="Arial"/>
          <w:sz w:val="17"/>
          <w:szCs w:val="17"/>
          <w:color w:val="auto"/>
        </w:rPr>
      </w:pPr>
      <w:r>
        <w:rPr>
          <w:rFonts w:ascii="Arial" w:cs="Arial" w:eastAsia="Arial" w:hAnsi="Arial"/>
          <w:sz w:val="17"/>
          <w:szCs w:val="17"/>
          <w:color w:val="auto"/>
        </w:rPr>
        <w:t>Each Holder that holds Registrable Securities covered by any registration statement will furnish to the Company such information regarding itself as is required to be included in the registration statement, the ownership of Registrable Securities by such Holder and the proposed distribution by such Holder of such Registrable Securities as the Company may from time to time reasonably request in writing.</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68" w:name="page369"/>
    <w:bookmarkEnd w:id="368"/>
    <w:p>
      <w:pPr>
        <w:jc w:val="center"/>
        <w:ind w:right="-39"/>
        <w:spacing w:after="0"/>
        <w:rPr>
          <w:sz w:val="20"/>
          <w:szCs w:val="20"/>
          <w:color w:val="auto"/>
        </w:rPr>
      </w:pPr>
      <w:r>
        <w:rPr>
          <w:rFonts w:ascii="Arial" w:cs="Arial" w:eastAsia="Arial" w:hAnsi="Arial"/>
          <w:sz w:val="18"/>
          <w:szCs w:val="18"/>
          <w:color w:val="auto"/>
        </w:rPr>
        <w:t>ARTICLE III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INDEMNIFICATION</w:t>
      </w:r>
    </w:p>
    <w:p>
      <w:pPr>
        <w:spacing w:after="0" w:line="223" w:lineRule="exact"/>
        <w:rPr>
          <w:sz w:val="20"/>
          <w:szCs w:val="20"/>
          <w:color w:val="auto"/>
        </w:rPr>
      </w:pPr>
    </w:p>
    <w:p>
      <w:pPr>
        <w:ind w:firstLine="1290"/>
        <w:spacing w:after="0" w:line="283"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In the event of any registration of any Registrable Securities of the Company under the Securities Act pursuant to Article II, the Company hereby indemnifies and agrees to hold harmless, to the fullest extent permitted by Law, each Holder who sells Registrable Securities covered by such registration statement, each Affiliate of such Holder and their respective directors and officers or general and limited partners (and the directors, officers, employees, Affiliates and controlling Persons of any of the foregoing), each other Person who participates as an underwriter in the offering or sale of such Registrable Securities and each other Person, if any, who controls such Holder or any such underwriter within the meaning of the Securities Act (each, and "</w:t>
      </w:r>
      <w:r>
        <w:rPr>
          <w:rFonts w:ascii="Arial" w:cs="Arial" w:eastAsia="Arial" w:hAnsi="Arial"/>
          <w:sz w:val="16"/>
          <w:szCs w:val="16"/>
          <w:u w:val="single" w:color="auto"/>
          <w:color w:val="auto"/>
        </w:rPr>
        <w:t>Indemnified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xml:space="preserve">"), against any and all losses, claims, damages or liabilities, joint or several, and reasonable and documented expenses to which such Indemnified Party may become subject under the Securities Act, common law or otherwise, insofar as such losses, claims, damages or liabilities (or actions or proceedings in respect thereof, whether or not such Indemnified Party is a party thereto) arise out of or are based upon: (a) any untrue statement or alleged untrue statement of any material fact contained in any registration statement under which such Registrable Securities were registered under the Securities Act, any preliminary, final or summary prospectus contained therein, or any amendment or supplement thereto, or any document incorporated by reference therein, or any other such disclosure document (including reports and other documents filed under the Exchange Act and any document incorporated by reference therein) or related document or report; (b) any omission or alleged omission to state therein a material fact required to be stated therein or necessary to make the statements therein not misleading, in the case of a prospectus, in the light of the circumstances when they were made; or (c) any violation or alleged violation by the Company or any of its Subsidiaries of any federal, state, foreign or common law rule or regulation applicable to the Company or any of its Subsidiaries and relating to action or inaction in connection with any such registration, disclosure document or related document or report, and the Company will reimburse such Indemnified Party for any legal or other expenses reasonably incurred by it in connection with investigating or defending any such loss, claim, liability, action or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liable to any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in any such preliminary, final or summary prospectus, or any amendment or supplement thereto in reliance upon and in conformity with written information with respect to such Indemnified Party furnished to the Company by such Indemnified Party expressly for use in the preparation thereof. Such indemnity will remain in full force and effect regardless of any investigation made by or on behalf of such Holder or any Indemnified Party and will survive the Transfer of such Registrable Securities by such Holder or any termination of this Agreement.</w:t>
      </w:r>
    </w:p>
    <w:p>
      <w:pPr>
        <w:spacing w:after="0" w:line="172" w:lineRule="exact"/>
        <w:rPr>
          <w:sz w:val="20"/>
          <w:szCs w:val="20"/>
          <w:color w:val="auto"/>
        </w:rPr>
      </w:pPr>
    </w:p>
    <w:p>
      <w:pPr>
        <w:ind w:right="20" w:firstLine="1290"/>
        <w:spacing w:after="0" w:line="285"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Indemnification by the Holders and Underwriters</w:t>
      </w:r>
      <w:r>
        <w:rPr>
          <w:rFonts w:ascii="Arial" w:cs="Arial" w:eastAsia="Arial" w:hAnsi="Arial"/>
          <w:sz w:val="16"/>
          <w:szCs w:val="16"/>
          <w:color w:val="auto"/>
        </w:rPr>
        <w:t>. The Company may require, as a condition to including any Registrable Securities in any registration statement filed in accordance with Article II, that the Company shall have received an undertaking reasonably satisfactory to it from the Holder of such Registrable Securities or any prospective underwriter to indemnify and hold harmless (in the same manner and to the same extent as set forth in Section 3.1) the Company, all other Holders or any prospective underwriter, as the case may be, and any of their respective Affiliates, directors, officers and controlling Persons, with respect to any untrue statement in or omission from such registration statement, any preliminary, final or summary prospectus contained therein, or any amendment or supplement, if such untrue statement or omission was made in reliance upon and in conformity with written information with respect to such Holder or underwriter furnished to the Company by such Holder or underwriter expressly for use in the preparation of such registration statement, preliminary, final or summary prospectus or amendment or supplement, or a document incorporated by reference into any of the foregoing. Such indemnity will remain in full force and effect regardless of any investigation made by or on behalf of the Company or any of the Holders, or any of their respective Affiliates, directors, officers or controlling Persons and will survive the Transfer of such Registrable Securities by such Holder. In no event shall the liability of any selling Holder of Registrable Securities hereunder be greater in amount than the dollar amount of the proceeds actually received by such Holder upon the sale of the Registrable Securities giving rise to such indemnification obligation.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69" w:name="page370"/>
    <w:bookmarkEnd w:id="369"/>
    <w:p>
      <w:pPr>
        <w:ind w:firstLine="1290"/>
        <w:spacing w:after="0" w:line="266"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Notices of Claims, Etc.</w:t>
      </w:r>
      <w:r>
        <w:rPr>
          <w:rFonts w:ascii="Arial" w:cs="Arial" w:eastAsia="Arial" w:hAnsi="Arial"/>
          <w:sz w:val="17"/>
          <w:szCs w:val="17"/>
          <w:color w:val="auto"/>
        </w:rPr>
        <w:t xml:space="preserve">. Promptly after receipt by an Indemnified Party hereunder of written notice of the commencement of any action or proceeding with respect to which a claim for indemnification may be made pursuant to this Article III, such Indemnified Party will, if a claim in respect thereof is to be made against an indemnifying party, give written notice to the latter of the commencement of such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the Indemnified Party to give notice as provided herein will not relieve the indemnifying party of its obligations under Section 3.1 or 3.2,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will be entitled to participate in and to assume the defense thereof, jointly with any other indemnifying party similarly notified to the extent that it may wish, with counsel selected by the Holders of at least a majority of the Registrable Securities included in the relevant registration, and after notice from the indemnifying party to such Indemnified Party of its election so to assume the defense thereof, the indemnifying party will not be liable to such Indemnified Party for any legal or other expenses subsequently incurred by the latter in connection with the defense thereof other than reasonable costs of investigation. If, in such Indemnified Party's reasonable judgment, having common counsel would result in a conflict of interest between the interests of such indemnified and indemnifying parties, then such Indemnified Party may employ separate counsel reasonably acceptable to the indemnifying party to represent or defend such Indemnified Party in such action, it being understood, however, that the indemnifying party will not be liable for the reasonable fees and expenses of more than one separate firm of attorneys at any time for all such Indemnified Parties (and not more than one separate firm of local counsel at any time for all such Indemnified Parties) in such action. No indemnifying party will consent to entry of any judgment or enter into any settlement which does not include as an unconditional term thereof the giving by the claimant or plaintiff to such Indemnified Party of a release from all liability in respect of such claim or litigation.</w:t>
      </w:r>
    </w:p>
    <w:p>
      <w:pPr>
        <w:spacing w:after="0" w:line="188" w:lineRule="exact"/>
        <w:rPr>
          <w:sz w:val="20"/>
          <w:szCs w:val="20"/>
          <w:color w:val="auto"/>
        </w:rPr>
      </w:pPr>
    </w:p>
    <w:p>
      <w:pPr>
        <w:ind w:right="40" w:firstLine="1290"/>
        <w:spacing w:after="0" w:line="267"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hereunder from the indemnifying party is unavailable to an Indemnified Party hereunder in respect of any losses, claims, damages, liabilities or expenses referred to herein for reasons other than those described in the proviso in the first sentence of Section 3.1,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Parties, and the parties' relative intent, knowledge, access to information and opportunity to correct or prevent such action. The amount paid or payable by a party under this Section 3.4 as a result of the losses, claims, damages, liabilities and expenses referred to above shall be deemed to include any legal or other fees or expenses reasonably incurred by such party in connection with any investigation or proceeding. In no event shall the liability of any selling Holder of Registrable Securities hereunder be greater in amount than the dollar amount of the proceeds actually received by such Holder upon the sale of the Registrable Securities giving rise to such contribution obligation.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70" w:name="page371"/>
    <w:bookmarkEnd w:id="370"/>
    <w:p>
      <w:pPr>
        <w:ind w:right="100" w:firstLine="1290"/>
        <w:spacing w:after="0" w:line="258" w:lineRule="auto"/>
        <w:rPr>
          <w:sz w:val="20"/>
          <w:szCs w:val="20"/>
          <w:color w:val="auto"/>
        </w:rPr>
      </w:pPr>
      <w:r>
        <w:rPr>
          <w:rFonts w:ascii="Arial" w:cs="Arial" w:eastAsia="Arial" w:hAnsi="Arial"/>
          <w:sz w:val="18"/>
          <w:szCs w:val="18"/>
          <w:color w:val="auto"/>
        </w:rPr>
        <w:t xml:space="preserve">The parties hereto agree that it would not be just and equitable if contribution pursuant to this Section 3.4 were determined by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or by any other method of allocation which does not take account of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185" w:lineRule="exact"/>
        <w:rPr>
          <w:sz w:val="20"/>
          <w:szCs w:val="20"/>
          <w:color w:val="auto"/>
        </w:rPr>
      </w:pPr>
    </w:p>
    <w:p>
      <w:pPr>
        <w:ind w:right="200" w:firstLine="1290"/>
        <w:spacing w:after="0" w:line="275"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Non-Exclusivity</w:t>
      </w:r>
      <w:r>
        <w:rPr>
          <w:rFonts w:ascii="Arial" w:cs="Arial" w:eastAsia="Arial" w:hAnsi="Arial"/>
          <w:sz w:val="18"/>
          <w:szCs w:val="18"/>
          <w:color w:val="auto"/>
        </w:rPr>
        <w:t>. The obligations of the parties under this Article III will be in addition to any liability which any party may otherwise have to any other party.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IV</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OTHER</w:t>
      </w:r>
    </w:p>
    <w:p>
      <w:pPr>
        <w:spacing w:after="0" w:line="223" w:lineRule="exact"/>
        <w:rPr>
          <w:sz w:val="20"/>
          <w:szCs w:val="20"/>
          <w:color w:val="auto"/>
        </w:rPr>
      </w:pPr>
    </w:p>
    <w:p>
      <w:pPr>
        <w:ind w:right="100" w:firstLine="1290"/>
        <w:spacing w:after="0" w:line="28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instruction or other document to be given hereunder by any party hereto to another party hereto shall be in writing and shall be deemed given (a) when delivered personally, (b) five (5) Business Days after being sent by certified or registered mail, postage prepaid, return receipt requested, (c) one (1) Business Day after being sent by Federal Express or other nationally recognized overnight courier, or</w:t>
      </w:r>
    </w:p>
    <w:p>
      <w:pPr>
        <w:spacing w:after="0" w:line="2" w:lineRule="exact"/>
        <w:rPr>
          <w:sz w:val="20"/>
          <w:szCs w:val="20"/>
          <w:color w:val="auto"/>
        </w:rPr>
      </w:pPr>
    </w:p>
    <w:p>
      <w:pPr>
        <w:ind w:firstLine="8"/>
        <w:spacing w:after="0" w:line="258" w:lineRule="auto"/>
        <w:tabs>
          <w:tab w:leader="none" w:pos="25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if transmitted by facsimile, if confirmed within 24 hours thereafter by a signed original sent in the manner provided in clause (a), (b) or (c) to parties at the following addresses (or at such other address for a party as shall be specified by prior written notice from such party):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2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19 West 44th Street, Suite 1416</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10036</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tpriore@pps.io</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0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copy (which shall not constitute notice) to:</w:t>
      </w:r>
    </w:p>
    <w:p>
      <w:pPr>
        <w:spacing w:after="0" w:line="2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10022</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michael.gilligan@srz.com</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PIH or PIEH:</w:t>
      </w:r>
    </w:p>
    <w:p>
      <w:pPr>
        <w:spacing w:after="0" w:line="2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19 West 44th Street, Suite 1416</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10036</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tpriore@pps.io</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0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copy (which shall not constitute notice) to:</w:t>
      </w:r>
    </w:p>
    <w:p>
      <w:pPr>
        <w:spacing w:after="0" w:line="2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10022</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michael.gilligan@srz.com</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any Investor, as set forth on Schedule A.</w:t>
      </w: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40"/>
          </w:cols>
          <w:pgMar w:left="240" w:top="905" w:right="319" w:bottom="1440" w:gutter="0" w:footer="0" w:header="0"/>
        </w:sectPr>
      </w:pPr>
    </w:p>
    <w:bookmarkStart w:id="371" w:name="page372"/>
    <w:bookmarkEnd w:id="371"/>
    <w:p>
      <w:pPr>
        <w:ind w:right="120" w:firstLine="1290"/>
        <w:spacing w:after="0" w:line="258"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the Company nor any Holder shall assign all or any part of this Agreement without the prior written consent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Holder may assign its respective rights and obligations under this Agreement in whole or in part to any of its respective Affiliates without the consent of any other party. Except as otherwise provided herein, this Agreement will inure to the benefit of and be binding on the parties hereto and their respective successors and permitted assigns.</w:t>
      </w:r>
    </w:p>
    <w:p>
      <w:pPr>
        <w:spacing w:after="0" w:line="185" w:lineRule="exact"/>
        <w:rPr>
          <w:sz w:val="20"/>
          <w:szCs w:val="20"/>
          <w:color w:val="auto"/>
        </w:rPr>
      </w:pPr>
    </w:p>
    <w:p>
      <w:pPr>
        <w:ind w:firstLine="1290"/>
        <w:spacing w:after="0" w:line="26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Amendments; Waiver</w:t>
      </w:r>
      <w:r>
        <w:rPr>
          <w:rFonts w:ascii="Arial" w:cs="Arial" w:eastAsia="Arial" w:hAnsi="Arial"/>
          <w:sz w:val="17"/>
          <w:szCs w:val="17"/>
          <w:color w:val="auto"/>
        </w:rPr>
        <w:t xml:space="preserve">. This Agreement may be amended, supplemented or otherwise modified, or any provision waived, only by a written instrument executed by the Company and the Holders holding a majority of the Registrable Securities subject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amendment, supplement or other modification or waiver shall adversely affect the economic interests of any Holder hereunder, or increase the obligations of any Holder, disproportionately to other Holders without the written consent of such Holder. For the avoidance of doubt, no consent pursuant to this Section 4.3 shall be required in connection with any amendment or revision to Schedule A unless such amendment or revision is to remove a Holder from such schedule at a time when such Holder would otherwise be entitled to registration rights herein. No waiver by any party of any of the provisions hereof will be effective unless explicitly set forth in writing and executed by the party so waiving. Except as provided in the preceding sentence, no action taken pursuant to this Agreement, including without limitation, any investigation by or on behalf of any party, will be deemed to constitute a waiver by the party taking such action of compliance with any covenants or agreements contained herein. The waiver by any party hereto of a breach of any provision of this Agreement will not operate or be construed as a waiver of any subsequent breach.</w:t>
      </w:r>
    </w:p>
    <w:p>
      <w:pPr>
        <w:spacing w:after="0" w:line="183" w:lineRule="exact"/>
        <w:rPr>
          <w:sz w:val="20"/>
          <w:szCs w:val="20"/>
          <w:color w:val="auto"/>
        </w:rPr>
      </w:pPr>
    </w:p>
    <w:p>
      <w:pPr>
        <w:ind w:right="40" w:firstLine="1290"/>
        <w:spacing w:after="0" w:line="275"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Third Parties</w:t>
      </w:r>
      <w:r>
        <w:rPr>
          <w:rFonts w:ascii="Arial" w:cs="Arial" w:eastAsia="Arial" w:hAnsi="Arial"/>
          <w:sz w:val="18"/>
          <w:szCs w:val="18"/>
          <w:color w:val="auto"/>
        </w:rPr>
        <w:t>. This Agreement does not create any rights, claims or benefits inuring to any person that is not a party hereto nor create or establish any third party beneficiary hereto.</w:t>
      </w:r>
    </w:p>
    <w:p>
      <w:pPr>
        <w:spacing w:after="0" w:line="171" w:lineRule="exact"/>
        <w:rPr>
          <w:sz w:val="20"/>
          <w:szCs w:val="20"/>
          <w:color w:val="auto"/>
        </w:rPr>
      </w:pPr>
    </w:p>
    <w:p>
      <w:pPr>
        <w:ind w:firstLine="1290"/>
        <w:spacing w:after="0" w:line="253"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Rule 144</w:t>
      </w:r>
      <w:r>
        <w:rPr>
          <w:rFonts w:ascii="Arial" w:cs="Arial" w:eastAsia="Arial" w:hAnsi="Arial"/>
          <w:sz w:val="18"/>
          <w:szCs w:val="18"/>
          <w:color w:val="auto"/>
        </w:rPr>
        <w:t>. For so long as the Company is subject to the requirements of Section 13, 14 or 15(d) of the Exchange Act, the Company covenants that it will file any reports required to be filed by it under the Securities Act and the Exchange Act (or, if the Company is subject to the requirements of Section 13, 14 or 15(d) of the Exchange Act but is not required to file such reports, it will, upon the request of any Holder, make publicly available such information), and it will take such further action as any Holder may reasonably request so as to enable such Holder to sell Registrable Securities without registration under the Securities Act within the limitation of the exemptions provided by (a) Rule 144 under the Securities Act, as such Rule may be amended from time to time, or (b) any similar rule or regulation hereafter adopted by the SEC, in each case, only to the extent such sales would be permitted under all applicable lock-ups. Upon the request of any Holder, the Company will deliver to such Holder a written statement as to whether it has complied with such requirements.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72" w:name="page373"/>
    <w:bookmarkEnd w:id="372"/>
    <w:p>
      <w:pPr>
        <w:ind w:right="40" w:firstLine="1290"/>
        <w:spacing w:after="0" w:line="278"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In-Kind Distributions</w:t>
      </w:r>
      <w:r>
        <w:rPr>
          <w:rFonts w:ascii="Arial" w:cs="Arial" w:eastAsia="Arial" w:hAnsi="Arial"/>
          <w:sz w:val="17"/>
          <w:szCs w:val="17"/>
          <w:color w:val="auto"/>
        </w:rPr>
        <w:t>. If any Holder seeks to effectuate an in-kind distribution of all or part of its Registrable Securities to its direct or indirect equityholders, the Company will, only to the extent such in-kind distribution would be permitted under all applicable lock-ups, cooperate with such Holder and the Company's transfer agent to facilitate such in-kind distribution in the manner reasonably requested by such Holder, as well as any resales by such transferees under a shelf registration statement covering such distributed Registrable Securities.</w:t>
      </w:r>
    </w:p>
    <w:p>
      <w:pPr>
        <w:spacing w:after="0" w:line="170" w:lineRule="exact"/>
        <w:rPr>
          <w:sz w:val="20"/>
          <w:szCs w:val="20"/>
          <w:color w:val="auto"/>
        </w:rPr>
      </w:pPr>
    </w:p>
    <w:p>
      <w:pPr>
        <w:ind w:right="120" w:firstLine="1290"/>
        <w:spacing w:after="0" w:line="262"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New York applicable to contracts formed and to be performed entirely within the State of New York, without regard to the conflicts of law principles thereof, to the extent such principles would require or permit the applicable of the laws of another jurisdiction.</w:t>
      </w:r>
    </w:p>
    <w:p>
      <w:pPr>
        <w:spacing w:after="0" w:line="182" w:lineRule="exact"/>
        <w:rPr>
          <w:sz w:val="20"/>
          <w:szCs w:val="20"/>
          <w:color w:val="auto"/>
        </w:rPr>
      </w:pPr>
    </w:p>
    <w:p>
      <w:pPr>
        <w:ind w:firstLine="1290"/>
        <w:spacing w:after="0" w:line="267"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EACH OF THE PARTIES HERETO CONSENTS TO THE EXCLUSIVE JURISDICTION OF ANY STATE OR FEDERAL COURT LOCATED WITHIN THE STATE OF NEW YORK AND IRREVOCABLY AGREES THAT ALL ACTIONS OR PROCEEDINGS RELATING TO THIS AGREEMENT SHALL BE LITIGATED IN SUCH COURTS. EACH OF THE PARTIES HERETO ACCEPTS FOR ITSELF AND IN CONNECTION WITH ITS RESPECTIVE PROPERTIES, GENERALLY AND UNCONDITIONALLY, THE EXCLUSIVE JURISDICTION OF THE AFORESAID COURTS AND WAIVES ANY DEFENSE OF FORUM NON CONVENIENS, AND IRREVOCABLY AGREES TO BE BOUND BY ANY FINAL AND NONAPPEALABLE JUDGMENT RENDERED THEREBY IN CONNECTION WITH THIS AGREEMENT. EACH OF THE PARTIES HERETO FURTHER IRREVOCABLY CONSENTS TO THE SERVICE OF PROCESS OUT OF ANY OF THE AFOREMENTIONED COURTS IN ANY SUCH ACTION OR PROCEEDING BY THE MAILING OF COPIES THEREOF VIA OVERNIGHT COURIER, TO SUCH PARTY AT THE ADDRESS SPECIFIED IN THIS AGREEMENT, SUCH SERVICE TO BECOME EFFECTIVE FOURTEEN CALENDAR DAYS AFTER SUCH MAILING. NOTHING HEREIN SHALL IN ANY WAY BE DEEMED TO LIMIT THE ABILITY OF EITHER PARTY HERETO TO SERVE ANY SUCH LEGAL PROCESS, SUMMONS, NOTICES AND DOCUMENTS IN ANY OTHER MANNER PERMITTED BY APPLICABLE LAW OR TO OBTAIN JURISDICTION OVER OR TO BRING ACTIONS, SUITS OR PROCEEDINGS AGAINST THE OTHER PARTY HERETO IN SUCH OTHER JURISDICTIONS, AND IN SUCH MANNER, AS MAY BE PERMITTED BY ANY APPLICABLE LAW.</w:t>
      </w:r>
    </w:p>
    <w:p>
      <w:pPr>
        <w:spacing w:after="0" w:line="184" w:lineRule="exact"/>
        <w:rPr>
          <w:sz w:val="20"/>
          <w:szCs w:val="20"/>
          <w:color w:val="auto"/>
        </w:rPr>
      </w:pPr>
    </w:p>
    <w:p>
      <w:pPr>
        <w:ind w:right="140" w:firstLine="1290"/>
        <w:spacing w:after="0" w:line="275"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MUTUAL WAIVER OF JURY TRIAL</w:t>
      </w:r>
      <w:r>
        <w:rPr>
          <w:rFonts w:ascii="Arial" w:cs="Arial" w:eastAsia="Arial" w:hAnsi="Arial"/>
          <w:sz w:val="18"/>
          <w:szCs w:val="18"/>
          <w:color w:val="auto"/>
        </w:rPr>
        <w:t>. THE PARTIES HERETO WAIVE ALL RIGHT TO TRIAL BY JURY IN ANY ACTION, SUIT OR PROCEEDING BROUGHT TO ENFORCE OR DEFEND ANY RIGHTS OR REMEDIES UNDER THIS AGREEMENT.</w:t>
      </w:r>
    </w:p>
    <w:p>
      <w:pPr>
        <w:spacing w:after="0" w:line="171" w:lineRule="exact"/>
        <w:rPr>
          <w:sz w:val="20"/>
          <w:szCs w:val="20"/>
          <w:color w:val="auto"/>
        </w:rPr>
      </w:pPr>
    </w:p>
    <w:p>
      <w:pPr>
        <w:ind w:right="20" w:firstLine="1290"/>
        <w:spacing w:after="0" w:line="278"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hereto acknowledges and agrees that in the event of any breach of this Agreement by any of them, the non-breaching party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compel specific performance of this Agreement.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73" w:name="page374"/>
    <w:bookmarkEnd w:id="373"/>
    <w:p>
      <w:pPr>
        <w:ind w:right="220" w:firstLine="1290"/>
        <w:spacing w:after="0" w:line="310"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understanding of the parties hereto with respect to the subject matter hereof. There are no agreements, representations, warranties, covenants or undertakings with respect to the subject matter hereof other than those expressly set forth herein. This Agreement supersedes all other prior agreements and understandings between the parties with respect to such subject matter.</w:t>
      </w:r>
    </w:p>
    <w:p>
      <w:pPr>
        <w:spacing w:after="0" w:line="147" w:lineRule="exact"/>
        <w:rPr>
          <w:sz w:val="20"/>
          <w:szCs w:val="20"/>
          <w:color w:val="auto"/>
        </w:rPr>
      </w:pPr>
    </w:p>
    <w:p>
      <w:pPr>
        <w:ind w:firstLine="1290"/>
        <w:spacing w:after="0" w:line="255"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of the provisions, paragraphs, words, clauses, phrases or sentences contained herein, or the application thereof in any circumstances, is held invalid, illegal or unenforceable in any respect for any reason, the validity, legality and enforceability of any such provision, paragraph, word, clause, phrase or sentence in every other respect and of the remaining provisions, paragraphs, words, clauses, phrases or sentences hereof shall not be in any way impaired, it being intended that all rights, powers and privileges of the parties hereto shall be enforceable to the fullest extent permitted by Law.</w:t>
      </w:r>
    </w:p>
    <w:p>
      <w:pPr>
        <w:spacing w:after="0" w:line="191" w:lineRule="exact"/>
        <w:rPr>
          <w:sz w:val="20"/>
          <w:szCs w:val="20"/>
          <w:color w:val="auto"/>
        </w:rPr>
      </w:pPr>
    </w:p>
    <w:p>
      <w:pPr>
        <w:ind w:right="360" w:firstLine="1290"/>
        <w:spacing w:after="0" w:line="27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will be deemed to be an original and all of which together will be deemed to be one and the same instrument.</w:t>
      </w:r>
    </w:p>
    <w:p>
      <w:pPr>
        <w:spacing w:after="0" w:line="171" w:lineRule="exact"/>
        <w:rPr>
          <w:sz w:val="20"/>
          <w:szCs w:val="20"/>
          <w:color w:val="auto"/>
        </w:rPr>
      </w:pPr>
    </w:p>
    <w:p>
      <w:pPr>
        <w:ind w:right="620" w:firstLine="1290"/>
        <w:spacing w:after="0" w:line="275"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become effective, as to any Holder, as of the date signed by the Company and countersigned by such Holder.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74" w:name="page375"/>
    <w:bookmarkEnd w:id="374"/>
    <w:p>
      <w:pPr>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COMPANY:</w:t>
      </w:r>
    </w:p>
    <w:p>
      <w:pPr>
        <w:spacing w:after="0" w:line="2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 I ACQUISITIONS, INC.</w:t>
      </w:r>
    </w:p>
    <w:p>
      <w:pPr>
        <w:spacing w:after="0" w:line="2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13970</wp:posOffset>
            </wp:positionV>
            <wp:extent cx="3183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2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441325</wp:posOffset>
            </wp:positionV>
            <wp:extent cx="7247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339"/>
          </w:cols>
          <w:pgMar w:left="1120" w:top="905" w:right="1440" w:bottom="1440" w:gutter="0" w:footer="0" w:header="0"/>
        </w:sectPr>
      </w:pPr>
    </w:p>
    <w:bookmarkStart w:id="375" w:name="page376"/>
    <w:bookmarkEnd w:id="375"/>
    <w:p>
      <w:pPr>
        <w:ind w:left="4520"/>
        <w:spacing w:after="0"/>
        <w:rPr>
          <w:sz w:val="20"/>
          <w:szCs w:val="20"/>
          <w:color w:val="auto"/>
        </w:rPr>
      </w:pPr>
      <w:r>
        <w:rPr>
          <w:rFonts w:ascii="Arial" w:cs="Arial" w:eastAsia="Arial" w:hAnsi="Arial"/>
          <w:sz w:val="18"/>
          <w:szCs w:val="18"/>
          <w:b w:val="1"/>
          <w:bCs w:val="1"/>
          <w:color w:val="auto"/>
        </w:rPr>
        <w:t>HOLDERS:</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PRIORITY INVESTMENT HOLDINGS, LLC</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13970</wp:posOffset>
            </wp:positionV>
            <wp:extent cx="3183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PRIORITY INCENTIVE EQUITY HOLDINGS, LLC</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13970</wp:posOffset>
            </wp:positionV>
            <wp:extent cx="3183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455930</wp:posOffset>
            </wp:positionV>
            <wp:extent cx="7247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u w:val="single" w:color="auto"/>
          <w:color w:val="auto"/>
        </w:rPr>
        <w:t>Exhibit 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Earnout Incentive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[Attached as Annex H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455930</wp:posOffset>
            </wp:positionV>
            <wp:extent cx="7247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77" w:name="page378"/>
    <w:bookmarkEnd w:id="377"/>
    <w:p>
      <w:pPr>
        <w:jc w:val="right"/>
        <w:spacing w:after="0"/>
        <w:rPr>
          <w:sz w:val="20"/>
          <w:szCs w:val="20"/>
          <w:color w:val="auto"/>
        </w:rPr>
      </w:pPr>
      <w:r>
        <w:rPr>
          <w:rFonts w:ascii="Arial" w:cs="Arial" w:eastAsia="Arial" w:hAnsi="Arial"/>
          <w:sz w:val="22"/>
          <w:szCs w:val="22"/>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198120</wp:posOffset>
            </wp:positionV>
            <wp:extent cx="724725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PURCHASE AGREEMENT</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February 26, 2018</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PRIORITY HOLDINGS, LLC,</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 SPAC LLC,</w:t>
      </w:r>
    </w:p>
    <w:p>
      <w:pPr>
        <w:spacing w:after="0" w:line="2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M SPAC HOLDINGS I LLC,</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 SPAC HOLDINGS II LLC,</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(solely for purposes of Section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190500</wp:posOffset>
            </wp:positionV>
            <wp:extent cx="724725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685165</wp:posOffset>
            </wp:positionV>
            <wp:extent cx="7247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892" w:right="239"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6680" w:type="dxa"/>
            <w:vAlign w:val="bottom"/>
          </w:tcPr>
          <w:p>
            <w:pPr>
              <w:ind w:left="258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1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580" w:type="dxa"/>
            <w:vAlign w:val="bottom"/>
            <w:gridSpan w:val="2"/>
          </w:tcPr>
          <w:p>
            <w:pPr>
              <w:ind w:left="2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668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tcPr>
          <w:p>
            <w:pPr>
              <w:spacing w:after="0"/>
              <w:rPr>
                <w:sz w:val="20"/>
                <w:szCs w:val="20"/>
                <w:color w:val="auto"/>
              </w:rPr>
            </w:pPr>
            <w:r>
              <w:rPr>
                <w:rFonts w:ascii="Arial" w:cs="Arial" w:eastAsia="Arial" w:hAnsi="Arial"/>
                <w:sz w:val="18"/>
                <w:szCs w:val="18"/>
                <w:color w:val="auto"/>
              </w:rPr>
              <w:t>ARTICLE II PURCHASE AND SALE</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2.01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and Sale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2.02</w:t>
            </w:r>
          </w:p>
        </w:tc>
        <w:tc>
          <w:tcPr>
            <w:tcW w:w="6680" w:type="dxa"/>
            <w:vAlign w:val="bottom"/>
          </w:tcPr>
          <w:p>
            <w:pPr>
              <w:ind w:left="120"/>
              <w:spacing w:after="0"/>
              <w:rPr>
                <w:sz w:val="20"/>
                <w:szCs w:val="20"/>
                <w:color w:val="auto"/>
              </w:rPr>
            </w:pPr>
            <w:r>
              <w:rPr>
                <w:rFonts w:ascii="Arial" w:cs="Arial" w:eastAsia="Arial" w:hAnsi="Arial"/>
                <w:sz w:val="18"/>
                <w:szCs w:val="18"/>
                <w:color w:val="auto"/>
              </w:rPr>
              <w:t>Purchase Price</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2.03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Effective Time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2.04</w:t>
            </w:r>
          </w:p>
        </w:tc>
        <w:tc>
          <w:tcPr>
            <w:tcW w:w="6680" w:type="dxa"/>
            <w:vAlign w:val="bottom"/>
          </w:tcPr>
          <w:p>
            <w:pPr>
              <w:ind w:left="120"/>
              <w:spacing w:after="0"/>
              <w:rPr>
                <w:sz w:val="20"/>
                <w:szCs w:val="20"/>
                <w:color w:val="auto"/>
              </w:rPr>
            </w:pPr>
            <w:r>
              <w:rPr>
                <w:rFonts w:ascii="Arial" w:cs="Arial" w:eastAsia="Arial" w:hAnsi="Arial"/>
                <w:sz w:val="18"/>
                <w:szCs w:val="18"/>
                <w:color w:val="auto"/>
              </w:rPr>
              <w:t>Pre-Closing Deliveries</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2.05</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Closing Payments and Deliveries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2.06</w:t>
            </w:r>
          </w:p>
        </w:tc>
        <w:tc>
          <w:tcPr>
            <w:tcW w:w="6680" w:type="dxa"/>
            <w:vAlign w:val="bottom"/>
          </w:tcPr>
          <w:p>
            <w:pPr>
              <w:ind w:left="120"/>
              <w:spacing w:after="0"/>
              <w:rPr>
                <w:sz w:val="20"/>
                <w:szCs w:val="20"/>
                <w:color w:val="auto"/>
              </w:rPr>
            </w:pPr>
            <w:r>
              <w:rPr>
                <w:rFonts w:ascii="Arial" w:cs="Arial" w:eastAsia="Arial" w:hAnsi="Arial"/>
                <w:sz w:val="18"/>
                <w:szCs w:val="18"/>
                <w:color w:val="auto"/>
              </w:rPr>
              <w:t>Forfeiture and Earnout</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REPRESENTATIONS AND WARRANTIES OF FOUNDERS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3.01</w:t>
            </w:r>
          </w:p>
        </w:tc>
        <w:tc>
          <w:tcPr>
            <w:tcW w:w="6680" w:type="dxa"/>
            <w:vAlign w:val="bottom"/>
          </w:tcPr>
          <w:p>
            <w:pPr>
              <w:ind w:left="120"/>
              <w:spacing w:after="0"/>
              <w:rPr>
                <w:sz w:val="20"/>
                <w:szCs w:val="20"/>
                <w:color w:val="auto"/>
              </w:rPr>
            </w:pPr>
            <w:r>
              <w:rPr>
                <w:rFonts w:ascii="Arial" w:cs="Arial" w:eastAsia="Arial" w:hAnsi="Arial"/>
                <w:sz w:val="18"/>
                <w:szCs w:val="18"/>
                <w:color w:val="auto"/>
              </w:rPr>
              <w:t>Organization and Good Standing</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3.02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Authorization; Validity of Agreements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3.03</w:t>
            </w:r>
          </w:p>
        </w:tc>
        <w:tc>
          <w:tcPr>
            <w:tcW w:w="6680" w:type="dxa"/>
            <w:vAlign w:val="bottom"/>
          </w:tcPr>
          <w:p>
            <w:pPr>
              <w:ind w:left="120"/>
              <w:spacing w:after="0"/>
              <w:rPr>
                <w:sz w:val="20"/>
                <w:szCs w:val="20"/>
                <w:color w:val="auto"/>
              </w:rPr>
            </w:pPr>
            <w:r>
              <w:rPr>
                <w:rFonts w:ascii="Arial" w:cs="Arial" w:eastAsia="Arial" w:hAnsi="Arial"/>
                <w:sz w:val="18"/>
                <w:szCs w:val="18"/>
                <w:color w:val="auto"/>
              </w:rPr>
              <w:t>Consents and Approvals; No Violations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3.04</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Ownership</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3.05</w:t>
            </w:r>
          </w:p>
        </w:tc>
        <w:tc>
          <w:tcPr>
            <w:tcW w:w="6680" w:type="dxa"/>
            <w:vAlign w:val="bottom"/>
          </w:tcPr>
          <w:p>
            <w:pPr>
              <w:ind w:left="120"/>
              <w:spacing w:after="0"/>
              <w:rPr>
                <w:sz w:val="20"/>
                <w:szCs w:val="20"/>
                <w:color w:val="auto"/>
              </w:rPr>
            </w:pPr>
            <w:r>
              <w:rPr>
                <w:rFonts w:ascii="Arial" w:cs="Arial" w:eastAsia="Arial" w:hAnsi="Arial"/>
                <w:sz w:val="18"/>
                <w:szCs w:val="18"/>
                <w:color w:val="auto"/>
              </w:rPr>
              <w:t>Proceedings; Orders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3.06</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Brokers or Finders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PRIORITY</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4.01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Organization and Good Standing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4.02</w:t>
            </w:r>
          </w:p>
        </w:tc>
        <w:tc>
          <w:tcPr>
            <w:tcW w:w="6680" w:type="dxa"/>
            <w:vAlign w:val="bottom"/>
          </w:tcPr>
          <w:p>
            <w:pPr>
              <w:ind w:left="120"/>
              <w:spacing w:after="0"/>
              <w:rPr>
                <w:sz w:val="20"/>
                <w:szCs w:val="20"/>
                <w:color w:val="auto"/>
              </w:rPr>
            </w:pPr>
            <w:r>
              <w:rPr>
                <w:rFonts w:ascii="Arial" w:cs="Arial" w:eastAsia="Arial" w:hAnsi="Arial"/>
                <w:sz w:val="18"/>
                <w:szCs w:val="18"/>
                <w:color w:val="auto"/>
              </w:rPr>
              <w:t>Authorization; Validity of Agreement</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4.03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Consents and Approvals; No Violations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4.04</w:t>
            </w:r>
          </w:p>
        </w:tc>
        <w:tc>
          <w:tcPr>
            <w:tcW w:w="6680" w:type="dxa"/>
            <w:vAlign w:val="bottom"/>
          </w:tcPr>
          <w:p>
            <w:pPr>
              <w:ind w:left="120"/>
              <w:spacing w:after="0"/>
              <w:rPr>
                <w:sz w:val="20"/>
                <w:szCs w:val="20"/>
                <w:color w:val="auto"/>
              </w:rPr>
            </w:pPr>
            <w:r>
              <w:rPr>
                <w:rFonts w:ascii="Arial" w:cs="Arial" w:eastAsia="Arial" w:hAnsi="Arial"/>
                <w:sz w:val="18"/>
                <w:szCs w:val="18"/>
                <w:color w:val="auto"/>
              </w:rPr>
              <w:t>Proceedings; Orders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4.05</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for Investment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4.06</w:t>
            </w:r>
          </w:p>
        </w:tc>
        <w:tc>
          <w:tcPr>
            <w:tcW w:w="6680" w:type="dxa"/>
            <w:vAlign w:val="bottom"/>
          </w:tcPr>
          <w:p>
            <w:pPr>
              <w:ind w:left="120"/>
              <w:spacing w:after="0"/>
              <w:rPr>
                <w:sz w:val="20"/>
                <w:szCs w:val="20"/>
                <w:color w:val="auto"/>
              </w:rPr>
            </w:pPr>
            <w:r>
              <w:rPr>
                <w:rFonts w:ascii="Arial" w:cs="Arial" w:eastAsia="Arial" w:hAnsi="Arial"/>
                <w:sz w:val="18"/>
                <w:szCs w:val="18"/>
                <w:color w:val="auto"/>
              </w:rPr>
              <w:t>Brokers or Finders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ARTICLE V COVENANTS</w:t>
            </w:r>
          </w:p>
        </w:tc>
        <w:tc>
          <w:tcPr>
            <w:tcW w:w="668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5.01</w:t>
            </w:r>
          </w:p>
        </w:tc>
        <w:tc>
          <w:tcPr>
            <w:tcW w:w="6680" w:type="dxa"/>
            <w:vAlign w:val="bottom"/>
          </w:tcPr>
          <w:p>
            <w:pPr>
              <w:ind w:left="120"/>
              <w:spacing w:after="0"/>
              <w:rPr>
                <w:sz w:val="20"/>
                <w:szCs w:val="20"/>
                <w:color w:val="auto"/>
              </w:rPr>
            </w:pPr>
            <w:r>
              <w:rPr>
                <w:rFonts w:ascii="Arial" w:cs="Arial" w:eastAsia="Arial" w:hAnsi="Arial"/>
                <w:sz w:val="18"/>
                <w:szCs w:val="18"/>
                <w:color w:val="auto"/>
              </w:rPr>
              <w:t>Conduct of Buyer’s Business Pending the Closing</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5.02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Reasonable Best Efforts; Further Assurances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5.03</w:t>
            </w:r>
          </w:p>
        </w:tc>
        <w:tc>
          <w:tcPr>
            <w:tcW w:w="668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CONDITIONS TO CLOSING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6.01</w:t>
            </w:r>
          </w:p>
        </w:tc>
        <w:tc>
          <w:tcPr>
            <w:tcW w:w="6680" w:type="dxa"/>
            <w:vAlign w:val="bottom"/>
          </w:tcPr>
          <w:p>
            <w:pPr>
              <w:ind w:left="120"/>
              <w:spacing w:after="0"/>
              <w:rPr>
                <w:sz w:val="20"/>
                <w:szCs w:val="20"/>
                <w:color w:val="auto"/>
              </w:rPr>
            </w:pPr>
            <w:r>
              <w:rPr>
                <w:rFonts w:ascii="Arial" w:cs="Arial" w:eastAsia="Arial" w:hAnsi="Arial"/>
                <w:sz w:val="18"/>
                <w:szCs w:val="18"/>
                <w:color w:val="auto"/>
              </w:rPr>
              <w:t>Conditions to the Obligation of Priority</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TERMINATION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7.01</w:t>
            </w:r>
          </w:p>
        </w:tc>
        <w:tc>
          <w:tcPr>
            <w:tcW w:w="6680" w:type="dxa"/>
            <w:vAlign w:val="bottom"/>
          </w:tcPr>
          <w:p>
            <w:pPr>
              <w:ind w:left="120"/>
              <w:spacing w:after="0"/>
              <w:rPr>
                <w:sz w:val="20"/>
                <w:szCs w:val="20"/>
                <w:color w:val="auto"/>
              </w:rPr>
            </w:pPr>
            <w:r>
              <w:rPr>
                <w:rFonts w:ascii="Arial" w:cs="Arial" w:eastAsia="Arial" w:hAnsi="Arial"/>
                <w:sz w:val="18"/>
                <w:szCs w:val="18"/>
                <w:color w:val="auto"/>
              </w:rPr>
              <w:t>Grounds for Termination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7.02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Termination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8.01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8.02</w:t>
            </w:r>
          </w:p>
        </w:tc>
        <w:tc>
          <w:tcPr>
            <w:tcW w:w="6680" w:type="dxa"/>
            <w:vAlign w:val="bottom"/>
          </w:tcPr>
          <w:p>
            <w:pPr>
              <w:ind w:left="120"/>
              <w:spacing w:after="0"/>
              <w:rPr>
                <w:sz w:val="20"/>
                <w:szCs w:val="20"/>
                <w:color w:val="auto"/>
              </w:rPr>
            </w:pPr>
            <w:r>
              <w:rPr>
                <w:rFonts w:ascii="Arial" w:cs="Arial" w:eastAsia="Arial" w:hAnsi="Arial"/>
                <w:sz w:val="18"/>
                <w:szCs w:val="18"/>
                <w:color w:val="auto"/>
              </w:rPr>
              <w:t>Amendments and Modifications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8.03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Waiver</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8.04</w:t>
            </w:r>
          </w:p>
        </w:tc>
        <w:tc>
          <w:tcPr>
            <w:tcW w:w="668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8.05</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Assignment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8.06</w:t>
            </w:r>
          </w:p>
        </w:tc>
        <w:tc>
          <w:tcPr>
            <w:tcW w:w="6680" w:type="dxa"/>
            <w:vAlign w:val="bottom"/>
          </w:tcPr>
          <w:p>
            <w:pPr>
              <w:ind w:left="120"/>
              <w:spacing w:after="0"/>
              <w:rPr>
                <w:sz w:val="20"/>
                <w:szCs w:val="20"/>
                <w:color w:val="auto"/>
              </w:rPr>
            </w:pPr>
            <w:r>
              <w:rPr>
                <w:rFonts w:ascii="Arial" w:cs="Arial" w:eastAsia="Arial" w:hAnsi="Arial"/>
                <w:sz w:val="18"/>
                <w:szCs w:val="18"/>
                <w:color w:val="auto"/>
              </w:rPr>
              <w:t>Parties in Interest</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8.07</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Governing Law</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500"/>
              <w:spacing w:after="0"/>
              <w:rPr>
                <w:sz w:val="20"/>
                <w:szCs w:val="20"/>
                <w:color w:val="auto"/>
              </w:rPr>
            </w:pPr>
            <w:r>
              <w:rPr>
                <w:rFonts w:ascii="Arial" w:cs="Arial" w:eastAsia="Arial" w:hAnsi="Arial"/>
                <w:sz w:val="18"/>
                <w:szCs w:val="18"/>
                <w:color w:val="auto"/>
              </w:rPr>
              <w:t>Section 8.08</w:t>
            </w:r>
          </w:p>
        </w:tc>
        <w:tc>
          <w:tcPr>
            <w:tcW w:w="6680" w:type="dxa"/>
            <w:vAlign w:val="bottom"/>
          </w:tcPr>
          <w:p>
            <w:pPr>
              <w:ind w:left="120"/>
              <w:spacing w:after="0"/>
              <w:rPr>
                <w:sz w:val="20"/>
                <w:szCs w:val="20"/>
                <w:color w:val="auto"/>
              </w:rPr>
            </w:pPr>
            <w:r>
              <w:rPr>
                <w:rFonts w:ascii="Arial" w:cs="Arial" w:eastAsia="Arial" w:hAnsi="Arial"/>
                <w:sz w:val="18"/>
                <w:szCs w:val="18"/>
                <w:color w:val="auto"/>
              </w:rPr>
              <w:t>Jurisdiction</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8.09</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Waiver of Jury Trial</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5"/>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8.10</w:t>
            </w:r>
          </w:p>
        </w:tc>
        <w:tc>
          <w:tcPr>
            <w:tcW w:w="7360" w:type="dxa"/>
            <w:vAlign w:val="bottom"/>
          </w:tcPr>
          <w:p>
            <w:pPr>
              <w:ind w:left="740"/>
              <w:spacing w:after="0"/>
              <w:rPr>
                <w:sz w:val="20"/>
                <w:szCs w:val="20"/>
                <w:color w:val="auto"/>
              </w:rPr>
            </w:pPr>
            <w:r>
              <w:rPr>
                <w:rFonts w:ascii="Arial" w:cs="Arial" w:eastAsia="Arial" w:hAnsi="Arial"/>
                <w:sz w:val="18"/>
                <w:szCs w:val="18"/>
                <w:color w:val="auto"/>
              </w:rPr>
              <w:t>Relationship of the Parties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8.11</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Counterparts; Effectiveness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8.12</w:t>
            </w:r>
          </w:p>
        </w:tc>
        <w:tc>
          <w:tcPr>
            <w:tcW w:w="7360" w:type="dxa"/>
            <w:vAlign w:val="bottom"/>
          </w:tcPr>
          <w:p>
            <w:pPr>
              <w:ind w:left="740"/>
              <w:spacing w:after="0"/>
              <w:rPr>
                <w:sz w:val="20"/>
                <w:szCs w:val="20"/>
                <w:color w:val="auto"/>
              </w:rPr>
            </w:pPr>
            <w:r>
              <w:rPr>
                <w:rFonts w:ascii="Arial" w:cs="Arial" w:eastAsia="Arial" w:hAnsi="Arial"/>
                <w:sz w:val="18"/>
                <w:szCs w:val="18"/>
                <w:color w:val="auto"/>
              </w:rPr>
              <w:t>Third-Party Beneficiaries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8.13</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Entire Agreement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8.14</w:t>
            </w:r>
          </w:p>
        </w:tc>
        <w:tc>
          <w:tcPr>
            <w:tcW w:w="7360" w:type="dxa"/>
            <w:vAlign w:val="bottom"/>
          </w:tcPr>
          <w:p>
            <w:pPr>
              <w:ind w:left="740"/>
              <w:spacing w:after="0"/>
              <w:rPr>
                <w:sz w:val="20"/>
                <w:szCs w:val="20"/>
                <w:color w:val="auto"/>
              </w:rPr>
            </w:pPr>
            <w:r>
              <w:rPr>
                <w:rFonts w:ascii="Arial" w:cs="Arial" w:eastAsia="Arial" w:hAnsi="Arial"/>
                <w:sz w:val="18"/>
                <w:szCs w:val="18"/>
                <w:color w:val="auto"/>
              </w:rPr>
              <w:t>Severability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8.15</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Non-Survival of Representations, Warranties and Covenants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5"/>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8.16</w:t>
            </w:r>
          </w:p>
        </w:tc>
        <w:tc>
          <w:tcPr>
            <w:tcW w:w="7360" w:type="dxa"/>
            <w:vAlign w:val="bottom"/>
          </w:tcPr>
          <w:p>
            <w:pPr>
              <w:ind w:left="740"/>
              <w:spacing w:after="0"/>
              <w:rPr>
                <w:sz w:val="20"/>
                <w:szCs w:val="20"/>
                <w:color w:val="auto"/>
              </w:rPr>
            </w:pPr>
            <w:r>
              <w:rPr>
                <w:rFonts w:ascii="Arial" w:cs="Arial" w:eastAsia="Arial" w:hAnsi="Arial"/>
                <w:sz w:val="18"/>
                <w:szCs w:val="18"/>
                <w:color w:val="auto"/>
              </w:rPr>
              <w:t>Remedies</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8.17</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Representation by Counsel</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5"/>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8.18</w:t>
            </w:r>
          </w:p>
        </w:tc>
        <w:tc>
          <w:tcPr>
            <w:tcW w:w="7360" w:type="dxa"/>
            <w:vAlign w:val="bottom"/>
          </w:tcPr>
          <w:p>
            <w:pPr>
              <w:ind w:left="740"/>
              <w:spacing w:after="0"/>
              <w:rPr>
                <w:sz w:val="20"/>
                <w:szCs w:val="20"/>
                <w:color w:val="auto"/>
              </w:rPr>
            </w:pPr>
            <w:r>
              <w:rPr>
                <w:rFonts w:ascii="Arial" w:cs="Arial" w:eastAsia="Arial" w:hAnsi="Arial"/>
                <w:sz w:val="18"/>
                <w:szCs w:val="18"/>
                <w:color w:val="auto"/>
              </w:rPr>
              <w:t>Rules of Construction</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8.19</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Headings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5"/>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8.20</w:t>
            </w:r>
          </w:p>
        </w:tc>
        <w:tc>
          <w:tcPr>
            <w:tcW w:w="7360" w:type="dxa"/>
            <w:vAlign w:val="bottom"/>
          </w:tcPr>
          <w:p>
            <w:pPr>
              <w:ind w:left="740"/>
              <w:spacing w:after="0"/>
              <w:rPr>
                <w:sz w:val="20"/>
                <w:szCs w:val="20"/>
                <w:color w:val="auto"/>
              </w:rPr>
            </w:pPr>
            <w:r>
              <w:rPr>
                <w:rFonts w:ascii="Arial" w:cs="Arial" w:eastAsia="Arial" w:hAnsi="Arial"/>
                <w:sz w:val="18"/>
                <w:szCs w:val="18"/>
                <w:color w:val="auto"/>
              </w:rPr>
              <w:t>Inconsistencies with Other Agreements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8.21</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Interpretation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39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Annexes</w:t>
            </w:r>
          </w:p>
        </w:tc>
        <w:tc>
          <w:tcPr>
            <w:tcW w:w="9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36"/>
        </w:trPr>
        <w:tc>
          <w:tcPr>
            <w:tcW w:w="1560" w:type="dxa"/>
            <w:vAlign w:val="bottom"/>
            <w:gridSpan w:val="2"/>
          </w:tcPr>
          <w:p>
            <w:pPr>
              <w:spacing w:after="0"/>
              <w:rPr>
                <w:sz w:val="20"/>
                <w:szCs w:val="20"/>
                <w:color w:val="auto"/>
              </w:rPr>
            </w:pPr>
            <w:r>
              <w:rPr>
                <w:rFonts w:ascii="Arial" w:cs="Arial" w:eastAsia="Arial" w:hAnsi="Arial"/>
                <w:sz w:val="18"/>
                <w:szCs w:val="18"/>
                <w:color w:val="auto"/>
              </w:rPr>
              <w:t>Annex I</w:t>
            </w:r>
          </w:p>
        </w:tc>
        <w:tc>
          <w:tcPr>
            <w:tcW w:w="7360" w:type="dxa"/>
            <w:vAlign w:val="bottom"/>
          </w:tcPr>
          <w:p>
            <w:pPr>
              <w:ind w:left="160"/>
              <w:spacing w:after="0"/>
              <w:rPr>
                <w:sz w:val="20"/>
                <w:szCs w:val="20"/>
                <w:color w:val="auto"/>
              </w:rPr>
            </w:pPr>
            <w:r>
              <w:rPr>
                <w:rFonts w:ascii="Arial" w:cs="Arial" w:eastAsia="Arial" w:hAnsi="Arial"/>
                <w:sz w:val="18"/>
                <w:szCs w:val="18"/>
                <w:color w:val="auto"/>
              </w:rPr>
              <w:t>Knowledge of Founders</w:t>
            </w:r>
          </w:p>
        </w:tc>
        <w:tc>
          <w:tcPr>
            <w:tcW w:w="2500" w:type="dxa"/>
            <w:vAlign w:val="bottom"/>
          </w:tcPr>
          <w:p>
            <w:pPr>
              <w:spacing w:after="0"/>
              <w:rPr>
                <w:sz w:val="24"/>
                <w:szCs w:val="24"/>
                <w:color w:val="auto"/>
              </w:rPr>
            </w:pPr>
          </w:p>
        </w:tc>
      </w:tr>
      <w:tr>
        <w:trPr>
          <w:trHeight w:val="215"/>
        </w:trPr>
        <w:tc>
          <w:tcPr>
            <w:tcW w:w="1560" w:type="dxa"/>
            <w:vAlign w:val="bottom"/>
            <w:gridSpan w:val="2"/>
          </w:tcPr>
          <w:p>
            <w:pPr>
              <w:spacing w:after="0"/>
              <w:rPr>
                <w:sz w:val="20"/>
                <w:szCs w:val="20"/>
                <w:color w:val="auto"/>
              </w:rPr>
            </w:pPr>
            <w:r>
              <w:rPr>
                <w:rFonts w:ascii="Arial" w:cs="Arial" w:eastAsia="Arial" w:hAnsi="Arial"/>
                <w:sz w:val="18"/>
                <w:szCs w:val="18"/>
                <w:color w:val="auto"/>
              </w:rPr>
              <w:t>Annex II</w:t>
            </w:r>
          </w:p>
        </w:tc>
        <w:tc>
          <w:tcPr>
            <w:tcW w:w="7360" w:type="dxa"/>
            <w:vAlign w:val="bottom"/>
          </w:tcPr>
          <w:p>
            <w:pPr>
              <w:ind w:left="160"/>
              <w:spacing w:after="0"/>
              <w:rPr>
                <w:sz w:val="20"/>
                <w:szCs w:val="20"/>
                <w:color w:val="auto"/>
              </w:rPr>
            </w:pPr>
            <w:r>
              <w:rPr>
                <w:rFonts w:ascii="Arial" w:cs="Arial" w:eastAsia="Arial" w:hAnsi="Arial"/>
                <w:sz w:val="18"/>
                <w:szCs w:val="18"/>
                <w:color w:val="auto"/>
              </w:rPr>
              <w:t>Knowledge of Priority</w:t>
            </w:r>
          </w:p>
        </w:tc>
        <w:tc>
          <w:tcPr>
            <w:tcW w:w="2500" w:type="dxa"/>
            <w:vAlign w:val="bottom"/>
          </w:tcPr>
          <w:p>
            <w:pPr>
              <w:spacing w:after="0"/>
              <w:rPr>
                <w:sz w:val="18"/>
                <w:szCs w:val="18"/>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Annex III</w:t>
            </w:r>
          </w:p>
        </w:tc>
        <w:tc>
          <w:tcPr>
            <w:tcW w:w="7360" w:type="dxa"/>
            <w:vAlign w:val="bottom"/>
          </w:tcPr>
          <w:p>
            <w:pPr>
              <w:ind w:left="160"/>
              <w:spacing w:after="0"/>
              <w:rPr>
                <w:sz w:val="20"/>
                <w:szCs w:val="20"/>
                <w:color w:val="auto"/>
              </w:rPr>
            </w:pPr>
            <w:r>
              <w:rPr>
                <w:rFonts w:ascii="Arial" w:cs="Arial" w:eastAsia="Arial" w:hAnsi="Arial"/>
                <w:sz w:val="18"/>
                <w:szCs w:val="18"/>
                <w:color w:val="auto"/>
              </w:rPr>
              <w:t>Ownership of Acquired SPAC Interests</w:t>
            </w:r>
          </w:p>
        </w:tc>
        <w:tc>
          <w:tcPr>
            <w:tcW w:w="2500" w:type="dxa"/>
            <w:vAlign w:val="bottom"/>
          </w:tcPr>
          <w:p>
            <w:pPr>
              <w:spacing w:after="0"/>
              <w:rPr>
                <w:sz w:val="19"/>
                <w:szCs w:val="19"/>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46" w:right="2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23"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PURCHASE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February 26, 2018, by and among Priority Holdings, LLC, a Delaware limited liability company (“</w:t>
      </w:r>
      <w:r>
        <w:rPr>
          <w:rFonts w:ascii="Arial" w:cs="Arial" w:eastAsia="Arial" w:hAnsi="Arial"/>
          <w:sz w:val="18"/>
          <w:szCs w:val="18"/>
          <w:u w:val="single" w:color="auto"/>
          <w:color w:val="auto"/>
        </w:rPr>
        <w:t>Priority</w:t>
      </w:r>
      <w:r>
        <w:rPr>
          <w:rFonts w:ascii="Arial" w:cs="Arial" w:eastAsia="Arial" w:hAnsi="Arial"/>
          <w:sz w:val="18"/>
          <w:szCs w:val="18"/>
          <w:color w:val="auto"/>
        </w:rPr>
        <w:t>”), M SPAC LLC (“</w:t>
      </w:r>
      <w:r>
        <w:rPr>
          <w:rFonts w:ascii="Arial" w:cs="Arial" w:eastAsia="Arial" w:hAnsi="Arial"/>
          <w:sz w:val="18"/>
          <w:szCs w:val="18"/>
          <w:u w:val="single" w:color="auto"/>
          <w:color w:val="auto"/>
        </w:rPr>
        <w:t>M SPAC</w:t>
      </w:r>
      <w:r>
        <w:rPr>
          <w:rFonts w:ascii="Arial" w:cs="Arial" w:eastAsia="Arial" w:hAnsi="Arial"/>
          <w:sz w:val="18"/>
          <w:szCs w:val="18"/>
          <w:color w:val="auto"/>
        </w:rPr>
        <w:t>”), M SPAC Holdings I LLC (“</w:t>
      </w:r>
      <w:r>
        <w:rPr>
          <w:rFonts w:ascii="Arial" w:cs="Arial" w:eastAsia="Arial" w:hAnsi="Arial"/>
          <w:sz w:val="18"/>
          <w:szCs w:val="18"/>
          <w:u w:val="single" w:color="auto"/>
          <w:color w:val="auto"/>
        </w:rPr>
        <w:t>M SPAC I</w:t>
      </w:r>
      <w:r>
        <w:rPr>
          <w:rFonts w:ascii="Arial" w:cs="Arial" w:eastAsia="Arial" w:hAnsi="Arial"/>
          <w:sz w:val="18"/>
          <w:szCs w:val="18"/>
          <w:color w:val="auto"/>
        </w:rPr>
        <w:t>”), M SPAC Holdings II LLC (“</w:t>
      </w:r>
      <w:r>
        <w:rPr>
          <w:rFonts w:ascii="Arial" w:cs="Arial" w:eastAsia="Arial" w:hAnsi="Arial"/>
          <w:sz w:val="18"/>
          <w:szCs w:val="18"/>
          <w:u w:val="single" w:color="auto"/>
          <w:color w:val="auto"/>
        </w:rPr>
        <w:t>M SPAC II</w:t>
      </w:r>
      <w:r>
        <w:rPr>
          <w:rFonts w:ascii="Arial" w:cs="Arial" w:eastAsia="Arial" w:hAnsi="Arial"/>
          <w:sz w:val="18"/>
          <w:szCs w:val="18"/>
          <w:color w:val="auto"/>
        </w:rPr>
        <w:t>” and collectively with M SPAC I and M SPAC, “</w:t>
      </w:r>
      <w:r>
        <w:rPr>
          <w:rFonts w:ascii="Arial" w:cs="Arial" w:eastAsia="Arial" w:hAnsi="Arial"/>
          <w:sz w:val="18"/>
          <w:szCs w:val="18"/>
          <w:u w:val="single" w:color="auto"/>
          <w:color w:val="auto"/>
        </w:rPr>
        <w:t>Founders</w:t>
      </w:r>
      <w:r>
        <w:rPr>
          <w:rFonts w:ascii="Arial" w:cs="Arial" w:eastAsia="Arial" w:hAnsi="Arial"/>
          <w:sz w:val="18"/>
          <w:szCs w:val="18"/>
          <w:color w:val="auto"/>
        </w:rPr>
        <w:t xml:space="preserve">”) and, solely for purposes of </w:t>
      </w:r>
      <w:r>
        <w:rPr>
          <w:rFonts w:ascii="Arial" w:cs="Arial" w:eastAsia="Arial" w:hAnsi="Arial"/>
          <w:sz w:val="18"/>
          <w:szCs w:val="18"/>
          <w:u w:val="single" w:color="auto"/>
          <w:color w:val="auto"/>
        </w:rPr>
        <w:t>Section 2.06</w:t>
      </w:r>
      <w:r>
        <w:rPr>
          <w:rFonts w:ascii="Arial" w:cs="Arial" w:eastAsia="Arial" w:hAnsi="Arial"/>
          <w:sz w:val="18"/>
          <w:szCs w:val="18"/>
          <w:color w:val="auto"/>
        </w:rPr>
        <w:t>, M I Acquisitions,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Each of Priority, Founders and Buyer is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3"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contemplated by that Contribution Agreement (the “</w:t>
      </w:r>
      <w:r>
        <w:rPr>
          <w:rFonts w:ascii="Arial" w:cs="Arial" w:eastAsia="Arial" w:hAnsi="Arial"/>
          <w:sz w:val="18"/>
          <w:szCs w:val="18"/>
          <w:u w:val="single" w:color="auto"/>
          <w:color w:val="auto"/>
        </w:rPr>
        <w:t>Contribution Agreement</w:t>
      </w:r>
      <w:r>
        <w:rPr>
          <w:rFonts w:ascii="Arial" w:cs="Arial" w:eastAsia="Arial" w:hAnsi="Arial"/>
          <w:sz w:val="18"/>
          <w:szCs w:val="18"/>
          <w:color w:val="auto"/>
        </w:rPr>
        <w:t>”), dated as of the date hereof, by and among Priority</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Holdings, LLC (“</w:t>
      </w:r>
      <w:r>
        <w:rPr>
          <w:rFonts w:ascii="Arial" w:cs="Arial" w:eastAsia="Arial" w:hAnsi="Arial"/>
          <w:sz w:val="18"/>
          <w:szCs w:val="18"/>
          <w:u w:val="single" w:color="auto"/>
          <w:color w:val="auto"/>
        </w:rPr>
        <w:t>PIH</w:t>
      </w:r>
      <w:r>
        <w:rPr>
          <w:rFonts w:ascii="Arial" w:cs="Arial" w:eastAsia="Arial" w:hAnsi="Arial"/>
          <w:sz w:val="18"/>
          <w:szCs w:val="18"/>
          <w:color w:val="auto"/>
        </w:rPr>
        <w:t>”), Priority Incentive Equity Holdings, LLC (“</w:t>
      </w:r>
      <w:r>
        <w:rPr>
          <w:rFonts w:ascii="Arial" w:cs="Arial" w:eastAsia="Arial" w:hAnsi="Arial"/>
          <w:sz w:val="18"/>
          <w:szCs w:val="18"/>
          <w:u w:val="single" w:color="auto"/>
          <w:color w:val="auto"/>
        </w:rPr>
        <w:t>PIEH</w:t>
      </w:r>
      <w:r>
        <w:rPr>
          <w:rFonts w:ascii="Arial" w:cs="Arial" w:eastAsia="Arial" w:hAnsi="Arial"/>
          <w:sz w:val="18"/>
          <w:szCs w:val="18"/>
          <w:color w:val="auto"/>
        </w:rPr>
        <w:t>”) and Buyer, PIH and PIEH have agreed to contribute to Buyer, and Buyer has agreed to acquire from PIH and PIEH, 100% of the issued and outstanding Equity Interests of Priority upon the terms and subject to the conditions set forth therein (such contribution and acquisition, the “</w:t>
      </w:r>
      <w:r>
        <w:rPr>
          <w:rFonts w:ascii="Arial" w:cs="Arial" w:eastAsia="Arial" w:hAnsi="Arial"/>
          <w:sz w:val="18"/>
          <w:szCs w:val="18"/>
          <w:u w:val="single" w:color="auto"/>
          <w:color w:val="auto"/>
        </w:rPr>
        <w:t>Priority Acquisition</w:t>
      </w:r>
      <w:r>
        <w:rPr>
          <w:rFonts w:ascii="Arial" w:cs="Arial" w:eastAsia="Arial" w:hAnsi="Arial"/>
          <w:sz w:val="18"/>
          <w:szCs w:val="18"/>
          <w:color w:val="auto"/>
        </w:rPr>
        <w:t>”);</w:t>
      </w:r>
    </w:p>
    <w:p>
      <w:pPr>
        <w:spacing w:after="0" w:line="18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 M SPAC is the record and beneficial owner of (i) 277,941 SPAC Units (the “</w:t>
      </w:r>
      <w:r>
        <w:rPr>
          <w:rFonts w:ascii="Arial" w:cs="Arial" w:eastAsia="Arial" w:hAnsi="Arial"/>
          <w:sz w:val="18"/>
          <w:szCs w:val="18"/>
          <w:u w:val="single" w:color="auto"/>
          <w:color w:val="auto"/>
        </w:rPr>
        <w:t>M SPAC Units</w:t>
      </w:r>
      <w:r>
        <w:rPr>
          <w:rFonts w:ascii="Arial" w:cs="Arial" w:eastAsia="Arial" w:hAnsi="Arial"/>
          <w:sz w:val="18"/>
          <w:szCs w:val="18"/>
          <w:color w:val="auto"/>
        </w:rPr>
        <w:t>”) and (ii) 294,168 SPAC Founders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(the “</w:t>
      </w:r>
      <w:r>
        <w:rPr>
          <w:rFonts w:ascii="Arial" w:cs="Arial" w:eastAsia="Arial" w:hAnsi="Arial"/>
          <w:sz w:val="18"/>
          <w:szCs w:val="18"/>
          <w:u w:val="single" w:color="auto"/>
          <w:color w:val="auto"/>
        </w:rPr>
        <w:t>M SPAC Founders Shares</w:t>
      </w:r>
      <w:r>
        <w:rPr>
          <w:rFonts w:ascii="Arial" w:cs="Arial" w:eastAsia="Arial" w:hAnsi="Arial"/>
          <w:sz w:val="18"/>
          <w:szCs w:val="18"/>
          <w:color w:val="auto"/>
        </w:rPr>
        <w:t>”); (b) M SPAC I is the record and beneficial owner of (i) 60,000 SPAC Units (the “</w:t>
      </w:r>
      <w:r>
        <w:rPr>
          <w:rFonts w:ascii="Arial" w:cs="Arial" w:eastAsia="Arial" w:hAnsi="Arial"/>
          <w:sz w:val="18"/>
          <w:szCs w:val="18"/>
          <w:u w:val="single" w:color="auto"/>
          <w:color w:val="auto"/>
        </w:rPr>
        <w:t>M SPAC I Units</w:t>
      </w:r>
      <w:r>
        <w:rPr>
          <w:rFonts w:ascii="Arial" w:cs="Arial" w:eastAsia="Arial" w:hAnsi="Arial"/>
          <w:sz w:val="18"/>
          <w:szCs w:val="18"/>
          <w:color w:val="auto"/>
        </w:rPr>
        <w:t>”) and (ii) 64,574 SPAC Founders Shares (the “</w:t>
      </w:r>
      <w:r>
        <w:rPr>
          <w:rFonts w:ascii="Arial" w:cs="Arial" w:eastAsia="Arial" w:hAnsi="Arial"/>
          <w:sz w:val="18"/>
          <w:szCs w:val="18"/>
          <w:u w:val="single" w:color="auto"/>
          <w:color w:val="auto"/>
        </w:rPr>
        <w:t>M SPAC I Founders Shares</w:t>
      </w:r>
      <w:r>
        <w:rPr>
          <w:rFonts w:ascii="Arial" w:cs="Arial" w:eastAsia="Arial" w:hAnsi="Arial"/>
          <w:sz w:val="18"/>
          <w:szCs w:val="18"/>
          <w:color w:val="auto"/>
        </w:rPr>
        <w:t>”); and (c) M SPAC II is the record and beneficial owner of (i) 83,166 SPAC Units (the “</w:t>
      </w:r>
      <w:r>
        <w:rPr>
          <w:rFonts w:ascii="Arial" w:cs="Arial" w:eastAsia="Arial" w:hAnsi="Arial"/>
          <w:sz w:val="18"/>
          <w:szCs w:val="18"/>
          <w:u w:val="single" w:color="auto"/>
          <w:color w:val="auto"/>
        </w:rPr>
        <w:t>M SPAC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Units</w:t>
      </w:r>
      <w:r>
        <w:rPr>
          <w:rFonts w:ascii="Arial" w:cs="Arial" w:eastAsia="Arial" w:hAnsi="Arial"/>
          <w:sz w:val="18"/>
          <w:szCs w:val="18"/>
          <w:color w:val="auto"/>
        </w:rPr>
        <w:t>” and collectively with the M SPAC Units and the M SPAC I Units, the “</w:t>
      </w:r>
      <w:r>
        <w:rPr>
          <w:rFonts w:ascii="Arial" w:cs="Arial" w:eastAsia="Arial" w:hAnsi="Arial"/>
          <w:sz w:val="18"/>
          <w:szCs w:val="18"/>
          <w:u w:val="single" w:color="auto"/>
          <w:color w:val="auto"/>
        </w:rPr>
        <w:t>Acquired SPAC Units</w:t>
      </w:r>
      <w:r>
        <w:rPr>
          <w:rFonts w:ascii="Arial" w:cs="Arial" w:eastAsia="Arial" w:hAnsi="Arial"/>
          <w:sz w:val="18"/>
          <w:szCs w:val="18"/>
          <w:color w:val="auto"/>
        </w:rPr>
        <w:t>”) and (ii) 94,468 SPAC Founders Shares (the “</w:t>
      </w:r>
      <w:r>
        <w:rPr>
          <w:rFonts w:ascii="Arial" w:cs="Arial" w:eastAsia="Arial" w:hAnsi="Arial"/>
          <w:sz w:val="18"/>
          <w:szCs w:val="18"/>
          <w:u w:val="single" w:color="auto"/>
          <w:color w:val="auto"/>
        </w:rPr>
        <w:t>M SPAC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Founders Shares</w:t>
      </w:r>
      <w:r>
        <w:rPr>
          <w:rFonts w:ascii="Arial" w:cs="Arial" w:eastAsia="Arial" w:hAnsi="Arial"/>
          <w:sz w:val="18"/>
          <w:szCs w:val="18"/>
          <w:color w:val="auto"/>
        </w:rPr>
        <w:t>” and collectively with the M SPAC Founders Shares and the M SPAC I Founders Shares, the “</w:t>
      </w:r>
      <w:r>
        <w:rPr>
          <w:rFonts w:ascii="Arial" w:cs="Arial" w:eastAsia="Arial" w:hAnsi="Arial"/>
          <w:sz w:val="18"/>
          <w:szCs w:val="18"/>
          <w:u w:val="single" w:color="auto"/>
          <w:color w:val="auto"/>
        </w:rPr>
        <w:t>Acquired Founders Shares</w:t>
      </w:r>
      <w:r>
        <w:rPr>
          <w:rFonts w:ascii="Arial" w:cs="Arial" w:eastAsia="Arial" w:hAnsi="Arial"/>
          <w:sz w:val="18"/>
          <w:szCs w:val="18"/>
          <w:color w:val="auto"/>
        </w:rPr>
        <w:t>” and collectively with the Acquired SPAC Units, the “</w:t>
      </w:r>
      <w:r>
        <w:rPr>
          <w:rFonts w:ascii="Arial" w:cs="Arial" w:eastAsia="Arial" w:hAnsi="Arial"/>
          <w:sz w:val="18"/>
          <w:szCs w:val="18"/>
          <w:u w:val="single" w:color="auto"/>
          <w:color w:val="auto"/>
        </w:rPr>
        <w:t>Acquired SPAC Interest</w:t>
      </w:r>
      <w:r>
        <w:rPr>
          <w:rFonts w:ascii="Arial" w:cs="Arial" w:eastAsia="Arial" w:hAnsi="Arial"/>
          <w:sz w:val="18"/>
          <w:szCs w:val="18"/>
          <w:color w:val="auto"/>
        </w:rPr>
        <w:t>s”);</w:t>
      </w:r>
    </w:p>
    <w:p>
      <w:pPr>
        <w:spacing w:after="0" w:line="186"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Priority Acquisition, Founders desire to sell to Priority, and Priority desires to purchase from Founders,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SPAC Interests, effective as of immediately prior to the Priority Acquisition, in exchange for the consideration described herein and otherwise upon the terms and subject to the conditions set forth herein (such sale and purchase, the “</w:t>
      </w:r>
      <w:r>
        <w:rPr>
          <w:rFonts w:ascii="Arial" w:cs="Arial" w:eastAsia="Arial" w:hAnsi="Arial"/>
          <w:sz w:val="17"/>
          <w:szCs w:val="17"/>
          <w:u w:val="single" w:color="auto"/>
          <w:color w:val="auto"/>
        </w:rPr>
        <w:t>Acquired SPAC Interests Purchase</w:t>
      </w:r>
      <w:r>
        <w:rPr>
          <w:rFonts w:ascii="Arial" w:cs="Arial" w:eastAsia="Arial" w:hAnsi="Arial"/>
          <w:sz w:val="17"/>
          <w:szCs w:val="17"/>
          <w:color w:val="auto"/>
        </w:rPr>
        <w:t>”); and</w:t>
      </w:r>
    </w:p>
    <w:p>
      <w:pPr>
        <w:spacing w:after="0" w:line="159"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effective immediately upon the Acquired SPAC Interests Purchase and immediately prior to the Priority Acquisition, Priority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 the Acquired SPAC Interests to the Sellers (as defined in the Contribution Agreement).</w:t>
      </w:r>
    </w:p>
    <w:p>
      <w:pPr>
        <w:spacing w:after="0" w:line="162" w:lineRule="exact"/>
        <w:rPr>
          <w:sz w:val="20"/>
          <w:szCs w:val="20"/>
          <w:color w:val="auto"/>
        </w:rPr>
      </w:pPr>
    </w:p>
    <w:p>
      <w:pPr>
        <w:jc w:val="both"/>
        <w:ind w:firstLine="645"/>
        <w:spacing w:after="0" w:line="345"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respective representations, warranties, covenants and agreements set forth herein and for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and sufficiency of which are hereby acknowledged, the Parties,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7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381" w:name="page382"/>
    <w:bookmarkEnd w:id="381"/>
    <w:p>
      <w:pPr>
        <w:jc w:val="center"/>
        <w:ind w:right="-19"/>
        <w:spacing w:after="0"/>
        <w:rPr>
          <w:sz w:val="20"/>
          <w:szCs w:val="20"/>
          <w:color w:val="auto"/>
        </w:rPr>
      </w:pPr>
      <w:r>
        <w:rPr>
          <w:rFonts w:ascii="Arial" w:cs="Arial" w:eastAsia="Arial" w:hAnsi="Arial"/>
          <w:sz w:val="18"/>
          <w:szCs w:val="18"/>
          <w:color w:val="010000"/>
        </w:rPr>
        <w:t>ARTICLE 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DEFINITIONS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Capitalized terms used but not otherwise defined in this Agreement shall have the meanings ascribed to such terms in the Contribution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terms shall have the following meanings: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Founders Shares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SPAC Interests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SPAC Interests Purchase</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SPAC Units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 Earnout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2.06(b)(ii)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 Earnout Calculation Delivery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Founders Material Adverse Effect</w:t>
      </w:r>
      <w:r>
        <w:rPr>
          <w:rFonts w:ascii="Arial" w:cs="Arial" w:eastAsia="Arial" w:hAnsi="Arial"/>
          <w:sz w:val="17"/>
          <w:szCs w:val="17"/>
          <w:color w:val="auto"/>
        </w:rPr>
        <w:t>” means any event, development, or change that would have or reasonably be expected to have a material adverse effect on the ability of any Founder or Buyer, as applicable, to perform its obligations hereunder, or that would prevent, materially impede, interfere with, hinder or delay the consummation by any Founder or Buyer, as applicable, of the transactions contemplated hereby.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Forfeited Shares</w:t>
      </w:r>
      <w:r>
        <w:rPr>
          <w:rFonts w:ascii="Arial" w:cs="Arial" w:eastAsia="Arial" w:hAnsi="Arial"/>
          <w:sz w:val="18"/>
          <w:szCs w:val="18"/>
          <w:color w:val="auto"/>
        </w:rPr>
        <w:t xml:space="preserve">” means 174,863 SPAC Founders Shares, as specified on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Founders</w:t>
      </w:r>
      <w:r>
        <w:rPr>
          <w:rFonts w:ascii="Arial" w:cs="Arial" w:eastAsia="Arial" w:hAnsi="Arial"/>
          <w:sz w:val="18"/>
          <w:szCs w:val="18"/>
          <w:color w:val="auto"/>
        </w:rPr>
        <w:t xml:space="preserve">” or any similar phrase means the actual knowledge of the Persons identified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attached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Priority</w:t>
      </w:r>
      <w:r>
        <w:rPr>
          <w:rFonts w:ascii="Arial" w:cs="Arial" w:eastAsia="Arial" w:hAnsi="Arial"/>
          <w:sz w:val="18"/>
          <w:szCs w:val="18"/>
          <w:color w:val="auto"/>
        </w:rPr>
        <w:t xml:space="preserve">” or any similar phrase means the actual knowledge of the Persons identified in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attached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Founders Shares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Units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 Founders Shares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 Units</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2" w:name="page383"/>
    <w:bookmarkEnd w:id="3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II</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II Founders Shares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II Units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restrictions on the transfer of securities arising under applicable securities Laws or the Organizational Documents of Buyer.</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w:t>
      </w:r>
      <w:r>
        <w:rPr>
          <w:rFonts w:ascii="Arial" w:cs="Arial" w:eastAsia="Arial" w:hAnsi="Arial"/>
          <w:sz w:val="18"/>
          <w:szCs w:val="18"/>
          <w:color w:val="auto"/>
        </w:rPr>
        <w:t>” has the meaning set forth in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Acquisition</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Material Adverse Effect</w:t>
      </w:r>
      <w:r>
        <w:rPr>
          <w:rFonts w:ascii="Arial" w:cs="Arial" w:eastAsia="Arial" w:hAnsi="Arial"/>
          <w:sz w:val="18"/>
          <w:szCs w:val="18"/>
          <w:color w:val="auto"/>
        </w:rPr>
        <w:t>” means any event, development, or change that would have or reasonably be expected to have a material adverse effect on the ability of Priority to perform its obligations hereunder, or that would prevent, materially impede, interfere with, hinder or delay the consummation by Priority of the transactions contemplated hereby.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Founders Shares</w:t>
      </w:r>
      <w:r>
        <w:rPr>
          <w:rFonts w:ascii="Arial" w:cs="Arial" w:eastAsia="Arial" w:hAnsi="Arial"/>
          <w:sz w:val="18"/>
          <w:szCs w:val="18"/>
          <w:color w:val="auto"/>
        </w:rPr>
        <w:t>” means Buyer shares of common stock that were sold to Founders at a price of $0.02 per share.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Units</w:t>
      </w:r>
      <w:r>
        <w:rPr>
          <w:rFonts w:ascii="Arial" w:cs="Arial" w:eastAsia="Arial" w:hAnsi="Arial"/>
          <w:sz w:val="18"/>
          <w:szCs w:val="18"/>
          <w:color w:val="auto"/>
        </w:rPr>
        <w:t>” means the units issued by Buyer to Founders, consisting of one share of Buyer common stock and one SPAC Warrant.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Warrant</w:t>
      </w:r>
      <w:r>
        <w:rPr>
          <w:rFonts w:ascii="Arial" w:cs="Arial" w:eastAsia="Arial" w:hAnsi="Arial"/>
          <w:sz w:val="18"/>
          <w:szCs w:val="18"/>
          <w:color w:val="auto"/>
        </w:rPr>
        <w:t>” means a warrant issued by Buyer to Founders, entitling the holder thereof to purchase one share of Buyer common stock in accordance with the terms and conditions of the Warrant Agreement.</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that warrant agreement, dated as of September 13, 2016, by and between Buyer and American Stock Transfer &amp; Trust Company, as warrant agent thereunder.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2.01 </w:t>
      </w:r>
      <w:r>
        <w:rPr>
          <w:rFonts w:ascii="Arial" w:cs="Arial" w:eastAsia="Arial" w:hAnsi="Arial"/>
          <w:sz w:val="18"/>
          <w:szCs w:val="18"/>
          <w:u w:val="single" w:color="auto"/>
          <w:color w:val="000000"/>
        </w:rPr>
        <w:t>Purchase and Sale</w:t>
      </w:r>
      <w:r>
        <w:rPr>
          <w:rFonts w:ascii="Arial" w:cs="Arial" w:eastAsia="Arial" w:hAnsi="Arial"/>
          <w:sz w:val="18"/>
          <w:szCs w:val="18"/>
          <w:color w:val="000000"/>
        </w:rPr>
        <w:t>. Upon the terms and subject to the conditions set forth herein, effective as of the Effective Time,</w:t>
      </w:r>
      <w:r>
        <w:rPr>
          <w:rFonts w:ascii="Arial" w:cs="Arial" w:eastAsia="Arial" w:hAnsi="Arial"/>
          <w:sz w:val="18"/>
          <w:szCs w:val="18"/>
          <w:color w:val="010000"/>
        </w:rPr>
        <w:t xml:space="preserve"> </w:t>
      </w:r>
      <w:r>
        <w:rPr>
          <w:rFonts w:ascii="Arial" w:cs="Arial" w:eastAsia="Arial" w:hAnsi="Arial"/>
          <w:sz w:val="18"/>
          <w:szCs w:val="18"/>
          <w:color w:val="000000"/>
        </w:rPr>
        <w:t xml:space="preserve">Founders shall sell, assign, transfer, convey and deliver to Priority, and Priority shall purchase, accept and acquire from Founders, the Acquired SPAC Interests (in the amounts specified on </w:t>
      </w:r>
      <w:r>
        <w:rPr>
          <w:rFonts w:ascii="Arial" w:cs="Arial" w:eastAsia="Arial" w:hAnsi="Arial"/>
          <w:sz w:val="18"/>
          <w:szCs w:val="18"/>
          <w:u w:val="single" w:color="auto"/>
          <w:color w:val="000000"/>
        </w:rPr>
        <w:t>Annex III</w:t>
      </w:r>
      <w:r>
        <w:rPr>
          <w:rFonts w:ascii="Arial" w:cs="Arial" w:eastAsia="Arial" w:hAnsi="Arial"/>
          <w:sz w:val="18"/>
          <w:szCs w:val="18"/>
          <w:color w:val="000000"/>
        </w:rPr>
        <w:t xml:space="preserve"> attached hereto), free and clear of all Liens (other than Permitted Liens).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3" w:name="page384"/>
    <w:bookmarkEnd w:id="383"/>
    <w:p>
      <w:pPr>
        <w:jc w:val="both"/>
        <w:ind w:firstLine="1290"/>
        <w:spacing w:after="0" w:line="258" w:lineRule="auto"/>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u w:val="single" w:color="auto"/>
          <w:color w:val="000000"/>
        </w:rPr>
        <w:t>Purchase Price</w:t>
      </w:r>
      <w:r>
        <w:rPr>
          <w:rFonts w:ascii="Arial" w:cs="Arial" w:eastAsia="Arial" w:hAnsi="Arial"/>
          <w:sz w:val="18"/>
          <w:szCs w:val="18"/>
          <w:color w:val="000000"/>
        </w:rPr>
        <w:t>. The aggregate consideration (the “</w:t>
      </w:r>
      <w:r>
        <w:rPr>
          <w:rFonts w:ascii="Arial" w:cs="Arial" w:eastAsia="Arial" w:hAnsi="Arial"/>
          <w:sz w:val="18"/>
          <w:szCs w:val="18"/>
          <w:u w:val="single" w:color="auto"/>
          <w:color w:val="000000"/>
        </w:rPr>
        <w:t>Purchase Price</w:t>
      </w:r>
      <w:r>
        <w:rPr>
          <w:rFonts w:ascii="Arial" w:cs="Arial" w:eastAsia="Arial" w:hAnsi="Arial"/>
          <w:sz w:val="18"/>
          <w:szCs w:val="18"/>
          <w:color w:val="000000"/>
        </w:rPr>
        <w:t>”) payable by Priority to Founders for the acquisition of</w:t>
      </w:r>
      <w:r>
        <w:rPr>
          <w:rFonts w:ascii="Arial" w:cs="Arial" w:eastAsia="Arial" w:hAnsi="Arial"/>
          <w:sz w:val="18"/>
          <w:szCs w:val="18"/>
          <w:color w:val="010000"/>
        </w:rPr>
        <w:t xml:space="preserve"> </w:t>
      </w:r>
      <w:r>
        <w:rPr>
          <w:rFonts w:ascii="Arial" w:cs="Arial" w:eastAsia="Arial" w:hAnsi="Arial"/>
          <w:sz w:val="18"/>
          <w:szCs w:val="18"/>
          <w:color w:val="000000"/>
        </w:rPr>
        <w:t xml:space="preserve">the Acquired SPAC Interests shall be an amount equal to (a)(i) the number of M SPAC Units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$6.5083,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(b)(i) the number of M SPAC I Units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$5.0094,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(c)(i) the number of M SPAC II Units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$0.0001,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(d)(i) the number of Acquired Founders Shares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$0.0188, and payable pursuant to </w:t>
      </w:r>
      <w:r>
        <w:rPr>
          <w:rFonts w:ascii="Arial" w:cs="Arial" w:eastAsia="Arial" w:hAnsi="Arial"/>
          <w:sz w:val="18"/>
          <w:szCs w:val="18"/>
          <w:u w:val="single" w:color="auto"/>
          <w:color w:val="000000"/>
        </w:rPr>
        <w:t>Section 2.05(a)</w:t>
      </w:r>
      <w:r>
        <w:rPr>
          <w:rFonts w:ascii="Arial" w:cs="Arial" w:eastAsia="Arial" w:hAnsi="Arial"/>
          <w:sz w:val="18"/>
          <w:szCs w:val="18"/>
          <w:color w:val="000000"/>
        </w:rPr>
        <w:t>.</w:t>
      </w:r>
    </w:p>
    <w:p>
      <w:pPr>
        <w:spacing w:after="0" w:line="185"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2.03 </w:t>
      </w:r>
      <w:r>
        <w:rPr>
          <w:rFonts w:ascii="Arial" w:cs="Arial" w:eastAsia="Arial" w:hAnsi="Arial"/>
          <w:sz w:val="18"/>
          <w:szCs w:val="18"/>
          <w:u w:val="single" w:color="auto"/>
          <w:color w:val="000000"/>
        </w:rPr>
        <w:t>Effective Time</w:t>
      </w:r>
      <w:r>
        <w:rPr>
          <w:rFonts w:ascii="Arial" w:cs="Arial" w:eastAsia="Arial" w:hAnsi="Arial"/>
          <w:sz w:val="18"/>
          <w:szCs w:val="18"/>
          <w:color w:val="000000"/>
        </w:rPr>
        <w:t>. The closing of the transactions contemplated hereby shall be effective as of (i) immediately prior to the</w:t>
      </w:r>
      <w:r>
        <w:rPr>
          <w:rFonts w:ascii="Arial" w:cs="Arial" w:eastAsia="Arial" w:hAnsi="Arial"/>
          <w:sz w:val="18"/>
          <w:szCs w:val="18"/>
          <w:color w:val="010000"/>
        </w:rPr>
        <w:t xml:space="preserve"> </w:t>
      </w:r>
      <w:r>
        <w:rPr>
          <w:rFonts w:ascii="Arial" w:cs="Arial" w:eastAsia="Arial" w:hAnsi="Arial"/>
          <w:sz w:val="18"/>
          <w:szCs w:val="18"/>
          <w:color w:val="000000"/>
        </w:rPr>
        <w:t xml:space="preserve">Closing or (ii) on the third Business Day following the date on which the condition set forth in </w:t>
      </w:r>
      <w:r>
        <w:rPr>
          <w:rFonts w:ascii="Arial" w:cs="Arial" w:eastAsia="Arial" w:hAnsi="Arial"/>
          <w:sz w:val="18"/>
          <w:szCs w:val="18"/>
          <w:u w:val="single" w:color="auto"/>
          <w:color w:val="000000"/>
        </w:rPr>
        <w:t>Section 6.01(b)</w:t>
      </w:r>
      <w:r>
        <w:rPr>
          <w:rFonts w:ascii="Arial" w:cs="Arial" w:eastAsia="Arial" w:hAnsi="Arial"/>
          <w:sz w:val="18"/>
          <w:szCs w:val="18"/>
          <w:color w:val="000000"/>
        </w:rPr>
        <w:t xml:space="preserve"> has been satisfied or waived by Priority (the “</w:t>
      </w:r>
      <w:r>
        <w:rPr>
          <w:rFonts w:ascii="Arial" w:cs="Arial" w:eastAsia="Arial" w:hAnsi="Arial"/>
          <w:sz w:val="18"/>
          <w:szCs w:val="18"/>
          <w:u w:val="single" w:color="auto"/>
          <w:color w:val="000000"/>
        </w:rPr>
        <w:t>Effective Time</w:t>
      </w:r>
      <w:r>
        <w:rPr>
          <w:rFonts w:ascii="Arial" w:cs="Arial" w:eastAsia="Arial" w:hAnsi="Arial"/>
          <w:sz w:val="18"/>
          <w:szCs w:val="18"/>
          <w:color w:val="000000"/>
        </w:rPr>
        <w:t>”).</w:t>
      </w:r>
    </w:p>
    <w:p>
      <w:pPr>
        <w:spacing w:after="0" w:line="182"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2.04 </w:t>
      </w:r>
      <w:r>
        <w:rPr>
          <w:rFonts w:ascii="Arial" w:cs="Arial" w:eastAsia="Arial" w:hAnsi="Arial"/>
          <w:sz w:val="18"/>
          <w:szCs w:val="18"/>
          <w:u w:val="single" w:color="auto"/>
          <w:color w:val="000000"/>
        </w:rPr>
        <w:t>Pre-Closing Deliveries</w:t>
      </w:r>
      <w:r>
        <w:rPr>
          <w:rFonts w:ascii="Arial" w:cs="Arial" w:eastAsia="Arial" w:hAnsi="Arial"/>
          <w:sz w:val="18"/>
          <w:szCs w:val="18"/>
          <w:color w:val="000000"/>
        </w:rPr>
        <w:t>. At least two (2) Business Days prior to the Closing Date, Founders shall deliver to Priority wire</w:t>
      </w:r>
      <w:r>
        <w:rPr>
          <w:rFonts w:ascii="Arial" w:cs="Arial" w:eastAsia="Arial" w:hAnsi="Arial"/>
          <w:sz w:val="18"/>
          <w:szCs w:val="18"/>
          <w:color w:val="010000"/>
        </w:rPr>
        <w:t xml:space="preserve"> </w:t>
      </w:r>
      <w:r>
        <w:rPr>
          <w:rFonts w:ascii="Arial" w:cs="Arial" w:eastAsia="Arial" w:hAnsi="Arial"/>
          <w:sz w:val="18"/>
          <w:szCs w:val="18"/>
          <w:color w:val="000000"/>
        </w:rPr>
        <w:t>instructions for the account or accounts of Founders to which the payment of the Purchase Price shall be made.</w:t>
      </w:r>
    </w:p>
    <w:p>
      <w:pPr>
        <w:spacing w:after="0" w:line="17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2.05</w:t>
      </w:r>
      <w:r>
        <w:rPr>
          <w:sz w:val="20"/>
          <w:szCs w:val="20"/>
          <w:color w:val="auto"/>
        </w:rPr>
        <w:tab/>
      </w:r>
      <w:r>
        <w:rPr>
          <w:rFonts w:ascii="Arial" w:cs="Arial" w:eastAsia="Arial" w:hAnsi="Arial"/>
          <w:sz w:val="16"/>
          <w:szCs w:val="16"/>
          <w:u w:val="single" w:color="auto"/>
          <w:color w:val="auto"/>
        </w:rPr>
        <w:t>Closing Payments and Deliveries</w:t>
      </w:r>
      <w:r>
        <w:rPr>
          <w:rFonts w:ascii="Arial" w:cs="Arial" w:eastAsia="Arial" w:hAnsi="Arial"/>
          <w:sz w:val="16"/>
          <w:szCs w:val="16"/>
          <w:color w:val="auto"/>
        </w:rPr>
        <w:t>.</w:t>
      </w:r>
    </w:p>
    <w:p>
      <w:pPr>
        <w:spacing w:after="0" w:line="223" w:lineRule="exact"/>
        <w:rPr>
          <w:sz w:val="20"/>
          <w:szCs w:val="20"/>
          <w:color w:val="auto"/>
        </w:rPr>
      </w:pPr>
    </w:p>
    <w:p>
      <w:pPr>
        <w:ind w:firstLine="1298"/>
        <w:spacing w:after="0" w:line="340" w:lineRule="auto"/>
        <w:tabs>
          <w:tab w:leader="none" w:pos="1991" w:val="left"/>
        </w:tabs>
        <w:numPr>
          <w:ilvl w:val="0"/>
          <w:numId w:val="310"/>
        </w:numPr>
        <w:rPr>
          <w:rFonts w:ascii="Arial" w:cs="Arial" w:eastAsia="Arial" w:hAnsi="Arial"/>
          <w:sz w:val="16"/>
          <w:szCs w:val="16"/>
          <w:color w:val="010000"/>
        </w:rPr>
      </w:pPr>
      <w:r>
        <w:rPr>
          <w:rFonts w:ascii="Arial" w:cs="Arial" w:eastAsia="Arial" w:hAnsi="Arial"/>
          <w:sz w:val="16"/>
          <w:szCs w:val="16"/>
          <w:color w:val="auto"/>
        </w:rPr>
        <w:t xml:space="preserve">At the Effective Time, Priority shall pay, or cause to be paid, to each Founder an amount in cash equal to the amount specified on </w:t>
      </w:r>
      <w:r>
        <w:rPr>
          <w:rFonts w:ascii="Arial" w:cs="Arial" w:eastAsia="Arial" w:hAnsi="Arial"/>
          <w:sz w:val="16"/>
          <w:szCs w:val="16"/>
          <w:u w:val="single" w:color="auto"/>
          <w:color w:val="auto"/>
        </w:rPr>
        <w:t>Annex III</w:t>
      </w:r>
      <w:r>
        <w:rPr>
          <w:rFonts w:ascii="Arial" w:cs="Arial" w:eastAsia="Arial" w:hAnsi="Arial"/>
          <w:sz w:val="16"/>
          <w:szCs w:val="16"/>
          <w:color w:val="auto"/>
        </w:rPr>
        <w:t xml:space="preserve"> by wire transfer of immediately available funds in accordance with the wire instructions delivered by Founders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123" w:lineRule="exact"/>
        <w:rPr>
          <w:rFonts w:ascii="Arial" w:cs="Arial" w:eastAsia="Arial" w:hAnsi="Arial"/>
          <w:sz w:val="16"/>
          <w:szCs w:val="16"/>
          <w:color w:val="010000"/>
        </w:rPr>
      </w:pPr>
    </w:p>
    <w:p>
      <w:pPr>
        <w:jc w:val="both"/>
        <w:ind w:firstLine="1298"/>
        <w:spacing w:after="0" w:line="262" w:lineRule="auto"/>
        <w:tabs>
          <w:tab w:leader="none" w:pos="1974" w:val="left"/>
        </w:tabs>
        <w:numPr>
          <w:ilvl w:val="0"/>
          <w:numId w:val="310"/>
        </w:numPr>
        <w:rPr>
          <w:rFonts w:ascii="Arial" w:cs="Arial" w:eastAsia="Arial" w:hAnsi="Arial"/>
          <w:sz w:val="18"/>
          <w:szCs w:val="18"/>
          <w:color w:val="010000"/>
        </w:rPr>
      </w:pPr>
      <w:r>
        <w:rPr>
          <w:rFonts w:ascii="Arial" w:cs="Arial" w:eastAsia="Arial" w:hAnsi="Arial"/>
          <w:sz w:val="18"/>
          <w:szCs w:val="18"/>
          <w:color w:val="auto"/>
        </w:rPr>
        <w:t>At the Effective Time, each Founder shall deliver, or cause to be delivered, to Priority certificates representing the Acquired SPAC Interests held by such Founder duly endorsed in blank for transfer or accompanied by a stock power or other applicable instrument of transfer duly executed by such Founder in blank form or in favor of Priority.</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2.06</w:t>
      </w:r>
      <w:r>
        <w:rPr>
          <w:sz w:val="20"/>
          <w:szCs w:val="20"/>
          <w:color w:val="auto"/>
        </w:rPr>
        <w:tab/>
      </w:r>
      <w:r>
        <w:rPr>
          <w:rFonts w:ascii="Arial" w:cs="Arial" w:eastAsia="Arial" w:hAnsi="Arial"/>
          <w:sz w:val="16"/>
          <w:szCs w:val="16"/>
          <w:u w:val="single" w:color="auto"/>
          <w:color w:val="auto"/>
        </w:rPr>
        <w:t>Forfeiture and Earnout</w:t>
      </w:r>
      <w:r>
        <w:rPr>
          <w:rFonts w:ascii="Arial" w:cs="Arial" w:eastAsia="Arial" w:hAnsi="Arial"/>
          <w:sz w:val="16"/>
          <w:szCs w:val="16"/>
          <w:color w:val="auto"/>
        </w:rPr>
        <w:t>.</w:t>
      </w:r>
    </w:p>
    <w:p>
      <w:pPr>
        <w:spacing w:after="0" w:line="223" w:lineRule="exact"/>
        <w:rPr>
          <w:sz w:val="20"/>
          <w:szCs w:val="20"/>
          <w:color w:val="auto"/>
        </w:rPr>
      </w:pPr>
    </w:p>
    <w:p>
      <w:pPr>
        <w:ind w:left="1940" w:hanging="642"/>
        <w:spacing w:after="0"/>
        <w:tabs>
          <w:tab w:leader="none" w:pos="1940" w:val="left"/>
        </w:tabs>
        <w:numPr>
          <w:ilvl w:val="1"/>
          <w:numId w:val="311"/>
        </w:numPr>
        <w:rPr>
          <w:rFonts w:ascii="Arial" w:cs="Arial" w:eastAsia="Arial" w:hAnsi="Arial"/>
          <w:sz w:val="18"/>
          <w:szCs w:val="18"/>
          <w:color w:val="010000"/>
        </w:rPr>
      </w:pPr>
      <w:r>
        <w:rPr>
          <w:rFonts w:ascii="Arial" w:cs="Arial" w:eastAsia="Arial" w:hAnsi="Arial"/>
          <w:sz w:val="18"/>
          <w:szCs w:val="18"/>
          <w:color w:val="auto"/>
        </w:rPr>
        <w:t>The Parties agree that, at the Closing, the Forfeited Shares shall be canceled by Buyer.</w:t>
      </w:r>
    </w:p>
    <w:p>
      <w:pPr>
        <w:spacing w:after="0" w:line="223" w:lineRule="exact"/>
        <w:rPr>
          <w:rFonts w:ascii="Arial" w:cs="Arial" w:eastAsia="Arial" w:hAnsi="Arial"/>
          <w:sz w:val="18"/>
          <w:szCs w:val="18"/>
          <w:color w:val="010000"/>
        </w:rPr>
      </w:pPr>
    </w:p>
    <w:p>
      <w:pPr>
        <w:jc w:val="both"/>
        <w:ind w:firstLine="1298"/>
        <w:spacing w:after="0" w:line="262" w:lineRule="auto"/>
        <w:tabs>
          <w:tab w:leader="none" w:pos="2001" w:val="left"/>
        </w:tabs>
        <w:numPr>
          <w:ilvl w:val="1"/>
          <w:numId w:val="311"/>
        </w:numPr>
        <w:rPr>
          <w:rFonts w:ascii="Arial" w:cs="Arial" w:eastAsia="Arial" w:hAnsi="Arial"/>
          <w:sz w:val="18"/>
          <w:szCs w:val="18"/>
          <w:color w:val="010000"/>
        </w:rPr>
      </w:pPr>
      <w:r>
        <w:rPr>
          <w:rFonts w:ascii="Arial" w:cs="Arial" w:eastAsia="Arial" w:hAnsi="Arial"/>
          <w:sz w:val="18"/>
          <w:szCs w:val="18"/>
          <w:color w:val="auto"/>
        </w:rPr>
        <w:t xml:space="preserve">In consideration for the cancelation of the Forfeited Shares pursuant to </w:t>
      </w:r>
      <w:r>
        <w:rPr>
          <w:rFonts w:ascii="Arial" w:cs="Arial" w:eastAsia="Arial" w:hAnsi="Arial"/>
          <w:sz w:val="18"/>
          <w:szCs w:val="18"/>
          <w:u w:val="single" w:color="auto"/>
          <w:color w:val="auto"/>
        </w:rPr>
        <w:t>Section 2.06(a)</w:t>
      </w:r>
      <w:r>
        <w:rPr>
          <w:rFonts w:ascii="Arial" w:cs="Arial" w:eastAsia="Arial" w:hAnsi="Arial"/>
          <w:sz w:val="18"/>
          <w:szCs w:val="18"/>
          <w:color w:val="auto"/>
        </w:rPr>
        <w:t>, if, after the Closing, Buyer is permitted to issue any Equity Interests pursuant to and in accordance with the Buyer Incentive Plan, in the first year that Buyer is permitted to issue any such Equity Interests, Buyer shall, at its election in its sole discretion, either:</w:t>
      </w:r>
    </w:p>
    <w:p>
      <w:pPr>
        <w:spacing w:after="0" w:line="182" w:lineRule="exact"/>
        <w:rPr>
          <w:rFonts w:ascii="Arial" w:cs="Arial" w:eastAsia="Arial" w:hAnsi="Arial"/>
          <w:sz w:val="18"/>
          <w:szCs w:val="18"/>
          <w:color w:val="010000"/>
        </w:rPr>
      </w:pPr>
    </w:p>
    <w:p>
      <w:pPr>
        <w:ind w:left="2560" w:hanging="617"/>
        <w:spacing w:after="0"/>
        <w:tabs>
          <w:tab w:leader="none" w:pos="2560" w:val="left"/>
        </w:tabs>
        <w:numPr>
          <w:ilvl w:val="2"/>
          <w:numId w:val="311"/>
        </w:numPr>
        <w:rPr>
          <w:rFonts w:ascii="Arial" w:cs="Arial" w:eastAsia="Arial" w:hAnsi="Arial"/>
          <w:sz w:val="18"/>
          <w:szCs w:val="18"/>
          <w:color w:val="010000"/>
        </w:rPr>
      </w:pPr>
      <w:r>
        <w:rPr>
          <w:rFonts w:ascii="Arial" w:cs="Arial" w:eastAsia="Arial" w:hAnsi="Arial"/>
          <w:sz w:val="18"/>
          <w:szCs w:val="18"/>
          <w:color w:val="auto"/>
        </w:rPr>
        <w:t xml:space="preserve">issue 174,863 shares of Common Stock in the aggregate to Founders in accordance with </w:t>
      </w:r>
      <w:r>
        <w:rPr>
          <w:rFonts w:ascii="Arial" w:cs="Arial" w:eastAsia="Arial" w:hAnsi="Arial"/>
          <w:sz w:val="18"/>
          <w:szCs w:val="18"/>
          <w:u w:val="single" w:color="auto"/>
          <w:color w:val="auto"/>
        </w:rPr>
        <w:t>Annex III</w:t>
      </w:r>
      <w:r>
        <w:rPr>
          <w:rFonts w:ascii="Arial" w:cs="Arial" w:eastAsia="Arial" w:hAnsi="Arial"/>
          <w:sz w:val="18"/>
          <w:szCs w:val="18"/>
          <w:color w:val="auto"/>
        </w:rPr>
        <w:t>; or</w:t>
      </w:r>
    </w:p>
    <w:p>
      <w:pPr>
        <w:spacing w:after="0" w:line="223" w:lineRule="exact"/>
        <w:rPr>
          <w:rFonts w:ascii="Arial" w:cs="Arial" w:eastAsia="Arial" w:hAnsi="Arial"/>
          <w:sz w:val="18"/>
          <w:szCs w:val="18"/>
          <w:color w:val="010000"/>
        </w:rPr>
      </w:pPr>
    </w:p>
    <w:p>
      <w:pPr>
        <w:jc w:val="both"/>
        <w:ind w:firstLine="1943"/>
        <w:spacing w:after="0" w:line="278" w:lineRule="auto"/>
        <w:tabs>
          <w:tab w:leader="none" w:pos="2558" w:val="left"/>
        </w:tabs>
        <w:numPr>
          <w:ilvl w:val="2"/>
          <w:numId w:val="311"/>
        </w:numPr>
        <w:rPr>
          <w:rFonts w:ascii="Arial" w:cs="Arial" w:eastAsia="Arial" w:hAnsi="Arial"/>
          <w:sz w:val="17"/>
          <w:szCs w:val="17"/>
          <w:color w:val="010000"/>
        </w:rPr>
      </w:pPr>
      <w:r>
        <w:rPr>
          <w:rFonts w:ascii="Arial" w:cs="Arial" w:eastAsia="Arial" w:hAnsi="Arial"/>
          <w:sz w:val="17"/>
          <w:szCs w:val="17"/>
          <w:color w:val="auto"/>
        </w:rPr>
        <w:t xml:space="preserve">pay, or cause to be paid, to each Founder, an amount in cash equal to equal to (A) the number of shares specified on </w:t>
      </w:r>
      <w:r>
        <w:rPr>
          <w:rFonts w:ascii="Arial" w:cs="Arial" w:eastAsia="Arial" w:hAnsi="Arial"/>
          <w:sz w:val="17"/>
          <w:szCs w:val="17"/>
          <w:u w:val="single" w:color="auto"/>
          <w:color w:val="auto"/>
        </w:rPr>
        <w:t>Annex</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volume weighted average closing price of the Common Stock on NASDAQ for the 20 trading days prior to the Founders Earnout Calculation Delivery Date (the “</w:t>
      </w:r>
      <w:r>
        <w:rPr>
          <w:rFonts w:ascii="Arial" w:cs="Arial" w:eastAsia="Arial" w:hAnsi="Arial"/>
          <w:sz w:val="17"/>
          <w:szCs w:val="17"/>
          <w:u w:val="single" w:color="auto"/>
          <w:color w:val="auto"/>
        </w:rPr>
        <w:t>VWAP</w:t>
      </w:r>
      <w:r>
        <w:rPr>
          <w:rFonts w:ascii="Arial" w:cs="Arial" w:eastAsia="Arial" w:hAnsi="Arial"/>
          <w:sz w:val="17"/>
          <w:szCs w:val="17"/>
          <w:color w:val="auto"/>
        </w:rPr>
        <w:t xml:space="preserve">”) and any such payment or issuance pursuant to this </w:t>
      </w:r>
      <w:r>
        <w:rPr>
          <w:rFonts w:ascii="Arial" w:cs="Arial" w:eastAsia="Arial" w:hAnsi="Arial"/>
          <w:sz w:val="17"/>
          <w:szCs w:val="17"/>
          <w:u w:val="single" w:color="auto"/>
          <w:color w:val="auto"/>
        </w:rPr>
        <w:t>Section 2.06(b)</w:t>
      </w:r>
      <w:r>
        <w:rPr>
          <w:rFonts w:ascii="Arial" w:cs="Arial" w:eastAsia="Arial" w:hAnsi="Arial"/>
          <w:sz w:val="17"/>
          <w:szCs w:val="17"/>
          <w:color w:val="auto"/>
        </w:rPr>
        <w:t>, (the “</w:t>
      </w:r>
      <w:r>
        <w:rPr>
          <w:rFonts w:ascii="Arial" w:cs="Arial" w:eastAsia="Arial" w:hAnsi="Arial"/>
          <w:sz w:val="17"/>
          <w:szCs w:val="17"/>
          <w:u w:val="single" w:color="auto"/>
          <w:color w:val="auto"/>
        </w:rPr>
        <w:t>Founders Earnout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Founders shall only be entitled to one Founders Earnout Payment.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4" w:name="page385"/>
    <w:bookmarkEnd w:id="384"/>
    <w:p>
      <w:pPr>
        <w:jc w:val="both"/>
        <w:ind w:firstLine="1298"/>
        <w:spacing w:after="0" w:line="272" w:lineRule="auto"/>
        <w:tabs>
          <w:tab w:leader="none" w:pos="1978" w:val="left"/>
        </w:tabs>
        <w:numPr>
          <w:ilvl w:val="0"/>
          <w:numId w:val="312"/>
        </w:numPr>
        <w:rPr>
          <w:rFonts w:ascii="Arial" w:cs="Arial" w:eastAsia="Arial" w:hAnsi="Arial"/>
          <w:sz w:val="17"/>
          <w:szCs w:val="17"/>
          <w:color w:val="010000"/>
        </w:rPr>
      </w:pPr>
      <w:r>
        <w:rPr>
          <w:rFonts w:ascii="Arial" w:cs="Arial" w:eastAsia="Arial" w:hAnsi="Arial"/>
          <w:sz w:val="17"/>
          <w:szCs w:val="17"/>
          <w:color w:val="auto"/>
        </w:rPr>
        <w:t>On or before the date which is 120 days after the last day of each fiscal year during the period commencing on the date hereof and ending on December 31, 2020 (a “</w:t>
      </w:r>
      <w:r>
        <w:rPr>
          <w:rFonts w:ascii="Arial" w:cs="Arial" w:eastAsia="Arial" w:hAnsi="Arial"/>
          <w:sz w:val="17"/>
          <w:szCs w:val="17"/>
          <w:u w:val="single" w:color="auto"/>
          <w:color w:val="auto"/>
        </w:rPr>
        <w:t>Founders Earnout Calculation Delivery Date</w:t>
      </w:r>
      <w:r>
        <w:rPr>
          <w:rFonts w:ascii="Arial" w:cs="Arial" w:eastAsia="Arial" w:hAnsi="Arial"/>
          <w:sz w:val="17"/>
          <w:szCs w:val="17"/>
          <w:color w:val="auto"/>
        </w:rPr>
        <w:t xml:space="preserve">”), Buyer shall prepare and deliver to Founders a written statement setting forth in reasonable detail (i) Buyer’s calculation of Adjusted EBITDA for such fiscal year; (ii) Buyer’s conclusion as to whether any Equity Securities may be issued pursuant to and in accordance with the Buyer Incentive Plan in respect of such fiscal year; and (iii) if the Founders Earnout Payment is owed in respect of such fiscal year, (A) Buyer’s election under </w:t>
      </w:r>
      <w:r>
        <w:rPr>
          <w:rFonts w:ascii="Arial" w:cs="Arial" w:eastAsia="Arial" w:hAnsi="Arial"/>
          <w:sz w:val="17"/>
          <w:szCs w:val="17"/>
          <w:u w:val="single" w:color="auto"/>
          <w:color w:val="auto"/>
        </w:rPr>
        <w:t>Section 2.06(b)</w:t>
      </w:r>
      <w:r>
        <w:rPr>
          <w:rFonts w:ascii="Arial" w:cs="Arial" w:eastAsia="Arial" w:hAnsi="Arial"/>
          <w:sz w:val="17"/>
          <w:szCs w:val="17"/>
          <w:color w:val="auto"/>
        </w:rPr>
        <w:t xml:space="preserve"> and (B) Buyer’s calculation of the VWAP, if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Buyer’s obligations under this </w:t>
      </w:r>
      <w:r>
        <w:rPr>
          <w:rFonts w:ascii="Arial" w:cs="Arial" w:eastAsia="Arial" w:hAnsi="Arial"/>
          <w:sz w:val="17"/>
          <w:szCs w:val="17"/>
          <w:u w:val="single" w:color="auto"/>
          <w:color w:val="auto"/>
        </w:rPr>
        <w:t>Section 2.06(c)</w:t>
      </w:r>
      <w:r>
        <w:rPr>
          <w:rFonts w:ascii="Arial" w:cs="Arial" w:eastAsia="Arial" w:hAnsi="Arial"/>
          <w:sz w:val="17"/>
          <w:szCs w:val="17"/>
          <w:color w:val="auto"/>
        </w:rPr>
        <w:t xml:space="preserve"> shall terminate upon payment of the Founders Earnout Payment.</w:t>
      </w:r>
    </w:p>
    <w:p>
      <w:pPr>
        <w:spacing w:after="0" w:line="176" w:lineRule="exact"/>
        <w:rPr>
          <w:rFonts w:ascii="Arial" w:cs="Arial" w:eastAsia="Arial" w:hAnsi="Arial"/>
          <w:sz w:val="17"/>
          <w:szCs w:val="17"/>
          <w:color w:val="010000"/>
        </w:rPr>
      </w:pPr>
    </w:p>
    <w:p>
      <w:pPr>
        <w:ind w:right="20" w:firstLine="1298"/>
        <w:spacing w:after="0" w:line="275" w:lineRule="auto"/>
        <w:tabs>
          <w:tab w:leader="none" w:pos="2055" w:val="left"/>
        </w:tabs>
        <w:numPr>
          <w:ilvl w:val="0"/>
          <w:numId w:val="312"/>
        </w:numPr>
        <w:rPr>
          <w:rFonts w:ascii="Arial" w:cs="Arial" w:eastAsia="Arial" w:hAnsi="Arial"/>
          <w:sz w:val="18"/>
          <w:szCs w:val="18"/>
          <w:color w:val="010000"/>
        </w:rPr>
      </w:pPr>
      <w:r>
        <w:rPr>
          <w:rFonts w:ascii="Arial" w:cs="Arial" w:eastAsia="Arial" w:hAnsi="Arial"/>
          <w:sz w:val="18"/>
          <w:szCs w:val="18"/>
          <w:color w:val="auto"/>
        </w:rPr>
        <w:t xml:space="preserve">If the Founders Earnout Payment is required to be made by Buyer pursuant to </w:t>
      </w:r>
      <w:r>
        <w:rPr>
          <w:rFonts w:ascii="Arial" w:cs="Arial" w:eastAsia="Arial" w:hAnsi="Arial"/>
          <w:sz w:val="18"/>
          <w:szCs w:val="18"/>
          <w:u w:val="single" w:color="auto"/>
          <w:color w:val="auto"/>
        </w:rPr>
        <w:t>Section 2.06(b)</w:t>
      </w:r>
      <w:r>
        <w:rPr>
          <w:rFonts w:ascii="Arial" w:cs="Arial" w:eastAsia="Arial" w:hAnsi="Arial"/>
          <w:sz w:val="18"/>
          <w:szCs w:val="18"/>
          <w:color w:val="auto"/>
        </w:rPr>
        <w:t>, such Founders Earnout Payment shall be made no later than 15 Business Days of the applicable Founders Earnout Calculation Delivery Date.</w:t>
      </w:r>
    </w:p>
    <w:p>
      <w:pPr>
        <w:spacing w:after="0" w:line="170" w:lineRule="exact"/>
        <w:rPr>
          <w:rFonts w:ascii="Arial" w:cs="Arial" w:eastAsia="Arial" w:hAnsi="Arial"/>
          <w:sz w:val="18"/>
          <w:szCs w:val="18"/>
          <w:color w:val="010000"/>
        </w:rPr>
      </w:pPr>
    </w:p>
    <w:p>
      <w:pPr>
        <w:jc w:val="both"/>
        <w:ind w:firstLine="1298"/>
        <w:spacing w:after="0" w:line="258" w:lineRule="auto"/>
        <w:tabs>
          <w:tab w:leader="none" w:pos="2058" w:val="left"/>
        </w:tabs>
        <w:numPr>
          <w:ilvl w:val="0"/>
          <w:numId w:val="312"/>
        </w:numPr>
        <w:rPr>
          <w:rFonts w:ascii="Arial" w:cs="Arial" w:eastAsia="Arial" w:hAnsi="Arial"/>
          <w:sz w:val="18"/>
          <w:szCs w:val="18"/>
          <w:color w:val="010000"/>
        </w:rPr>
      </w:pPr>
      <w:r>
        <w:rPr>
          <w:rFonts w:ascii="Arial" w:cs="Arial" w:eastAsia="Arial" w:hAnsi="Arial"/>
          <w:sz w:val="18"/>
          <w:szCs w:val="18"/>
          <w:color w:val="auto"/>
        </w:rPr>
        <w:t>Notwithstanding any other provision of this Agreement to the contrary, Buyer shall be entitled to deduct and withhold from the Founders Earnout Payment such amounts as it is required to deduct and withhold with respect to such Founders Earnout Payment under any provision of U.S. federal, state, local, or non-U.S. tax law. Any amounts so deducted and withheld shall be treated for all purposes of this Agreement as having been paid to the Person in respect of which such deduction and withholding was made.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FOUNDERS</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Founders represent and warrant to Priority that all of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as of the date hereof and as of the Effective Time.</w:t>
      </w:r>
    </w:p>
    <w:p>
      <w:pPr>
        <w:spacing w:after="0" w:line="171"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3.01 </w:t>
      </w:r>
      <w:r>
        <w:rPr>
          <w:rFonts w:ascii="Arial" w:cs="Arial" w:eastAsia="Arial" w:hAnsi="Arial"/>
          <w:sz w:val="18"/>
          <w:szCs w:val="18"/>
          <w:u w:val="single" w:color="auto"/>
          <w:color w:val="000000"/>
        </w:rPr>
        <w:t>Organization and Good Standing</w:t>
      </w:r>
      <w:r>
        <w:rPr>
          <w:rFonts w:ascii="Arial" w:cs="Arial" w:eastAsia="Arial" w:hAnsi="Arial"/>
          <w:sz w:val="18"/>
          <w:szCs w:val="18"/>
          <w:color w:val="000000"/>
        </w:rPr>
        <w:t>. Each Founder is a legal entity validly existing and in good standing under the laws of</w:t>
      </w:r>
      <w:r>
        <w:rPr>
          <w:rFonts w:ascii="Arial" w:cs="Arial" w:eastAsia="Arial" w:hAnsi="Arial"/>
          <w:sz w:val="18"/>
          <w:szCs w:val="18"/>
          <w:color w:val="010000"/>
        </w:rPr>
        <w:t xml:space="preserve"> </w:t>
      </w:r>
      <w:r>
        <w:rPr>
          <w:rFonts w:ascii="Arial" w:cs="Arial" w:eastAsia="Arial" w:hAnsi="Arial"/>
          <w:sz w:val="18"/>
          <w:szCs w:val="18"/>
          <w:color w:val="000000"/>
        </w:rPr>
        <w:t>the jurisdiction of its formation and has all requisite power and authority to own, lease and operate its properties and to carry on its business in all material respects as is now being conducted. Each Founder is duly qualified or licensed and (if applicable)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reasonably be expected to have, individually or in the aggregate, a Founder Material Adverse Effect.</w:t>
      </w:r>
    </w:p>
    <w:p>
      <w:pPr>
        <w:spacing w:after="0" w:line="191" w:lineRule="exact"/>
        <w:rPr>
          <w:sz w:val="20"/>
          <w:szCs w:val="20"/>
          <w:color w:val="auto"/>
        </w:rPr>
      </w:pPr>
    </w:p>
    <w:p>
      <w:pPr>
        <w:jc w:val="both"/>
        <w:ind w:firstLine="1290"/>
        <w:spacing w:after="0" w:line="289" w:lineRule="auto"/>
        <w:rPr>
          <w:sz w:val="20"/>
          <w:szCs w:val="20"/>
          <w:color w:val="auto"/>
        </w:rPr>
      </w:pPr>
      <w:r>
        <w:rPr>
          <w:rFonts w:ascii="Arial" w:cs="Arial" w:eastAsia="Arial" w:hAnsi="Arial"/>
          <w:sz w:val="16"/>
          <w:szCs w:val="16"/>
          <w:color w:val="010000"/>
        </w:rPr>
        <w:t xml:space="preserve">Section 3.02 </w:t>
      </w:r>
      <w:r>
        <w:rPr>
          <w:rFonts w:ascii="Arial" w:cs="Arial" w:eastAsia="Arial" w:hAnsi="Arial"/>
          <w:sz w:val="16"/>
          <w:szCs w:val="16"/>
          <w:u w:val="single" w:color="auto"/>
          <w:color w:val="000000"/>
        </w:rPr>
        <w:t>Authorization; Validity of Agreements</w:t>
      </w:r>
      <w:r>
        <w:rPr>
          <w:rFonts w:ascii="Arial" w:cs="Arial" w:eastAsia="Arial" w:hAnsi="Arial"/>
          <w:sz w:val="16"/>
          <w:szCs w:val="16"/>
          <w:color w:val="000000"/>
        </w:rPr>
        <w:t>. Each Founder and Buyer has the requisite power and authority to execute and</w:t>
      </w:r>
      <w:r>
        <w:rPr>
          <w:rFonts w:ascii="Arial" w:cs="Arial" w:eastAsia="Arial" w:hAnsi="Arial"/>
          <w:sz w:val="16"/>
          <w:szCs w:val="16"/>
          <w:color w:val="010000"/>
        </w:rPr>
        <w:t xml:space="preserve"> </w:t>
      </w:r>
      <w:r>
        <w:rPr>
          <w:rFonts w:ascii="Arial" w:cs="Arial" w:eastAsia="Arial" w:hAnsi="Arial"/>
          <w:sz w:val="16"/>
          <w:szCs w:val="16"/>
          <w:color w:val="000000"/>
        </w:rPr>
        <w:t>deliver, and perform its obligations under this Agreement and to consummate the transactions contemplated hereby. The execution, delivery and performance by each Founder and Buyer of this Agreement, and the consummation by such Founder and Buyer of the transactions contemplated hereby, have been duly authorized by such Founder and Buyer, and no other company proceedings on the part of such Founder or Buyer are necessary to authorize such Founder’s or Buyer's execution, delivery and performance of this Agreement or the consummation by such Founder or Buyer of the transactions contemplated hereby. This Agreement has been duly executed and delivered by each Founder and Buyer. Assuming the due and valid authorization, execution and delivery of this Agreement by the other Parties hereto, this Agreement constitutes a legal, valid and binding obligation of each Founder and Buyer, enforceable against such Founder and Buyer in accordance with its terms, subject to the Bankruptcy and Equity Exclusion.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5" w:name="page386"/>
    <w:bookmarkEnd w:id="385"/>
    <w:p>
      <w:pPr>
        <w:jc w:val="both"/>
        <w:ind w:firstLine="1290"/>
        <w:spacing w:after="0" w:line="269" w:lineRule="auto"/>
        <w:rPr>
          <w:sz w:val="20"/>
          <w:szCs w:val="20"/>
          <w:color w:val="auto"/>
        </w:rPr>
      </w:pPr>
      <w:r>
        <w:rPr>
          <w:rFonts w:ascii="Arial" w:cs="Arial" w:eastAsia="Arial" w:hAnsi="Arial"/>
          <w:sz w:val="17"/>
          <w:szCs w:val="17"/>
          <w:color w:val="010000"/>
        </w:rPr>
        <w:t xml:space="preserve">Section 3.03 </w:t>
      </w:r>
      <w:r>
        <w:rPr>
          <w:rFonts w:ascii="Arial" w:cs="Arial" w:eastAsia="Arial" w:hAnsi="Arial"/>
          <w:sz w:val="17"/>
          <w:szCs w:val="17"/>
          <w:u w:val="single" w:color="auto"/>
          <w:color w:val="000000"/>
        </w:rPr>
        <w:t>Consents and Approvals; No Violations</w:t>
      </w:r>
      <w:r>
        <w:rPr>
          <w:rFonts w:ascii="Arial" w:cs="Arial" w:eastAsia="Arial" w:hAnsi="Arial"/>
          <w:sz w:val="17"/>
          <w:szCs w:val="17"/>
          <w:color w:val="000000"/>
        </w:rPr>
        <w:t>. Neither the execution, delivery or performance by each Founder of this</w:t>
      </w:r>
      <w:r>
        <w:rPr>
          <w:rFonts w:ascii="Arial" w:cs="Arial" w:eastAsia="Arial" w:hAnsi="Arial"/>
          <w:sz w:val="17"/>
          <w:szCs w:val="17"/>
          <w:color w:val="010000"/>
        </w:rPr>
        <w:t xml:space="preserve"> </w:t>
      </w:r>
      <w:r>
        <w:rPr>
          <w:rFonts w:ascii="Arial" w:cs="Arial" w:eastAsia="Arial" w:hAnsi="Arial"/>
          <w:sz w:val="17"/>
          <w:szCs w:val="17"/>
          <w:color w:val="000000"/>
        </w:rPr>
        <w:t xml:space="preserve">Agreement, nor the consummation by such Founder or Buyer of the transactions contemplated hereby, will (a) conflict with or violate any provision of any Organizational Documents of any Founder or Buyer; (b) result in a breach of, or constitute (with or without due notice or lapse of time or both) a default or give rise to any right of termination, cancellation or acceleration under, any of the terms, conditions or provisions of any Contract to which any Founder or Buyer is a party or by which any Founder or Buyer or any of its properties or assets may be bound; (c) violate any Laws applicable to any Founder or Buyer or any of the properties or assets of any Founder or Buyer; (d) require on the part of any Founder or Buyer any filing or registration with, notification to, or authorization, consent or approval of, any Governmental Authority; or (e) result in the creation or imposition of any Lien (other than Permitted Liens) on any assets or properties of any Founder or Buyer, except, in the cases of clauses (b) through (e) of this </w:t>
      </w:r>
      <w:r>
        <w:rPr>
          <w:rFonts w:ascii="Arial" w:cs="Arial" w:eastAsia="Arial" w:hAnsi="Arial"/>
          <w:sz w:val="17"/>
          <w:szCs w:val="17"/>
          <w:u w:val="single" w:color="auto"/>
          <w:color w:val="000000"/>
        </w:rPr>
        <w:t>Section 3.03</w:t>
      </w:r>
      <w:r>
        <w:rPr>
          <w:rFonts w:ascii="Arial" w:cs="Arial" w:eastAsia="Arial" w:hAnsi="Arial"/>
          <w:sz w:val="17"/>
          <w:szCs w:val="17"/>
          <w:color w:val="000000"/>
        </w:rPr>
        <w:t>, as would not reasonably be expected to have, individually or in the aggregate, a Founder Material Adverse Effect.</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3.04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95" w:lineRule="auto"/>
        <w:tabs>
          <w:tab w:leader="none" w:pos="1978" w:val="left"/>
        </w:tabs>
        <w:numPr>
          <w:ilvl w:val="0"/>
          <w:numId w:val="313"/>
        </w:numPr>
        <w:rPr>
          <w:rFonts w:ascii="Arial" w:cs="Arial" w:eastAsia="Arial" w:hAnsi="Arial"/>
          <w:sz w:val="16"/>
          <w:szCs w:val="16"/>
          <w:color w:val="010000"/>
        </w:rPr>
      </w:pPr>
      <w:r>
        <w:rPr>
          <w:rFonts w:ascii="Arial" w:cs="Arial" w:eastAsia="Arial" w:hAnsi="Arial"/>
          <w:sz w:val="16"/>
          <w:szCs w:val="16"/>
          <w:color w:val="auto"/>
        </w:rPr>
        <w:t>Except for (i) this Agreement and the other Transaction Documents and (ii) the Organizational Documents of Founders and Buyer, neither Buyer nor any Founder has (A) granted any outstanding options, warrants, rights or other securities convertible into, or exchangeable or exercisable for, any Equity Interests of Buyer; (B) entered into any Contracts relating to the issuance, sale, transfer, voting or registration of any Equity Interests of Buyer, or options, warrants, rights or other securities convertible into, or exchangeable or exercisable for, any of the foregoing; or (C) granted or authorized any stock appreciation, phantom stock, profit participation or similar rights (in each case as to which Buyer has any outstanding liabilities or obligations).</w:t>
      </w:r>
    </w:p>
    <w:p>
      <w:pPr>
        <w:spacing w:after="0" w:line="159" w:lineRule="exact"/>
        <w:rPr>
          <w:rFonts w:ascii="Arial" w:cs="Arial" w:eastAsia="Arial" w:hAnsi="Arial"/>
          <w:sz w:val="16"/>
          <w:szCs w:val="16"/>
          <w:color w:val="010000"/>
        </w:rPr>
      </w:pPr>
    </w:p>
    <w:p>
      <w:pPr>
        <w:jc w:val="both"/>
        <w:ind w:firstLine="1298"/>
        <w:spacing w:after="0" w:line="262" w:lineRule="auto"/>
        <w:tabs>
          <w:tab w:leader="none" w:pos="1947" w:val="left"/>
        </w:tabs>
        <w:numPr>
          <w:ilvl w:val="0"/>
          <w:numId w:val="313"/>
        </w:numPr>
        <w:rPr>
          <w:rFonts w:ascii="Arial" w:cs="Arial" w:eastAsia="Arial" w:hAnsi="Arial"/>
          <w:sz w:val="18"/>
          <w:szCs w:val="18"/>
          <w:color w:val="010000"/>
        </w:rPr>
      </w:pPr>
      <w:r>
        <w:rPr>
          <w:rFonts w:ascii="Arial" w:cs="Arial" w:eastAsia="Arial" w:hAnsi="Arial"/>
          <w:sz w:val="18"/>
          <w:szCs w:val="18"/>
          <w:color w:val="auto"/>
        </w:rPr>
        <w:t xml:space="preserve">Each Founder is the holder of the Acquired SPAC Interests set forth across such Founder’s name on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attached hereto, and, at the Closing, assuming the performance by Priority of its obligations under </w:t>
      </w:r>
      <w:r>
        <w:rPr>
          <w:rFonts w:ascii="Arial" w:cs="Arial" w:eastAsia="Arial" w:hAnsi="Arial"/>
          <w:sz w:val="18"/>
          <w:szCs w:val="18"/>
          <w:u w:val="single" w:color="auto"/>
          <w:color w:val="auto"/>
        </w:rPr>
        <w:t>Section 2.05(a)</w:t>
      </w:r>
      <w:r>
        <w:rPr>
          <w:rFonts w:ascii="Arial" w:cs="Arial" w:eastAsia="Arial" w:hAnsi="Arial"/>
          <w:sz w:val="18"/>
          <w:szCs w:val="18"/>
          <w:color w:val="auto"/>
        </w:rPr>
        <w:t>, the Acquired SPAC Interests will be free and clear of all Liens (other than Permitted Liens).</w:t>
      </w:r>
    </w:p>
    <w:p>
      <w:pPr>
        <w:spacing w:after="0" w:line="182"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3.05 </w:t>
      </w:r>
      <w:r>
        <w:rPr>
          <w:rFonts w:ascii="Arial" w:cs="Arial" w:eastAsia="Arial" w:hAnsi="Arial"/>
          <w:sz w:val="18"/>
          <w:szCs w:val="18"/>
          <w:u w:val="single" w:color="auto"/>
          <w:color w:val="000000"/>
        </w:rPr>
        <w:t>Proceedings; Orders</w:t>
      </w:r>
      <w:r>
        <w:rPr>
          <w:rFonts w:ascii="Arial" w:cs="Arial" w:eastAsia="Arial" w:hAnsi="Arial"/>
          <w:sz w:val="18"/>
          <w:szCs w:val="18"/>
          <w:color w:val="000000"/>
        </w:rPr>
        <w:t>. There are no Proceedings pending or, to the Knowledge of Founders, threatened, against any</w:t>
      </w:r>
      <w:r>
        <w:rPr>
          <w:rFonts w:ascii="Arial" w:cs="Arial" w:eastAsia="Arial" w:hAnsi="Arial"/>
          <w:sz w:val="18"/>
          <w:szCs w:val="18"/>
          <w:color w:val="010000"/>
        </w:rPr>
        <w:t xml:space="preserve"> </w:t>
      </w:r>
      <w:r>
        <w:rPr>
          <w:rFonts w:ascii="Arial" w:cs="Arial" w:eastAsia="Arial" w:hAnsi="Arial"/>
          <w:sz w:val="18"/>
          <w:szCs w:val="18"/>
          <w:color w:val="000000"/>
        </w:rPr>
        <w:t>Founder, nor are there any Orders naming any Founder, or by which any Founder is bound, which remain outstanding or unsatisfied, except, in each case, as would not reasonably be expected to have, individually or in the aggregate, a Founders Material Adverse Effect.</w:t>
      </w:r>
    </w:p>
    <w:p>
      <w:pPr>
        <w:spacing w:after="0" w:line="182" w:lineRule="exact"/>
        <w:rPr>
          <w:sz w:val="20"/>
          <w:szCs w:val="20"/>
          <w:color w:val="auto"/>
        </w:rPr>
      </w:pPr>
    </w:p>
    <w:p>
      <w:pPr>
        <w:jc w:val="both"/>
        <w:ind w:firstLine="1290"/>
        <w:spacing w:after="0" w:line="340" w:lineRule="auto"/>
        <w:rPr>
          <w:sz w:val="20"/>
          <w:szCs w:val="20"/>
          <w:color w:val="auto"/>
        </w:rPr>
      </w:pPr>
      <w:r>
        <w:rPr>
          <w:rFonts w:ascii="Arial" w:cs="Arial" w:eastAsia="Arial" w:hAnsi="Arial"/>
          <w:sz w:val="16"/>
          <w:szCs w:val="16"/>
          <w:color w:val="010000"/>
        </w:rPr>
        <w:t xml:space="preserve">Section 3.06 </w:t>
      </w:r>
      <w:r>
        <w:rPr>
          <w:rFonts w:ascii="Arial" w:cs="Arial" w:eastAsia="Arial" w:hAnsi="Arial"/>
          <w:sz w:val="16"/>
          <w:szCs w:val="16"/>
          <w:u w:val="single" w:color="auto"/>
          <w:color w:val="000000"/>
        </w:rPr>
        <w:t>Brokers or Finders</w:t>
      </w:r>
      <w:r>
        <w:rPr>
          <w:rFonts w:ascii="Arial" w:cs="Arial" w:eastAsia="Arial" w:hAnsi="Arial"/>
          <w:sz w:val="16"/>
          <w:szCs w:val="16"/>
          <w:color w:val="000000"/>
        </w:rPr>
        <w:t>. There is no investment banker, broker, finder or other intermediary that has been retained by or is</w:t>
      </w:r>
      <w:r>
        <w:rPr>
          <w:rFonts w:ascii="Arial" w:cs="Arial" w:eastAsia="Arial" w:hAnsi="Arial"/>
          <w:sz w:val="16"/>
          <w:szCs w:val="16"/>
          <w:color w:val="010000"/>
        </w:rPr>
        <w:t xml:space="preserve"> </w:t>
      </w:r>
      <w:r>
        <w:rPr>
          <w:rFonts w:ascii="Arial" w:cs="Arial" w:eastAsia="Arial" w:hAnsi="Arial"/>
          <w:sz w:val="16"/>
          <w:szCs w:val="16"/>
          <w:color w:val="000000"/>
        </w:rPr>
        <w:t>authorized to act on behalf of Founders or Buyer who might be entitled to any fee or commission in connection with the transactions contemplated hereby.</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color w:val="010000"/>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PRIORITY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Priority represents and warrants to Founders that all of the statements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true as of the date hereof.</w:t>
      </w:r>
    </w:p>
    <w:p>
      <w:pPr>
        <w:spacing w:after="0" w:line="223"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010000"/>
        </w:rPr>
        <w:t xml:space="preserve">Section 4.01 </w:t>
      </w:r>
      <w:r>
        <w:rPr>
          <w:rFonts w:ascii="Arial" w:cs="Arial" w:eastAsia="Arial" w:hAnsi="Arial"/>
          <w:sz w:val="18"/>
          <w:szCs w:val="18"/>
          <w:u w:val="single" w:color="auto"/>
          <w:color w:val="000000"/>
        </w:rPr>
        <w:t>Organization and Good Standing</w:t>
      </w:r>
      <w:r>
        <w:rPr>
          <w:rFonts w:ascii="Arial" w:cs="Arial" w:eastAsia="Arial" w:hAnsi="Arial"/>
          <w:sz w:val="18"/>
          <w:szCs w:val="18"/>
          <w:color w:val="000000"/>
        </w:rPr>
        <w:t>. Priority is a Delaware limited liability company validly existing and in good standing</w:t>
      </w:r>
      <w:r>
        <w:rPr>
          <w:rFonts w:ascii="Arial" w:cs="Arial" w:eastAsia="Arial" w:hAnsi="Arial"/>
          <w:sz w:val="18"/>
          <w:szCs w:val="18"/>
          <w:color w:val="010000"/>
        </w:rPr>
        <w:t xml:space="preserve"> </w:t>
      </w:r>
      <w:r>
        <w:rPr>
          <w:rFonts w:ascii="Arial" w:cs="Arial" w:eastAsia="Arial" w:hAnsi="Arial"/>
          <w:sz w:val="18"/>
          <w:szCs w:val="18"/>
          <w:color w:val="000000"/>
        </w:rPr>
        <w:t>under the laws of the jurisdiction of its formation and has all requisite company power and authority to own, lease and operate its properties and to carry on its business as is now being conducted. Priority is duly qualified or licensed and in good standing to do business as a foreign limited liability company in each jurisdiction where such qualification is necessary, except for those jurisdictions where failure to be so qualified would not reasonably be expected to have, individually or in the aggregate, a Priority Material Adverse Effect.</w:t>
      </w:r>
    </w:p>
    <w:p>
      <w:pPr>
        <w:spacing w:after="0" w:line="191"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010000"/>
        </w:rPr>
        <w:t xml:space="preserve">Section 4.02 </w:t>
      </w:r>
      <w:r>
        <w:rPr>
          <w:rFonts w:ascii="Arial" w:cs="Arial" w:eastAsia="Arial" w:hAnsi="Arial"/>
          <w:sz w:val="17"/>
          <w:szCs w:val="17"/>
          <w:u w:val="single" w:color="auto"/>
          <w:color w:val="000000"/>
        </w:rPr>
        <w:t>Authorization; Validity of Agreement</w:t>
      </w:r>
      <w:r>
        <w:rPr>
          <w:rFonts w:ascii="Arial" w:cs="Arial" w:eastAsia="Arial" w:hAnsi="Arial"/>
          <w:sz w:val="17"/>
          <w:szCs w:val="17"/>
          <w:color w:val="000000"/>
        </w:rPr>
        <w:t>. Priority has the requisite company power and authority to execute and deliver, and</w:t>
      </w:r>
      <w:r>
        <w:rPr>
          <w:rFonts w:ascii="Arial" w:cs="Arial" w:eastAsia="Arial" w:hAnsi="Arial"/>
          <w:sz w:val="17"/>
          <w:szCs w:val="17"/>
          <w:color w:val="010000"/>
        </w:rPr>
        <w:t xml:space="preserve"> </w:t>
      </w:r>
      <w:r>
        <w:rPr>
          <w:rFonts w:ascii="Arial" w:cs="Arial" w:eastAsia="Arial" w:hAnsi="Arial"/>
          <w:sz w:val="17"/>
          <w:szCs w:val="17"/>
          <w:color w:val="000000"/>
        </w:rPr>
        <w:t>perform its obligations under this Agreement and to consummate the transactions contemplated hereby. The execution, delivery and performance by Priority of this Agreement, and the consummation by Priority of the transactions contemplated hereby, have been duly authorized by Priority, and no other company proceedings on the part of Priority are necessary to authorize Priority’s execution, delivery and performance of this Agreement or the consummation by Priority of the transactions contemplated hereby. This Agreement has been duly executed and delivered by Priority. Assuming the due and valid authorization, execution and delivery of this Agreement by the other Parties, this Agreement constitutes a legal, valid and binding obligation of Priority, enforceable against Priority in accordance with its terms, subject to the Bankruptcy and Equity Exclusion.</w:t>
      </w:r>
    </w:p>
    <w:p>
      <w:pPr>
        <w:spacing w:after="0" w:line="176" w:lineRule="exact"/>
        <w:rPr>
          <w:sz w:val="20"/>
          <w:szCs w:val="20"/>
          <w:color w:val="auto"/>
        </w:rPr>
      </w:pPr>
    </w:p>
    <w:p>
      <w:pPr>
        <w:jc w:val="both"/>
        <w:ind w:firstLine="1290"/>
        <w:spacing w:after="0" w:line="290" w:lineRule="auto"/>
        <w:rPr>
          <w:sz w:val="20"/>
          <w:szCs w:val="20"/>
          <w:color w:val="auto"/>
        </w:rPr>
      </w:pPr>
      <w:r>
        <w:rPr>
          <w:rFonts w:ascii="Arial" w:cs="Arial" w:eastAsia="Arial" w:hAnsi="Arial"/>
          <w:sz w:val="16"/>
          <w:szCs w:val="16"/>
          <w:color w:val="010000"/>
        </w:rPr>
        <w:t xml:space="preserve">Section 4.03 </w:t>
      </w:r>
      <w:r>
        <w:rPr>
          <w:rFonts w:ascii="Arial" w:cs="Arial" w:eastAsia="Arial" w:hAnsi="Arial"/>
          <w:sz w:val="16"/>
          <w:szCs w:val="16"/>
          <w:u w:val="single" w:color="auto"/>
          <w:color w:val="000000"/>
        </w:rPr>
        <w:t>Consents and Approvals; No Violations</w:t>
      </w:r>
      <w:r>
        <w:rPr>
          <w:rFonts w:ascii="Arial" w:cs="Arial" w:eastAsia="Arial" w:hAnsi="Arial"/>
          <w:sz w:val="16"/>
          <w:szCs w:val="16"/>
          <w:color w:val="000000"/>
        </w:rPr>
        <w:t>. Neither the execution, delivery or performance by Priority of any this Agreement,</w:t>
      </w:r>
      <w:r>
        <w:rPr>
          <w:rFonts w:ascii="Arial" w:cs="Arial" w:eastAsia="Arial" w:hAnsi="Arial"/>
          <w:sz w:val="16"/>
          <w:szCs w:val="16"/>
          <w:color w:val="010000"/>
        </w:rPr>
        <w:t xml:space="preserve"> </w:t>
      </w:r>
      <w:r>
        <w:rPr>
          <w:rFonts w:ascii="Arial" w:cs="Arial" w:eastAsia="Arial" w:hAnsi="Arial"/>
          <w:sz w:val="16"/>
          <w:szCs w:val="16"/>
          <w:color w:val="000000"/>
        </w:rPr>
        <w:t xml:space="preserve">nor the consummation by Priority of the transactions contemplated hereby, will (a) conflict with or violate any provision of any Organizational Documents of Priority, (b) result in a breach of, or constitute (with or without due notice or lapse of time or both) a default or give rise to any right of termination, cancellation or acceleration under, any of the terms, conditions or provisions of any Contract to which Priority is a party or by which Priority or any of its properties or assets may be bound, (c) violate any material Laws applicable to Priority or any of its material properties or assets, or (d) require on the part of Priority any filing or registration with, notification to, or authorization, consent or approval of, any Governmental Authority, except, in the cases of clauses (b) through (d) of this </w:t>
      </w:r>
      <w:r>
        <w:rPr>
          <w:rFonts w:ascii="Arial" w:cs="Arial" w:eastAsia="Arial" w:hAnsi="Arial"/>
          <w:sz w:val="16"/>
          <w:szCs w:val="16"/>
          <w:u w:val="single" w:color="auto"/>
          <w:color w:val="000000"/>
        </w:rPr>
        <w:t>Section 4.03</w:t>
      </w:r>
      <w:r>
        <w:rPr>
          <w:rFonts w:ascii="Arial" w:cs="Arial" w:eastAsia="Arial" w:hAnsi="Arial"/>
          <w:sz w:val="16"/>
          <w:szCs w:val="16"/>
          <w:color w:val="000000"/>
        </w:rPr>
        <w:t>, as would not reasonably be expected to have, individually or in the aggregate, a Priority Material Adverse Effect.</w:t>
      </w:r>
    </w:p>
    <w:p>
      <w:pPr>
        <w:spacing w:after="0" w:line="164"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010000"/>
        </w:rPr>
        <w:t xml:space="preserve">Section 4.04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There are no Proceedings pending or, to the Knowledge of Priority, threatened, against Priority, nor</w:t>
      </w:r>
      <w:r>
        <w:rPr>
          <w:rFonts w:ascii="Arial" w:cs="Arial" w:eastAsia="Arial" w:hAnsi="Arial"/>
          <w:sz w:val="17"/>
          <w:szCs w:val="17"/>
          <w:color w:val="010000"/>
        </w:rPr>
        <w:t xml:space="preserve"> </w:t>
      </w:r>
      <w:r>
        <w:rPr>
          <w:rFonts w:ascii="Arial" w:cs="Arial" w:eastAsia="Arial" w:hAnsi="Arial"/>
          <w:sz w:val="17"/>
          <w:szCs w:val="17"/>
          <w:color w:val="000000"/>
        </w:rPr>
        <w:t>are there any Orders naming Priority, or by which Priority or any of its Subsidiaries is bound, which remain outstanding or unsatisfied, except, in each case, as would not reasonably be expected to have, individually or in the aggregate, a Priority Material Adverse Effect.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7" w:name="page388"/>
    <w:bookmarkEnd w:id="387"/>
    <w:p>
      <w:pPr>
        <w:ind w:left="1300"/>
        <w:spacing w:after="0"/>
        <w:tabs>
          <w:tab w:leader="none" w:pos="2580" w:val="left"/>
        </w:tabs>
        <w:rPr>
          <w:sz w:val="20"/>
          <w:szCs w:val="20"/>
          <w:color w:val="auto"/>
        </w:rPr>
      </w:pPr>
      <w:r>
        <w:rPr>
          <w:rFonts w:ascii="Arial" w:cs="Arial" w:eastAsia="Arial" w:hAnsi="Arial"/>
          <w:sz w:val="18"/>
          <w:szCs w:val="18"/>
          <w:color w:val="010000"/>
        </w:rPr>
        <w:t>Section 4.05</w:t>
      </w:r>
      <w:r>
        <w:rPr>
          <w:sz w:val="20"/>
          <w:szCs w:val="20"/>
          <w:color w:val="auto"/>
        </w:rPr>
        <w:tab/>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w:t>
      </w:r>
    </w:p>
    <w:p>
      <w:pPr>
        <w:spacing w:after="0" w:line="223" w:lineRule="exact"/>
        <w:rPr>
          <w:sz w:val="20"/>
          <w:szCs w:val="20"/>
          <w:color w:val="auto"/>
        </w:rPr>
      </w:pPr>
    </w:p>
    <w:p>
      <w:pPr>
        <w:ind w:left="1940" w:hanging="642"/>
        <w:spacing w:after="0"/>
        <w:tabs>
          <w:tab w:leader="none" w:pos="1940" w:val="left"/>
        </w:tabs>
        <w:numPr>
          <w:ilvl w:val="0"/>
          <w:numId w:val="314"/>
        </w:numPr>
        <w:rPr>
          <w:rFonts w:ascii="Arial" w:cs="Arial" w:eastAsia="Arial" w:hAnsi="Arial"/>
          <w:sz w:val="17"/>
          <w:szCs w:val="17"/>
          <w:color w:val="010000"/>
        </w:rPr>
      </w:pPr>
      <w:r>
        <w:rPr>
          <w:rFonts w:ascii="Arial" w:cs="Arial" w:eastAsia="Arial" w:hAnsi="Arial"/>
          <w:sz w:val="17"/>
          <w:szCs w:val="17"/>
          <w:color w:val="auto"/>
        </w:rPr>
        <w:t>Priority is an “accredited investor” within the meaning of Section 506 of Regulation D promulgated under the Securities Act.</w:t>
      </w:r>
    </w:p>
    <w:p>
      <w:pPr>
        <w:spacing w:after="0" w:line="234" w:lineRule="exact"/>
        <w:rPr>
          <w:rFonts w:ascii="Arial" w:cs="Arial" w:eastAsia="Arial" w:hAnsi="Arial"/>
          <w:sz w:val="17"/>
          <w:szCs w:val="17"/>
          <w:color w:val="010000"/>
        </w:rPr>
      </w:pPr>
    </w:p>
    <w:p>
      <w:pPr>
        <w:jc w:val="both"/>
        <w:ind w:firstLine="1298"/>
        <w:spacing w:after="0" w:line="262" w:lineRule="auto"/>
        <w:tabs>
          <w:tab w:leader="none" w:pos="2001" w:val="left"/>
        </w:tabs>
        <w:numPr>
          <w:ilvl w:val="0"/>
          <w:numId w:val="314"/>
        </w:numPr>
        <w:rPr>
          <w:rFonts w:ascii="Arial" w:cs="Arial" w:eastAsia="Arial" w:hAnsi="Arial"/>
          <w:sz w:val="18"/>
          <w:szCs w:val="18"/>
          <w:color w:val="010000"/>
        </w:rPr>
      </w:pPr>
      <w:r>
        <w:rPr>
          <w:rFonts w:ascii="Arial" w:cs="Arial" w:eastAsia="Arial" w:hAnsi="Arial"/>
          <w:sz w:val="18"/>
          <w:szCs w:val="18"/>
          <w:color w:val="auto"/>
        </w:rPr>
        <w:t>The Acquired SPAC Interests will be acquired for investment for Priority’s own account and not with a view to the distribution of any part thereof (or participation therein) in violation of the Securities Act. Priority does not have any contract, undertaking or agreement with any Person to sell, transfer, or grant participations with respect to the Acquired SPAC Interests.</w:t>
      </w:r>
    </w:p>
    <w:p>
      <w:pPr>
        <w:spacing w:after="0" w:line="182" w:lineRule="exact"/>
        <w:rPr>
          <w:rFonts w:ascii="Arial" w:cs="Arial" w:eastAsia="Arial" w:hAnsi="Arial"/>
          <w:sz w:val="18"/>
          <w:szCs w:val="18"/>
          <w:color w:val="010000"/>
        </w:rPr>
      </w:pPr>
    </w:p>
    <w:p>
      <w:pPr>
        <w:ind w:right="20" w:firstLine="1298"/>
        <w:spacing w:after="0" w:line="275" w:lineRule="auto"/>
        <w:tabs>
          <w:tab w:leader="none" w:pos="1937" w:val="left"/>
        </w:tabs>
        <w:numPr>
          <w:ilvl w:val="0"/>
          <w:numId w:val="314"/>
        </w:numPr>
        <w:rPr>
          <w:rFonts w:ascii="Arial" w:cs="Arial" w:eastAsia="Arial" w:hAnsi="Arial"/>
          <w:sz w:val="18"/>
          <w:szCs w:val="18"/>
          <w:color w:val="010000"/>
        </w:rPr>
      </w:pPr>
      <w:r>
        <w:rPr>
          <w:rFonts w:ascii="Arial" w:cs="Arial" w:eastAsia="Arial" w:hAnsi="Arial"/>
          <w:sz w:val="18"/>
          <w:szCs w:val="18"/>
          <w:color w:val="auto"/>
        </w:rPr>
        <w:t>Priority’s financial condition is such that it is able to bear the risk of holding the Acquired SPAC Interests for an indefinite period of time and can bear the loss of its entire investment in the Acquired SPAC Interests.</w:t>
      </w:r>
    </w:p>
    <w:p>
      <w:pPr>
        <w:spacing w:after="0" w:line="170" w:lineRule="exact"/>
        <w:rPr>
          <w:rFonts w:ascii="Arial" w:cs="Arial" w:eastAsia="Arial" w:hAnsi="Arial"/>
          <w:sz w:val="18"/>
          <w:szCs w:val="18"/>
          <w:color w:val="010000"/>
        </w:rPr>
      </w:pPr>
    </w:p>
    <w:p>
      <w:pPr>
        <w:jc w:val="both"/>
        <w:ind w:firstLine="1298"/>
        <w:spacing w:after="0" w:line="262" w:lineRule="auto"/>
        <w:tabs>
          <w:tab w:leader="none" w:pos="1988" w:val="left"/>
        </w:tabs>
        <w:numPr>
          <w:ilvl w:val="0"/>
          <w:numId w:val="314"/>
        </w:numPr>
        <w:rPr>
          <w:rFonts w:ascii="Arial" w:cs="Arial" w:eastAsia="Arial" w:hAnsi="Arial"/>
          <w:sz w:val="18"/>
          <w:szCs w:val="18"/>
          <w:color w:val="010000"/>
        </w:rPr>
      </w:pPr>
      <w:r>
        <w:rPr>
          <w:rFonts w:ascii="Arial" w:cs="Arial" w:eastAsia="Arial" w:hAnsi="Arial"/>
          <w:sz w:val="18"/>
          <w:szCs w:val="18"/>
          <w:color w:val="auto"/>
        </w:rPr>
        <w:t>Priority (either alone or together with its advisors) has sufficient knowledge and experience in financial and business matters so as to be capable of evaluating the merits and risks of its investment in the Acquired SPAC Interests and is capable of bearing the economic risks of such investment.</w:t>
      </w:r>
    </w:p>
    <w:p>
      <w:pPr>
        <w:spacing w:after="0" w:line="182" w:lineRule="exact"/>
        <w:rPr>
          <w:rFonts w:ascii="Arial" w:cs="Arial" w:eastAsia="Arial" w:hAnsi="Arial"/>
          <w:sz w:val="18"/>
          <w:szCs w:val="18"/>
          <w:color w:val="010000"/>
        </w:rPr>
      </w:pPr>
    </w:p>
    <w:p>
      <w:pPr>
        <w:ind w:left="2060" w:hanging="762"/>
        <w:spacing w:after="0"/>
        <w:tabs>
          <w:tab w:leader="none" w:pos="2060" w:val="left"/>
        </w:tabs>
        <w:numPr>
          <w:ilvl w:val="0"/>
          <w:numId w:val="314"/>
        </w:numPr>
        <w:rPr>
          <w:rFonts w:ascii="Arial" w:cs="Arial" w:eastAsia="Arial" w:hAnsi="Arial"/>
          <w:sz w:val="16"/>
          <w:szCs w:val="16"/>
          <w:color w:val="010000"/>
        </w:rPr>
      </w:pPr>
      <w:r>
        <w:rPr>
          <w:rFonts w:ascii="Arial" w:cs="Arial" w:eastAsia="Arial" w:hAnsi="Arial"/>
          <w:sz w:val="16"/>
          <w:szCs w:val="16"/>
          <w:color w:val="auto"/>
        </w:rPr>
        <w:t>Priority acknowledges that the Acquired SPAC Interests have not been registered under the Securities Act or under any state or</w:t>
      </w:r>
    </w:p>
    <w:p>
      <w:pPr>
        <w:spacing w:after="0" w:line="45"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foreign securities Laws.</w:t>
      </w:r>
    </w:p>
    <w:p>
      <w:pPr>
        <w:spacing w:after="0" w:line="209"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4.06 </w:t>
      </w:r>
      <w:r>
        <w:rPr>
          <w:rFonts w:ascii="Arial" w:cs="Arial" w:eastAsia="Arial" w:hAnsi="Arial"/>
          <w:sz w:val="18"/>
          <w:szCs w:val="18"/>
          <w:u w:val="single" w:color="auto"/>
          <w:color w:val="000000"/>
        </w:rPr>
        <w:t>Brokers or Finders</w:t>
      </w:r>
      <w:r>
        <w:rPr>
          <w:rFonts w:ascii="Arial" w:cs="Arial" w:eastAsia="Arial" w:hAnsi="Arial"/>
          <w:sz w:val="18"/>
          <w:szCs w:val="18"/>
          <w:color w:val="000000"/>
        </w:rPr>
        <w:t>. Other than the Financial Advisor, there is no investment banker, broker, finder or other intermediary</w:t>
      </w:r>
      <w:r>
        <w:rPr>
          <w:rFonts w:ascii="Arial" w:cs="Arial" w:eastAsia="Arial" w:hAnsi="Arial"/>
          <w:sz w:val="18"/>
          <w:szCs w:val="18"/>
          <w:color w:val="010000"/>
        </w:rPr>
        <w:t xml:space="preserve"> </w:t>
      </w:r>
      <w:r>
        <w:rPr>
          <w:rFonts w:ascii="Arial" w:cs="Arial" w:eastAsia="Arial" w:hAnsi="Arial"/>
          <w:sz w:val="18"/>
          <w:szCs w:val="18"/>
          <w:color w:val="000000"/>
        </w:rPr>
        <w:t>that has been retained by or is authorized to act on behalf of Priority who might be entitled to any fee or commission in connection with the transactions contemplated hereby.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3" w:lineRule="exact"/>
        <w:rPr>
          <w:sz w:val="20"/>
          <w:szCs w:val="20"/>
          <w:color w:val="auto"/>
        </w:rPr>
      </w:pPr>
    </w:p>
    <w:p>
      <w:pPr>
        <w:jc w:val="both"/>
        <w:ind w:firstLine="1290"/>
        <w:spacing w:after="0" w:line="306" w:lineRule="auto"/>
        <w:rPr>
          <w:sz w:val="20"/>
          <w:szCs w:val="20"/>
          <w:color w:val="auto"/>
        </w:rPr>
      </w:pPr>
      <w:r>
        <w:rPr>
          <w:rFonts w:ascii="Arial" w:cs="Arial" w:eastAsia="Arial" w:hAnsi="Arial"/>
          <w:sz w:val="17"/>
          <w:szCs w:val="17"/>
          <w:color w:val="010000"/>
        </w:rPr>
        <w:t xml:space="preserve">Section 5.01 </w:t>
      </w:r>
      <w:r>
        <w:rPr>
          <w:rFonts w:ascii="Arial" w:cs="Arial" w:eastAsia="Arial" w:hAnsi="Arial"/>
          <w:sz w:val="17"/>
          <w:szCs w:val="17"/>
          <w:u w:val="single" w:color="auto"/>
          <w:color w:val="000000"/>
        </w:rPr>
        <w:t>Conduct of Buyer’s Business Pending the Closing</w:t>
      </w:r>
      <w:r>
        <w:rPr>
          <w:rFonts w:ascii="Arial" w:cs="Arial" w:eastAsia="Arial" w:hAnsi="Arial"/>
          <w:sz w:val="17"/>
          <w:szCs w:val="17"/>
          <w:color w:val="000000"/>
        </w:rPr>
        <w:t>. From the date hereof until the earlier of the Closing Date or the</w:t>
      </w:r>
      <w:r>
        <w:rPr>
          <w:rFonts w:ascii="Arial" w:cs="Arial" w:eastAsia="Arial" w:hAnsi="Arial"/>
          <w:sz w:val="17"/>
          <w:szCs w:val="17"/>
          <w:color w:val="010000"/>
        </w:rPr>
        <w:t xml:space="preserve"> </w:t>
      </w:r>
      <w:r>
        <w:rPr>
          <w:rFonts w:ascii="Arial" w:cs="Arial" w:eastAsia="Arial" w:hAnsi="Arial"/>
          <w:sz w:val="17"/>
          <w:szCs w:val="17"/>
          <w:color w:val="000000"/>
        </w:rPr>
        <w:t>termination of this Agreement, Founders will not, and will cause Buyer not to, take any action prohibited by Section 5.02 of the Contribution Agreement.</w:t>
      </w:r>
    </w:p>
    <w:p>
      <w:pPr>
        <w:spacing w:after="0" w:line="147"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5.02 </w:t>
      </w:r>
      <w:r>
        <w:rPr>
          <w:rFonts w:ascii="Arial" w:cs="Arial" w:eastAsia="Arial" w:hAnsi="Arial"/>
          <w:sz w:val="18"/>
          <w:szCs w:val="18"/>
          <w:u w:val="single" w:color="auto"/>
          <w:color w:val="000000"/>
        </w:rPr>
        <w:t>Reasonable Best Efforts; Further Assurances</w:t>
      </w:r>
      <w:r>
        <w:rPr>
          <w:rFonts w:ascii="Arial" w:cs="Arial" w:eastAsia="Arial" w:hAnsi="Arial"/>
          <w:sz w:val="18"/>
          <w:szCs w:val="18"/>
          <w:color w:val="000000"/>
        </w:rPr>
        <w:t>. Priority and Founders will use their respective reasonable best efforts to</w:t>
      </w:r>
      <w:r>
        <w:rPr>
          <w:rFonts w:ascii="Arial" w:cs="Arial" w:eastAsia="Arial" w:hAnsi="Arial"/>
          <w:sz w:val="18"/>
          <w:szCs w:val="18"/>
          <w:color w:val="010000"/>
        </w:rPr>
        <w:t xml:space="preserve"> </w:t>
      </w:r>
      <w:r>
        <w:rPr>
          <w:rFonts w:ascii="Arial" w:cs="Arial" w:eastAsia="Arial" w:hAnsi="Arial"/>
          <w:sz w:val="18"/>
          <w:szCs w:val="18"/>
          <w:color w:val="000000"/>
        </w:rPr>
        <w:t>take, or cause to be taken (including by causing any Affiliates to take actions), all actions and to do, or cause to be done, all things necessary or desirable under applicable Laws to consummate the transactions contemplated hereby.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8" w:name="page389"/>
    <w:bookmarkEnd w:id="388"/>
    <w:p>
      <w:pPr>
        <w:jc w:val="both"/>
        <w:ind w:firstLine="1290"/>
        <w:spacing w:after="0" w:line="254" w:lineRule="auto"/>
        <w:rPr>
          <w:sz w:val="20"/>
          <w:szCs w:val="20"/>
          <w:color w:val="auto"/>
        </w:rPr>
      </w:pPr>
      <w:r>
        <w:rPr>
          <w:rFonts w:ascii="Arial" w:cs="Arial" w:eastAsia="Arial" w:hAnsi="Arial"/>
          <w:sz w:val="18"/>
          <w:szCs w:val="18"/>
          <w:color w:val="010000"/>
        </w:rPr>
        <w:t xml:space="preserve">Section 5.03 </w:t>
      </w:r>
      <w:r>
        <w:rPr>
          <w:rFonts w:ascii="Arial" w:cs="Arial" w:eastAsia="Arial" w:hAnsi="Arial"/>
          <w:sz w:val="18"/>
          <w:szCs w:val="18"/>
          <w:u w:val="single" w:color="auto"/>
          <w:color w:val="000000"/>
        </w:rPr>
        <w:t>Public Announcements</w:t>
      </w:r>
      <w:r>
        <w:rPr>
          <w:rFonts w:ascii="Arial" w:cs="Arial" w:eastAsia="Arial" w:hAnsi="Arial"/>
          <w:sz w:val="18"/>
          <w:szCs w:val="18"/>
          <w:color w:val="000000"/>
        </w:rPr>
        <w:t>. Except for the Press Release, neither Priority nor any Founder shall issue any press release or</w:t>
      </w:r>
      <w:r>
        <w:rPr>
          <w:rFonts w:ascii="Arial" w:cs="Arial" w:eastAsia="Arial" w:hAnsi="Arial"/>
          <w:sz w:val="18"/>
          <w:szCs w:val="18"/>
          <w:color w:val="010000"/>
        </w:rPr>
        <w:t xml:space="preserve"> </w:t>
      </w:r>
      <w:r>
        <w:rPr>
          <w:rFonts w:ascii="Arial" w:cs="Arial" w:eastAsia="Arial" w:hAnsi="Arial"/>
          <w:sz w:val="18"/>
          <w:szCs w:val="18"/>
          <w:color w:val="000000"/>
        </w:rPr>
        <w:t xml:space="preserve">public announcement concerning this Agreement or the transactions contemplated hereby without obtaining the prior written approval of the other Parties (which approval shall not be unreasonably withheld, delayed or conditioned) unless, such Party is advised by outside legal counsel that disclosure is otherwise required by applicable Law;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to the extent any such disclosure is required by applicable Law, the Party intending to make such disclosure shall use reasonable best efforts consistent with applicable Law to consult with the other Parties with respect to the content and timing of any such disclosure before such disclosure is made.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CLOSING</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6.01 </w:t>
      </w:r>
      <w:r>
        <w:rPr>
          <w:rFonts w:ascii="Arial" w:cs="Arial" w:eastAsia="Arial" w:hAnsi="Arial"/>
          <w:sz w:val="18"/>
          <w:szCs w:val="18"/>
          <w:u w:val="single" w:color="auto"/>
          <w:color w:val="000000"/>
        </w:rPr>
        <w:t>Conditions to the Obligation of Priority</w:t>
      </w:r>
      <w:r>
        <w:rPr>
          <w:rFonts w:ascii="Arial" w:cs="Arial" w:eastAsia="Arial" w:hAnsi="Arial"/>
          <w:sz w:val="18"/>
          <w:szCs w:val="18"/>
          <w:color w:val="000000"/>
        </w:rPr>
        <w:t>. The obligation of Priority to consummate the closing of the transactions</w:t>
      </w:r>
      <w:r>
        <w:rPr>
          <w:rFonts w:ascii="Arial" w:cs="Arial" w:eastAsia="Arial" w:hAnsi="Arial"/>
          <w:sz w:val="18"/>
          <w:szCs w:val="18"/>
          <w:color w:val="010000"/>
        </w:rPr>
        <w:t xml:space="preserve"> </w:t>
      </w:r>
      <w:r>
        <w:rPr>
          <w:rFonts w:ascii="Arial" w:cs="Arial" w:eastAsia="Arial" w:hAnsi="Arial"/>
          <w:sz w:val="18"/>
          <w:szCs w:val="18"/>
          <w:color w:val="000000"/>
        </w:rPr>
        <w:t>contemplated hereby shall be subject to the satisfaction, or (to the extent permitted by applicable Law) waiver by Priority on or prior to the Effective Time, of one of the following conditions:</w:t>
      </w:r>
    </w:p>
    <w:p>
      <w:pPr>
        <w:spacing w:after="0" w:line="182" w:lineRule="exact"/>
        <w:rPr>
          <w:sz w:val="20"/>
          <w:szCs w:val="20"/>
          <w:color w:val="auto"/>
        </w:rPr>
      </w:pPr>
    </w:p>
    <w:p>
      <w:pPr>
        <w:ind w:firstLine="1298"/>
        <w:spacing w:after="0" w:line="275" w:lineRule="auto"/>
        <w:tabs>
          <w:tab w:leader="none" w:pos="2152" w:val="left"/>
        </w:tabs>
        <w:numPr>
          <w:ilvl w:val="0"/>
          <w:numId w:val="315"/>
        </w:numPr>
        <w:rPr>
          <w:rFonts w:ascii="Arial" w:cs="Arial" w:eastAsia="Arial" w:hAnsi="Arial"/>
          <w:sz w:val="18"/>
          <w:szCs w:val="18"/>
          <w:color w:val="010000"/>
        </w:rPr>
      </w:pPr>
      <w:r>
        <w:rPr>
          <w:rFonts w:ascii="Arial" w:cs="Arial" w:eastAsia="Arial" w:hAnsi="Arial"/>
          <w:sz w:val="18"/>
          <w:szCs w:val="18"/>
          <w:color w:val="auto"/>
        </w:rPr>
        <w:t>the satisfaction, or (to the extent permitted by applicable Law) waiver by the applicable Person as expressly set forth in the Contribution Agreement of each of the conditions set forth in Article VI of the Contribution Agreement; or</w:t>
      </w:r>
    </w:p>
    <w:p>
      <w:pPr>
        <w:spacing w:after="0" w:line="170" w:lineRule="exact"/>
        <w:rPr>
          <w:rFonts w:ascii="Arial" w:cs="Arial" w:eastAsia="Arial" w:hAnsi="Arial"/>
          <w:sz w:val="18"/>
          <w:szCs w:val="18"/>
          <w:color w:val="010000"/>
        </w:rPr>
      </w:pPr>
    </w:p>
    <w:p>
      <w:pPr>
        <w:ind w:right="20" w:firstLine="1298"/>
        <w:spacing w:after="0" w:line="275" w:lineRule="auto"/>
        <w:tabs>
          <w:tab w:leader="none" w:pos="2055" w:val="left"/>
        </w:tabs>
        <w:numPr>
          <w:ilvl w:val="0"/>
          <w:numId w:val="315"/>
        </w:numPr>
        <w:rPr>
          <w:rFonts w:ascii="Arial" w:cs="Arial" w:eastAsia="Arial" w:hAnsi="Arial"/>
          <w:sz w:val="18"/>
          <w:szCs w:val="18"/>
          <w:color w:val="010000"/>
        </w:rPr>
      </w:pPr>
      <w:r>
        <w:rPr>
          <w:rFonts w:ascii="Arial" w:cs="Arial" w:eastAsia="Arial" w:hAnsi="Arial"/>
          <w:sz w:val="18"/>
          <w:szCs w:val="18"/>
          <w:color w:val="auto"/>
        </w:rPr>
        <w:t xml:space="preserve">if (i) the Contribution Agreement is terminated pursuant to and in accordance with Article VII thereof and (ii) Priority does not have a right to terminate this Agreement pursuant to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7.01(c)</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w:t>
      </w:r>
    </w:p>
    <w:p>
      <w:pPr>
        <w:spacing w:after="0" w:line="223"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010000"/>
        </w:rPr>
        <w:t xml:space="preserve">Section 7.01 </w:t>
      </w:r>
      <w:r>
        <w:rPr>
          <w:rFonts w:ascii="Arial" w:cs="Arial" w:eastAsia="Arial" w:hAnsi="Arial"/>
          <w:sz w:val="18"/>
          <w:szCs w:val="18"/>
          <w:u w:val="single" w:color="auto"/>
          <w:color w:val="000000"/>
        </w:rPr>
        <w:t>Grounds for Termination</w:t>
      </w:r>
      <w:r>
        <w:rPr>
          <w:rFonts w:ascii="Arial" w:cs="Arial" w:eastAsia="Arial" w:hAnsi="Arial"/>
          <w:sz w:val="18"/>
          <w:szCs w:val="18"/>
          <w:color w:val="000000"/>
        </w:rPr>
        <w:t>. This Agreement may be terminated and the transactions contemplated hereby may be abandoned</w:t>
      </w:r>
      <w:r>
        <w:rPr>
          <w:rFonts w:ascii="Arial" w:cs="Arial" w:eastAsia="Arial" w:hAnsi="Arial"/>
          <w:sz w:val="18"/>
          <w:szCs w:val="18"/>
          <w:color w:val="010000"/>
        </w:rPr>
        <w:t xml:space="preserve"> </w:t>
      </w:r>
      <w:r>
        <w:rPr>
          <w:rFonts w:ascii="Arial" w:cs="Arial" w:eastAsia="Arial" w:hAnsi="Arial"/>
          <w:sz w:val="18"/>
          <w:szCs w:val="18"/>
          <w:color w:val="000000"/>
        </w:rPr>
        <w:t>at any time prior to the Closing:</w:t>
      </w:r>
    </w:p>
    <w:p>
      <w:pPr>
        <w:spacing w:after="0" w:line="171" w:lineRule="exact"/>
        <w:rPr>
          <w:sz w:val="20"/>
          <w:szCs w:val="20"/>
          <w:color w:val="auto"/>
        </w:rPr>
      </w:pPr>
    </w:p>
    <w:p>
      <w:pPr>
        <w:ind w:left="1940" w:hanging="642"/>
        <w:spacing w:after="0"/>
        <w:tabs>
          <w:tab w:leader="none" w:pos="1940" w:val="left"/>
        </w:tabs>
        <w:numPr>
          <w:ilvl w:val="1"/>
          <w:numId w:val="316"/>
        </w:numPr>
        <w:rPr>
          <w:rFonts w:ascii="Arial" w:cs="Arial" w:eastAsia="Arial" w:hAnsi="Arial"/>
          <w:sz w:val="18"/>
          <w:szCs w:val="18"/>
          <w:color w:val="010000"/>
        </w:rPr>
      </w:pPr>
      <w:r>
        <w:rPr>
          <w:rFonts w:ascii="Arial" w:cs="Arial" w:eastAsia="Arial" w:hAnsi="Arial"/>
          <w:sz w:val="18"/>
          <w:szCs w:val="18"/>
          <w:color w:val="auto"/>
        </w:rPr>
        <w:t>by the mutual written agreement of Founders and Priority;</w:t>
      </w:r>
    </w:p>
    <w:p>
      <w:pPr>
        <w:spacing w:after="0" w:line="223" w:lineRule="exact"/>
        <w:rPr>
          <w:rFonts w:ascii="Arial" w:cs="Arial" w:eastAsia="Arial" w:hAnsi="Arial"/>
          <w:sz w:val="18"/>
          <w:szCs w:val="18"/>
          <w:color w:val="010000"/>
        </w:rPr>
      </w:pPr>
    </w:p>
    <w:p>
      <w:pPr>
        <w:ind w:left="2220" w:hanging="922"/>
        <w:spacing w:after="0"/>
        <w:tabs>
          <w:tab w:leader="none" w:pos="2220" w:val="left"/>
        </w:tabs>
        <w:numPr>
          <w:ilvl w:val="1"/>
          <w:numId w:val="316"/>
        </w:numPr>
        <w:rPr>
          <w:rFonts w:ascii="Arial" w:cs="Arial" w:eastAsia="Arial" w:hAnsi="Arial"/>
          <w:sz w:val="17"/>
          <w:szCs w:val="17"/>
          <w:color w:val="010000"/>
        </w:rPr>
      </w:pPr>
      <w:r>
        <w:rPr>
          <w:rFonts w:ascii="Arial" w:cs="Arial" w:eastAsia="Arial" w:hAnsi="Arial"/>
          <w:sz w:val="17"/>
          <w:szCs w:val="17"/>
          <w:color w:val="auto"/>
        </w:rPr>
        <w:t>by Priority if (i) the Contribution Agreement is terminated by Sellers pursuant to subsection (e) of Section 7.01 thereof or</w:t>
      </w:r>
    </w:p>
    <w:p>
      <w:pPr>
        <w:spacing w:after="0" w:line="34" w:lineRule="exact"/>
        <w:rPr>
          <w:rFonts w:ascii="Arial" w:cs="Arial" w:eastAsia="Arial" w:hAnsi="Arial"/>
          <w:sz w:val="17"/>
          <w:szCs w:val="17"/>
          <w:color w:val="010000"/>
        </w:rPr>
      </w:pPr>
    </w:p>
    <w:p>
      <w:pPr>
        <w:jc w:val="both"/>
        <w:ind w:firstLine="8"/>
        <w:spacing w:after="0" w:line="254" w:lineRule="auto"/>
        <w:tabs>
          <w:tab w:leader="none" w:pos="29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the Contribution Agreement is terminated pursuant to any other subsection of Section 7.01 thereof and (B) at the time of such termination, the Contribution Agreement could have been terminated by Sellers pursuant to subsection (e) of Section 7.01 thereof (without giving effect to any notice or cure provisions with respect thereto; or</w:t>
      </w:r>
    </w:p>
    <w:p>
      <w:pPr>
        <w:spacing w:after="0" w:line="188" w:lineRule="exact"/>
        <w:rPr>
          <w:rFonts w:ascii="Arial" w:cs="Arial" w:eastAsia="Arial" w:hAnsi="Arial"/>
          <w:sz w:val="18"/>
          <w:szCs w:val="18"/>
          <w:color w:val="auto"/>
        </w:rPr>
      </w:pPr>
    </w:p>
    <w:p>
      <w:pPr>
        <w:ind w:left="1940" w:hanging="642"/>
        <w:spacing w:after="0"/>
        <w:tabs>
          <w:tab w:leader="none" w:pos="1940" w:val="left"/>
        </w:tabs>
        <w:numPr>
          <w:ilvl w:val="1"/>
          <w:numId w:val="317"/>
        </w:numPr>
        <w:rPr>
          <w:rFonts w:ascii="Arial" w:cs="Arial" w:eastAsia="Arial" w:hAnsi="Arial"/>
          <w:sz w:val="16"/>
          <w:szCs w:val="16"/>
          <w:color w:val="010000"/>
        </w:rPr>
      </w:pPr>
      <w:r>
        <w:rPr>
          <w:rFonts w:ascii="Arial" w:cs="Arial" w:eastAsia="Arial" w:hAnsi="Arial"/>
          <w:sz w:val="16"/>
          <w:szCs w:val="16"/>
          <w:color w:val="auto"/>
        </w:rPr>
        <w:t>by Priority if there has been a material breach by Founders of any representation, warranty, covenant or agreement set forth herein.</w:t>
      </w:r>
    </w:p>
    <w:p>
      <w:pPr>
        <w:spacing w:after="0" w:line="246"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010000"/>
        </w:rPr>
        <w:t xml:space="preserve">Section 7.02 </w:t>
      </w:r>
      <w:r>
        <w:rPr>
          <w:rFonts w:ascii="Arial" w:cs="Arial" w:eastAsia="Arial" w:hAnsi="Arial"/>
          <w:sz w:val="18"/>
          <w:szCs w:val="18"/>
          <w:u w:val="single" w:color="auto"/>
          <w:color w:val="000000"/>
        </w:rPr>
        <w:t>Effect of Termination</w:t>
      </w:r>
      <w:r>
        <w:rPr>
          <w:rFonts w:ascii="Arial" w:cs="Arial" w:eastAsia="Arial" w:hAnsi="Arial"/>
          <w:sz w:val="18"/>
          <w:szCs w:val="18"/>
          <w:color w:val="000000"/>
        </w:rPr>
        <w:t>. If this Agreement is terminated and the transactions contemplated hereby are abandoned in</w:t>
      </w:r>
      <w:r>
        <w:rPr>
          <w:rFonts w:ascii="Arial" w:cs="Arial" w:eastAsia="Arial" w:hAnsi="Arial"/>
          <w:sz w:val="18"/>
          <w:szCs w:val="18"/>
          <w:color w:val="010000"/>
        </w:rPr>
        <w:t xml:space="preserve"> </w:t>
      </w:r>
      <w:r>
        <w:rPr>
          <w:rFonts w:ascii="Arial" w:cs="Arial" w:eastAsia="Arial" w:hAnsi="Arial"/>
          <w:sz w:val="18"/>
          <w:szCs w:val="18"/>
          <w:color w:val="000000"/>
        </w:rPr>
        <w:t xml:space="preserve">accordance with </w:t>
      </w:r>
      <w:r>
        <w:rPr>
          <w:rFonts w:ascii="Arial" w:cs="Arial" w:eastAsia="Arial" w:hAnsi="Arial"/>
          <w:sz w:val="18"/>
          <w:szCs w:val="18"/>
          <w:u w:val="single" w:color="auto"/>
          <w:color w:val="000000"/>
        </w:rPr>
        <w:t>Section 7.01</w:t>
      </w:r>
      <w:r>
        <w:rPr>
          <w:rFonts w:ascii="Arial" w:cs="Arial" w:eastAsia="Arial" w:hAnsi="Arial"/>
          <w:sz w:val="18"/>
          <w:szCs w:val="18"/>
          <w:color w:val="000000"/>
        </w:rPr>
        <w:t xml:space="preserve">, this Agreement shall become void and of no further force and effect (other than </w:t>
      </w:r>
      <w:r>
        <w:rPr>
          <w:rFonts w:ascii="Arial" w:cs="Arial" w:eastAsia="Arial" w:hAnsi="Arial"/>
          <w:sz w:val="18"/>
          <w:szCs w:val="18"/>
          <w:u w:val="single" w:color="auto"/>
          <w:color w:val="000000"/>
        </w:rPr>
        <w:t>Section 5.03</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7.02</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ARTICLE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VIII</w:t>
      </w:r>
      <w:r>
        <w:rPr>
          <w:rFonts w:ascii="Arial" w:cs="Arial" w:eastAsia="Arial" w:hAnsi="Arial"/>
          <w:sz w:val="18"/>
          <w:szCs w:val="18"/>
          <w:color w:val="000000"/>
        </w:rPr>
        <w:t xml:space="preserve">, each of which shall survive the termination of this Agreement and be enforceable by the Parties), and there shall be no liability or obligation on the part of any Party to the other Party. Nothing in this </w:t>
      </w:r>
      <w:r>
        <w:rPr>
          <w:rFonts w:ascii="Arial" w:cs="Arial" w:eastAsia="Arial" w:hAnsi="Arial"/>
          <w:sz w:val="18"/>
          <w:szCs w:val="18"/>
          <w:u w:val="single" w:color="auto"/>
          <w:color w:val="000000"/>
        </w:rPr>
        <w:t>ARTICLE VII</w:t>
      </w:r>
      <w:r>
        <w:rPr>
          <w:rFonts w:ascii="Arial" w:cs="Arial" w:eastAsia="Arial" w:hAnsi="Arial"/>
          <w:sz w:val="18"/>
          <w:szCs w:val="18"/>
          <w:color w:val="000000"/>
        </w:rPr>
        <w:t xml:space="preserve"> shall be deemed to impair the right of either Party to compel specific performance by the other Party of its obligations under this Agreement.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9" w:name="page390"/>
    <w:bookmarkEnd w:id="389"/>
    <w:p>
      <w:pPr>
        <w:jc w:val="center"/>
        <w:ind w:right="-19"/>
        <w:spacing w:after="0"/>
        <w:rPr>
          <w:sz w:val="20"/>
          <w:szCs w:val="20"/>
          <w:color w:val="auto"/>
        </w:rPr>
      </w:pPr>
      <w:r>
        <w:rPr>
          <w:rFonts w:ascii="Arial" w:cs="Arial" w:eastAsia="Arial" w:hAnsi="Arial"/>
          <w:sz w:val="18"/>
          <w:szCs w:val="18"/>
          <w:color w:val="010000"/>
        </w:rPr>
        <w:t>ARTICLE VIII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3"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8.01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consents and other communications hereunder (a) shall be in writing; (b) shall be deemed to have</w:t>
      </w:r>
      <w:r>
        <w:rPr>
          <w:rFonts w:ascii="Arial" w:cs="Arial" w:eastAsia="Arial" w:hAnsi="Arial"/>
          <w:sz w:val="18"/>
          <w:szCs w:val="18"/>
          <w:color w:val="010000"/>
        </w:rPr>
        <w:t xml:space="preserve"> </w:t>
      </w:r>
      <w:r>
        <w:rPr>
          <w:rFonts w:ascii="Arial" w:cs="Arial" w:eastAsia="Arial" w:hAnsi="Arial"/>
          <w:sz w:val="18"/>
          <w:szCs w:val="18"/>
          <w:color w:val="000000"/>
        </w:rPr>
        <w:t xml:space="preserve">been duly given (i) when delivered by hand or by Federal Express or a similar overnight courier to the address for such Party set forth below; (ii) five (5) days after being post-marked by the United States Postal Service enclosed in a postage-prepaid, registered or certified envelope addressed to the address of such Party set forth below; or (iii) when successfully transmitted by email to the email address for such Party set forth below; and (c) shall be sent to the following addresses or email addresses (or at such other address or email address for a Party as shall be specified by like notice;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any notice of change of email address shall be effective only upon receipt):</w:t>
      </w:r>
    </w:p>
    <w:p>
      <w:pPr>
        <w:spacing w:after="0" w:line="191" w:lineRule="exact"/>
        <w:rPr>
          <w:sz w:val="20"/>
          <w:szCs w:val="20"/>
          <w:color w:val="auto"/>
        </w:rPr>
      </w:pPr>
    </w:p>
    <w:p>
      <w:pPr>
        <w:ind w:left="1920" w:hanging="622"/>
        <w:spacing w:after="0"/>
        <w:tabs>
          <w:tab w:leader="none" w:pos="1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if to Priority,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PSD Partners</w:t>
      </w:r>
    </w:p>
    <w:p>
      <w:pPr>
        <w:ind w:left="1940"/>
        <w:spacing w:after="0" w:line="201" w:lineRule="auto"/>
        <w:rPr>
          <w:sz w:val="20"/>
          <w:szCs w:val="20"/>
          <w:color w:val="auto"/>
        </w:rPr>
      </w:pPr>
      <w:r>
        <w:rPr>
          <w:rFonts w:ascii="Arial" w:cs="Arial" w:eastAsia="Arial" w:hAnsi="Arial"/>
          <w:sz w:val="18"/>
          <w:szCs w:val="18"/>
          <w:color w:val="auto"/>
        </w:rPr>
        <w:t>19 West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1416</w:t>
      </w:r>
    </w:p>
    <w:p>
      <w:pPr>
        <w:ind w:left="194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18"/>
          <w:szCs w:val="18"/>
          <w:color w:val="auto"/>
        </w:rPr>
        <w:t>Email:</w:t>
        <w:tab/>
        <w:t>tpriore@pps.io</w:t>
      </w:r>
    </w:p>
    <w:p>
      <w:pPr>
        <w:spacing w:after="0" w:line="8"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0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copy (which shall not constitute notice)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10022</w:t>
      </w:r>
    </w:p>
    <w:p>
      <w:pPr>
        <w:spacing w:after="0" w:line="8"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18"/>
          <w:szCs w:val="18"/>
          <w:color w:val="auto"/>
        </w:rPr>
        <w:t>Email:</w:t>
        <w:tab/>
        <w:t>michael.gilligan@srz.com</w:t>
      </w:r>
    </w:p>
    <w:p>
      <w:pPr>
        <w:spacing w:after="0" w:line="8"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09" w:lineRule="exact"/>
        <w:rPr>
          <w:sz w:val="20"/>
          <w:szCs w:val="20"/>
          <w:color w:val="auto"/>
        </w:rPr>
      </w:pPr>
    </w:p>
    <w:p>
      <w:pPr>
        <w:ind w:left="1920" w:hanging="622"/>
        <w:spacing w:after="0"/>
        <w:tabs>
          <w:tab w:leader="none" w:pos="1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to Founders,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Magna Management, LLC</w:t>
      </w:r>
    </w:p>
    <w:p>
      <w:pPr>
        <w:ind w:left="1940"/>
        <w:spacing w:after="0" w:line="201" w:lineRule="auto"/>
        <w:rPr>
          <w:sz w:val="20"/>
          <w:szCs w:val="20"/>
          <w:color w:val="auto"/>
        </w:rPr>
      </w:pPr>
      <w:r>
        <w:rPr>
          <w:rFonts w:ascii="Arial" w:cs="Arial" w:eastAsia="Arial" w:hAnsi="Arial"/>
          <w:sz w:val="18"/>
          <w:szCs w:val="18"/>
          <w:color w:val="auto"/>
        </w:rPr>
        <w:t>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940"/>
        <w:spacing w:after="0"/>
        <w:rPr>
          <w:sz w:val="20"/>
          <w:szCs w:val="20"/>
          <w:color w:val="auto"/>
        </w:rPr>
      </w:pPr>
      <w:r>
        <w:rPr>
          <w:rFonts w:ascii="Arial" w:cs="Arial" w:eastAsia="Arial" w:hAnsi="Arial"/>
          <w:sz w:val="18"/>
          <w:szCs w:val="18"/>
          <w:color w:val="auto"/>
        </w:rPr>
        <w:t>New York, New York 10005</w:t>
      </w:r>
    </w:p>
    <w:p>
      <w:pPr>
        <w:spacing w:after="0" w:line="7"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18"/>
          <w:szCs w:val="18"/>
          <w:color w:val="auto"/>
        </w:rPr>
        <w:t>Email:</w:t>
        <w:tab/>
        <w:t>marc.manuel@mag.na</w:t>
      </w:r>
    </w:p>
    <w:p>
      <w:pPr>
        <w:spacing w:after="0" w:line="8"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Marc Manuel</w:t>
      </w:r>
    </w:p>
    <w:p>
      <w:pPr>
        <w:spacing w:after="0" w:line="20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(which shall not constitute notice)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Park Avenue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10154</w:t>
      </w:r>
    </w:p>
    <w:p>
      <w:pPr>
        <w:spacing w:after="0" w:line="8"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18"/>
          <w:szCs w:val="18"/>
          <w:color w:val="auto"/>
        </w:rPr>
        <w:t>Email:</w:t>
        <w:tab/>
        <w:t>gcaruso@loeb.com</w:t>
      </w:r>
    </w:p>
    <w:p>
      <w:pPr>
        <w:spacing w:after="0" w:line="8"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Giovanni Caruso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0" w:name="page391"/>
    <w:bookmarkEnd w:id="390"/>
    <w:p>
      <w:pPr>
        <w:jc w:val="both"/>
        <w:ind w:right="20" w:firstLine="1290"/>
        <w:spacing w:after="0" w:line="275" w:lineRule="auto"/>
        <w:rPr>
          <w:sz w:val="20"/>
          <w:szCs w:val="20"/>
          <w:color w:val="auto"/>
        </w:rPr>
      </w:pPr>
      <w:r>
        <w:rPr>
          <w:rFonts w:ascii="Arial" w:cs="Arial" w:eastAsia="Arial" w:hAnsi="Arial"/>
          <w:sz w:val="18"/>
          <w:szCs w:val="18"/>
          <w:color w:val="010000"/>
        </w:rPr>
        <w:t xml:space="preserve">Section 8.02 </w:t>
      </w:r>
      <w:r>
        <w:rPr>
          <w:rFonts w:ascii="Arial" w:cs="Arial" w:eastAsia="Arial" w:hAnsi="Arial"/>
          <w:sz w:val="18"/>
          <w:szCs w:val="18"/>
          <w:u w:val="single" w:color="auto"/>
          <w:color w:val="000000"/>
        </w:rPr>
        <w:t>Amendments and Modifications</w:t>
      </w:r>
      <w:r>
        <w:rPr>
          <w:rFonts w:ascii="Arial" w:cs="Arial" w:eastAsia="Arial" w:hAnsi="Arial"/>
          <w:sz w:val="18"/>
          <w:szCs w:val="18"/>
          <w:color w:val="000000"/>
        </w:rPr>
        <w:t>. Any provision of this Agreement may be amended or modified only by a written</w:t>
      </w:r>
      <w:r>
        <w:rPr>
          <w:rFonts w:ascii="Arial" w:cs="Arial" w:eastAsia="Arial" w:hAnsi="Arial"/>
          <w:sz w:val="18"/>
          <w:szCs w:val="18"/>
          <w:color w:val="010000"/>
        </w:rPr>
        <w:t xml:space="preserve"> </w:t>
      </w:r>
      <w:r>
        <w:rPr>
          <w:rFonts w:ascii="Arial" w:cs="Arial" w:eastAsia="Arial" w:hAnsi="Arial"/>
          <w:sz w:val="18"/>
          <w:szCs w:val="18"/>
          <w:color w:val="000000"/>
        </w:rPr>
        <w:t>instrument signed by each Party.</w:t>
      </w:r>
    </w:p>
    <w:p>
      <w:pPr>
        <w:spacing w:after="0" w:line="171"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8.03 </w:t>
      </w:r>
      <w:r>
        <w:rPr>
          <w:rFonts w:ascii="Arial" w:cs="Arial" w:eastAsia="Arial" w:hAnsi="Arial"/>
          <w:sz w:val="18"/>
          <w:szCs w:val="18"/>
          <w:u w:val="single" w:color="auto"/>
          <w:color w:val="000000"/>
        </w:rPr>
        <w:t>Waiver</w:t>
      </w:r>
      <w:r>
        <w:rPr>
          <w:rFonts w:ascii="Arial" w:cs="Arial" w:eastAsia="Arial" w:hAnsi="Arial"/>
          <w:sz w:val="18"/>
          <w:szCs w:val="18"/>
          <w:color w:val="000000"/>
        </w:rPr>
        <w:t>. No waiver hereunder shall be valid or binding unless set forth in writing and duly executed by the Party against</w:t>
      </w:r>
      <w:r>
        <w:rPr>
          <w:rFonts w:ascii="Arial" w:cs="Arial" w:eastAsia="Arial" w:hAnsi="Arial"/>
          <w:sz w:val="18"/>
          <w:szCs w:val="18"/>
          <w:color w:val="010000"/>
        </w:rPr>
        <w:t xml:space="preserve"> </w:t>
      </w:r>
      <w:r>
        <w:rPr>
          <w:rFonts w:ascii="Arial" w:cs="Arial" w:eastAsia="Arial" w:hAnsi="Arial"/>
          <w:sz w:val="18"/>
          <w:szCs w:val="18"/>
          <w:color w:val="000000"/>
        </w:rPr>
        <w:t>whom enforcement of the waiver is sought. Any such waiver shall constitute a waiver only with respect to the specific matter described in such writing and shall in no way impair the rights of the Party granting such waiver in any other respect or at any other time. Neither the waiver by any Party of a breach of or a default under any provision of this Agreement, nor the failure by any Party,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191" w:lineRule="exact"/>
        <w:rPr>
          <w:sz w:val="20"/>
          <w:szCs w:val="20"/>
          <w:color w:val="auto"/>
        </w:rPr>
      </w:pPr>
    </w:p>
    <w:p>
      <w:pPr>
        <w:jc w:val="both"/>
        <w:ind w:firstLine="1290"/>
        <w:spacing w:after="0" w:line="274" w:lineRule="auto"/>
        <w:rPr>
          <w:sz w:val="20"/>
          <w:szCs w:val="20"/>
          <w:color w:val="auto"/>
        </w:rPr>
      </w:pPr>
      <w:r>
        <w:rPr>
          <w:rFonts w:ascii="Arial" w:cs="Arial" w:eastAsia="Arial" w:hAnsi="Arial"/>
          <w:sz w:val="17"/>
          <w:szCs w:val="17"/>
          <w:color w:val="010000"/>
        </w:rPr>
        <w:t xml:space="preserve">Section 8.04 </w:t>
      </w:r>
      <w:r>
        <w:rPr>
          <w:rFonts w:ascii="Arial" w:cs="Arial" w:eastAsia="Arial" w:hAnsi="Arial"/>
          <w:sz w:val="17"/>
          <w:szCs w:val="17"/>
          <w:u w:val="single" w:color="auto"/>
          <w:color w:val="000000"/>
        </w:rPr>
        <w:t>Expenses</w:t>
      </w:r>
      <w:r>
        <w:rPr>
          <w:rFonts w:ascii="Arial" w:cs="Arial" w:eastAsia="Arial" w:hAnsi="Arial"/>
          <w:sz w:val="17"/>
          <w:szCs w:val="17"/>
          <w:color w:val="000000"/>
        </w:rPr>
        <w:t>. Except as otherwise expressly provided herein, all costs and expenses incurred in connection with the</w:t>
      </w:r>
      <w:r>
        <w:rPr>
          <w:rFonts w:ascii="Arial" w:cs="Arial" w:eastAsia="Arial" w:hAnsi="Arial"/>
          <w:sz w:val="17"/>
          <w:szCs w:val="17"/>
          <w:color w:val="010000"/>
        </w:rPr>
        <w:t xml:space="preserve"> </w:t>
      </w:r>
      <w:r>
        <w:rPr>
          <w:rFonts w:ascii="Arial" w:cs="Arial" w:eastAsia="Arial" w:hAnsi="Arial"/>
          <w:sz w:val="17"/>
          <w:szCs w:val="17"/>
          <w:color w:val="000000"/>
        </w:rPr>
        <w:t xml:space="preserve">preparation, negotiation and execution of this Agreement, and the consummation of the transactions contemplated hereby, including any advisor fees and expenses, whether or not the transactions contemplated hereby are consummated, shall be paid by the Person incurring such cost or expense;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8.04</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7.02</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75"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010000"/>
        </w:rPr>
        <w:t xml:space="preserve">Section 8.05 </w:t>
      </w:r>
      <w:r>
        <w:rPr>
          <w:rFonts w:ascii="Arial" w:cs="Arial" w:eastAsia="Arial" w:hAnsi="Arial"/>
          <w:sz w:val="18"/>
          <w:szCs w:val="18"/>
          <w:u w:val="single" w:color="auto"/>
          <w:color w:val="000000"/>
        </w:rPr>
        <w:t>Assignment</w:t>
      </w:r>
      <w:r>
        <w:rPr>
          <w:rFonts w:ascii="Arial" w:cs="Arial" w:eastAsia="Arial" w:hAnsi="Arial"/>
          <w:sz w:val="18"/>
          <w:szCs w:val="18"/>
          <w:color w:val="000000"/>
        </w:rPr>
        <w:t>. Neither this Agreement nor any rights, interests or obligations hereunder shall be assigned by any Party</w:t>
      </w:r>
      <w:r>
        <w:rPr>
          <w:rFonts w:ascii="Arial" w:cs="Arial" w:eastAsia="Arial" w:hAnsi="Arial"/>
          <w:sz w:val="18"/>
          <w:szCs w:val="18"/>
          <w:color w:val="010000"/>
        </w:rPr>
        <w:t xml:space="preserve"> </w:t>
      </w:r>
      <w:r>
        <w:rPr>
          <w:rFonts w:ascii="Arial" w:cs="Arial" w:eastAsia="Arial" w:hAnsi="Arial"/>
          <w:sz w:val="18"/>
          <w:szCs w:val="18"/>
          <w:color w:val="000000"/>
        </w:rPr>
        <w:t xml:space="preserve">(whether by operation of law or otherwise) without the prior written consent of the other Party, and any purported assignment without such consent shall be null and void </w:t>
      </w:r>
      <w:r>
        <w:rPr>
          <w:rFonts w:ascii="Arial" w:cs="Arial" w:eastAsia="Arial" w:hAnsi="Arial"/>
          <w:sz w:val="18"/>
          <w:szCs w:val="18"/>
          <w:i w:val="1"/>
          <w:iCs w:val="1"/>
          <w:color w:val="000000"/>
        </w:rPr>
        <w:t>ab initio</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notwithstanding the foregoing, Priority may assign any of its rights, interests or obligations hereunder to any of its Affiliates.</w:t>
      </w:r>
    </w:p>
    <w:p>
      <w:pPr>
        <w:spacing w:after="0" w:line="185"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8.06 </w:t>
      </w:r>
      <w:r>
        <w:rPr>
          <w:rFonts w:ascii="Arial" w:cs="Arial" w:eastAsia="Arial" w:hAnsi="Arial"/>
          <w:sz w:val="18"/>
          <w:szCs w:val="18"/>
          <w:u w:val="single" w:color="auto"/>
          <w:color w:val="000000"/>
        </w:rPr>
        <w:t>Parties in Interest</w:t>
      </w:r>
      <w:r>
        <w:rPr>
          <w:rFonts w:ascii="Arial" w:cs="Arial" w:eastAsia="Arial" w:hAnsi="Arial"/>
          <w:sz w:val="18"/>
          <w:szCs w:val="18"/>
          <w:color w:val="000000"/>
        </w:rPr>
        <w:t>. This Agreement will be binding upon, inure solely to the benefit of and be enforceable by the Parties</w:t>
      </w:r>
      <w:r>
        <w:rPr>
          <w:rFonts w:ascii="Arial" w:cs="Arial" w:eastAsia="Arial" w:hAnsi="Arial"/>
          <w:sz w:val="18"/>
          <w:szCs w:val="18"/>
          <w:color w:val="010000"/>
        </w:rPr>
        <w:t xml:space="preserve"> </w:t>
      </w:r>
      <w:r>
        <w:rPr>
          <w:rFonts w:ascii="Arial" w:cs="Arial" w:eastAsia="Arial" w:hAnsi="Arial"/>
          <w:sz w:val="18"/>
          <w:szCs w:val="18"/>
          <w:color w:val="000000"/>
        </w:rPr>
        <w:t xml:space="preserve">and their respective successors and permitted assigns, except to the extent otherwise provided in </w:t>
      </w:r>
      <w:r>
        <w:rPr>
          <w:rFonts w:ascii="Arial" w:cs="Arial" w:eastAsia="Arial" w:hAnsi="Arial"/>
          <w:sz w:val="18"/>
          <w:szCs w:val="18"/>
          <w:u w:val="single" w:color="auto"/>
          <w:color w:val="000000"/>
        </w:rPr>
        <w:t>Section 8.12</w:t>
      </w:r>
      <w:r>
        <w:rPr>
          <w:rFonts w:ascii="Arial" w:cs="Arial" w:eastAsia="Arial" w:hAnsi="Arial"/>
          <w:sz w:val="18"/>
          <w:szCs w:val="18"/>
          <w:color w:val="000000"/>
        </w:rPr>
        <w:t>.</w:t>
      </w:r>
    </w:p>
    <w:p>
      <w:pPr>
        <w:spacing w:after="0" w:line="171"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010000"/>
        </w:rPr>
        <w:t xml:space="preserve">Section 8.07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shall be construed, performed and enforced in accordance with the Laws of the State of</w:t>
      </w:r>
      <w:r>
        <w:rPr>
          <w:rFonts w:ascii="Arial" w:cs="Arial" w:eastAsia="Arial" w:hAnsi="Arial"/>
          <w:sz w:val="17"/>
          <w:szCs w:val="17"/>
          <w:color w:val="010000"/>
        </w:rPr>
        <w:t xml:space="preserve"> </w:t>
      </w:r>
      <w:r>
        <w:rPr>
          <w:rFonts w:ascii="Arial" w:cs="Arial" w:eastAsia="Arial" w:hAnsi="Arial"/>
          <w:sz w:val="17"/>
          <w:szCs w:val="17"/>
          <w:color w:val="000000"/>
        </w:rPr>
        <w:t>Delaware (without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1" w:name="page392"/>
    <w:bookmarkEnd w:id="391"/>
    <w:p>
      <w:pPr>
        <w:ind w:left="1280"/>
        <w:spacing w:after="0"/>
        <w:tabs>
          <w:tab w:leader="none" w:pos="2560" w:val="left"/>
        </w:tabs>
        <w:rPr>
          <w:sz w:val="20"/>
          <w:szCs w:val="20"/>
          <w:color w:val="auto"/>
        </w:rPr>
      </w:pPr>
      <w:r>
        <w:rPr>
          <w:rFonts w:ascii="Arial" w:cs="Arial" w:eastAsia="Arial" w:hAnsi="Arial"/>
          <w:sz w:val="18"/>
          <w:szCs w:val="18"/>
          <w:color w:val="010000"/>
        </w:rPr>
        <w:t>Section 8.08</w:t>
      </w:r>
      <w:r>
        <w:rPr>
          <w:sz w:val="20"/>
          <w:szCs w:val="20"/>
          <w:color w:val="auto"/>
        </w:rPr>
        <w:tab/>
      </w:r>
      <w:r>
        <w:rPr>
          <w:rFonts w:ascii="Arial" w:cs="Arial" w:eastAsia="Arial" w:hAnsi="Arial"/>
          <w:sz w:val="16"/>
          <w:szCs w:val="16"/>
          <w:u w:val="single" w:color="auto"/>
          <w:color w:val="auto"/>
        </w:rPr>
        <w:t>Jurisdiction</w:t>
      </w:r>
      <w:r>
        <w:rPr>
          <w:rFonts w:ascii="Arial" w:cs="Arial" w:eastAsia="Arial" w:hAnsi="Arial"/>
          <w:sz w:val="16"/>
          <w:szCs w:val="16"/>
          <w:color w:val="auto"/>
        </w:rPr>
        <w:t>.</w:t>
      </w:r>
    </w:p>
    <w:p>
      <w:pPr>
        <w:spacing w:after="0" w:line="223" w:lineRule="exact"/>
        <w:rPr>
          <w:sz w:val="20"/>
          <w:szCs w:val="20"/>
          <w:color w:val="auto"/>
        </w:rPr>
      </w:pPr>
    </w:p>
    <w:p>
      <w:pPr>
        <w:jc w:val="both"/>
        <w:ind w:left="-20" w:firstLine="1298"/>
        <w:spacing w:after="0" w:line="270" w:lineRule="auto"/>
        <w:tabs>
          <w:tab w:leader="none" w:pos="2038" w:val="left"/>
        </w:tabs>
        <w:numPr>
          <w:ilvl w:val="0"/>
          <w:numId w:val="320"/>
        </w:numPr>
        <w:rPr>
          <w:rFonts w:ascii="Arial" w:cs="Arial" w:eastAsia="Arial" w:hAnsi="Arial"/>
          <w:sz w:val="17"/>
          <w:szCs w:val="17"/>
          <w:color w:val="010000"/>
        </w:rPr>
      </w:pPr>
      <w:r>
        <w:rPr>
          <w:rFonts w:ascii="Arial" w:cs="Arial" w:eastAsia="Arial" w:hAnsi="Arial"/>
          <w:sz w:val="17"/>
          <w:szCs w:val="17"/>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United State District Court for the District of Delaware or any state court sitting in the City of Wilmington 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the transactions contemplated hereby in any court other than the aforesaid courts. Each of the Parties hereby agrees that service of process, summons, notice or document by registered mail addressed to them at its address provided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shall be effective service of process against them for any such Proceeding brought in any of the aforesaid courts.</w:t>
      </w:r>
    </w:p>
    <w:p>
      <w:pPr>
        <w:spacing w:after="0" w:line="176" w:lineRule="exact"/>
        <w:rPr>
          <w:rFonts w:ascii="Arial" w:cs="Arial" w:eastAsia="Arial" w:hAnsi="Arial"/>
          <w:sz w:val="17"/>
          <w:szCs w:val="17"/>
          <w:color w:val="010000"/>
        </w:rPr>
      </w:pPr>
    </w:p>
    <w:p>
      <w:pPr>
        <w:jc w:val="both"/>
        <w:ind w:left="-20" w:firstLine="1298"/>
        <w:spacing w:after="0" w:line="253" w:lineRule="auto"/>
        <w:tabs>
          <w:tab w:leader="none" w:pos="1981" w:val="left"/>
        </w:tabs>
        <w:numPr>
          <w:ilvl w:val="0"/>
          <w:numId w:val="320"/>
        </w:numPr>
        <w:rPr>
          <w:rFonts w:ascii="Arial" w:cs="Arial" w:eastAsia="Arial" w:hAnsi="Arial"/>
          <w:sz w:val="18"/>
          <w:szCs w:val="18"/>
          <w:color w:val="010000"/>
        </w:rPr>
      </w:pPr>
      <w:r>
        <w:rPr>
          <w:rFonts w:ascii="Arial" w:cs="Arial" w:eastAsia="Arial" w:hAnsi="Arial"/>
          <w:sz w:val="18"/>
          <w:szCs w:val="18"/>
          <w:color w:val="auto"/>
        </w:rPr>
        <w:t xml:space="preserve">Each of the Parties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8"/>
          <w:szCs w:val="18"/>
          <w:u w:val="single" w:color="auto"/>
          <w:color w:val="auto"/>
        </w:rPr>
        <w:t>Section 8.01</w:t>
      </w:r>
      <w:r>
        <w:rPr>
          <w:rFonts w:ascii="Arial" w:cs="Arial" w:eastAsia="Arial" w:hAnsi="Arial"/>
          <w:sz w:val="18"/>
          <w:szCs w:val="18"/>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193"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010000"/>
        </w:rPr>
        <w:t>Section 8.09</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19" w:lineRule="exact"/>
        <w:rPr>
          <w:sz w:val="20"/>
          <w:szCs w:val="20"/>
          <w:color w:val="auto"/>
        </w:rPr>
      </w:pPr>
    </w:p>
    <w:p>
      <w:pPr>
        <w:jc w:val="both"/>
        <w:ind w:left="-20" w:firstLine="1298"/>
        <w:spacing w:after="0" w:line="252" w:lineRule="auto"/>
        <w:tabs>
          <w:tab w:leader="none" w:pos="2146" w:val="left"/>
        </w:tabs>
        <w:numPr>
          <w:ilvl w:val="0"/>
          <w:numId w:val="321"/>
        </w:numPr>
        <w:rPr>
          <w:rFonts w:ascii="Arial" w:cs="Arial" w:eastAsia="Arial" w:hAnsi="Arial"/>
          <w:sz w:val="18"/>
          <w:szCs w:val="18"/>
          <w:color w:val="010000"/>
        </w:rPr>
      </w:pPr>
      <w:r>
        <w:rPr>
          <w:rFonts w:ascii="Arial" w:cs="Arial" w:eastAsia="Arial" w:hAnsi="Arial"/>
          <w:sz w:val="18"/>
          <w:szCs w:val="18"/>
          <w:b w:val="1"/>
          <w:bCs w:val="1"/>
          <w:color w:val="auto"/>
        </w:rPr>
        <w:t xml:space="preserve">EACH PARTY ACKNOWLEDGES AND AGREES THAT ANY CONTROVERSY OR CLAIM THAT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OR THE TRANSACTIONS CONTEMPLATED HEREBY. THIS WAIVER MAY NOT BE MODIFIED EITHER ORALLY OR IN WRITING (OTHER THAN BY A MUTUAL WRITTEN WAIVER SPECIFICALLY REFERRING TO THIS </w:t>
      </w:r>
      <w:r>
        <w:rPr>
          <w:rFonts w:ascii="Arial" w:cs="Arial" w:eastAsia="Arial" w:hAnsi="Arial"/>
          <w:sz w:val="18"/>
          <w:szCs w:val="18"/>
          <w:b w:val="1"/>
          <w:bCs w:val="1"/>
          <w:u w:val="single" w:color="auto"/>
          <w:color w:val="auto"/>
        </w:rPr>
        <w:t>SECTION 8.09(a)</w:t>
      </w:r>
      <w:r>
        <w:rPr>
          <w:rFonts w:ascii="Arial" w:cs="Arial" w:eastAsia="Arial" w:hAnsi="Arial"/>
          <w:sz w:val="18"/>
          <w:szCs w:val="18"/>
          <w:b w:val="1"/>
          <w:bCs w:val="1"/>
          <w:color w:val="auto"/>
        </w:rPr>
        <w:t xml:space="preserve"> AND EXECUTED BY EACH PARTY). THIS WAIVER SHALL APPLY TO ANY SUBSEQUENT AMENDMENTS, RENEWALS, SUPPLEMENTS OR MODIFICATIONS TO THIS AGREEMENT OR ANY OTHER AGREEMENTS OR DOCUMENTS RELATING TO THE TRANSACTIONS CONTEMPLATED HEREBY. </w:t>
      </w:r>
      <w:r>
        <w:rPr>
          <w:rFonts w:ascii="Arial" w:cs="Arial" w:eastAsia="Arial" w:hAnsi="Arial"/>
          <w:sz w:val="18"/>
          <w:szCs w:val="18"/>
          <w:color w:val="auto"/>
        </w:rPr>
        <w:t>The scope of this waiver is</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be all-encompassing of any and all disputes that may be filed in any court and that relate to the subject matter of the transactions contemplated hereby, including contract claims, tort claims, breach-of-duty claims and all other common law and statutory claims. In the event of litigation, this Agreement may be filed as a written consent to a trial by the court.</w:t>
      </w:r>
    </w:p>
    <w:p>
      <w:pPr>
        <w:spacing w:after="0" w:line="190" w:lineRule="exact"/>
        <w:rPr>
          <w:rFonts w:ascii="Arial" w:cs="Arial" w:eastAsia="Arial" w:hAnsi="Arial"/>
          <w:sz w:val="18"/>
          <w:szCs w:val="18"/>
          <w:color w:val="010000"/>
        </w:rPr>
      </w:pPr>
    </w:p>
    <w:p>
      <w:pPr>
        <w:jc w:val="both"/>
        <w:ind w:left="-20" w:firstLine="1298"/>
        <w:spacing w:after="0" w:line="257" w:lineRule="auto"/>
        <w:tabs>
          <w:tab w:leader="none" w:pos="1981" w:val="left"/>
        </w:tabs>
        <w:numPr>
          <w:ilvl w:val="0"/>
          <w:numId w:val="321"/>
        </w:numPr>
        <w:rPr>
          <w:rFonts w:ascii="Arial" w:cs="Arial" w:eastAsia="Arial" w:hAnsi="Arial"/>
          <w:sz w:val="18"/>
          <w:szCs w:val="18"/>
          <w:color w:val="010000"/>
        </w:rPr>
      </w:pPr>
      <w:r>
        <w:rPr>
          <w:rFonts w:ascii="Arial" w:cs="Arial" w:eastAsia="Arial" w:hAnsi="Arial"/>
          <w:sz w:val="18"/>
          <w:szCs w:val="18"/>
          <w:b w:val="1"/>
          <w:bCs w:val="1"/>
          <w:color w:val="auto"/>
        </w:rPr>
        <w:t xml:space="preserve">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b w:val="1"/>
          <w:bCs w:val="1"/>
          <w:u w:val="single" w:color="auto"/>
          <w:color w:val="auto"/>
        </w:rPr>
        <w:t>SECTION 8.09</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392" w:name="page393"/>
    <w:bookmarkEnd w:id="392"/>
    <w:p>
      <w:pPr>
        <w:jc w:val="both"/>
        <w:ind w:firstLine="1290"/>
        <w:spacing w:after="0" w:line="278" w:lineRule="auto"/>
        <w:rPr>
          <w:sz w:val="20"/>
          <w:szCs w:val="20"/>
          <w:color w:val="auto"/>
        </w:rPr>
      </w:pPr>
      <w:r>
        <w:rPr>
          <w:rFonts w:ascii="Arial" w:cs="Arial" w:eastAsia="Arial" w:hAnsi="Arial"/>
          <w:sz w:val="17"/>
          <w:szCs w:val="17"/>
          <w:color w:val="010000"/>
        </w:rPr>
        <w:t xml:space="preserve">Section 8.10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The Parties agree that this is an arm’s length transaction in which the Parties’ undertakings and</w:t>
      </w:r>
      <w:r>
        <w:rPr>
          <w:rFonts w:ascii="Arial" w:cs="Arial" w:eastAsia="Arial" w:hAnsi="Arial"/>
          <w:sz w:val="17"/>
          <w:szCs w:val="17"/>
          <w:color w:val="010000"/>
        </w:rPr>
        <w:t xml:space="preserve"> </w:t>
      </w:r>
      <w:r>
        <w:rPr>
          <w:rFonts w:ascii="Arial" w:cs="Arial" w:eastAsia="Arial" w:hAnsi="Arial"/>
          <w:sz w:val="17"/>
          <w:szCs w:val="17"/>
          <w:color w:val="000000"/>
        </w:rPr>
        <w:t>obligations are limited to the performance of their obligations under this Agreement. Priority acknowledges that it is a sophisticated investor and that it has only a contractual relationship with each Founder, based solely on the terms of this Agreement and the other Transaction Documents and the Confidentiality Agreement, and that there is no special relationship of trust or reliance between any Founder and Priority.</w:t>
      </w:r>
    </w:p>
    <w:p>
      <w:pPr>
        <w:spacing w:after="0" w:line="170"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010000"/>
        </w:rPr>
        <w:t xml:space="preserve">Section 8.11 </w:t>
      </w:r>
      <w:r>
        <w:rPr>
          <w:rFonts w:ascii="Arial" w:cs="Arial" w:eastAsia="Arial" w:hAnsi="Arial"/>
          <w:sz w:val="17"/>
          <w:szCs w:val="17"/>
          <w:u w:val="single" w:color="auto"/>
          <w:color w:val="000000"/>
        </w:rPr>
        <w:t>Counterparts; Effectiveness</w:t>
      </w:r>
      <w:r>
        <w:rPr>
          <w:rFonts w:ascii="Arial" w:cs="Arial" w:eastAsia="Arial" w:hAnsi="Arial"/>
          <w:sz w:val="17"/>
          <w:szCs w:val="17"/>
          <w:color w:val="000000"/>
        </w:rPr>
        <w:t>. This Agreement may be executed in any number of counterparts, each of which shall be an</w:t>
      </w:r>
      <w:r>
        <w:rPr>
          <w:rFonts w:ascii="Arial" w:cs="Arial" w:eastAsia="Arial" w:hAnsi="Arial"/>
          <w:sz w:val="17"/>
          <w:szCs w:val="17"/>
          <w:color w:val="010000"/>
        </w:rPr>
        <w:t xml:space="preserve"> </w:t>
      </w:r>
      <w:r>
        <w:rPr>
          <w:rFonts w:ascii="Arial" w:cs="Arial" w:eastAsia="Arial" w:hAnsi="Arial"/>
          <w:sz w:val="17"/>
          <w:szCs w:val="17"/>
          <w:color w:val="000000"/>
        </w:rPr>
        <w:t>original, with the 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176"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8.12 </w:t>
      </w:r>
      <w:r>
        <w:rPr>
          <w:rFonts w:ascii="Arial" w:cs="Arial" w:eastAsia="Arial" w:hAnsi="Arial"/>
          <w:sz w:val="18"/>
          <w:szCs w:val="18"/>
          <w:u w:val="single" w:color="auto"/>
          <w:color w:val="000000"/>
        </w:rPr>
        <w:t>Third-Party Beneficiaries</w:t>
      </w:r>
      <w:r>
        <w:rPr>
          <w:rFonts w:ascii="Arial" w:cs="Arial" w:eastAsia="Arial" w:hAnsi="Arial"/>
          <w:sz w:val="18"/>
          <w:szCs w:val="18"/>
          <w:color w:val="000000"/>
        </w:rPr>
        <w:t>. The representations, warranties and agreements of the Parties contained herein are intended</w:t>
      </w:r>
      <w:r>
        <w:rPr>
          <w:rFonts w:ascii="Arial" w:cs="Arial" w:eastAsia="Arial" w:hAnsi="Arial"/>
          <w:sz w:val="18"/>
          <w:szCs w:val="18"/>
          <w:color w:val="010000"/>
        </w:rPr>
        <w:t xml:space="preserve"> </w:t>
      </w:r>
      <w:r>
        <w:rPr>
          <w:rFonts w:ascii="Arial" w:cs="Arial" w:eastAsia="Arial" w:hAnsi="Arial"/>
          <w:sz w:val="18"/>
          <w:szCs w:val="18"/>
          <w:color w:val="000000"/>
        </w:rPr>
        <w:t>solely for the benefit of the Party to whom such representations, warranties or agreements are made, and shall confer no rights hereunder, whether legal or equitable, in any other Person, and no other Person shall be entitled to rely thereon.</w:t>
      </w:r>
    </w:p>
    <w:p>
      <w:pPr>
        <w:spacing w:after="0" w:line="182"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8.13 </w:t>
      </w:r>
      <w:r>
        <w:rPr>
          <w:rFonts w:ascii="Arial" w:cs="Arial" w:eastAsia="Arial" w:hAnsi="Arial"/>
          <w:sz w:val="18"/>
          <w:szCs w:val="18"/>
          <w:u w:val="single" w:color="auto"/>
          <w:color w:val="000000"/>
        </w:rPr>
        <w:t>Entire Agreement.</w:t>
      </w:r>
      <w:r>
        <w:rPr>
          <w:rFonts w:ascii="Arial" w:cs="Arial" w:eastAsia="Arial" w:hAnsi="Arial"/>
          <w:sz w:val="18"/>
          <w:szCs w:val="18"/>
          <w:color w:val="010000"/>
        </w:rPr>
        <w:t xml:space="preserve"> </w:t>
      </w:r>
      <w:r>
        <w:rPr>
          <w:rFonts w:ascii="Arial" w:cs="Arial" w:eastAsia="Arial" w:hAnsi="Arial"/>
          <w:sz w:val="18"/>
          <w:szCs w:val="18"/>
          <w:color w:val="000000"/>
        </w:rPr>
        <w:t>This Agreement (including the Contribution Agreement and the other Transaction Documents and the</w:t>
      </w:r>
      <w:r>
        <w:rPr>
          <w:rFonts w:ascii="Arial" w:cs="Arial" w:eastAsia="Arial" w:hAnsi="Arial"/>
          <w:sz w:val="18"/>
          <w:szCs w:val="18"/>
          <w:color w:val="010000"/>
        </w:rPr>
        <w:t xml:space="preserve"> </w:t>
      </w:r>
      <w:r>
        <w:rPr>
          <w:rFonts w:ascii="Arial" w:cs="Arial" w:eastAsia="Arial" w:hAnsi="Arial"/>
          <w:sz w:val="18"/>
          <w:szCs w:val="18"/>
          <w:color w:val="000000"/>
        </w:rPr>
        <w:t>other documents and instruments referred to herein and therein) and the Confidentiality Agreement set forth the entire agreement and understanding of the Parties in respect of the Contemplated Transactions and supersede all prior discussions, negotiations, agreements, arrangements and understandings, whether oral or written, relating to the subject matter hereof and thereof. There are no warranties, representations or other agreements between the Parties in connection with the subject matter hereof, except as specifically set forth herein, or in the Contribution Agreement or the other Transaction Documents, or in the Confidentiality Agreement.</w:t>
      </w:r>
    </w:p>
    <w:p>
      <w:pPr>
        <w:spacing w:after="0" w:line="191"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010000"/>
        </w:rPr>
        <w:t xml:space="preserve">Section 8.14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provision, covenant or restriction of this Agreement is held by a court of competent jurisdiction</w:t>
      </w:r>
      <w:r>
        <w:rPr>
          <w:rFonts w:ascii="Arial" w:cs="Arial" w:eastAsia="Arial" w:hAnsi="Arial"/>
          <w:sz w:val="17"/>
          <w:szCs w:val="17"/>
          <w:color w:val="010000"/>
        </w:rPr>
        <w:t xml:space="preserve"> </w:t>
      </w:r>
      <w:r>
        <w:rPr>
          <w:rFonts w:ascii="Arial" w:cs="Arial" w:eastAsia="Arial" w:hAnsi="Arial"/>
          <w:sz w:val="17"/>
          <w:szCs w:val="17"/>
          <w:color w:val="000000"/>
        </w:rPr>
        <w:t>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3" w:name="page394"/>
    <w:bookmarkEnd w:id="393"/>
    <w:p>
      <w:pPr>
        <w:jc w:val="both"/>
        <w:ind w:firstLine="1290"/>
        <w:spacing w:after="0" w:line="292" w:lineRule="auto"/>
        <w:rPr>
          <w:sz w:val="20"/>
          <w:szCs w:val="20"/>
          <w:color w:val="auto"/>
        </w:rPr>
      </w:pPr>
      <w:r>
        <w:rPr>
          <w:rFonts w:ascii="Arial" w:cs="Arial" w:eastAsia="Arial" w:hAnsi="Arial"/>
          <w:sz w:val="16"/>
          <w:szCs w:val="16"/>
          <w:color w:val="010000"/>
        </w:rPr>
        <w:t xml:space="preserve">Section 8.15 </w:t>
      </w:r>
      <w:r>
        <w:rPr>
          <w:rFonts w:ascii="Arial" w:cs="Arial" w:eastAsia="Arial" w:hAnsi="Arial"/>
          <w:sz w:val="16"/>
          <w:szCs w:val="16"/>
          <w:u w:val="single" w:color="auto"/>
          <w:color w:val="000000"/>
        </w:rPr>
        <w:t>Non-Survival of Representations, Warranties and Covenants</w:t>
      </w:r>
      <w:r>
        <w:rPr>
          <w:rFonts w:ascii="Arial" w:cs="Arial" w:eastAsia="Arial" w:hAnsi="Arial"/>
          <w:sz w:val="16"/>
          <w:szCs w:val="16"/>
          <w:color w:val="000000"/>
        </w:rPr>
        <w:t>. No representation, warranty, covenant or other agreement</w:t>
      </w:r>
      <w:r>
        <w:rPr>
          <w:rFonts w:ascii="Arial" w:cs="Arial" w:eastAsia="Arial" w:hAnsi="Arial"/>
          <w:sz w:val="16"/>
          <w:szCs w:val="16"/>
          <w:color w:val="010000"/>
        </w:rPr>
        <w:t xml:space="preserve"> </w:t>
      </w:r>
      <w:r>
        <w:rPr>
          <w:rFonts w:ascii="Arial" w:cs="Arial" w:eastAsia="Arial" w:hAnsi="Arial"/>
          <w:sz w:val="16"/>
          <w:szCs w:val="16"/>
          <w:color w:val="000000"/>
        </w:rPr>
        <w:t xml:space="preserve">contained herein or in any instrument or certificate delivered by any Party at Closing will survive the Closing or termination of this Agreement, and no Party shall have any liability to the other Party after the Closing for any breach thereof, except for covenants and agreements that contemplate performance after the Closing or after the termination of this Agreement or otherwise expressly by their terms survive the Closing or termination of this Agreement, will survive in accordance with its terms,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for the avoidance of doubt, nothing in this </w:t>
      </w:r>
      <w:r>
        <w:rPr>
          <w:rFonts w:ascii="Arial" w:cs="Arial" w:eastAsia="Arial" w:hAnsi="Arial"/>
          <w:sz w:val="16"/>
          <w:szCs w:val="16"/>
          <w:u w:val="single" w:color="auto"/>
          <w:color w:val="000000"/>
        </w:rPr>
        <w:t>Section 8.15</w:t>
      </w:r>
      <w:r>
        <w:rPr>
          <w:rFonts w:ascii="Arial" w:cs="Arial" w:eastAsia="Arial" w:hAnsi="Arial"/>
          <w:sz w:val="16"/>
          <w:szCs w:val="16"/>
          <w:color w:val="000000"/>
        </w:rPr>
        <w:t xml:space="preserve"> shall impair a Party’s rights under </w:t>
      </w:r>
      <w:r>
        <w:rPr>
          <w:rFonts w:ascii="Arial" w:cs="Arial" w:eastAsia="Arial" w:hAnsi="Arial"/>
          <w:sz w:val="16"/>
          <w:szCs w:val="16"/>
          <w:u w:val="single" w:color="auto"/>
          <w:color w:val="000000"/>
        </w:rPr>
        <w:t>Section 7.02</w:t>
      </w:r>
      <w:r>
        <w:rPr>
          <w:rFonts w:ascii="Arial" w:cs="Arial" w:eastAsia="Arial" w:hAnsi="Arial"/>
          <w:sz w:val="16"/>
          <w:szCs w:val="16"/>
          <w:color w:val="000000"/>
        </w:rPr>
        <w:t xml:space="preserve"> in the event this Agreement has been validly terminated, and the other Party had materially breached this Agreement prior to the time of such termination.</w:t>
      </w:r>
    </w:p>
    <w:p>
      <w:pPr>
        <w:spacing w:after="0" w:line="16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8.16</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3" w:lineRule="exact"/>
        <w:rPr>
          <w:sz w:val="20"/>
          <w:szCs w:val="20"/>
          <w:color w:val="auto"/>
        </w:rPr>
      </w:pPr>
    </w:p>
    <w:p>
      <w:pPr>
        <w:jc w:val="both"/>
        <w:ind w:firstLine="1298"/>
        <w:spacing w:after="0" w:line="253" w:lineRule="auto"/>
        <w:tabs>
          <w:tab w:leader="none" w:pos="2152" w:val="left"/>
        </w:tabs>
        <w:numPr>
          <w:ilvl w:val="0"/>
          <w:numId w:val="322"/>
        </w:numPr>
        <w:rPr>
          <w:rFonts w:ascii="Arial" w:cs="Arial" w:eastAsia="Arial" w:hAnsi="Arial"/>
          <w:sz w:val="18"/>
          <w:szCs w:val="18"/>
          <w:color w:val="010000"/>
        </w:rPr>
      </w:pPr>
      <w:r>
        <w:rPr>
          <w:rFonts w:ascii="Arial" w:cs="Arial" w:eastAsia="Arial" w:hAnsi="Arial"/>
          <w:sz w:val="18"/>
          <w:szCs w:val="18"/>
          <w:color w:val="auto"/>
        </w:rPr>
        <w:t xml:space="preserve">Each Party acknowledges and agrees that irreparable injury to the other Party would occur if any provision hereof were not performed in accordance with its specific terms or were otherwise breached, and that such injury would not be adequately compensable in damages because of the difficulty of ascertaining the amount of damages that would be suffered in the event that this Agreement were breached. It is accordingly agreed that, subject to the further provisions of this </w:t>
      </w:r>
      <w:r>
        <w:rPr>
          <w:rFonts w:ascii="Arial" w:cs="Arial" w:eastAsia="Arial" w:hAnsi="Arial"/>
          <w:sz w:val="18"/>
          <w:szCs w:val="18"/>
          <w:u w:val="single" w:color="auto"/>
          <w:color w:val="auto"/>
        </w:rPr>
        <w:t>Section 8.16</w:t>
      </w:r>
      <w:r>
        <w:rPr>
          <w:rFonts w:ascii="Arial" w:cs="Arial" w:eastAsia="Arial" w:hAnsi="Arial"/>
          <w:sz w:val="18"/>
          <w:szCs w:val="18"/>
          <w:color w:val="auto"/>
        </w:rPr>
        <w:t xml:space="preserve">, prior to the valid termination of this Agreement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each Party shall be entitled, in addition to any other remedy to which it is entitled at law or in equity, to specific enforcement of, and injunctive relief, without proof of actual damages, to prevent any breach or violation of, the terms hereof, and the other Party shall not take action, directly or indirectly, in opposition to the Party seeking such relief on the grounds that any other remedy or relief is available at law or in equity. Any requirements for the securing or posting of any bond with such remedy are hereby waived.</w:t>
      </w:r>
    </w:p>
    <w:p>
      <w:pPr>
        <w:spacing w:after="0" w:line="190" w:lineRule="exact"/>
        <w:rPr>
          <w:rFonts w:ascii="Arial" w:cs="Arial" w:eastAsia="Arial" w:hAnsi="Arial"/>
          <w:sz w:val="18"/>
          <w:szCs w:val="18"/>
          <w:color w:val="010000"/>
        </w:rPr>
      </w:pPr>
    </w:p>
    <w:p>
      <w:pPr>
        <w:jc w:val="both"/>
        <w:ind w:firstLine="1298"/>
        <w:spacing w:after="0" w:line="262" w:lineRule="auto"/>
        <w:tabs>
          <w:tab w:leader="none" w:pos="1961" w:val="left"/>
        </w:tabs>
        <w:numPr>
          <w:ilvl w:val="0"/>
          <w:numId w:val="322"/>
        </w:numPr>
        <w:rPr>
          <w:rFonts w:ascii="Arial" w:cs="Arial" w:eastAsia="Arial" w:hAnsi="Arial"/>
          <w:sz w:val="18"/>
          <w:szCs w:val="18"/>
          <w:color w:val="010000"/>
        </w:rPr>
      </w:pPr>
      <w:r>
        <w:rPr>
          <w:rFonts w:ascii="Arial" w:cs="Arial" w:eastAsia="Arial" w:hAnsi="Arial"/>
          <w:sz w:val="18"/>
          <w:szCs w:val="18"/>
          <w:color w:val="auto"/>
        </w:rPr>
        <w:t>The Parties agree that in no case shall either Party be entitled to any indirect, consequential, incidental, punitive or special damages (including loss of future revenue, lost profits, diminution in value or multiple of earnings damages) in connection with any claim arising out of or related to this Agreement or the transactions contemplated hereby.</w:t>
      </w:r>
    </w:p>
    <w:p>
      <w:pPr>
        <w:spacing w:after="0" w:line="182"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010000"/>
        </w:rPr>
        <w:t xml:space="preserve">Section 8.17 </w:t>
      </w:r>
      <w:r>
        <w:rPr>
          <w:rFonts w:ascii="Arial" w:cs="Arial" w:eastAsia="Arial" w:hAnsi="Arial"/>
          <w:sz w:val="18"/>
          <w:szCs w:val="18"/>
          <w:u w:val="single" w:color="auto"/>
          <w:color w:val="000000"/>
        </w:rPr>
        <w:t>Representation by Counsel</w:t>
      </w:r>
      <w:r>
        <w:rPr>
          <w:rFonts w:ascii="Arial" w:cs="Arial" w:eastAsia="Arial" w:hAnsi="Arial"/>
          <w:sz w:val="18"/>
          <w:szCs w:val="18"/>
          <w:color w:val="000000"/>
        </w:rPr>
        <w:t>. Each Party acknowledges to the other that it has been represented by independent legal</w:t>
      </w:r>
      <w:r>
        <w:rPr>
          <w:rFonts w:ascii="Arial" w:cs="Arial" w:eastAsia="Arial" w:hAnsi="Arial"/>
          <w:sz w:val="18"/>
          <w:szCs w:val="18"/>
          <w:color w:val="010000"/>
        </w:rPr>
        <w:t xml:space="preserve"> </w:t>
      </w:r>
      <w:r>
        <w:rPr>
          <w:rFonts w:ascii="Arial" w:cs="Arial" w:eastAsia="Arial" w:hAnsi="Arial"/>
          <w:sz w:val="18"/>
          <w:szCs w:val="18"/>
          <w:color w:val="000000"/>
        </w:rPr>
        <w:t>counsel of its own choice throughout all of the negotiations that preceded the execution of this Agreement. Each Party further acknowledges that it and its counsel have had adequate opportunity to make whatever investigation or inquiry they may deem necessary or desirable in connection with the subject matter of this Agreement prior to the execution hereof.</w:t>
      </w:r>
    </w:p>
    <w:p>
      <w:pPr>
        <w:spacing w:after="0" w:line="185"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8.18 </w:t>
      </w:r>
      <w:r>
        <w:rPr>
          <w:rFonts w:ascii="Arial" w:cs="Arial" w:eastAsia="Arial" w:hAnsi="Arial"/>
          <w:sz w:val="18"/>
          <w:szCs w:val="18"/>
          <w:u w:val="single" w:color="auto"/>
          <w:color w:val="000000"/>
        </w:rPr>
        <w:t>Rules of Construction</w:t>
      </w:r>
      <w:r>
        <w:rPr>
          <w:rFonts w:ascii="Arial" w:cs="Arial" w:eastAsia="Arial" w:hAnsi="Arial"/>
          <w:sz w:val="18"/>
          <w:szCs w:val="18"/>
          <w:color w:val="000000"/>
        </w:rPr>
        <w:t>. The Parties have participated jointly in the negotiation and drafting of this Agreement. In the event</w:t>
      </w:r>
      <w:r>
        <w:rPr>
          <w:rFonts w:ascii="Arial" w:cs="Arial" w:eastAsia="Arial" w:hAnsi="Arial"/>
          <w:sz w:val="18"/>
          <w:szCs w:val="18"/>
          <w:color w:val="010000"/>
        </w:rPr>
        <w:t xml:space="preserve"> </w:t>
      </w:r>
      <w:r>
        <w:rPr>
          <w:rFonts w:ascii="Arial" w:cs="Arial" w:eastAsia="Arial" w:hAnsi="Arial"/>
          <w:sz w:val="18"/>
          <w:szCs w:val="18"/>
          <w:color w:val="000000"/>
        </w:rPr>
        <w:t>an ambiguity or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4" w:name="page395"/>
    <w:bookmarkEnd w:id="394"/>
    <w:p>
      <w:pPr>
        <w:jc w:val="both"/>
        <w:ind w:firstLine="1290"/>
        <w:spacing w:after="0" w:line="275" w:lineRule="auto"/>
        <w:rPr>
          <w:sz w:val="20"/>
          <w:szCs w:val="20"/>
          <w:color w:val="auto"/>
        </w:rPr>
      </w:pPr>
      <w:r>
        <w:rPr>
          <w:rFonts w:ascii="Arial" w:cs="Arial" w:eastAsia="Arial" w:hAnsi="Arial"/>
          <w:sz w:val="18"/>
          <w:szCs w:val="18"/>
          <w:color w:val="010000"/>
        </w:rPr>
        <w:t xml:space="preserve">Section 8.19 </w:t>
      </w:r>
      <w:r>
        <w:rPr>
          <w:rFonts w:ascii="Arial" w:cs="Arial" w:eastAsia="Arial" w:hAnsi="Arial"/>
          <w:sz w:val="18"/>
          <w:szCs w:val="18"/>
          <w:u w:val="single" w:color="auto"/>
          <w:color w:val="000000"/>
        </w:rPr>
        <w:t>Headings</w:t>
      </w:r>
      <w:r>
        <w:rPr>
          <w:rFonts w:ascii="Arial" w:cs="Arial" w:eastAsia="Arial" w:hAnsi="Arial"/>
          <w:sz w:val="18"/>
          <w:szCs w:val="18"/>
          <w:color w:val="000000"/>
        </w:rPr>
        <w:t>. Headings of the Articles and Sections of this Agreement, and the Table of Contents are for convenience of the</w:t>
      </w:r>
      <w:r>
        <w:rPr>
          <w:rFonts w:ascii="Arial" w:cs="Arial" w:eastAsia="Arial" w:hAnsi="Arial"/>
          <w:sz w:val="18"/>
          <w:szCs w:val="18"/>
          <w:color w:val="010000"/>
        </w:rPr>
        <w:t xml:space="preserve"> </w:t>
      </w:r>
      <w:r>
        <w:rPr>
          <w:rFonts w:ascii="Arial" w:cs="Arial" w:eastAsia="Arial" w:hAnsi="Arial"/>
          <w:sz w:val="18"/>
          <w:szCs w:val="18"/>
          <w:color w:val="000000"/>
        </w:rPr>
        <w:t>Parties only, and shall be given no substantive or interpretative effect whatsoever.</w:t>
      </w:r>
    </w:p>
    <w:p>
      <w:pPr>
        <w:spacing w:after="0" w:line="171"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010000"/>
        </w:rPr>
        <w:t xml:space="preserve">Section 8.20 </w:t>
      </w:r>
      <w:r>
        <w:rPr>
          <w:rFonts w:ascii="Arial" w:cs="Arial" w:eastAsia="Arial" w:hAnsi="Arial"/>
          <w:sz w:val="18"/>
          <w:szCs w:val="18"/>
          <w:u w:val="single" w:color="auto"/>
          <w:color w:val="000000"/>
        </w:rPr>
        <w:t>Inconsistencies with Other Agreements</w:t>
      </w:r>
      <w:r>
        <w:rPr>
          <w:rFonts w:ascii="Arial" w:cs="Arial" w:eastAsia="Arial" w:hAnsi="Arial"/>
          <w:sz w:val="18"/>
          <w:szCs w:val="18"/>
          <w:color w:val="000000"/>
        </w:rPr>
        <w:t>. In the event of any inconsistency between the provisions in the body of this</w:t>
      </w:r>
      <w:r>
        <w:rPr>
          <w:rFonts w:ascii="Arial" w:cs="Arial" w:eastAsia="Arial" w:hAnsi="Arial"/>
          <w:sz w:val="18"/>
          <w:szCs w:val="18"/>
          <w:color w:val="010000"/>
        </w:rPr>
        <w:t xml:space="preserve"> </w:t>
      </w:r>
      <w:r>
        <w:rPr>
          <w:rFonts w:ascii="Arial" w:cs="Arial" w:eastAsia="Arial" w:hAnsi="Arial"/>
          <w:sz w:val="18"/>
          <w:szCs w:val="18"/>
          <w:color w:val="000000"/>
        </w:rPr>
        <w:t xml:space="preserve">Agreement and those in the other Transaction Documents (other than the Contribution Agreement) referred to herein, the provisions in the body of this Agreement will prevail and govern;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in the event of any inconsistency between the provisions in the body of this Agreement and those in the Contribution Agreement, the provisions in the body of the Contribution Agreement will prevail and govern.</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8.21</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3" w:lineRule="exact"/>
        <w:rPr>
          <w:sz w:val="20"/>
          <w:szCs w:val="20"/>
          <w:color w:val="auto"/>
        </w:rPr>
      </w:pPr>
    </w:p>
    <w:p>
      <w:pPr>
        <w:ind w:firstLine="1298"/>
        <w:spacing w:after="0" w:line="275" w:lineRule="auto"/>
        <w:tabs>
          <w:tab w:leader="none" w:pos="1937" w:val="left"/>
        </w:tabs>
        <w:numPr>
          <w:ilvl w:val="0"/>
          <w:numId w:val="323"/>
        </w:numPr>
        <w:rPr>
          <w:rFonts w:ascii="Arial" w:cs="Arial" w:eastAsia="Arial" w:hAnsi="Arial"/>
          <w:sz w:val="18"/>
          <w:szCs w:val="18"/>
          <w:color w:val="010000"/>
        </w:rPr>
      </w:pPr>
      <w:r>
        <w:rPr>
          <w:rFonts w:ascii="Arial" w:cs="Arial" w:eastAsia="Arial" w:hAnsi="Arial"/>
          <w:sz w:val="18"/>
          <w:szCs w:val="18"/>
          <w:color w:val="auto"/>
        </w:rPr>
        <w:t>The phrases “the date of this Agreement”, “the date hereof” and terms of similar import, unless the context otherwise requires, shall be deemed to refer to February 26, 2018.</w:t>
      </w:r>
    </w:p>
    <w:p>
      <w:pPr>
        <w:spacing w:after="0" w:line="170" w:lineRule="exact"/>
        <w:rPr>
          <w:rFonts w:ascii="Arial" w:cs="Arial" w:eastAsia="Arial" w:hAnsi="Arial"/>
          <w:sz w:val="18"/>
          <w:szCs w:val="18"/>
          <w:color w:val="010000"/>
        </w:rPr>
      </w:pPr>
    </w:p>
    <w:p>
      <w:pPr>
        <w:ind w:firstLine="1298"/>
        <w:spacing w:after="0" w:line="275" w:lineRule="auto"/>
        <w:tabs>
          <w:tab w:leader="none" w:pos="2001" w:val="left"/>
        </w:tabs>
        <w:numPr>
          <w:ilvl w:val="0"/>
          <w:numId w:val="323"/>
        </w:numPr>
        <w:rPr>
          <w:rFonts w:ascii="Arial" w:cs="Arial" w:eastAsia="Arial" w:hAnsi="Arial"/>
          <w:sz w:val="18"/>
          <w:szCs w:val="18"/>
          <w:color w:val="010000"/>
        </w:rPr>
      </w:pPr>
      <w:r>
        <w:rPr>
          <w:rFonts w:ascii="Arial" w:cs="Arial" w:eastAsia="Arial" w:hAnsi="Arial"/>
          <w:sz w:val="18"/>
          <w:szCs w:val="18"/>
          <w:color w:val="auto"/>
        </w:rPr>
        <w:t>The words “hereof”, “herein” and “hereunder” and words of like import used in this Agreement shall refer to this Agreement as a whole and not to any particular provision of this Agreement.</w:t>
      </w:r>
    </w:p>
    <w:p>
      <w:pPr>
        <w:spacing w:after="0" w:line="170" w:lineRule="exact"/>
        <w:rPr>
          <w:rFonts w:ascii="Arial" w:cs="Arial" w:eastAsia="Arial" w:hAnsi="Arial"/>
          <w:sz w:val="18"/>
          <w:szCs w:val="18"/>
          <w:color w:val="010000"/>
        </w:rPr>
      </w:pPr>
    </w:p>
    <w:p>
      <w:pPr>
        <w:ind w:left="1940" w:hanging="642"/>
        <w:spacing w:after="0"/>
        <w:tabs>
          <w:tab w:leader="none" w:pos="1940" w:val="left"/>
        </w:tabs>
        <w:numPr>
          <w:ilvl w:val="0"/>
          <w:numId w:val="323"/>
        </w:numPr>
        <w:rPr>
          <w:rFonts w:ascii="Arial" w:cs="Arial" w:eastAsia="Arial" w:hAnsi="Arial"/>
          <w:sz w:val="18"/>
          <w:szCs w:val="18"/>
          <w:color w:val="010000"/>
        </w:rPr>
      </w:pPr>
      <w:r>
        <w:rPr>
          <w:rFonts w:ascii="Arial" w:cs="Arial" w:eastAsia="Arial" w:hAnsi="Arial"/>
          <w:sz w:val="18"/>
          <w:szCs w:val="18"/>
          <w:color w:val="auto"/>
        </w:rPr>
        <w:t>References to Articles and Sections are to Articles and Sections of this Agreement unless otherwise specified.</w:t>
      </w:r>
    </w:p>
    <w:p>
      <w:pPr>
        <w:spacing w:after="0" w:line="223" w:lineRule="exact"/>
        <w:rPr>
          <w:rFonts w:ascii="Arial" w:cs="Arial" w:eastAsia="Arial" w:hAnsi="Arial"/>
          <w:sz w:val="18"/>
          <w:szCs w:val="18"/>
          <w:color w:val="010000"/>
        </w:rPr>
      </w:pPr>
    </w:p>
    <w:p>
      <w:pPr>
        <w:ind w:left="1960" w:hanging="662"/>
        <w:spacing w:after="0"/>
        <w:tabs>
          <w:tab w:leader="none" w:pos="1960" w:val="left"/>
        </w:tabs>
        <w:numPr>
          <w:ilvl w:val="0"/>
          <w:numId w:val="323"/>
        </w:numPr>
        <w:rPr>
          <w:rFonts w:ascii="Arial" w:cs="Arial" w:eastAsia="Arial" w:hAnsi="Arial"/>
          <w:sz w:val="18"/>
          <w:szCs w:val="18"/>
          <w:color w:val="010000"/>
        </w:rPr>
      </w:pPr>
      <w:r>
        <w:rPr>
          <w:rFonts w:ascii="Arial" w:cs="Arial" w:eastAsia="Arial" w:hAnsi="Arial"/>
          <w:sz w:val="18"/>
          <w:szCs w:val="18"/>
          <w:color w:val="auto"/>
        </w:rPr>
        <w:t>Any singular term in this Agreement shall be deemed to include the plural, and any plural term the singular.</w:t>
      </w:r>
    </w:p>
    <w:p>
      <w:pPr>
        <w:spacing w:after="0" w:line="223" w:lineRule="exact"/>
        <w:rPr>
          <w:rFonts w:ascii="Arial" w:cs="Arial" w:eastAsia="Arial" w:hAnsi="Arial"/>
          <w:sz w:val="18"/>
          <w:szCs w:val="18"/>
          <w:color w:val="010000"/>
        </w:rPr>
      </w:pPr>
    </w:p>
    <w:p>
      <w:pPr>
        <w:ind w:left="1940" w:hanging="642"/>
        <w:spacing w:after="0"/>
        <w:tabs>
          <w:tab w:leader="none" w:pos="1940" w:val="left"/>
        </w:tabs>
        <w:numPr>
          <w:ilvl w:val="0"/>
          <w:numId w:val="323"/>
        </w:numPr>
        <w:rPr>
          <w:rFonts w:ascii="Arial" w:cs="Arial" w:eastAsia="Arial" w:hAnsi="Arial"/>
          <w:sz w:val="18"/>
          <w:szCs w:val="18"/>
          <w:color w:val="010000"/>
        </w:rPr>
      </w:pPr>
      <w:r>
        <w:rPr>
          <w:rFonts w:ascii="Arial" w:cs="Arial" w:eastAsia="Arial" w:hAnsi="Arial"/>
          <w:sz w:val="18"/>
          <w:szCs w:val="18"/>
          <w:color w:val="auto"/>
        </w:rPr>
        <w:t>The word “or” shall be inclusive and not exclusive, unless the context otherwise requires.</w:t>
      </w:r>
    </w:p>
    <w:p>
      <w:pPr>
        <w:spacing w:after="0" w:line="223" w:lineRule="exact"/>
        <w:rPr>
          <w:rFonts w:ascii="Arial" w:cs="Arial" w:eastAsia="Arial" w:hAnsi="Arial"/>
          <w:sz w:val="18"/>
          <w:szCs w:val="18"/>
          <w:color w:val="010000"/>
        </w:rPr>
      </w:pPr>
    </w:p>
    <w:p>
      <w:pPr>
        <w:ind w:firstLine="1298"/>
        <w:spacing w:after="0" w:line="275" w:lineRule="auto"/>
        <w:tabs>
          <w:tab w:leader="none" w:pos="1984" w:val="left"/>
        </w:tabs>
        <w:numPr>
          <w:ilvl w:val="0"/>
          <w:numId w:val="323"/>
        </w:numPr>
        <w:rPr>
          <w:rFonts w:ascii="Arial" w:cs="Arial" w:eastAsia="Arial" w:hAnsi="Arial"/>
          <w:sz w:val="18"/>
          <w:szCs w:val="18"/>
          <w:color w:val="010000"/>
        </w:rPr>
      </w:pPr>
      <w:r>
        <w:rPr>
          <w:rFonts w:ascii="Arial" w:cs="Arial" w:eastAsia="Arial" w:hAnsi="Arial"/>
          <w:sz w:val="18"/>
          <w:szCs w:val="18"/>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170" w:lineRule="exact"/>
        <w:rPr>
          <w:rFonts w:ascii="Arial" w:cs="Arial" w:eastAsia="Arial" w:hAnsi="Arial"/>
          <w:sz w:val="18"/>
          <w:szCs w:val="18"/>
          <w:color w:val="010000"/>
        </w:rPr>
      </w:pPr>
    </w:p>
    <w:p>
      <w:pPr>
        <w:ind w:left="2060" w:hanging="762"/>
        <w:spacing w:after="0"/>
        <w:tabs>
          <w:tab w:leader="none" w:pos="2060" w:val="left"/>
        </w:tabs>
        <w:numPr>
          <w:ilvl w:val="0"/>
          <w:numId w:val="323"/>
        </w:numPr>
        <w:rPr>
          <w:rFonts w:ascii="Arial" w:cs="Arial" w:eastAsia="Arial" w:hAnsi="Arial"/>
          <w:sz w:val="17"/>
          <w:szCs w:val="17"/>
          <w:color w:val="010000"/>
        </w:rPr>
      </w:pPr>
      <w:r>
        <w:rPr>
          <w:rFonts w:ascii="Arial" w:cs="Arial" w:eastAsia="Arial" w:hAnsi="Arial"/>
          <w:sz w:val="17"/>
          <w:szCs w:val="17"/>
          <w:color w:val="auto"/>
        </w:rPr>
        <w:t>“Writing”, “written” and comparable terms refer to printing, typing and other means of reproducing words (including electronic</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media) in a visible form.</w:t>
      </w:r>
    </w:p>
    <w:p>
      <w:pPr>
        <w:spacing w:after="0" w:line="208" w:lineRule="exact"/>
        <w:rPr>
          <w:rFonts w:ascii="Arial" w:cs="Arial" w:eastAsia="Arial" w:hAnsi="Arial"/>
          <w:sz w:val="17"/>
          <w:szCs w:val="17"/>
          <w:color w:val="010000"/>
        </w:rPr>
      </w:pPr>
    </w:p>
    <w:p>
      <w:pPr>
        <w:ind w:left="2040" w:hanging="742"/>
        <w:spacing w:after="0"/>
        <w:tabs>
          <w:tab w:leader="none" w:pos="2040" w:val="left"/>
        </w:tabs>
        <w:numPr>
          <w:ilvl w:val="0"/>
          <w:numId w:val="323"/>
        </w:numPr>
        <w:rPr>
          <w:rFonts w:ascii="Arial" w:cs="Arial" w:eastAsia="Arial" w:hAnsi="Arial"/>
          <w:sz w:val="16"/>
          <w:szCs w:val="16"/>
          <w:color w:val="010000"/>
        </w:rPr>
      </w:pPr>
      <w:r>
        <w:rPr>
          <w:rFonts w:ascii="Arial" w:cs="Arial" w:eastAsia="Arial" w:hAnsi="Arial"/>
          <w:sz w:val="16"/>
          <w:szCs w:val="16"/>
          <w:color w:val="auto"/>
        </w:rPr>
        <w:t>References to any Contract are to that Contract as amended, modified or supplemented from time to time in accordance with the</w:t>
      </w:r>
    </w:p>
    <w:p>
      <w:pPr>
        <w:spacing w:after="0" w:line="45"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terms hereof and thereof.</w:t>
      </w:r>
    </w:p>
    <w:p>
      <w:pPr>
        <w:spacing w:after="0" w:line="208" w:lineRule="exact"/>
        <w:rPr>
          <w:rFonts w:ascii="Arial" w:cs="Arial" w:eastAsia="Arial" w:hAnsi="Arial"/>
          <w:sz w:val="16"/>
          <w:szCs w:val="16"/>
          <w:color w:val="010000"/>
        </w:rPr>
      </w:pPr>
    </w:p>
    <w:p>
      <w:pPr>
        <w:jc w:val="both"/>
        <w:ind w:firstLine="1298"/>
        <w:spacing w:after="0" w:line="262" w:lineRule="auto"/>
        <w:tabs>
          <w:tab w:leader="none" w:pos="1934" w:val="left"/>
        </w:tabs>
        <w:numPr>
          <w:ilvl w:val="0"/>
          <w:numId w:val="323"/>
        </w:numPr>
        <w:rPr>
          <w:rFonts w:ascii="Arial" w:cs="Arial" w:eastAsia="Arial" w:hAnsi="Arial"/>
          <w:sz w:val="18"/>
          <w:szCs w:val="18"/>
          <w:color w:val="010000"/>
        </w:rPr>
      </w:pPr>
      <w:r>
        <w:rPr>
          <w:rFonts w:ascii="Arial" w:cs="Arial" w:eastAsia="Arial" w:hAnsi="Arial"/>
          <w:sz w:val="18"/>
          <w:szCs w:val="18"/>
          <w:color w:val="auto"/>
        </w:rPr>
        <w:t xml:space="preserve">References to any Person include the successors and permitted assigns of that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the avoidance of doubt, nothing in this </w:t>
      </w:r>
      <w:r>
        <w:rPr>
          <w:rFonts w:ascii="Arial" w:cs="Arial" w:eastAsia="Arial" w:hAnsi="Arial"/>
          <w:sz w:val="18"/>
          <w:szCs w:val="18"/>
          <w:u w:val="single" w:color="auto"/>
          <w:color w:val="auto"/>
        </w:rPr>
        <w:t>Section 8.21(i)</w:t>
      </w:r>
      <w:r>
        <w:rPr>
          <w:rFonts w:ascii="Arial" w:cs="Arial" w:eastAsia="Arial" w:hAnsi="Arial"/>
          <w:sz w:val="18"/>
          <w:szCs w:val="18"/>
          <w:color w:val="auto"/>
        </w:rPr>
        <w:t xml:space="preserve"> is intended to authorize, nor shall it be deemed to have authorized, any assignment or transfer not otherwise permitted by this Agreement.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5" w:name="page396"/>
    <w:bookmarkEnd w:id="395"/>
    <w:p>
      <w:pPr>
        <w:jc w:val="both"/>
        <w:ind w:left="-20" w:firstLine="1298"/>
        <w:spacing w:after="0" w:line="258" w:lineRule="auto"/>
        <w:tabs>
          <w:tab w:leader="none" w:pos="1914" w:val="left"/>
        </w:tabs>
        <w:numPr>
          <w:ilvl w:val="0"/>
          <w:numId w:val="324"/>
        </w:numPr>
        <w:rPr>
          <w:rFonts w:ascii="Arial" w:cs="Arial" w:eastAsia="Arial" w:hAnsi="Arial"/>
          <w:sz w:val="18"/>
          <w:szCs w:val="18"/>
          <w:color w:val="010000"/>
        </w:rPr>
      </w:pPr>
      <w:r>
        <w:rPr>
          <w:rFonts w:ascii="Arial" w:cs="Arial" w:eastAsia="Arial" w:hAnsi="Arial"/>
          <w:sz w:val="18"/>
          <w:szCs w:val="18"/>
          <w:color w:val="auto"/>
        </w:rPr>
        <w:t>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85" w:lineRule="exact"/>
        <w:rPr>
          <w:rFonts w:ascii="Arial" w:cs="Arial" w:eastAsia="Arial" w:hAnsi="Arial"/>
          <w:sz w:val="18"/>
          <w:szCs w:val="18"/>
          <w:color w:val="010000"/>
        </w:rPr>
      </w:pPr>
    </w:p>
    <w:p>
      <w:pPr>
        <w:ind w:left="-20" w:right="20" w:firstLine="1298"/>
        <w:spacing w:after="0" w:line="275" w:lineRule="auto"/>
        <w:tabs>
          <w:tab w:leader="none" w:pos="1968" w:val="left"/>
        </w:tabs>
        <w:numPr>
          <w:ilvl w:val="0"/>
          <w:numId w:val="324"/>
        </w:numPr>
        <w:rPr>
          <w:rFonts w:ascii="Arial" w:cs="Arial" w:eastAsia="Arial" w:hAnsi="Arial"/>
          <w:sz w:val="18"/>
          <w:szCs w:val="18"/>
          <w:color w:val="010000"/>
        </w:rPr>
      </w:pPr>
      <w:r>
        <w:rPr>
          <w:rFonts w:ascii="Arial" w:cs="Arial" w:eastAsia="Arial" w:hAnsi="Arial"/>
          <w:sz w:val="18"/>
          <w:szCs w:val="18"/>
          <w:color w:val="auto"/>
        </w:rPr>
        <w:t>Unless the context otherwise requires, references to “Law”, “Laws” or to a particular Law shall be deemed to refer to such Law as amended from time to time, and to the rules and regulations promulgated thereunder.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PRIORITY:</w:t>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PRIORITY HOLDINGS, LLC</w:t>
      </w:r>
    </w:p>
    <w:p>
      <w:pPr>
        <w:spacing w:after="0" w:line="223"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C. Priore</w:t>
      </w:r>
    </w:p>
    <w:p>
      <w:pPr>
        <w:spacing w:after="0" w:line="22" w:lineRule="exact"/>
        <w:rPr>
          <w:sz w:val="20"/>
          <w:szCs w:val="20"/>
          <w:color w:val="auto"/>
        </w:rPr>
      </w:pPr>
    </w:p>
    <w:tbl>
      <w:tblPr>
        <w:tblLayout w:type="fixed"/>
        <w:tblInd w:w="5640" w:type="dxa"/>
        <w:tblCellMar>
          <w:top w:w="0" w:type="dxa"/>
          <w:left w:w="0" w:type="dxa"/>
          <w:bottom w:w="0" w:type="dxa"/>
          <w:right w:w="0" w:type="dxa"/>
        </w:tblCellMar>
      </w:tblPr>
      <w:tr>
        <w:trPr>
          <w:trHeight w:val="194"/>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Thomas C. Priore</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Authorized Signatory</w:t>
            </w:r>
          </w:p>
        </w:tc>
      </w:tr>
    </w:tbl>
    <w:p>
      <w:pPr>
        <w:spacing w:after="0" w:line="20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7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19" w:lineRule="exact"/>
        <w:rPr>
          <w:sz w:val="20"/>
          <w:szCs w:val="20"/>
          <w:color w:val="auto"/>
        </w:rPr>
      </w:pPr>
    </w:p>
    <w:tbl>
      <w:tblPr>
        <w:tblLayout w:type="fixed"/>
        <w:tblInd w:w="5060" w:type="dxa"/>
        <w:tblCellMar>
          <w:top w:w="0" w:type="dxa"/>
          <w:left w:w="0" w:type="dxa"/>
          <w:bottom w:w="0" w:type="dxa"/>
          <w:right w:w="0" w:type="dxa"/>
        </w:tblCellMar>
      </w:tblPr>
      <w:tr>
        <w:trPr>
          <w:trHeight w:val="23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FOUNDERS:</w:t>
            </w:r>
          </w:p>
        </w:tc>
        <w:tc>
          <w:tcPr>
            <w:tcW w:w="4480" w:type="dxa"/>
            <w:vAlign w:val="bottom"/>
          </w:tcPr>
          <w:p>
            <w:pPr>
              <w:spacing w:after="0"/>
              <w:rPr>
                <w:sz w:val="20"/>
                <w:szCs w:val="20"/>
                <w:color w:val="auto"/>
              </w:rPr>
            </w:pPr>
          </w:p>
        </w:tc>
      </w:tr>
      <w:tr>
        <w:trPr>
          <w:trHeight w:val="430"/>
        </w:trPr>
        <w:tc>
          <w:tcPr>
            <w:tcW w:w="1220" w:type="dxa"/>
            <w:vAlign w:val="bottom"/>
            <w:gridSpan w:val="2"/>
          </w:tcPr>
          <w:p>
            <w:pPr>
              <w:spacing w:after="0"/>
              <w:rPr>
                <w:sz w:val="20"/>
                <w:szCs w:val="20"/>
                <w:color w:val="auto"/>
              </w:rPr>
            </w:pPr>
            <w:r>
              <w:rPr>
                <w:rFonts w:ascii="Arial" w:cs="Arial" w:eastAsia="Arial" w:hAnsi="Arial"/>
                <w:sz w:val="18"/>
                <w:szCs w:val="18"/>
                <w:color w:val="auto"/>
              </w:rPr>
              <w:t>M SPAC LLC</w:t>
            </w:r>
          </w:p>
        </w:tc>
        <w:tc>
          <w:tcPr>
            <w:tcW w:w="4480" w:type="dxa"/>
            <w:vAlign w:val="bottom"/>
          </w:tcPr>
          <w:p>
            <w:pPr>
              <w:spacing w:after="0"/>
              <w:rPr>
                <w:sz w:val="24"/>
                <w:szCs w:val="24"/>
                <w:color w:val="auto"/>
              </w:rPr>
            </w:pPr>
          </w:p>
        </w:tc>
      </w:tr>
      <w:tr>
        <w:trPr>
          <w:trHeight w:val="4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4"/>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Managing Member</w:t>
            </w:r>
          </w:p>
        </w:tc>
      </w:tr>
      <w:tr>
        <w:trPr>
          <w:trHeight w:val="430"/>
        </w:trPr>
        <w:tc>
          <w:tcPr>
            <w:tcW w:w="5700" w:type="dxa"/>
            <w:vAlign w:val="bottom"/>
            <w:gridSpan w:val="3"/>
          </w:tcPr>
          <w:p>
            <w:pPr>
              <w:spacing w:after="0"/>
              <w:rPr>
                <w:sz w:val="20"/>
                <w:szCs w:val="20"/>
                <w:color w:val="auto"/>
              </w:rPr>
            </w:pPr>
            <w:r>
              <w:rPr>
                <w:rFonts w:ascii="Arial" w:cs="Arial" w:eastAsia="Arial" w:hAnsi="Arial"/>
                <w:sz w:val="18"/>
                <w:szCs w:val="18"/>
                <w:color w:val="auto"/>
              </w:rPr>
              <w:t>M SPAC HOLDINGS I LLC</w:t>
            </w:r>
          </w:p>
        </w:tc>
      </w:tr>
      <w:tr>
        <w:trPr>
          <w:trHeight w:val="4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4"/>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Managing Member</w:t>
            </w:r>
          </w:p>
        </w:tc>
      </w:tr>
      <w:tr>
        <w:trPr>
          <w:trHeight w:val="430"/>
        </w:trPr>
        <w:tc>
          <w:tcPr>
            <w:tcW w:w="5700" w:type="dxa"/>
            <w:vAlign w:val="bottom"/>
            <w:gridSpan w:val="3"/>
          </w:tcPr>
          <w:p>
            <w:pPr>
              <w:spacing w:after="0"/>
              <w:rPr>
                <w:sz w:val="20"/>
                <w:szCs w:val="20"/>
                <w:color w:val="auto"/>
              </w:rPr>
            </w:pPr>
            <w:r>
              <w:rPr>
                <w:rFonts w:ascii="Arial" w:cs="Arial" w:eastAsia="Arial" w:hAnsi="Arial"/>
                <w:sz w:val="18"/>
                <w:szCs w:val="18"/>
                <w:color w:val="auto"/>
              </w:rPr>
              <w:t>M SPAC HOLDINGS II LLC</w:t>
            </w:r>
          </w:p>
        </w:tc>
      </w:tr>
      <w:tr>
        <w:trPr>
          <w:trHeight w:val="4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4"/>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Managing Member</w:t>
            </w:r>
          </w:p>
        </w:tc>
      </w:tr>
    </w:tbl>
    <w:p>
      <w:pPr>
        <w:spacing w:after="0" w:line="20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7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398" w:name="page399"/>
    <w:bookmarkEnd w:id="398"/>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BUYER:</w:t>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 I Acquisitions, Inc.</w:t>
      </w:r>
    </w:p>
    <w:p>
      <w:pPr>
        <w:spacing w:after="0" w:line="223" w:lineRule="exact"/>
        <w:rPr>
          <w:sz w:val="20"/>
          <w:szCs w:val="20"/>
          <w:color w:val="auto"/>
        </w:rPr>
      </w:pPr>
    </w:p>
    <w:tbl>
      <w:tblPr>
        <w:tblLayout w:type="fixed"/>
        <w:tblInd w:w="506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4"/>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7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399" w:name="page400"/>
    <w:bookmarkEnd w:id="399"/>
    <w:p>
      <w:pPr>
        <w:jc w:val="center"/>
        <w:ind w:right="-870"/>
        <w:spacing w:after="0"/>
        <w:rPr>
          <w:sz w:val="20"/>
          <w:szCs w:val="20"/>
          <w:color w:val="auto"/>
        </w:rPr>
      </w:pPr>
      <w:r>
        <w:rPr>
          <w:rFonts w:ascii="Arial" w:cs="Arial" w:eastAsia="Arial" w:hAnsi="Arial"/>
          <w:sz w:val="18"/>
          <w:szCs w:val="18"/>
          <w:u w:val="single" w:color="auto"/>
          <w:color w:val="auto"/>
        </w:rPr>
        <w:t>Annex I</w:t>
      </w:r>
    </w:p>
    <w:p>
      <w:pPr>
        <w:spacing w:after="0" w:line="223" w:lineRule="exact"/>
        <w:rPr>
          <w:sz w:val="20"/>
          <w:szCs w:val="20"/>
          <w:color w:val="auto"/>
        </w:rPr>
      </w:pPr>
    </w:p>
    <w:p>
      <w:pPr>
        <w:jc w:val="right"/>
        <w:ind w:right="3639"/>
        <w:spacing w:after="0"/>
        <w:rPr>
          <w:sz w:val="20"/>
          <w:szCs w:val="20"/>
          <w:color w:val="auto"/>
        </w:rPr>
      </w:pPr>
      <w:r>
        <w:rPr>
          <w:rFonts w:ascii="Arial" w:cs="Arial" w:eastAsia="Arial" w:hAnsi="Arial"/>
          <w:sz w:val="18"/>
          <w:szCs w:val="18"/>
          <w:color w:val="auto"/>
        </w:rPr>
        <w:t>Knowledge of Founders</w:t>
      </w:r>
    </w:p>
    <w:p>
      <w:pPr>
        <w:spacing w:after="0" w:line="223" w:lineRule="exact"/>
        <w:rPr>
          <w:sz w:val="20"/>
          <w:szCs w:val="20"/>
          <w:color w:val="auto"/>
        </w:rPr>
      </w:pPr>
    </w:p>
    <w:p>
      <w:pPr>
        <w:ind w:left="330" w:hanging="330"/>
        <w:spacing w:after="0"/>
        <w:tabs>
          <w:tab w:leader="none" w:pos="33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Joshua Sason</w:t>
      </w:r>
    </w:p>
    <w:p>
      <w:pPr>
        <w:spacing w:after="0" w:line="22" w:lineRule="exact"/>
        <w:rPr>
          <w:rFonts w:ascii="Arial" w:cs="Arial" w:eastAsia="Arial" w:hAnsi="Arial"/>
          <w:sz w:val="18"/>
          <w:szCs w:val="18"/>
          <w:color w:val="auto"/>
        </w:rPr>
      </w:pPr>
    </w:p>
    <w:p>
      <w:pPr>
        <w:ind w:left="330" w:hanging="330"/>
        <w:spacing w:after="0"/>
        <w:tabs>
          <w:tab w:leader="none" w:pos="33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431800</wp:posOffset>
            </wp:positionV>
            <wp:extent cx="7247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889"/>
          </w:cols>
          <w:pgMar w:left="570" w:top="905" w:right="1440" w:bottom="1440" w:gutter="0" w:footer="0" w:header="0"/>
        </w:sectPr>
      </w:pPr>
    </w:p>
    <w:bookmarkStart w:id="400" w:name="page401"/>
    <w:bookmarkEnd w:id="400"/>
    <w:p>
      <w:pPr>
        <w:jc w:val="center"/>
        <w:ind w:right="-870"/>
        <w:spacing w:after="0"/>
        <w:rPr>
          <w:sz w:val="20"/>
          <w:szCs w:val="20"/>
          <w:color w:val="auto"/>
        </w:rPr>
      </w:pPr>
      <w:r>
        <w:rPr>
          <w:rFonts w:ascii="Arial" w:cs="Arial" w:eastAsia="Arial" w:hAnsi="Arial"/>
          <w:sz w:val="18"/>
          <w:szCs w:val="18"/>
          <w:u w:val="single" w:color="auto"/>
          <w:color w:val="auto"/>
        </w:rPr>
        <w:t>Annex II</w:t>
      </w:r>
    </w:p>
    <w:p>
      <w:pPr>
        <w:spacing w:after="0" w:line="223" w:lineRule="exact"/>
        <w:rPr>
          <w:sz w:val="20"/>
          <w:szCs w:val="20"/>
          <w:color w:val="auto"/>
        </w:rPr>
      </w:pPr>
    </w:p>
    <w:p>
      <w:pPr>
        <w:jc w:val="right"/>
        <w:ind w:right="3699"/>
        <w:spacing w:after="0"/>
        <w:rPr>
          <w:sz w:val="20"/>
          <w:szCs w:val="20"/>
          <w:color w:val="auto"/>
        </w:rPr>
      </w:pPr>
      <w:r>
        <w:rPr>
          <w:rFonts w:ascii="Arial" w:cs="Arial" w:eastAsia="Arial" w:hAnsi="Arial"/>
          <w:sz w:val="18"/>
          <w:szCs w:val="18"/>
          <w:color w:val="auto"/>
        </w:rPr>
        <w:t>Knowledge of Priority</w:t>
      </w:r>
    </w:p>
    <w:p>
      <w:pPr>
        <w:spacing w:after="0" w:line="223" w:lineRule="exact"/>
        <w:rPr>
          <w:sz w:val="20"/>
          <w:szCs w:val="20"/>
          <w:color w:val="auto"/>
        </w:rPr>
      </w:pPr>
    </w:p>
    <w:p>
      <w:pPr>
        <w:ind w:left="330" w:hanging="330"/>
        <w:spacing w:after="0"/>
        <w:tabs>
          <w:tab w:leader="none" w:pos="33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441325</wp:posOffset>
            </wp:positionV>
            <wp:extent cx="7247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889"/>
          </w:cols>
          <w:pgMar w:left="570" w:top="905" w:right="1440"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w w:val="95"/>
              </w:rPr>
              <w:t>Annex III</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1"/>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12"/>
          </w:tcPr>
          <w:p>
            <w:pPr>
              <w:ind w:left="600"/>
              <w:spacing w:after="0"/>
              <w:rPr>
                <w:sz w:val="20"/>
                <w:szCs w:val="20"/>
                <w:color w:val="auto"/>
              </w:rPr>
            </w:pPr>
            <w:r>
              <w:rPr>
                <w:rFonts w:ascii="Arial" w:cs="Arial" w:eastAsia="Arial" w:hAnsi="Arial"/>
                <w:sz w:val="18"/>
                <w:szCs w:val="18"/>
                <w:color w:val="auto"/>
              </w:rPr>
              <w:t>Ownership of Acquired SPAC Interests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5"/>
              </w:rPr>
              <w:t>Shares issued or</w:t>
            </w:r>
          </w:p>
        </w:tc>
      </w:tr>
      <w:tr>
        <w:trPr>
          <w:trHeight w:val="215"/>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Cash paid</w:t>
            </w:r>
          </w:p>
        </w:tc>
      </w:tr>
      <w:tr>
        <w:trPr>
          <w:trHeight w:val="215"/>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Cash Payment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pursuant to</w:t>
            </w:r>
          </w:p>
        </w:tc>
      </w:tr>
      <w:tr>
        <w:trPr>
          <w:trHeight w:val="215"/>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Acquired SPAC</w:t>
            </w:r>
          </w:p>
        </w:tc>
        <w:tc>
          <w:tcPr>
            <w:tcW w:w="20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9"/>
              </w:rPr>
              <w:t>Acquired</w:t>
            </w:r>
          </w:p>
        </w:tc>
        <w:tc>
          <w:tcPr>
            <w:tcW w:w="100" w:type="dxa"/>
            <w:vAlign w:val="bottom"/>
          </w:tcPr>
          <w:p>
            <w:pPr>
              <w:spacing w:after="0"/>
              <w:rPr>
                <w:sz w:val="18"/>
                <w:szCs w:val="18"/>
                <w:color w:val="auto"/>
              </w:rPr>
            </w:pPr>
          </w:p>
        </w:tc>
        <w:tc>
          <w:tcPr>
            <w:tcW w:w="1780" w:type="dxa"/>
            <w:vAlign w:val="bottom"/>
            <w:gridSpan w:val="4"/>
          </w:tcPr>
          <w:p>
            <w:pPr>
              <w:ind w:left="20"/>
              <w:spacing w:after="0"/>
              <w:rPr>
                <w:sz w:val="20"/>
                <w:szCs w:val="20"/>
                <w:color w:val="auto"/>
              </w:rPr>
            </w:pPr>
            <w:r>
              <w:rPr>
                <w:rFonts w:ascii="Arial" w:cs="Arial" w:eastAsia="Arial" w:hAnsi="Arial"/>
                <w:sz w:val="18"/>
                <w:szCs w:val="18"/>
                <w:b w:val="1"/>
                <w:bCs w:val="1"/>
                <w:color w:val="auto"/>
              </w:rPr>
              <w:t>pursuant to Section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Section 2.06(b)(i)</w:t>
            </w:r>
          </w:p>
        </w:tc>
      </w:tr>
      <w:tr>
        <w:trPr>
          <w:trHeight w:val="233"/>
        </w:trPr>
        <w:tc>
          <w:tcPr>
            <w:tcW w:w="3700" w:type="dxa"/>
            <w:vAlign w:val="bottom"/>
            <w:gridSpan w:val="2"/>
          </w:tcPr>
          <w:p>
            <w:pPr>
              <w:ind w:left="1460"/>
              <w:spacing w:after="0"/>
              <w:rPr>
                <w:sz w:val="20"/>
                <w:szCs w:val="20"/>
                <w:color w:val="auto"/>
              </w:rPr>
            </w:pPr>
            <w:r>
              <w:rPr>
                <w:rFonts w:ascii="Arial" w:cs="Arial" w:eastAsia="Arial" w:hAnsi="Arial"/>
                <w:sz w:val="18"/>
                <w:szCs w:val="18"/>
                <w:b w:val="1"/>
                <w:bCs w:val="1"/>
                <w:color w:val="auto"/>
              </w:rPr>
              <w:t>Founder</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Units</w:t>
            </w:r>
          </w:p>
        </w:tc>
        <w:tc>
          <w:tcPr>
            <w:tcW w:w="14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8"/>
              </w:rPr>
              <w:t>Founders 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2.05(a)</w:t>
            </w: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rPr>
              <w:t>Forfeited Shares</w:t>
            </w:r>
          </w:p>
        </w:tc>
        <w:tc>
          <w:tcPr>
            <w:tcW w:w="1460" w:type="dxa"/>
            <w:vAlign w:val="bottom"/>
            <w:gridSpan w:val="3"/>
          </w:tcPr>
          <w:p>
            <w:pPr>
              <w:ind w:left="220"/>
              <w:spacing w:after="0"/>
              <w:rPr>
                <w:sz w:val="20"/>
                <w:szCs w:val="20"/>
                <w:color w:val="auto"/>
              </w:rPr>
            </w:pPr>
            <w:r>
              <w:rPr>
                <w:rFonts w:ascii="Arial" w:cs="Arial" w:eastAsia="Arial" w:hAnsi="Arial"/>
                <w:sz w:val="18"/>
                <w:szCs w:val="18"/>
                <w:b w:val="1"/>
                <w:bCs w:val="1"/>
                <w:color w:val="auto"/>
              </w:rPr>
              <w:t>or 2.06(b)(ii)</w:t>
            </w:r>
          </w:p>
        </w:tc>
      </w:tr>
      <w:tr>
        <w:trPr>
          <w:trHeight w:val="209"/>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 SPAC LLC</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294,168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1,814,474.97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3700" w:type="dxa"/>
            <w:vAlign w:val="bottom"/>
            <w:gridSpan w:val="2"/>
          </w:tcPr>
          <w:p>
            <w:pPr>
              <w:spacing w:after="0"/>
              <w:rPr>
                <w:sz w:val="20"/>
                <w:szCs w:val="20"/>
                <w:color w:val="auto"/>
              </w:rPr>
            </w:pPr>
            <w:r>
              <w:rPr>
                <w:rFonts w:ascii="Arial" w:cs="Arial" w:eastAsia="Arial" w:hAnsi="Arial"/>
                <w:sz w:val="18"/>
                <w:szCs w:val="18"/>
                <w:color w:val="auto"/>
              </w:rPr>
              <w:t>M SPAC HOLDINGS I LLC</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8"/>
                <w:szCs w:val="18"/>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8"/>
                <w:szCs w:val="18"/>
                <w:color w:val="auto"/>
              </w:rPr>
              <w:t>64,574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301,781.02</w:t>
            </w: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24,915</w:t>
            </w: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24,915</w:t>
            </w:r>
          </w:p>
        </w:tc>
        <w:tc>
          <w:tcPr>
            <w:tcW w:w="80" w:type="dxa"/>
            <w:vAlign w:val="bottom"/>
          </w:tcPr>
          <w:p>
            <w:pPr>
              <w:spacing w:after="0"/>
              <w:rPr>
                <w:sz w:val="18"/>
                <w:szCs w:val="18"/>
                <w:color w:val="auto"/>
              </w:rPr>
            </w:pPr>
          </w:p>
        </w:tc>
      </w:tr>
      <w:tr>
        <w:trPr>
          <w:trHeight w:val="229"/>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SPAC HOLDINGS II LLC</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83,166</w:t>
            </w:r>
          </w:p>
        </w:tc>
        <w:tc>
          <w:tcPr>
            <w:tcW w:w="12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94,468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1,779.01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36,449</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36,449</w:t>
            </w:r>
          </w:p>
        </w:tc>
        <w:tc>
          <w:tcPr>
            <w:tcW w:w="80" w:type="dxa"/>
            <w:vAlign w:val="bottom"/>
            <w:shd w:val="clear" w:color="auto" w:fill="CCEEFF"/>
          </w:tcPr>
          <w:p>
            <w:pPr>
              <w:spacing w:after="0"/>
              <w:rPr>
                <w:sz w:val="19"/>
                <w:szCs w:val="19"/>
                <w:color w:val="auto"/>
              </w:rPr>
            </w:pPr>
          </w:p>
        </w:tc>
      </w:tr>
      <w:tr>
        <w:trPr>
          <w:trHeight w:val="209"/>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453,210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2,118,035.00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174,863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174,863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6"/>
        </w:trPr>
        <w:tc>
          <w:tcPr>
            <w:tcW w:w="3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7" w:right="2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Annex C</w:t>
      </w:r>
    </w:p>
    <w:p>
      <w:pPr>
        <w:spacing w:after="0" w:line="22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February 26,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 SPAC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 SPAC Holdings I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 SPAC Holdings II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40 Wall Street, 58th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2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Call Right and ROFR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3"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Reference is hereby made to that Contribution Agreement (the “</w:t>
      </w:r>
      <w:r>
        <w:rPr>
          <w:rFonts w:ascii="Arial" w:cs="Arial" w:eastAsia="Arial" w:hAnsi="Arial"/>
          <w:sz w:val="17"/>
          <w:szCs w:val="17"/>
          <w:u w:val="single" w:color="auto"/>
          <w:color w:val="auto"/>
        </w:rPr>
        <w:t>Contribution Agreement</w:t>
      </w:r>
      <w:r>
        <w:rPr>
          <w:rFonts w:ascii="Arial" w:cs="Arial" w:eastAsia="Arial" w:hAnsi="Arial"/>
          <w:sz w:val="17"/>
          <w:szCs w:val="17"/>
          <w:color w:val="auto"/>
        </w:rPr>
        <w:t>”), dated as of the date hereof, by and among Priority Investment Holdings, LLC (“</w:t>
      </w:r>
      <w:r>
        <w:rPr>
          <w:rFonts w:ascii="Arial" w:cs="Arial" w:eastAsia="Arial" w:hAnsi="Arial"/>
          <w:sz w:val="17"/>
          <w:szCs w:val="17"/>
          <w:u w:val="single" w:color="auto"/>
          <w:color w:val="auto"/>
        </w:rPr>
        <w:t>PIH</w:t>
      </w:r>
      <w:r>
        <w:rPr>
          <w:rFonts w:ascii="Arial" w:cs="Arial" w:eastAsia="Arial" w:hAnsi="Arial"/>
          <w:sz w:val="17"/>
          <w:szCs w:val="17"/>
          <w:color w:val="auto"/>
        </w:rPr>
        <w:t>”), Priority Incentive Equity Holdings, LLC (“</w:t>
      </w:r>
      <w:r>
        <w:rPr>
          <w:rFonts w:ascii="Arial" w:cs="Arial" w:eastAsia="Arial" w:hAnsi="Arial"/>
          <w:sz w:val="17"/>
          <w:szCs w:val="17"/>
          <w:u w:val="single" w:color="auto"/>
          <w:color w:val="auto"/>
        </w:rPr>
        <w:t>PIEH</w:t>
      </w:r>
      <w:r>
        <w:rPr>
          <w:rFonts w:ascii="Arial" w:cs="Arial" w:eastAsia="Arial" w:hAnsi="Arial"/>
          <w:sz w:val="17"/>
          <w:szCs w:val="17"/>
          <w:color w:val="auto"/>
        </w:rPr>
        <w:t>”) and M I Acquisitions, Inc.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which, PIH and PIEH agreed to contribute to the Company, and the Company agreed to acquire from PIH and PIEH, 100% of the issued and outstanding equity interests of Priority Holdings, LLC. In connection with the transactions contemplated by the Contribution Agreement, and in consideration of the respective representations, warranties, covenants and agreements set forth herein and for good 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left="740" w:hanging="410"/>
        <w:spacing w:after="0"/>
        <w:tabs>
          <w:tab w:leader="none" w:pos="74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following meanings:</w:t>
      </w:r>
    </w:p>
    <w:p>
      <w:pPr>
        <w:spacing w:after="0" w:line="223" w:lineRule="exact"/>
        <w:rPr>
          <w:sz w:val="20"/>
          <w:szCs w:val="20"/>
          <w:color w:val="auto"/>
        </w:rPr>
      </w:pPr>
    </w:p>
    <w:p>
      <w:pPr>
        <w:jc w:val="both"/>
        <w:ind w:left="340" w:firstLine="32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controlling, controlled by or under common control with such first Person, and “controlling”, “controlled by” or “under common control with” means the possession, directly or indirectly, of the power to direct the management and policies of a Person, whether through the ownership of voting securities, by contract or otherwise.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has the meaning set forth in the Contribution Agreement.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the Contribution Agreement.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common stock, $0.001 par value per share, of the Company.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Unit</w:t>
      </w:r>
      <w:r>
        <w:rPr>
          <w:rFonts w:ascii="Arial" w:cs="Arial" w:eastAsia="Arial" w:hAnsi="Arial"/>
          <w:sz w:val="17"/>
          <w:szCs w:val="17"/>
          <w:color w:val="auto"/>
        </w:rPr>
        <w:t>” means the units issued by the Company, consisting of one share of Company Common Stock and one Company Warrant.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means (a) shares of Company Common Stock, (b) the Company Units and (c) the Company Warrants.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03" w:name="page404"/>
    <w:bookmarkEnd w:id="403"/>
    <w:p>
      <w:pPr>
        <w:ind w:left="10" w:firstLine="32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w:t>
      </w:r>
      <w:r>
        <w:rPr>
          <w:rFonts w:ascii="Arial" w:cs="Arial" w:eastAsia="Arial" w:hAnsi="Arial"/>
          <w:sz w:val="18"/>
          <w:szCs w:val="18"/>
          <w:color w:val="auto"/>
        </w:rPr>
        <w:t>” means a warrant issued by the Company entitling the holder thereof to purchase one share of Company Common Stock in accordance with the terms and conditions of the Warrant Agreement.</w:t>
      </w:r>
    </w:p>
    <w:p>
      <w:pPr>
        <w:spacing w:after="0" w:line="171" w:lineRule="exact"/>
        <w:rPr>
          <w:sz w:val="20"/>
          <w:szCs w:val="20"/>
          <w:color w:val="auto"/>
        </w:rPr>
      </w:pPr>
    </w:p>
    <w:p>
      <w:pPr>
        <w:ind w:left="10" w:firstLine="32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Preceding VWAP</w:t>
      </w:r>
      <w:r>
        <w:rPr>
          <w:rFonts w:ascii="Arial" w:cs="Arial" w:eastAsia="Arial" w:hAnsi="Arial"/>
          <w:sz w:val="18"/>
          <w:szCs w:val="18"/>
          <w:color w:val="auto"/>
        </w:rPr>
        <w:t>” means, with respect to any Called Securities, the VWAP of such Called Securities on NASDAQ for the 20 consecutive trading days immediately prior to the date of delivery of the Call Right Notice.</w:t>
      </w:r>
    </w:p>
    <w:p>
      <w:pPr>
        <w:spacing w:after="0" w:line="171" w:lineRule="exact"/>
        <w:rPr>
          <w:sz w:val="20"/>
          <w:szCs w:val="20"/>
          <w:color w:val="auto"/>
        </w:rPr>
      </w:pPr>
    </w:p>
    <w:p>
      <w:pPr>
        <w:ind w:left="3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the Company, the Founders, TCP or any Affiliate of any of the foregoing.</w:t>
      </w:r>
    </w:p>
    <w:p>
      <w:pPr>
        <w:spacing w:after="0" w:line="223" w:lineRule="exact"/>
        <w:rPr>
          <w:sz w:val="20"/>
          <w:szCs w:val="20"/>
          <w:color w:val="auto"/>
        </w:rPr>
      </w:pPr>
    </w:p>
    <w:p>
      <w:pPr>
        <w:ind w:left="3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the volume weighted average closing price.</w:t>
      </w:r>
    </w:p>
    <w:p>
      <w:pPr>
        <w:spacing w:after="0" w:line="223" w:lineRule="exact"/>
        <w:rPr>
          <w:sz w:val="20"/>
          <w:szCs w:val="20"/>
          <w:color w:val="auto"/>
        </w:rPr>
      </w:pPr>
    </w:p>
    <w:p>
      <w:pPr>
        <w:ind w:left="10" w:firstLine="32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VWAP</w:t>
      </w:r>
      <w:r>
        <w:rPr>
          <w:rFonts w:ascii="Arial" w:cs="Arial" w:eastAsia="Arial" w:hAnsi="Arial"/>
          <w:sz w:val="18"/>
          <w:szCs w:val="18"/>
          <w:color w:val="auto"/>
        </w:rPr>
        <w:t>” means, with respect to any Called Securities, the VWAP of such Called Securities on NASDAQ for the 20 consecutive trading days immediately after the date of delivery of the Call Right Notice.</w:t>
      </w:r>
    </w:p>
    <w:p>
      <w:pPr>
        <w:spacing w:after="0" w:line="171" w:lineRule="exact"/>
        <w:rPr>
          <w:sz w:val="20"/>
          <w:szCs w:val="20"/>
          <w:color w:val="auto"/>
        </w:rPr>
      </w:pPr>
    </w:p>
    <w:p>
      <w:pPr>
        <w:ind w:left="10" w:right="20" w:firstLine="32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that warrant agreement, dated as of September 13, 2016, by and between the Company and American Stock Transfer &amp; Trust Company, as warrant agent thereunder.</w:t>
      </w:r>
    </w:p>
    <w:p>
      <w:pPr>
        <w:spacing w:after="0" w:line="171" w:lineRule="exact"/>
        <w:rPr>
          <w:sz w:val="20"/>
          <w:szCs w:val="20"/>
          <w:color w:val="auto"/>
        </w:rPr>
      </w:pPr>
    </w:p>
    <w:p>
      <w:pPr>
        <w:ind w:left="330" w:hanging="330"/>
        <w:spacing w:after="0"/>
        <w:tabs>
          <w:tab w:leader="none" w:pos="33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Call Right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10" w:firstLine="635"/>
        <w:spacing w:after="0" w:line="269" w:lineRule="auto"/>
        <w:tabs>
          <w:tab w:leader="none" w:pos="1181" w:val="left"/>
        </w:tabs>
        <w:numPr>
          <w:ilvl w:val="1"/>
          <w:numId w:val="328"/>
        </w:numPr>
        <w:rPr>
          <w:rFonts w:ascii="Arial" w:cs="Arial" w:eastAsia="Arial" w:hAnsi="Arial"/>
          <w:sz w:val="17"/>
          <w:szCs w:val="17"/>
          <w:color w:val="010000"/>
        </w:rPr>
      </w:pPr>
      <w:r>
        <w:rPr>
          <w:rFonts w:ascii="Arial" w:cs="Arial" w:eastAsia="Arial" w:hAnsi="Arial"/>
          <w:sz w:val="17"/>
          <w:szCs w:val="17"/>
          <w:color w:val="auto"/>
        </w:rPr>
        <w:t>After the Closing, Thomas C. Priore (“</w:t>
      </w:r>
      <w:r>
        <w:rPr>
          <w:rFonts w:ascii="Arial" w:cs="Arial" w:eastAsia="Arial" w:hAnsi="Arial"/>
          <w:sz w:val="17"/>
          <w:szCs w:val="17"/>
          <w:u w:val="single" w:color="auto"/>
          <w:color w:val="auto"/>
        </w:rPr>
        <w:t>TCP</w:t>
      </w:r>
      <w:r>
        <w:rPr>
          <w:rFonts w:ascii="Arial" w:cs="Arial" w:eastAsia="Arial" w:hAnsi="Arial"/>
          <w:sz w:val="17"/>
          <w:szCs w:val="17"/>
          <w:color w:val="auto"/>
        </w:rPr>
        <w:t>”) shall have the right (the “</w:t>
      </w:r>
      <w:r>
        <w:rPr>
          <w:rFonts w:ascii="Arial" w:cs="Arial" w:eastAsia="Arial" w:hAnsi="Arial"/>
          <w:sz w:val="17"/>
          <w:szCs w:val="17"/>
          <w:u w:val="single" w:color="auto"/>
          <w:color w:val="auto"/>
        </w:rPr>
        <w:t>Call Right</w:t>
      </w:r>
      <w:r>
        <w:rPr>
          <w:rFonts w:ascii="Arial" w:cs="Arial" w:eastAsia="Arial" w:hAnsi="Arial"/>
          <w:sz w:val="17"/>
          <w:szCs w:val="17"/>
          <w:color w:val="auto"/>
        </w:rPr>
        <w:t>”), at any time and from time to time, to require each of M SPAC LLC (“</w:t>
      </w:r>
      <w:r>
        <w:rPr>
          <w:rFonts w:ascii="Arial" w:cs="Arial" w:eastAsia="Arial" w:hAnsi="Arial"/>
          <w:sz w:val="17"/>
          <w:szCs w:val="17"/>
          <w:u w:val="single" w:color="auto"/>
          <w:color w:val="auto"/>
        </w:rPr>
        <w:t>MS</w:t>
      </w:r>
      <w:r>
        <w:rPr>
          <w:rFonts w:ascii="Arial" w:cs="Arial" w:eastAsia="Arial" w:hAnsi="Arial"/>
          <w:sz w:val="17"/>
          <w:szCs w:val="17"/>
          <w:color w:val="auto"/>
        </w:rPr>
        <w:t>”), M SPAC Holdings I LLC (“</w:t>
      </w:r>
      <w:r>
        <w:rPr>
          <w:rFonts w:ascii="Arial" w:cs="Arial" w:eastAsia="Arial" w:hAnsi="Arial"/>
          <w:sz w:val="17"/>
          <w:szCs w:val="17"/>
          <w:u w:val="single" w:color="auto"/>
          <w:color w:val="auto"/>
        </w:rPr>
        <w:t>MS I</w:t>
      </w:r>
      <w:r>
        <w:rPr>
          <w:rFonts w:ascii="Arial" w:cs="Arial" w:eastAsia="Arial" w:hAnsi="Arial"/>
          <w:sz w:val="17"/>
          <w:szCs w:val="17"/>
          <w:color w:val="auto"/>
        </w:rPr>
        <w:t>”) and M SPAC Holdings II LLC (“</w:t>
      </w:r>
      <w:r>
        <w:rPr>
          <w:rFonts w:ascii="Arial" w:cs="Arial" w:eastAsia="Arial" w:hAnsi="Arial"/>
          <w:sz w:val="17"/>
          <w:szCs w:val="17"/>
          <w:u w:val="single" w:color="auto"/>
          <w:color w:val="auto"/>
        </w:rPr>
        <w:t>MS II</w:t>
      </w:r>
      <w:r>
        <w:rPr>
          <w:rFonts w:ascii="Arial" w:cs="Arial" w:eastAsia="Arial" w:hAnsi="Arial"/>
          <w:sz w:val="17"/>
          <w:szCs w:val="17"/>
          <w:color w:val="auto"/>
        </w:rPr>
        <w:t>” and collectively with MS I and MS, the “</w:t>
      </w:r>
      <w:r>
        <w:rPr>
          <w:rFonts w:ascii="Arial" w:cs="Arial" w:eastAsia="Arial" w:hAnsi="Arial"/>
          <w:sz w:val="17"/>
          <w:szCs w:val="17"/>
          <w:u w:val="single" w:color="auto"/>
          <w:color w:val="auto"/>
        </w:rPr>
        <w:t>Founders</w:t>
      </w:r>
      <w:r>
        <w:rPr>
          <w:rFonts w:ascii="Arial" w:cs="Arial" w:eastAsia="Arial" w:hAnsi="Arial"/>
          <w:sz w:val="17"/>
          <w:szCs w:val="17"/>
          <w:color w:val="auto"/>
        </w:rPr>
        <w:t>”) to sell all or a portion of any Company Securities then held by such Founder to TCP at the applicable Call Right Purchase Price (as defined below), payable in cash. The Call Right shall be exercisable by TCP by delivering written notice to the Founders (the “</w:t>
      </w:r>
      <w:r>
        <w:rPr>
          <w:rFonts w:ascii="Arial" w:cs="Arial" w:eastAsia="Arial" w:hAnsi="Arial"/>
          <w:sz w:val="17"/>
          <w:szCs w:val="17"/>
          <w:u w:val="single" w:color="auto"/>
          <w:color w:val="auto"/>
        </w:rPr>
        <w:t>Call Right Notice</w:t>
      </w:r>
      <w:r>
        <w:rPr>
          <w:rFonts w:ascii="Arial" w:cs="Arial" w:eastAsia="Arial" w:hAnsi="Arial"/>
          <w:sz w:val="17"/>
          <w:szCs w:val="17"/>
          <w:color w:val="auto"/>
        </w:rPr>
        <w:t>”) specifying the amount and type of Company Securities to be purchased in connection with such exercise (such Company Securities, the “</w:t>
      </w:r>
      <w:r>
        <w:rPr>
          <w:rFonts w:ascii="Arial" w:cs="Arial" w:eastAsia="Arial" w:hAnsi="Arial"/>
          <w:sz w:val="17"/>
          <w:szCs w:val="17"/>
          <w:u w:val="single" w:color="auto"/>
          <w:color w:val="auto"/>
        </w:rPr>
        <w:t>Called Securities</w:t>
      </w:r>
      <w:r>
        <w:rPr>
          <w:rFonts w:ascii="Arial" w:cs="Arial" w:eastAsia="Arial" w:hAnsi="Arial"/>
          <w:sz w:val="17"/>
          <w:szCs w:val="17"/>
          <w:color w:val="auto"/>
        </w:rPr>
        <w:t>”). As used herein, the term “</w:t>
      </w:r>
      <w:r>
        <w:rPr>
          <w:rFonts w:ascii="Arial" w:cs="Arial" w:eastAsia="Arial" w:hAnsi="Arial"/>
          <w:sz w:val="17"/>
          <w:szCs w:val="17"/>
          <w:u w:val="single" w:color="auto"/>
          <w:color w:val="auto"/>
        </w:rPr>
        <w:t>Call Right Purchase Price</w:t>
      </w:r>
      <w:r>
        <w:rPr>
          <w:rFonts w:ascii="Arial" w:cs="Arial" w:eastAsia="Arial" w:hAnsi="Arial"/>
          <w:sz w:val="17"/>
          <w:szCs w:val="17"/>
          <w:color w:val="auto"/>
        </w:rPr>
        <w:t>” shall mean (i) with respect to any Called Securities that constitute Company Units or Company Common Stock, a per share purchase price equal to the greatest of (A) $10.30, (B) the Preceding VWAP of such Called Securities or (C) the Subsequent VWAP of such Called Securities; and (ii) with respect to any Company Securities that constitute Company Warrants, a per share price equal to the greater of (A) the Preceding VWAP of such Called Securities and (B) the Subsequent VWAP of such Called Securities.</w:t>
      </w:r>
    </w:p>
    <w:p>
      <w:pPr>
        <w:spacing w:after="0" w:line="182" w:lineRule="exact"/>
        <w:rPr>
          <w:rFonts w:ascii="Arial" w:cs="Arial" w:eastAsia="Arial" w:hAnsi="Arial"/>
          <w:sz w:val="17"/>
          <w:szCs w:val="17"/>
          <w:color w:val="010000"/>
        </w:rPr>
      </w:pPr>
    </w:p>
    <w:p>
      <w:pPr>
        <w:jc w:val="both"/>
        <w:ind w:left="10" w:firstLine="635"/>
        <w:spacing w:after="0" w:line="246" w:lineRule="auto"/>
        <w:tabs>
          <w:tab w:leader="none" w:pos="1191" w:val="left"/>
        </w:tabs>
        <w:numPr>
          <w:ilvl w:val="1"/>
          <w:numId w:val="328"/>
        </w:numPr>
        <w:rPr>
          <w:rFonts w:ascii="Arial" w:cs="Arial" w:eastAsia="Arial" w:hAnsi="Arial"/>
          <w:sz w:val="17"/>
          <w:szCs w:val="17"/>
          <w:color w:val="010000"/>
        </w:rPr>
      </w:pPr>
      <w:r>
        <w:rPr>
          <w:rFonts w:ascii="Arial" w:cs="Arial" w:eastAsia="Arial" w:hAnsi="Arial"/>
          <w:sz w:val="17"/>
          <w:szCs w:val="17"/>
          <w:color w:val="auto"/>
        </w:rPr>
        <w:t>On the twenty-first (21</w:t>
      </w:r>
      <w:r>
        <w:rPr>
          <w:rFonts w:ascii="Arial" w:cs="Arial" w:eastAsia="Arial" w:hAnsi="Arial"/>
          <w:sz w:val="28"/>
          <w:szCs w:val="28"/>
          <w:color w:val="auto"/>
          <w:vertAlign w:val="superscript"/>
        </w:rPr>
        <w:t>st</w:t>
      </w:r>
      <w:r>
        <w:rPr>
          <w:rFonts w:ascii="Arial" w:cs="Arial" w:eastAsia="Arial" w:hAnsi="Arial"/>
          <w:sz w:val="17"/>
          <w:szCs w:val="17"/>
          <w:color w:val="auto"/>
        </w:rPr>
        <w:t>) trading day after delivery of the Call Right Notice, TCP shall deliver a written notice to the Founders (the “</w:t>
      </w:r>
      <w:r>
        <w:rPr>
          <w:rFonts w:ascii="Arial" w:cs="Arial" w:eastAsia="Arial" w:hAnsi="Arial"/>
          <w:sz w:val="17"/>
          <w:szCs w:val="17"/>
          <w:u w:val="single" w:color="auto"/>
          <w:color w:val="auto"/>
        </w:rPr>
        <w:t>Call</w:t>
      </w:r>
      <w:r>
        <w:rPr>
          <w:rFonts w:ascii="Arial" w:cs="Arial" w:eastAsia="Arial" w:hAnsi="Arial"/>
          <w:sz w:val="17"/>
          <w:szCs w:val="17"/>
          <w:color w:val="auto"/>
        </w:rPr>
        <w:t xml:space="preserve"> </w:t>
      </w:r>
      <w:r>
        <w:rPr>
          <w:rFonts w:ascii="Arial" w:cs="Arial" w:eastAsia="Arial" w:hAnsi="Arial"/>
          <w:sz w:val="17"/>
          <w:szCs w:val="17"/>
          <w:u w:val="single" w:color="auto"/>
          <w:color w:val="auto"/>
        </w:rPr>
        <w:t>Right Purchase Price Notice</w:t>
      </w:r>
      <w:r>
        <w:rPr>
          <w:rFonts w:ascii="Arial" w:cs="Arial" w:eastAsia="Arial" w:hAnsi="Arial"/>
          <w:sz w:val="17"/>
          <w:szCs w:val="17"/>
          <w:color w:val="auto"/>
        </w:rPr>
        <w:t xml:space="preserve">”) specifying in reasonable detail the applicable Call Right Purchase Price. TCP and the applicable Founder shall consummate the closing of the purchase of the Called Securities on the next trading day immediately after the date of delivery of the Call Right Purchase Price Notice. Notwithstanding the closing of such purchase or the payment of the applicable Call Right Purchase Price, Founders hereby reserve all rights and remedies with respect to the calculation of the applicable Call Right Purchase Price in accordance with this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29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13970</wp:posOffset>
            </wp:positionV>
            <wp:extent cx="7247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90"/>
          </w:cols>
          <w:pgMar w:left="570" w:top="905" w:right="239" w:bottom="1440" w:gutter="0" w:footer="0" w:header="0"/>
        </w:sectPr>
      </w:pPr>
    </w:p>
    <w:bookmarkStart w:id="404" w:name="page405"/>
    <w:bookmarkEnd w:id="404"/>
    <w:p>
      <w:pPr>
        <w:ind w:left="640" w:hanging="330"/>
        <w:spacing w:after="0"/>
        <w:tabs>
          <w:tab w:leader="none" w:pos="64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ROFR</w:t>
      </w:r>
      <w:r>
        <w:rPr>
          <w:rFonts w:ascii="Arial" w:cs="Arial" w:eastAsia="Arial" w:hAnsi="Arial"/>
          <w:sz w:val="18"/>
          <w:szCs w:val="18"/>
          <w:color w:val="auto"/>
        </w:rPr>
        <w:t>.</w:t>
      </w:r>
    </w:p>
    <w:p>
      <w:pPr>
        <w:spacing w:after="0" w:line="223" w:lineRule="exact"/>
        <w:rPr>
          <w:sz w:val="20"/>
          <w:szCs w:val="20"/>
          <w:color w:val="auto"/>
        </w:rPr>
      </w:pPr>
    </w:p>
    <w:p>
      <w:pPr>
        <w:jc w:val="both"/>
        <w:ind w:left="320" w:firstLine="958"/>
        <w:spacing w:after="0" w:line="269" w:lineRule="auto"/>
        <w:tabs>
          <w:tab w:leader="none" w:pos="1814" w:val="left"/>
        </w:tabs>
        <w:numPr>
          <w:ilvl w:val="1"/>
          <w:numId w:val="330"/>
        </w:numPr>
        <w:rPr>
          <w:rFonts w:ascii="Arial" w:cs="Arial" w:eastAsia="Arial" w:hAnsi="Arial"/>
          <w:sz w:val="17"/>
          <w:szCs w:val="17"/>
          <w:color w:val="010000"/>
        </w:rPr>
      </w:pPr>
      <w:r>
        <w:rPr>
          <w:rFonts w:ascii="Arial" w:cs="Arial" w:eastAsia="Arial" w:hAnsi="Arial"/>
          <w:sz w:val="17"/>
          <w:szCs w:val="17"/>
          <w:color w:val="auto"/>
        </w:rPr>
        <w:t>After the Closing, if any Founder (i) proposes to sell or otherwise transfer any Company Securities then held by such Founder (other than a distribution of any Company Securities to the beneficial owners of the applicable Founder pursuant to which such beneficial owners agree in writing to be bound by the terms of this Agreement in respect of such distributed Company Securities) (the “</w:t>
      </w:r>
      <w:r>
        <w:rPr>
          <w:rFonts w:ascii="Arial" w:cs="Arial" w:eastAsia="Arial" w:hAnsi="Arial"/>
          <w:sz w:val="17"/>
          <w:szCs w:val="17"/>
          <w:u w:val="single" w:color="auto"/>
          <w:color w:val="auto"/>
        </w:rPr>
        <w:t>Selling Founder</w:t>
      </w:r>
      <w:r>
        <w:rPr>
          <w:rFonts w:ascii="Arial" w:cs="Arial" w:eastAsia="Arial" w:hAnsi="Arial"/>
          <w:sz w:val="17"/>
          <w:szCs w:val="17"/>
          <w:color w:val="auto"/>
        </w:rPr>
        <w:t>”, and such proposed sale and transfer, the “</w:t>
      </w:r>
      <w:r>
        <w:rPr>
          <w:rFonts w:ascii="Arial" w:cs="Arial" w:eastAsia="Arial" w:hAnsi="Arial"/>
          <w:sz w:val="17"/>
          <w:szCs w:val="17"/>
          <w:u w:val="single" w:color="auto"/>
          <w:color w:val="auto"/>
        </w:rPr>
        <w:t>Proposed Transfer</w:t>
      </w:r>
      <w:r>
        <w:rPr>
          <w:rFonts w:ascii="Arial" w:cs="Arial" w:eastAsia="Arial" w:hAnsi="Arial"/>
          <w:sz w:val="17"/>
          <w:szCs w:val="17"/>
          <w:color w:val="auto"/>
        </w:rPr>
        <w:t>”) or (ii) receives a bona fide arms’ length offer (the “</w:t>
      </w:r>
      <w:r>
        <w:rPr>
          <w:rFonts w:ascii="Arial" w:cs="Arial" w:eastAsia="Arial" w:hAnsi="Arial"/>
          <w:sz w:val="17"/>
          <w:szCs w:val="17"/>
          <w:u w:val="single" w:color="auto"/>
          <w:color w:val="auto"/>
        </w:rPr>
        <w:t>Offer</w:t>
      </w:r>
      <w:r>
        <w:rPr>
          <w:rFonts w:ascii="Arial" w:cs="Arial" w:eastAsia="Arial" w:hAnsi="Arial"/>
          <w:sz w:val="17"/>
          <w:szCs w:val="17"/>
          <w:color w:val="auto"/>
        </w:rPr>
        <w:t>”) from a Third Party to purchase any Company Securities then held by such Founder, then, in each case, the Selling Founder shall deliver a written notice (the “</w:t>
      </w:r>
      <w:r>
        <w:rPr>
          <w:rFonts w:ascii="Arial" w:cs="Arial" w:eastAsia="Arial" w:hAnsi="Arial"/>
          <w:sz w:val="17"/>
          <w:szCs w:val="17"/>
          <w:u w:val="single" w:color="auto"/>
          <w:color w:val="auto"/>
        </w:rPr>
        <w:t>ROFR Notice</w:t>
      </w:r>
      <w:r>
        <w:rPr>
          <w:rFonts w:ascii="Arial" w:cs="Arial" w:eastAsia="Arial" w:hAnsi="Arial"/>
          <w:sz w:val="17"/>
          <w:szCs w:val="17"/>
          <w:color w:val="auto"/>
        </w:rPr>
        <w:t>”) to TCP specifying the terms and conditions of the Proposed Transfer or the Offer, as applicable. The ROFR Notice shall constitute an irrevocable offer by the Selling Founder to sell the ROFR Securities (as defined below) to TCP at a purchase price equal to the price contained in, and on the other terms and conditions of, the Proposed Transfer or the Offer, as applicable. As used herein, the term “</w:t>
      </w:r>
      <w:r>
        <w:rPr>
          <w:rFonts w:ascii="Arial" w:cs="Arial" w:eastAsia="Arial" w:hAnsi="Arial"/>
          <w:sz w:val="17"/>
          <w:szCs w:val="17"/>
          <w:u w:val="single" w:color="auto"/>
          <w:color w:val="auto"/>
        </w:rPr>
        <w:t>ROFR Securities</w:t>
      </w:r>
      <w:r>
        <w:rPr>
          <w:rFonts w:ascii="Arial" w:cs="Arial" w:eastAsia="Arial" w:hAnsi="Arial"/>
          <w:sz w:val="17"/>
          <w:szCs w:val="17"/>
          <w:color w:val="auto"/>
        </w:rPr>
        <w:t>” shall mean any Company Securities that are the subject of the Proposed Transfer or the Offer, as applicable.</w:t>
      </w:r>
    </w:p>
    <w:p>
      <w:pPr>
        <w:spacing w:after="0" w:line="182" w:lineRule="exact"/>
        <w:rPr>
          <w:rFonts w:ascii="Arial" w:cs="Arial" w:eastAsia="Arial" w:hAnsi="Arial"/>
          <w:sz w:val="17"/>
          <w:szCs w:val="17"/>
          <w:color w:val="010000"/>
        </w:rPr>
      </w:pPr>
    </w:p>
    <w:p>
      <w:pPr>
        <w:jc w:val="both"/>
        <w:ind w:left="320" w:firstLine="958"/>
        <w:spacing w:after="0" w:line="229" w:lineRule="auto"/>
        <w:tabs>
          <w:tab w:leader="none" w:pos="1810" w:val="left"/>
        </w:tabs>
        <w:numPr>
          <w:ilvl w:val="1"/>
          <w:numId w:val="330"/>
        </w:numPr>
        <w:rPr>
          <w:rFonts w:ascii="Arial" w:cs="Arial" w:eastAsia="Arial" w:hAnsi="Arial"/>
          <w:sz w:val="18"/>
          <w:szCs w:val="18"/>
          <w:color w:val="010000"/>
        </w:rPr>
      </w:pPr>
      <w:r>
        <w:rPr>
          <w:rFonts w:ascii="Arial" w:cs="Arial" w:eastAsia="Arial" w:hAnsi="Arial"/>
          <w:sz w:val="18"/>
          <w:szCs w:val="18"/>
          <w:color w:val="auto"/>
        </w:rPr>
        <w:t>On or prior to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after receipt of the ROFR Notice, TCP may elect to accept the irrevocable offer set forth in the ROFR Notice to purchase the ROFR Securities and, in such event, shall deliver a written notice of such acceptance to the Selling Founder prior to the expiration of such 5-Business Day period. TCP and the Selling Founder shall consummate the closing of the purchase of the ROFR Securities no later than 30 calendar days after the date of delivery of the ROFR Notice.</w:t>
      </w:r>
    </w:p>
    <w:p>
      <w:pPr>
        <w:spacing w:after="0" w:line="201" w:lineRule="exact"/>
        <w:rPr>
          <w:rFonts w:ascii="Arial" w:cs="Arial" w:eastAsia="Arial" w:hAnsi="Arial"/>
          <w:sz w:val="18"/>
          <w:szCs w:val="18"/>
          <w:color w:val="010000"/>
        </w:rPr>
      </w:pPr>
    </w:p>
    <w:p>
      <w:pPr>
        <w:ind w:left="320" w:firstLine="958"/>
        <w:spacing w:after="0" w:line="275" w:lineRule="auto"/>
        <w:tabs>
          <w:tab w:leader="none" w:pos="1961" w:val="left"/>
        </w:tabs>
        <w:numPr>
          <w:ilvl w:val="1"/>
          <w:numId w:val="330"/>
        </w:numPr>
        <w:rPr>
          <w:rFonts w:ascii="Arial" w:cs="Arial" w:eastAsia="Arial" w:hAnsi="Arial"/>
          <w:sz w:val="18"/>
          <w:szCs w:val="18"/>
          <w:color w:val="010000"/>
        </w:rPr>
      </w:pPr>
      <w:r>
        <w:rPr>
          <w:rFonts w:ascii="Arial" w:cs="Arial" w:eastAsia="Arial" w:hAnsi="Arial"/>
          <w:sz w:val="18"/>
          <w:szCs w:val="18"/>
          <w:color w:val="auto"/>
        </w:rPr>
        <w:t xml:space="preserve">If TCP fails to consummate more than one purchase for which it exercised its rights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automatically terminate and shall be of no further force and effect.</w:t>
      </w:r>
    </w:p>
    <w:p>
      <w:pPr>
        <w:spacing w:after="0" w:line="170" w:lineRule="exact"/>
        <w:rPr>
          <w:rFonts w:ascii="Arial" w:cs="Arial" w:eastAsia="Arial" w:hAnsi="Arial"/>
          <w:sz w:val="18"/>
          <w:szCs w:val="18"/>
          <w:color w:val="010000"/>
        </w:rPr>
      </w:pPr>
    </w:p>
    <w:p>
      <w:pPr>
        <w:ind w:left="-20" w:right="20" w:firstLine="330"/>
        <w:spacing w:after="0" w:line="275" w:lineRule="auto"/>
        <w:tabs>
          <w:tab w:leader="none" w:pos="831"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be automatically terminated and of no further force and effect without any further action by any party hereto immediately upon termination of the Contribution Agreement pursuant to and in accordance with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thereof.</w:t>
      </w:r>
    </w:p>
    <w:p>
      <w:pPr>
        <w:spacing w:after="0" w:line="170" w:lineRule="exact"/>
        <w:rPr>
          <w:rFonts w:ascii="Arial" w:cs="Arial" w:eastAsia="Arial" w:hAnsi="Arial"/>
          <w:sz w:val="18"/>
          <w:szCs w:val="18"/>
          <w:color w:val="auto"/>
        </w:rPr>
      </w:pPr>
    </w:p>
    <w:p>
      <w:pPr>
        <w:jc w:val="both"/>
        <w:ind w:left="-20" w:firstLine="330"/>
        <w:spacing w:after="0" w:line="272" w:lineRule="auto"/>
        <w:tabs>
          <w:tab w:leader="none" w:pos="818"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consents and other communications hereunder (a) shall be in writing; (b) shall be deemed to have been duly given (i) when delivered by hand or by Federal Express or a similar overnight courier to the address for such party hereto set forth below; (ii) five (5) days after being post-marked by the United States Postal Service enclosed in a postage-prepaid, registered or certified envelope addressed to the address of such party hereto set forth below; or (iii) when successfully transmitted by email to the email address for such party hereto set forth below; and (c) shall be sent to the following addresses or email addresses (or at such other address or email address for a party hereto as shall be specified by like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notice of change of email address shall be effective only upon receipt):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405" w:name="page406"/>
    <w:bookmarkEnd w:id="405"/>
    <w:p>
      <w:pPr>
        <w:ind w:left="1920" w:right="8260" w:hanging="642"/>
        <w:spacing w:after="0" w:line="430" w:lineRule="auto"/>
        <w:tabs>
          <w:tab w:leader="none" w:pos="1926" w:val="left"/>
        </w:tabs>
        <w:numPr>
          <w:ilvl w:val="0"/>
          <w:numId w:val="332"/>
        </w:numPr>
        <w:rPr>
          <w:rFonts w:ascii="Arial" w:cs="Arial" w:eastAsia="Arial" w:hAnsi="Arial"/>
          <w:sz w:val="16"/>
          <w:szCs w:val="16"/>
          <w:color w:val="auto"/>
        </w:rPr>
      </w:pPr>
      <w:r>
        <w:rPr>
          <w:rFonts w:ascii="Arial" w:cs="Arial" w:eastAsia="Arial" w:hAnsi="Arial"/>
          <w:sz w:val="16"/>
          <w:szCs w:val="16"/>
          <w:color w:val="auto"/>
        </w:rPr>
        <w:t>if to TCP, to: c/o PSD Partners</w:t>
      </w:r>
    </w:p>
    <w:p>
      <w:pPr>
        <w:ind w:left="1920"/>
        <w:spacing w:after="0" w:line="185" w:lineRule="auto"/>
        <w:rPr>
          <w:sz w:val="20"/>
          <w:szCs w:val="20"/>
          <w:color w:val="auto"/>
        </w:rPr>
      </w:pPr>
      <w:r>
        <w:rPr>
          <w:rFonts w:ascii="Arial" w:cs="Arial" w:eastAsia="Arial" w:hAnsi="Arial"/>
          <w:sz w:val="18"/>
          <w:szCs w:val="18"/>
          <w:color w:val="auto"/>
        </w:rPr>
        <w:t>19 West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1416</w:t>
      </w:r>
    </w:p>
    <w:p>
      <w:pPr>
        <w:ind w:left="192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1920"/>
        <w:spacing w:after="0"/>
        <w:tabs>
          <w:tab w:leader="none" w:pos="2600" w:val="left"/>
        </w:tabs>
        <w:rPr>
          <w:sz w:val="20"/>
          <w:szCs w:val="20"/>
          <w:color w:val="auto"/>
        </w:rPr>
      </w:pPr>
      <w:r>
        <w:rPr>
          <w:rFonts w:ascii="Arial" w:cs="Arial" w:eastAsia="Arial" w:hAnsi="Arial"/>
          <w:sz w:val="18"/>
          <w:szCs w:val="18"/>
          <w:color w:val="auto"/>
        </w:rPr>
        <w:t>Email:</w:t>
        <w:tab/>
        <w:t>tpriore@pps.io</w:t>
      </w:r>
    </w:p>
    <w:p>
      <w:pPr>
        <w:spacing w:after="0" w:line="8" w:lineRule="exact"/>
        <w:rPr>
          <w:sz w:val="20"/>
          <w:szCs w:val="20"/>
          <w:color w:val="auto"/>
        </w:rPr>
      </w:pPr>
    </w:p>
    <w:p>
      <w:pPr>
        <w:ind w:left="1920"/>
        <w:spacing w:after="0"/>
        <w:tabs>
          <w:tab w:leader="none" w:pos="25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0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with copy (which shall not constitute notice) to:</w:t>
      </w:r>
    </w:p>
    <w:p>
      <w:pPr>
        <w:spacing w:after="0" w:line="2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New York, New York 10022</w:t>
      </w:r>
    </w:p>
    <w:p>
      <w:pPr>
        <w:spacing w:after="0" w:line="8" w:lineRule="exact"/>
        <w:rPr>
          <w:sz w:val="20"/>
          <w:szCs w:val="20"/>
          <w:color w:val="auto"/>
        </w:rPr>
      </w:pPr>
    </w:p>
    <w:p>
      <w:pPr>
        <w:ind w:left="19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michael.gilligan@srz.com</w:t>
      </w:r>
    </w:p>
    <w:p>
      <w:pPr>
        <w:spacing w:after="0" w:line="8" w:lineRule="exact"/>
        <w:rPr>
          <w:sz w:val="20"/>
          <w:szCs w:val="20"/>
          <w:color w:val="auto"/>
        </w:rPr>
      </w:pPr>
    </w:p>
    <w:p>
      <w:pPr>
        <w:ind w:left="1920"/>
        <w:spacing w:after="0"/>
        <w:tabs>
          <w:tab w:leader="none" w:pos="2540" w:val="left"/>
        </w:tabs>
        <w:rPr>
          <w:sz w:val="20"/>
          <w:szCs w:val="20"/>
          <w:color w:val="auto"/>
        </w:rPr>
      </w:pPr>
      <w:r>
        <w:rPr>
          <w:rFonts w:ascii="Arial" w:cs="Arial" w:eastAsia="Arial" w:hAnsi="Arial"/>
          <w:sz w:val="18"/>
          <w:szCs w:val="18"/>
          <w:color w:val="auto"/>
        </w:rPr>
        <w:t>Attn:</w:t>
        <w:tab/>
        <w:t>Michael E. Gilligan</w:t>
      </w:r>
    </w:p>
    <w:p>
      <w:pPr>
        <w:spacing w:after="0" w:line="209" w:lineRule="exact"/>
        <w:rPr>
          <w:sz w:val="20"/>
          <w:szCs w:val="20"/>
          <w:color w:val="auto"/>
        </w:rPr>
      </w:pPr>
    </w:p>
    <w:p>
      <w:pPr>
        <w:ind w:left="1920" w:hanging="642"/>
        <w:spacing w:after="0"/>
        <w:tabs>
          <w:tab w:leader="none" w:pos="19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if to Founders, to:</w:t>
      </w:r>
    </w:p>
    <w:p>
      <w:pPr>
        <w:spacing w:after="0" w:line="223" w:lineRule="exact"/>
        <w:rPr>
          <w:rFonts w:ascii="Arial" w:cs="Arial" w:eastAsia="Arial" w:hAnsi="Arial"/>
          <w:sz w:val="18"/>
          <w:szCs w:val="18"/>
          <w:color w:val="auto"/>
        </w:rPr>
      </w:pPr>
    </w:p>
    <w:p>
      <w:pPr>
        <w:ind w:left="1920" w:right="7200"/>
        <w:spacing w:after="0" w:line="246" w:lineRule="auto"/>
        <w:rPr>
          <w:rFonts w:ascii="Arial" w:cs="Arial" w:eastAsia="Arial" w:hAnsi="Arial"/>
          <w:sz w:val="18"/>
          <w:szCs w:val="18"/>
          <w:color w:val="auto"/>
        </w:rPr>
      </w:pPr>
      <w:r>
        <w:rPr>
          <w:rFonts w:ascii="Arial" w:cs="Arial" w:eastAsia="Arial" w:hAnsi="Arial"/>
          <w:sz w:val="17"/>
          <w:szCs w:val="17"/>
          <w:color w:val="auto"/>
        </w:rPr>
        <w:t>c/o Magna Management, LLC 40 Wall Street, 58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10005 Email: marc.manuel@mag.na Attn: Marc Manuel</w:t>
      </w:r>
    </w:p>
    <w:p>
      <w:pPr>
        <w:spacing w:after="0" w:line="199"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3" w:lineRule="exact"/>
        <w:rPr>
          <w:rFonts w:ascii="Arial" w:cs="Arial" w:eastAsia="Arial" w:hAnsi="Arial"/>
          <w:sz w:val="18"/>
          <w:szCs w:val="18"/>
          <w:color w:val="auto"/>
        </w:rPr>
      </w:pPr>
    </w:p>
    <w:p>
      <w:pPr>
        <w:ind w:left="1920" w:right="8140"/>
        <w:spacing w:after="0" w:line="273" w:lineRule="auto"/>
        <w:rPr>
          <w:rFonts w:ascii="Arial" w:cs="Arial" w:eastAsia="Arial" w:hAnsi="Arial"/>
          <w:sz w:val="18"/>
          <w:szCs w:val="18"/>
          <w:color w:val="auto"/>
        </w:rPr>
      </w:pPr>
      <w:r>
        <w:rPr>
          <w:rFonts w:ascii="Arial" w:cs="Arial" w:eastAsia="Arial" w:hAnsi="Arial"/>
          <w:sz w:val="17"/>
          <w:szCs w:val="17"/>
          <w:color w:val="auto"/>
        </w:rPr>
        <w:t>Loeb &amp; Loeb LLP 345 Park Avenue</w:t>
      </w:r>
    </w:p>
    <w:p>
      <w:pPr>
        <w:jc w:val="both"/>
        <w:ind w:left="1920" w:right="7420"/>
        <w:spacing w:after="0" w:line="300" w:lineRule="auto"/>
        <w:rPr>
          <w:rFonts w:ascii="Arial" w:cs="Arial" w:eastAsia="Arial" w:hAnsi="Arial"/>
          <w:sz w:val="18"/>
          <w:szCs w:val="18"/>
          <w:color w:val="auto"/>
        </w:rPr>
      </w:pPr>
      <w:r>
        <w:rPr>
          <w:rFonts w:ascii="Arial" w:cs="Arial" w:eastAsia="Arial" w:hAnsi="Arial"/>
          <w:sz w:val="16"/>
          <w:szCs w:val="16"/>
          <w:color w:val="auto"/>
        </w:rPr>
        <w:t>New York, New York 10154 Email: gcaruso@loeb.com Attn: Giovanni Caruso</w:t>
      </w:r>
    </w:p>
    <w:p>
      <w:pPr>
        <w:spacing w:after="0" w:line="155" w:lineRule="exact"/>
        <w:rPr>
          <w:rFonts w:ascii="Arial" w:cs="Arial" w:eastAsia="Arial" w:hAnsi="Arial"/>
          <w:sz w:val="18"/>
          <w:szCs w:val="18"/>
          <w:color w:val="auto"/>
        </w:rPr>
      </w:pPr>
    </w:p>
    <w:p>
      <w:pPr>
        <w:ind w:left="-20" w:firstLine="330"/>
        <w:spacing w:after="0" w:line="275" w:lineRule="auto"/>
        <w:tabs>
          <w:tab w:leader="none" w:pos="925"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Any provision of 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may be amended or modified only by a written instrument signed by each party hereto.</w:t>
      </w:r>
    </w:p>
    <w:p>
      <w:pPr>
        <w:spacing w:after="0" w:line="170" w:lineRule="exact"/>
        <w:rPr>
          <w:rFonts w:ascii="Arial" w:cs="Arial" w:eastAsia="Arial" w:hAnsi="Arial"/>
          <w:sz w:val="18"/>
          <w:szCs w:val="18"/>
          <w:color w:val="auto"/>
        </w:rPr>
      </w:pPr>
    </w:p>
    <w:p>
      <w:pPr>
        <w:jc w:val="both"/>
        <w:ind w:left="-20" w:firstLine="330"/>
        <w:spacing w:after="0" w:line="254" w:lineRule="auto"/>
        <w:tabs>
          <w:tab w:leader="none" w:pos="77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hereunder shall be valid or binding unless set forth in writing and duly executed by the party hereto against whom enforcement of the waiver is sought. Any such waiver shall constitute a waiver only with respect to the specific matter described in such writing and shall in no way impair the rights of the party hereto granting such waiver in any other respect or at any other time. Neither the waiver by any party hereto of a breach of or a default under any provision of this Agreement, nor the failure by any party hereto,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1120" w:right="239" w:bottom="1440" w:gutter="0" w:footer="0" w:header="0"/>
        </w:sectPr>
      </w:pPr>
    </w:p>
    <w:bookmarkStart w:id="406" w:name="page407"/>
    <w:bookmarkEnd w:id="406"/>
    <w:p>
      <w:pPr>
        <w:jc w:val="both"/>
        <w:ind w:left="-20" w:firstLine="330"/>
        <w:spacing w:after="0" w:line="255" w:lineRule="auto"/>
        <w:tabs>
          <w:tab w:leader="none" w:pos="858"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Assignment; Parties in Interest</w:t>
      </w:r>
      <w:r>
        <w:rPr>
          <w:rFonts w:ascii="Arial" w:cs="Arial" w:eastAsia="Arial" w:hAnsi="Arial"/>
          <w:sz w:val="18"/>
          <w:szCs w:val="18"/>
          <w:color w:val="auto"/>
        </w:rPr>
        <w:t xml:space="preserve">. Neither this Agreement nor any rights, interests or obligations hereunder shall be assigned by any party hereto (whether by operation of law or otherwise) without the prior written consent of the other parties hereto, and any purported assignment without such consent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TCP may assign any of his rights, interests or obligations hereunder to any of his Affiliates. This Agreement will be binding upon, inure solely to the benefit of and be enforceable by the Parties and their respective successors and permitted assigns.</w:t>
      </w:r>
    </w:p>
    <w:p>
      <w:pPr>
        <w:spacing w:after="0" w:line="190" w:lineRule="exact"/>
        <w:rPr>
          <w:rFonts w:ascii="Arial" w:cs="Arial" w:eastAsia="Arial" w:hAnsi="Arial"/>
          <w:sz w:val="18"/>
          <w:szCs w:val="18"/>
          <w:color w:val="auto"/>
        </w:rPr>
      </w:pPr>
    </w:p>
    <w:p>
      <w:pPr>
        <w:ind w:left="760" w:hanging="450"/>
        <w:spacing w:after="0"/>
        <w:tabs>
          <w:tab w:leader="none" w:pos="76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20" w:firstLine="975"/>
        <w:spacing w:after="0" w:line="262" w:lineRule="auto"/>
        <w:tabs>
          <w:tab w:leader="none" w:pos="1470" w:val="left"/>
        </w:tabs>
        <w:numPr>
          <w:ilvl w:val="1"/>
          <w:numId w:val="335"/>
        </w:numPr>
        <w:rPr>
          <w:rFonts w:ascii="Arial" w:cs="Arial" w:eastAsia="Arial" w:hAnsi="Arial"/>
          <w:sz w:val="18"/>
          <w:szCs w:val="18"/>
          <w:color w:val="010000"/>
        </w:rPr>
      </w:pPr>
      <w:r>
        <w:rPr>
          <w:rFonts w:ascii="Arial" w:cs="Arial" w:eastAsia="Arial" w:hAnsi="Arial"/>
          <w:sz w:val="18"/>
          <w:szCs w:val="18"/>
          <w:color w:val="auto"/>
        </w:rPr>
        <w:t>This Agreement shall be construed, performed and enforced in accordance with the laws of the State of Delaware (without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82" w:lineRule="exact"/>
        <w:rPr>
          <w:rFonts w:ascii="Arial" w:cs="Arial" w:eastAsia="Arial" w:hAnsi="Arial"/>
          <w:sz w:val="18"/>
          <w:szCs w:val="18"/>
          <w:color w:val="010000"/>
        </w:rPr>
      </w:pPr>
    </w:p>
    <w:p>
      <w:pPr>
        <w:jc w:val="both"/>
        <w:ind w:left="-20" w:firstLine="975"/>
        <w:spacing w:after="0" w:line="270" w:lineRule="auto"/>
        <w:tabs>
          <w:tab w:leader="none" w:pos="1541" w:val="left"/>
        </w:tabs>
        <w:numPr>
          <w:ilvl w:val="1"/>
          <w:numId w:val="335"/>
        </w:numPr>
        <w:rPr>
          <w:rFonts w:ascii="Arial" w:cs="Arial" w:eastAsia="Arial" w:hAnsi="Arial"/>
          <w:sz w:val="17"/>
          <w:szCs w:val="17"/>
          <w:color w:val="010000"/>
        </w:rPr>
      </w:pPr>
      <w:r>
        <w:rPr>
          <w:rFonts w:ascii="Arial" w:cs="Arial" w:eastAsia="Arial" w:hAnsi="Arial"/>
          <w:sz w:val="17"/>
          <w:szCs w:val="17"/>
          <w:color w:val="auto"/>
        </w:rPr>
        <w:t xml:space="preserve">Each of the parties hereto irrevocably agrees that any proceeding with respect to this Agreement and the rights and obligations arising hereunder, or for recognition and enforcement of any judgment in respect of this Agreement and the rights and obligations arising hereunder brought by any other party hereto or its successors or assigns, shall be brought and determined exclusively in the United State District Court for the District of Delaware or any state court sitting in the City of Wilmington in the State of Delaware. Each of the parties hereto hereby irrevocably submits with regard to any such proceeding for itself and in respect of its property, generally and unconditionally, to the personal jurisdiction of the aforesaid courts and agrees that it will not bring any proceeding relating to this Agreement or the transactions contemplated hereby in any court other than the aforesaid courts. Each of the parties hereto hereby agrees that service of process, summons, notice or document by registered mail addressed to them at its address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be effective service of process against them for any such proceeding brought in any of the aforesaid courts.</w:t>
      </w:r>
    </w:p>
    <w:p>
      <w:pPr>
        <w:spacing w:after="0" w:line="176" w:lineRule="exact"/>
        <w:rPr>
          <w:rFonts w:ascii="Arial" w:cs="Arial" w:eastAsia="Arial" w:hAnsi="Arial"/>
          <w:sz w:val="17"/>
          <w:szCs w:val="17"/>
          <w:color w:val="010000"/>
        </w:rPr>
      </w:pPr>
    </w:p>
    <w:p>
      <w:pPr>
        <w:jc w:val="both"/>
        <w:ind w:left="-20" w:firstLine="975"/>
        <w:spacing w:after="0" w:line="253" w:lineRule="auto"/>
        <w:tabs>
          <w:tab w:leader="none" w:pos="1480" w:val="left"/>
        </w:tabs>
        <w:numPr>
          <w:ilvl w:val="1"/>
          <w:numId w:val="335"/>
        </w:numPr>
        <w:rPr>
          <w:rFonts w:ascii="Arial" w:cs="Arial" w:eastAsia="Arial" w:hAnsi="Arial"/>
          <w:sz w:val="18"/>
          <w:szCs w:val="18"/>
          <w:color w:val="010000"/>
        </w:rPr>
      </w:pPr>
      <w:r>
        <w:rPr>
          <w:rFonts w:ascii="Arial" w:cs="Arial" w:eastAsia="Arial" w:hAnsi="Arial"/>
          <w:sz w:val="18"/>
          <w:szCs w:val="18"/>
          <w:color w:val="auto"/>
        </w:rPr>
        <w:t xml:space="preserve">Each of the parties hereto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07" w:name="page408"/>
    <w:bookmarkEnd w:id="407"/>
    <w:p>
      <w:pPr>
        <w:jc w:val="both"/>
        <w:ind w:firstLine="975"/>
        <w:spacing w:after="0" w:line="252" w:lineRule="auto"/>
        <w:tabs>
          <w:tab w:leader="none" w:pos="1531" w:val="left"/>
        </w:tabs>
        <w:numPr>
          <w:ilvl w:val="1"/>
          <w:numId w:val="336"/>
        </w:numPr>
        <w:rPr>
          <w:rFonts w:ascii="Arial" w:cs="Arial" w:eastAsia="Arial" w:hAnsi="Arial"/>
          <w:sz w:val="18"/>
          <w:szCs w:val="18"/>
          <w:color w:val="010000"/>
        </w:rPr>
      </w:pPr>
      <w:r>
        <w:rPr>
          <w:rFonts w:ascii="Arial" w:cs="Arial" w:eastAsia="Arial" w:hAnsi="Arial"/>
          <w:sz w:val="18"/>
          <w:szCs w:val="18"/>
          <w:b w:val="1"/>
          <w:bCs w:val="1"/>
          <w:color w:val="auto"/>
        </w:rPr>
        <w:t xml:space="preserve">EACH PARTY HERETO ACKNOWLEDGES AND AGREES THAT ANY CONTROVERSY OR CLAIM THAT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OR THE TRANSACTIONS CONTEMPLATED HEREBY. THIS WAIVER MAY NOT BE MODIFIED EITHER ORALLY OR IN WRITING (OTHER THAN BY A MUTUAL WRITTEN WAIVER SPECIFICALLY REFERRING TO THIS </w:t>
      </w:r>
      <w:r>
        <w:rPr>
          <w:rFonts w:ascii="Arial" w:cs="Arial" w:eastAsia="Arial" w:hAnsi="Arial"/>
          <w:sz w:val="18"/>
          <w:szCs w:val="18"/>
          <w:b w:val="1"/>
          <w:bCs w:val="1"/>
          <w:u w:val="single" w:color="auto"/>
          <w:color w:val="auto"/>
        </w:rPr>
        <w:t>SECTION 9(d)</w:t>
      </w:r>
      <w:r>
        <w:rPr>
          <w:rFonts w:ascii="Arial" w:cs="Arial" w:eastAsia="Arial" w:hAnsi="Arial"/>
          <w:sz w:val="18"/>
          <w:szCs w:val="18"/>
          <w:b w:val="1"/>
          <w:bCs w:val="1"/>
          <w:color w:val="auto"/>
        </w:rPr>
        <w:t xml:space="preserve"> AND EXECUTED BY EACH PARTY HERETO). THIS WAIVER SHALL APPLY TO ANY SUBSEQUENT AMENDMENTS, RENEWALS, SUPPLEMENTS OR MODIFICATIONS TO THIS AGREEMENT OR ANY OTHER AGREEMENTS OR DOCUMENTS RELATING TO THE TRANSACTIONS CONTEMPLATED HEREBY. </w:t>
      </w:r>
      <w:r>
        <w:rPr>
          <w:rFonts w:ascii="Arial" w:cs="Arial" w:eastAsia="Arial" w:hAnsi="Arial"/>
          <w:sz w:val="18"/>
          <w:szCs w:val="18"/>
          <w:color w:val="auto"/>
        </w:rPr>
        <w:t>The scope of this waiver</w:t>
      </w:r>
      <w:r>
        <w:rPr>
          <w:rFonts w:ascii="Arial" w:cs="Arial" w:eastAsia="Arial" w:hAnsi="Arial"/>
          <w:sz w:val="18"/>
          <w:szCs w:val="18"/>
          <w:b w:val="1"/>
          <w:bCs w:val="1"/>
          <w:color w:val="auto"/>
        </w:rPr>
        <w:t xml:space="preserve"> </w:t>
      </w:r>
      <w:r>
        <w:rPr>
          <w:rFonts w:ascii="Arial" w:cs="Arial" w:eastAsia="Arial" w:hAnsi="Arial"/>
          <w:sz w:val="18"/>
          <w:szCs w:val="18"/>
          <w:color w:val="auto"/>
        </w:rPr>
        <w:t>is intended to be all-encompassing of any and all disputes that may be filed in any court and that relate to the subject matter of the transactions contemplated hereby, including contract claims, tort claims, breach-of-duty claims and all other common law and statutory claims. In the event of litigation, this Agreement may be filed as a written consent to a trial by the court.</w:t>
      </w:r>
    </w:p>
    <w:p>
      <w:pPr>
        <w:spacing w:after="0" w:line="190" w:lineRule="exact"/>
        <w:rPr>
          <w:rFonts w:ascii="Arial" w:cs="Arial" w:eastAsia="Arial" w:hAnsi="Arial"/>
          <w:sz w:val="18"/>
          <w:szCs w:val="18"/>
          <w:color w:val="010000"/>
        </w:rPr>
      </w:pPr>
    </w:p>
    <w:p>
      <w:pPr>
        <w:jc w:val="both"/>
        <w:ind w:firstLine="975"/>
        <w:spacing w:after="0" w:line="257" w:lineRule="auto"/>
        <w:tabs>
          <w:tab w:leader="none" w:pos="1531" w:val="left"/>
        </w:tabs>
        <w:numPr>
          <w:ilvl w:val="1"/>
          <w:numId w:val="336"/>
        </w:numPr>
        <w:rPr>
          <w:rFonts w:ascii="Arial" w:cs="Arial" w:eastAsia="Arial" w:hAnsi="Arial"/>
          <w:sz w:val="18"/>
          <w:szCs w:val="18"/>
          <w:color w:val="010000"/>
        </w:rPr>
      </w:pPr>
      <w:r>
        <w:rPr>
          <w:rFonts w:ascii="Arial" w:cs="Arial" w:eastAsia="Arial" w:hAnsi="Arial"/>
          <w:sz w:val="18"/>
          <w:szCs w:val="18"/>
          <w:b w:val="1"/>
          <w:bCs w:val="1"/>
          <w:color w:val="auto"/>
        </w:rPr>
        <w:t xml:space="preserve">EACH PARTY CERTIFIES AND ACKNOWLEDGES THAT (I) NO REPRESENTATIVE, AGENT OR ATTORNEY OF ANY OTHER PARTY HERETO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b w:val="1"/>
          <w:bCs w:val="1"/>
          <w:u w:val="single" w:color="auto"/>
          <w:color w:val="auto"/>
        </w:rPr>
        <w:t>SECTION 9</w:t>
      </w:r>
      <w:r>
        <w:rPr>
          <w:rFonts w:ascii="Arial" w:cs="Arial" w:eastAsia="Arial" w:hAnsi="Arial"/>
          <w:sz w:val="18"/>
          <w:szCs w:val="18"/>
          <w:b w:val="1"/>
          <w:bCs w:val="1"/>
          <w:color w:val="auto"/>
        </w:rPr>
        <w:t>.</w:t>
      </w:r>
    </w:p>
    <w:p>
      <w:pPr>
        <w:spacing w:after="0" w:line="186" w:lineRule="exact"/>
        <w:rPr>
          <w:rFonts w:ascii="Arial" w:cs="Arial" w:eastAsia="Arial" w:hAnsi="Arial"/>
          <w:sz w:val="18"/>
          <w:szCs w:val="18"/>
          <w:color w:val="010000"/>
        </w:rPr>
      </w:pPr>
    </w:p>
    <w:p>
      <w:pPr>
        <w:jc w:val="both"/>
        <w:ind w:firstLine="330"/>
        <w:spacing w:after="0" w:line="290" w:lineRule="auto"/>
        <w:tabs>
          <w:tab w:leader="none" w:pos="927"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in any number of counterparts, each of which shall be an original, with the 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hereto executing (or on whose behalf such signature is executed) with the same force and effect as if such facsimile or “.pdf” signature page were an original thereof. This Agreement shall become effective when each party hereto shall have received a counterpart hereof signed by each other party hereto. Until and unless each party hereto has received a counterpart hereof signed by each other party hereto, this Agreement shall have no effect and no party hereto shall have any right or obligation hereunder (whether by virtue of any other oral or written agreement or other communication).</w:t>
      </w:r>
    </w:p>
    <w:p>
      <w:pPr>
        <w:spacing w:after="0" w:line="164" w:lineRule="exact"/>
        <w:rPr>
          <w:rFonts w:ascii="Arial" w:cs="Arial" w:eastAsia="Arial" w:hAnsi="Arial"/>
          <w:sz w:val="16"/>
          <w:szCs w:val="16"/>
          <w:color w:val="auto"/>
        </w:rPr>
      </w:pPr>
    </w:p>
    <w:p>
      <w:pPr>
        <w:jc w:val="both"/>
        <w:ind w:firstLine="330"/>
        <w:spacing w:after="0" w:line="258" w:lineRule="auto"/>
        <w:tabs>
          <w:tab w:leader="none" w:pos="907"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and understanding of the parties hereto in respect of the matters contemplated hereby and supersedes all prior discussions, negotiations, agreements, arrangements and understandings, whether oral or written, relating to the subject matter hereof. There are no warranties, representations or other agreements between the parties hereto in connection with the subject matter hereof, except to the extent specifically set forth herein.</w:t>
      </w:r>
    </w:p>
    <w:p>
      <w:pPr>
        <w:spacing w:after="0" w:line="185" w:lineRule="exact"/>
        <w:rPr>
          <w:rFonts w:ascii="Arial" w:cs="Arial" w:eastAsia="Arial" w:hAnsi="Arial"/>
          <w:sz w:val="18"/>
          <w:szCs w:val="18"/>
          <w:color w:val="auto"/>
        </w:rPr>
      </w:pPr>
    </w:p>
    <w:p>
      <w:pPr>
        <w:jc w:val="both"/>
        <w:ind w:firstLine="330"/>
        <w:spacing w:after="0" w:line="272" w:lineRule="auto"/>
        <w:tabs>
          <w:tab w:leader="none" w:pos="914"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hereto as closely as possible in an acceptable manner in order that the transactions contemplated hereby be consummated as originally contemplated to the fullest extent possible.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8" w:name="page409"/>
    <w:bookmarkEnd w:id="408"/>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pacing w:after="0" w:line="24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TCP</w:t>
      </w:r>
      <w:r>
        <w:rPr>
          <w:rFonts w:ascii="Arial" w:cs="Arial" w:eastAsia="Arial" w:hAnsi="Arial"/>
          <w:sz w:val="18"/>
          <w:szCs w:val="18"/>
          <w:color w:val="auto"/>
        </w:rPr>
        <w:t>:</w:t>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13970</wp:posOffset>
            </wp:positionV>
            <wp:extent cx="36195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Thomas C. Priore</w:t>
      </w:r>
    </w:p>
    <w:p>
      <w:pPr>
        <w:spacing w:after="0" w:line="22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7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559"/>
          </w:cols>
          <w:pgMar w:left="900" w:top="905" w:right="1440" w:bottom="1440" w:gutter="0" w:footer="0" w:header="0"/>
        </w:sectPr>
      </w:pPr>
    </w:p>
    <w:bookmarkStart w:id="409" w:name="page410"/>
    <w:bookmarkEnd w:id="409"/>
    <w:p>
      <w:pPr>
        <w:ind w:left="4480"/>
        <w:spacing w:after="0"/>
        <w:rPr>
          <w:sz w:val="20"/>
          <w:szCs w:val="20"/>
          <w:color w:val="auto"/>
        </w:rPr>
      </w:pPr>
      <w:r>
        <w:rPr>
          <w:rFonts w:ascii="Arial" w:cs="Arial" w:eastAsia="Arial" w:hAnsi="Arial"/>
          <w:sz w:val="18"/>
          <w:szCs w:val="18"/>
          <w:b w:val="1"/>
          <w:bCs w:val="1"/>
          <w:color w:val="auto"/>
        </w:rPr>
        <w:t>FOUNDERS:</w:t>
      </w:r>
    </w:p>
    <w:p>
      <w:pPr>
        <w:spacing w:after="0" w:line="2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 SPAC LLC</w:t>
      </w:r>
    </w:p>
    <w:p>
      <w:pPr>
        <w:spacing w:after="0" w:line="223" w:lineRule="exact"/>
        <w:rPr>
          <w:sz w:val="20"/>
          <w:szCs w:val="20"/>
          <w:color w:val="auto"/>
        </w:rPr>
      </w:pPr>
    </w:p>
    <w:p>
      <w:pPr>
        <w:ind w:left="448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13970</wp:posOffset>
            </wp:positionV>
            <wp:extent cx="32861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286125" cy="8255"/>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Joshua Sason</w:t>
      </w:r>
    </w:p>
    <w:p>
      <w:pPr>
        <w:spacing w:after="0" w:line="22" w:lineRule="exact"/>
        <w:rPr>
          <w:sz w:val="20"/>
          <w:szCs w:val="20"/>
          <w:color w:val="auto"/>
        </w:rPr>
      </w:pPr>
    </w:p>
    <w:p>
      <w:pPr>
        <w:ind w:left="5040"/>
        <w:spacing w:after="0"/>
        <w:tabs>
          <w:tab w:leader="none" w:pos="5640" w:val="left"/>
        </w:tabs>
        <w:rPr>
          <w:sz w:val="20"/>
          <w:szCs w:val="20"/>
          <w:color w:val="auto"/>
        </w:rPr>
      </w:pPr>
      <w:r>
        <w:rPr>
          <w:rFonts w:ascii="Arial" w:cs="Arial" w:eastAsia="Arial" w:hAnsi="Arial"/>
          <w:sz w:val="16"/>
          <w:szCs w:val="16"/>
          <w:color w:val="auto"/>
        </w:rPr>
        <w:t>Title:</w:t>
        <w:tab/>
        <w:t>Managing Member</w:t>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 SPAC HOLDINGS I LLC</w:t>
      </w:r>
    </w:p>
    <w:p>
      <w:pPr>
        <w:spacing w:after="0" w:line="2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13970</wp:posOffset>
            </wp:positionV>
            <wp:extent cx="32607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Joshua Sason</w:t>
      </w:r>
    </w:p>
    <w:p>
      <w:pPr>
        <w:spacing w:after="0" w:line="22"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6"/>
          <w:szCs w:val="16"/>
          <w:color w:val="auto"/>
        </w:rPr>
        <w:t>Title:</w:t>
        <w:tab/>
        <w:t>Managing Member</w:t>
      </w:r>
    </w:p>
    <w:p>
      <w:pPr>
        <w:spacing w:after="0" w:line="2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 SPAC HOLDINGS II LLC</w:t>
      </w:r>
    </w:p>
    <w:p>
      <w:pPr>
        <w:spacing w:after="0" w:line="223" w:lineRule="exact"/>
        <w:rPr>
          <w:sz w:val="20"/>
          <w:szCs w:val="20"/>
          <w:color w:val="auto"/>
        </w:rPr>
      </w:pPr>
    </w:p>
    <w:p>
      <w:pPr>
        <w:ind w:left="448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13970</wp:posOffset>
            </wp:positionV>
            <wp:extent cx="32861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286125" cy="8255"/>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Joshua Sason</w:t>
      </w:r>
    </w:p>
    <w:p>
      <w:pPr>
        <w:spacing w:after="0" w:line="22" w:lineRule="exact"/>
        <w:rPr>
          <w:sz w:val="20"/>
          <w:szCs w:val="20"/>
          <w:color w:val="auto"/>
        </w:rPr>
      </w:pPr>
    </w:p>
    <w:p>
      <w:pPr>
        <w:ind w:left="5040"/>
        <w:spacing w:after="0"/>
        <w:tabs>
          <w:tab w:leader="none" w:pos="5640" w:val="left"/>
        </w:tabs>
        <w:rPr>
          <w:sz w:val="20"/>
          <w:szCs w:val="20"/>
          <w:color w:val="auto"/>
        </w:rPr>
      </w:pPr>
      <w:r>
        <w:rPr>
          <w:rFonts w:ascii="Arial" w:cs="Arial" w:eastAsia="Arial" w:hAnsi="Arial"/>
          <w:sz w:val="16"/>
          <w:szCs w:val="16"/>
          <w:color w:val="auto"/>
        </w:rPr>
        <w:t>Title:</w:t>
        <w:tab/>
        <w:t>Managing Member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455930</wp:posOffset>
            </wp:positionV>
            <wp:extent cx="7247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10" w:name="page411"/>
    <w:bookmarkEnd w:id="410"/>
    <w:p>
      <w:pPr>
        <w:ind w:left="10620"/>
        <w:spacing w:after="0"/>
        <w:rPr>
          <w:sz w:val="20"/>
          <w:szCs w:val="20"/>
          <w:color w:val="auto"/>
        </w:rPr>
      </w:pPr>
      <w:r>
        <w:rPr>
          <w:rFonts w:ascii="Arial" w:cs="Arial" w:eastAsia="Arial" w:hAnsi="Arial"/>
          <w:sz w:val="19"/>
          <w:szCs w:val="19"/>
          <w:b w:val="1"/>
          <w:bCs w:val="1"/>
          <w:color w:val="auto"/>
        </w:rPr>
        <w:t>Annex 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HOLDINGS, LLC</w:t>
      </w:r>
    </w:p>
    <w:p>
      <w:pPr>
        <w:spacing w:after="0" w:line="227"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This Third Amended and Restated Limited Liability Company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of Priority Holdings, LLC (the "</w:t>
      </w:r>
      <w:r>
        <w:rPr>
          <w:rFonts w:ascii="Arial" w:cs="Arial" w:eastAsia="Arial" w:hAnsi="Arial"/>
          <w:sz w:val="18"/>
          <w:szCs w:val="18"/>
          <w:u w:val="single" w:color="auto"/>
          <w:color w:val="auto"/>
        </w:rPr>
        <w:t>Company</w:t>
      </w:r>
      <w:r>
        <w:rPr>
          <w:rFonts w:ascii="Arial" w:cs="Arial" w:eastAsia="Arial" w:hAnsi="Arial"/>
          <w:sz w:val="18"/>
          <w:szCs w:val="18"/>
          <w:color w:val="auto"/>
        </w:rPr>
        <w:t>"), dated as of [___], 2018, is entered into by the undersigned (the "</w:t>
      </w:r>
      <w:r>
        <w:rPr>
          <w:rFonts w:ascii="Arial" w:cs="Arial" w:eastAsia="Arial" w:hAnsi="Arial"/>
          <w:sz w:val="18"/>
          <w:szCs w:val="18"/>
          <w:u w:val="single" w:color="auto"/>
          <w:color w:val="auto"/>
        </w:rPr>
        <w:t>Member</w:t>
      </w:r>
      <w:r>
        <w:rPr>
          <w:rFonts w:ascii="Arial" w:cs="Arial" w:eastAsia="Arial" w:hAnsi="Arial"/>
          <w:sz w:val="18"/>
          <w:szCs w:val="18"/>
          <w:color w:val="auto"/>
        </w:rPr>
        <w:t>").</w:t>
      </w:r>
    </w:p>
    <w:p>
      <w:pPr>
        <w:spacing w:after="0" w:line="171"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WHEREAS, the Company was formed on April 22, 2014 as a limited liability company in accordance with the Delaware Limited Liability Company Act (6 </w:t>
      </w:r>
      <w:r>
        <w:rPr>
          <w:rFonts w:ascii="Arial" w:cs="Arial" w:eastAsia="Arial" w:hAnsi="Arial"/>
          <w:sz w:val="18"/>
          <w:szCs w:val="18"/>
          <w:u w:val="single" w:color="auto"/>
          <w:color w:val="auto"/>
        </w:rPr>
        <w:t>Del. C.</w:t>
      </w:r>
      <w:r>
        <w:rPr>
          <w:rFonts w:ascii="Arial" w:cs="Arial" w:eastAsia="Arial" w:hAnsi="Arial"/>
          <w:sz w:val="18"/>
          <w:szCs w:val="18"/>
          <w:color w:val="auto"/>
        </w:rPr>
        <w:t xml:space="preserve"> § 18-101,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 (the "</w:t>
      </w:r>
      <w:r>
        <w:rPr>
          <w:rFonts w:ascii="Arial" w:cs="Arial" w:eastAsia="Arial" w:hAnsi="Arial"/>
          <w:sz w:val="18"/>
          <w:szCs w:val="18"/>
          <w:u w:val="single" w:color="auto"/>
          <w:color w:val="auto"/>
        </w:rPr>
        <w:t>Act</w:t>
      </w:r>
      <w:r>
        <w:rPr>
          <w:rFonts w:ascii="Arial" w:cs="Arial" w:eastAsia="Arial" w:hAnsi="Arial"/>
          <w:sz w:val="18"/>
          <w:szCs w:val="18"/>
          <w:color w:val="auto"/>
        </w:rPr>
        <w:t>"), for the purposes set forth herein;</w:t>
      </w:r>
    </w:p>
    <w:p>
      <w:pPr>
        <w:spacing w:after="0" w:line="171"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WHEREAS, certain prior members of the Company entered into (a) that Limited Liability Company Agreement of the Company, dated April 22, 2014 (the “</w:t>
      </w:r>
      <w:r>
        <w:rPr>
          <w:rFonts w:ascii="Arial" w:cs="Arial" w:eastAsia="Arial" w:hAnsi="Arial"/>
          <w:sz w:val="18"/>
          <w:szCs w:val="18"/>
          <w:u w:val="single" w:color="auto"/>
          <w:color w:val="auto"/>
        </w:rPr>
        <w:t>Initial LLC Agreement</w:t>
      </w:r>
      <w:r>
        <w:rPr>
          <w:rFonts w:ascii="Arial" w:cs="Arial" w:eastAsia="Arial" w:hAnsi="Arial"/>
          <w:sz w:val="18"/>
          <w:szCs w:val="18"/>
          <w:color w:val="auto"/>
        </w:rPr>
        <w:t>”), (b) that Amended and Restated Limited Liability Company Agreement of the Company, dated as of May 21, 2014, which amended and restated the Initial LLC Agreement in its entirety (the “</w:t>
      </w:r>
      <w:r>
        <w:rPr>
          <w:rFonts w:ascii="Arial" w:cs="Arial" w:eastAsia="Arial" w:hAnsi="Arial"/>
          <w:sz w:val="18"/>
          <w:szCs w:val="18"/>
          <w:u w:val="single" w:color="auto"/>
          <w:color w:val="auto"/>
        </w:rPr>
        <w:t>A&amp;R LLC Agreement</w:t>
      </w:r>
      <w:r>
        <w:rPr>
          <w:rFonts w:ascii="Arial" w:cs="Arial" w:eastAsia="Arial" w:hAnsi="Arial"/>
          <w:sz w:val="18"/>
          <w:szCs w:val="18"/>
          <w:color w:val="auto"/>
        </w:rPr>
        <w:t>”), and (c) that Second Amended and Restated Limited Liability Company Agreement of the Company, dated as of January 3, 2017, which amended and restated the A&amp;R LLC Agreement in its entirety (the “</w:t>
      </w:r>
      <w:r>
        <w:rPr>
          <w:rFonts w:ascii="Arial" w:cs="Arial" w:eastAsia="Arial" w:hAnsi="Arial"/>
          <w:sz w:val="18"/>
          <w:szCs w:val="18"/>
          <w:u w:val="single" w:color="auto"/>
          <w:color w:val="auto"/>
        </w:rPr>
        <w:t>Existing LLC Agreement</w:t>
      </w:r>
      <w:r>
        <w:rPr>
          <w:rFonts w:ascii="Arial" w:cs="Arial" w:eastAsia="Arial" w:hAnsi="Arial"/>
          <w:sz w:val="18"/>
          <w:szCs w:val="18"/>
          <w:color w:val="auto"/>
        </w:rPr>
        <w:t>”);</w:t>
      </w:r>
    </w:p>
    <w:p>
      <w:pPr>
        <w:spacing w:after="0" w:line="191"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auto"/>
        </w:rPr>
        <w:t>WHEREAS, certain prior members of the Company entered into that Contribution Agreement, dated as of February 26, 2018, pursuant to which each of the members of the Company agreed to contribute to the capital of M I Acquisition, Inc., a Delaware corporation (“</w:t>
      </w:r>
      <w:r>
        <w:rPr>
          <w:rFonts w:ascii="Arial" w:cs="Arial" w:eastAsia="Arial" w:hAnsi="Arial"/>
          <w:sz w:val="17"/>
          <w:szCs w:val="17"/>
          <w:u w:val="single" w:color="auto"/>
          <w:color w:val="auto"/>
        </w:rPr>
        <w:t>Buyer</w:t>
      </w:r>
      <w:r>
        <w:rPr>
          <w:rFonts w:ascii="Arial" w:cs="Arial" w:eastAsia="Arial" w:hAnsi="Arial"/>
          <w:sz w:val="17"/>
          <w:szCs w:val="17"/>
          <w:color w:val="auto"/>
        </w:rPr>
        <w:t>”), and Buyer agreed to acquire from such members, 100% of the issued and outstanding equity interests of the Company (the “</w:t>
      </w:r>
      <w:r>
        <w:rPr>
          <w:rFonts w:ascii="Arial" w:cs="Arial" w:eastAsia="Arial" w:hAnsi="Arial"/>
          <w:sz w:val="17"/>
          <w:szCs w:val="17"/>
          <w:u w:val="single" w:color="auto"/>
          <w:color w:val="auto"/>
        </w:rPr>
        <w:t>Contribution Agreement</w:t>
      </w:r>
      <w:r>
        <w:rPr>
          <w:rFonts w:ascii="Arial" w:cs="Arial" w:eastAsia="Arial" w:hAnsi="Arial"/>
          <w:sz w:val="17"/>
          <w:szCs w:val="17"/>
          <w:color w:val="auto"/>
        </w:rPr>
        <w:t>”);</w:t>
      </w:r>
    </w:p>
    <w:p>
      <w:pPr>
        <w:spacing w:after="0" w:line="164"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WHEREAS, as a result of the Contemplated Transaction (as defined in the Contribution Agreement), Buyer (a) is the sole member of the Company and holds 100% of the issued and outstanding equity interests of the Company and (b) desires to amend and restate the Existing LLC Agreement in accordance with the terms hereof;</w:t>
      </w:r>
    </w:p>
    <w:p>
      <w:pPr>
        <w:spacing w:after="0" w:line="182"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undersigned, intending to be legally bound, hereby agrees that the Existing LLC Agreement is hereby amended and restated in its entirety and further agrees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FORMATION AND TERM</w:t>
      </w:r>
    </w:p>
    <w:p>
      <w:pPr>
        <w:spacing w:after="0" w:line="227" w:lineRule="exact"/>
        <w:rPr>
          <w:sz w:val="20"/>
          <w:szCs w:val="20"/>
          <w:color w:val="auto"/>
        </w:rPr>
      </w:pPr>
    </w:p>
    <w:p>
      <w:pPr>
        <w:ind w:left="1620"/>
        <w:spacing w:after="0"/>
        <w:tabs>
          <w:tab w:leader="none" w:pos="29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Name</w:t>
      </w:r>
      <w:r>
        <w:rPr>
          <w:rFonts w:ascii="Arial" w:cs="Arial" w:eastAsia="Arial" w:hAnsi="Arial"/>
          <w:sz w:val="16"/>
          <w:szCs w:val="16"/>
          <w:color w:val="auto"/>
        </w:rPr>
        <w:t>. The name of the limited liability company is "Priority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7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411" w:name="page412"/>
    <w:bookmarkEnd w:id="411"/>
    <w:p>
      <w:pPr>
        <w:jc w:val="both"/>
        <w:ind w:firstLine="1290"/>
        <w:spacing w:after="0" w:line="27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Purpose</w:t>
      </w:r>
      <w:r>
        <w:rPr>
          <w:rFonts w:ascii="Arial" w:cs="Arial" w:eastAsia="Arial" w:hAnsi="Arial"/>
          <w:sz w:val="18"/>
          <w:szCs w:val="18"/>
          <w:color w:val="auto"/>
        </w:rPr>
        <w:t>. The Company exists for the object and purpose of, and the nature of the business to be conducted and promoted by the Company is, engaging in any lawful act or activity for which limited liability companies may be formed under the Act.</w:t>
      </w:r>
    </w:p>
    <w:p>
      <w:pPr>
        <w:spacing w:after="0" w:line="171"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Registered Office; Registered Agent</w:t>
      </w:r>
      <w:r>
        <w:rPr>
          <w:rFonts w:ascii="Arial" w:cs="Arial" w:eastAsia="Arial" w:hAnsi="Arial"/>
          <w:sz w:val="18"/>
          <w:szCs w:val="18"/>
          <w:color w:val="auto"/>
        </w:rPr>
        <w:t>. The address of the registered office of the Company in the State of Delaware shall be the office of the registered agent named in the certificate of formation of the Company or such other office as the Manager (as defined below) may designate from time to time in the manner provided by applicable law. The registered agent for service of process on the Company in the State of Delaware at such registered office shall be the registered agent named in the certificate of formation of the Company or such person as the Manager may designate from time to time in the manner provided by applicable law.</w:t>
      </w:r>
    </w:p>
    <w:p>
      <w:pPr>
        <w:spacing w:after="0" w:line="191"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Term</w:t>
      </w:r>
      <w:r>
        <w:rPr>
          <w:rFonts w:ascii="Arial" w:cs="Arial" w:eastAsia="Arial" w:hAnsi="Arial"/>
          <w:sz w:val="18"/>
          <w:szCs w:val="18"/>
          <w:color w:val="auto"/>
        </w:rPr>
        <w:t>. The term of the Company commenced on April 22, 2014, the date the original certificate of formation of the Company was filed in the office of the Secretary of State of the State of Delaware, and shall continue until the Company is dissolved in accordance with the provisions of this Agreement and the Act.</w:t>
      </w:r>
    </w:p>
    <w:p>
      <w:pPr>
        <w:spacing w:after="0" w:line="182" w:lineRule="exact"/>
        <w:rPr>
          <w:sz w:val="20"/>
          <w:szCs w:val="20"/>
          <w:color w:val="auto"/>
        </w:rPr>
      </w:pPr>
    </w:p>
    <w:p>
      <w:pPr>
        <w:jc w:val="both"/>
        <w:ind w:firstLine="1290"/>
        <w:spacing w:after="0" w:line="278"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Qualification in Other Jurisdictions</w:t>
      </w:r>
      <w:r>
        <w:rPr>
          <w:rFonts w:ascii="Arial" w:cs="Arial" w:eastAsia="Arial" w:hAnsi="Arial"/>
          <w:sz w:val="17"/>
          <w:szCs w:val="17"/>
          <w:color w:val="auto"/>
        </w:rPr>
        <w:t>. The Manager shall cause the Company to be qualified, formed or registered if necessary under assumed or fictitious name statutes or similar laws in any jurisdiction in which the Company transacts business. The Manager, as authorized person, within the meaning of the Act, shall execute, deliver and file any certificates (and any amendments and/or restatements thereof) necessary for the Company to qualify to do business in a jurisdiction in which the Company may wish to conduct business.</w:t>
      </w:r>
    </w:p>
    <w:p>
      <w:pPr>
        <w:spacing w:after="0" w:line="16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II</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MANAGEMENT</w:t>
      </w:r>
    </w:p>
    <w:p>
      <w:pPr>
        <w:spacing w:after="0" w:line="227"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Manager</w:t>
      </w:r>
      <w:r>
        <w:rPr>
          <w:rFonts w:ascii="Arial" w:cs="Arial" w:eastAsia="Arial" w:hAnsi="Arial"/>
          <w:sz w:val="18"/>
          <w:szCs w:val="18"/>
          <w:color w:val="auto"/>
        </w:rPr>
        <w:t>. The business and affairs of the Company shall be managed and controlled by the Member, (in such capacity, the "</w:t>
      </w:r>
      <w:r>
        <w:rPr>
          <w:rFonts w:ascii="Arial" w:cs="Arial" w:eastAsia="Arial" w:hAnsi="Arial"/>
          <w:sz w:val="18"/>
          <w:szCs w:val="18"/>
          <w:u w:val="single" w:color="auto"/>
          <w:color w:val="auto"/>
        </w:rPr>
        <w:t>Manager</w:t>
      </w:r>
      <w:r>
        <w:rPr>
          <w:rFonts w:ascii="Arial" w:cs="Arial" w:eastAsia="Arial" w:hAnsi="Arial"/>
          <w:sz w:val="18"/>
          <w:szCs w:val="18"/>
          <w:color w:val="auto"/>
        </w:rPr>
        <w:t>"), who shall possess all rights and powers of a manager as provided in the Act and otherwise by law.</w:t>
      </w:r>
    </w:p>
    <w:p>
      <w:pPr>
        <w:spacing w:after="0" w:line="16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III</w:t>
      </w:r>
    </w:p>
    <w:p>
      <w:pPr>
        <w:spacing w:after="0" w:line="22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CAPITAL CONTRIBUTIONS AND ALLOCATIONS OF PROFITS AND LOSSES</w:t>
      </w:r>
    </w:p>
    <w:p>
      <w:pPr>
        <w:spacing w:after="0" w:line="227" w:lineRule="exact"/>
        <w:rPr>
          <w:sz w:val="20"/>
          <w:szCs w:val="20"/>
          <w:color w:val="auto"/>
        </w:rPr>
      </w:pPr>
    </w:p>
    <w:p>
      <w:pPr>
        <w:ind w:left="1280"/>
        <w:spacing w:after="0"/>
        <w:tabs>
          <w:tab w:leader="none" w:pos="26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Capital Contributions</w:t>
      </w:r>
      <w:r>
        <w:rPr>
          <w:rFonts w:ascii="Arial" w:cs="Arial" w:eastAsia="Arial" w:hAnsi="Arial"/>
          <w:sz w:val="16"/>
          <w:szCs w:val="16"/>
          <w:color w:val="auto"/>
        </w:rPr>
        <w:t>. The Member may make contributions to the capital of the Company from time to time in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discretion.</w:t>
      </w:r>
    </w:p>
    <w:p>
      <w:pPr>
        <w:spacing w:after="0" w:line="209"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Allocations Generally</w:t>
      </w:r>
      <w:r>
        <w:rPr>
          <w:rFonts w:ascii="Arial" w:cs="Arial" w:eastAsia="Arial" w:hAnsi="Arial"/>
          <w:sz w:val="16"/>
          <w:szCs w:val="16"/>
          <w:color w:val="auto"/>
        </w:rPr>
        <w:t>. The Company's profit and loss shall be allocated solely to the Member.</w:t>
      </w: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13970</wp:posOffset>
            </wp:positionV>
            <wp:extent cx="7247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80"/>
          </w:cols>
          <w:pgMar w:left="580" w:top="905" w:right="239" w:bottom="1440" w:gutter="0" w:footer="0" w:header="0"/>
        </w:sectPr>
      </w:pPr>
    </w:p>
    <w:bookmarkStart w:id="412" w:name="page413"/>
    <w:bookmarkEnd w:id="412"/>
    <w:p>
      <w:pPr>
        <w:jc w:val="both"/>
        <w:ind w:left="340" w:firstLine="1290"/>
        <w:spacing w:after="0" w:line="27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Distributions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distributions shall be made to the Member at the times and in the aggregate amounts determined by the Manager.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PROVISIONS</w:t>
      </w:r>
    </w:p>
    <w:p>
      <w:pPr>
        <w:spacing w:after="0" w:line="227" w:lineRule="exact"/>
        <w:rPr>
          <w:sz w:val="20"/>
          <w:szCs w:val="20"/>
          <w:color w:val="auto"/>
        </w:rPr>
      </w:pPr>
    </w:p>
    <w:p>
      <w:pPr>
        <w:jc w:val="both"/>
        <w:ind w:left="340" w:firstLine="1290"/>
        <w:spacing w:after="0" w:line="27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Accounting Method</w:t>
      </w:r>
      <w:r>
        <w:rPr>
          <w:rFonts w:ascii="Arial" w:cs="Arial" w:eastAsia="Arial" w:hAnsi="Arial"/>
          <w:sz w:val="18"/>
          <w:szCs w:val="18"/>
          <w:color w:val="auto"/>
        </w:rPr>
        <w:t>. The accounting for purposes of the Company shall be in accordance with accounting principles determined by the Manager.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DISSOLUTION AND TERMINATION</w:t>
      </w:r>
    </w:p>
    <w:p>
      <w:pPr>
        <w:spacing w:after="0" w:line="227" w:lineRule="exact"/>
        <w:rPr>
          <w:sz w:val="20"/>
          <w:szCs w:val="20"/>
          <w:color w:val="auto"/>
        </w:rPr>
      </w:pPr>
    </w:p>
    <w:p>
      <w:pPr>
        <w:jc w:val="right"/>
        <w:spacing w:after="0"/>
        <w:tabs>
          <w:tab w:leader="none" w:pos="82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7"/>
          <w:szCs w:val="17"/>
          <w:u w:val="single" w:color="auto"/>
          <w:color w:val="auto"/>
        </w:rPr>
        <w:t>Dissolution</w:t>
      </w:r>
      <w:r>
        <w:rPr>
          <w:rFonts w:ascii="Arial" w:cs="Arial" w:eastAsia="Arial" w:hAnsi="Arial"/>
          <w:sz w:val="17"/>
          <w:szCs w:val="17"/>
          <w:color w:val="auto"/>
        </w:rPr>
        <w:t>. The Company shall dissolve, and its affairs shall be wound up only upon the first to occur of the</w:t>
      </w:r>
    </w:p>
    <w:p>
      <w:pPr>
        <w:spacing w:after="0" w:line="23"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following: (i) the written consent of the Member; (ii) the entry of a decree of judicial dissolution under Section 18-802 of the Act; or (iii) at any time there is no member of the Company unless the Company is continued in accordance with the Act. The Member shall continue to be allocated all of the Company profit and loss during the liquidation. The proceeds from liquidation of Company assets shall be applied as follows:</w:t>
      </w:r>
    </w:p>
    <w:p>
      <w:pPr>
        <w:spacing w:after="0" w:line="171" w:lineRule="exact"/>
        <w:rPr>
          <w:sz w:val="20"/>
          <w:szCs w:val="20"/>
          <w:color w:val="auto"/>
        </w:rPr>
      </w:pPr>
    </w:p>
    <w:p>
      <w:pPr>
        <w:ind w:left="2480" w:hanging="537"/>
        <w:spacing w:after="0"/>
        <w:tabs>
          <w:tab w:leader="none" w:pos="24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satisfaction (whether by payment or the making of reasonable provision for payment) of debts of the Company other than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Member;</w:t>
      </w:r>
    </w:p>
    <w:p>
      <w:pPr>
        <w:spacing w:after="0" w:line="209" w:lineRule="exact"/>
        <w:rPr>
          <w:sz w:val="20"/>
          <w:szCs w:val="20"/>
          <w:color w:val="auto"/>
        </w:rPr>
      </w:pPr>
    </w:p>
    <w:p>
      <w:pPr>
        <w:ind w:left="2460" w:hanging="517"/>
        <w:spacing w:after="0"/>
        <w:tabs>
          <w:tab w:leader="none" w:pos="24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payment of amounts owed to the Member for amounts borrowed from and not repaid to the Member; and</w:t>
      </w:r>
    </w:p>
    <w:p>
      <w:pPr>
        <w:spacing w:after="0" w:line="223" w:lineRule="exact"/>
        <w:rPr>
          <w:rFonts w:ascii="Arial" w:cs="Arial" w:eastAsia="Arial" w:hAnsi="Arial"/>
          <w:sz w:val="18"/>
          <w:szCs w:val="18"/>
          <w:color w:val="auto"/>
        </w:rPr>
      </w:pPr>
    </w:p>
    <w:p>
      <w:pPr>
        <w:ind w:left="2460" w:hanging="517"/>
        <w:spacing w:after="0"/>
        <w:tabs>
          <w:tab w:leader="none" w:pos="24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the Member.</w:t>
      </w:r>
    </w:p>
    <w:p>
      <w:pPr>
        <w:spacing w:after="0" w:line="223" w:lineRule="exact"/>
        <w:rPr>
          <w:sz w:val="20"/>
          <w:szCs w:val="20"/>
          <w:color w:val="auto"/>
        </w:rPr>
      </w:pPr>
    </w:p>
    <w:p>
      <w:pPr>
        <w:jc w:val="both"/>
        <w:ind w:left="340" w:firstLine="1290"/>
        <w:spacing w:after="0" w:line="27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Gains or Losses in Winding-Up</w:t>
      </w:r>
      <w:r>
        <w:rPr>
          <w:rFonts w:ascii="Arial" w:cs="Arial" w:eastAsia="Arial" w:hAnsi="Arial"/>
          <w:sz w:val="18"/>
          <w:szCs w:val="18"/>
          <w:color w:val="auto"/>
        </w:rPr>
        <w:t xml:space="preserve">. Any gain or loss on disposition of Company properties in the process of liquidation shall be credited or charged to the Member in the manner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71" w:lineRule="exact"/>
        <w:rPr>
          <w:sz w:val="20"/>
          <w:szCs w:val="20"/>
          <w:color w:val="auto"/>
        </w:rPr>
      </w:pPr>
    </w:p>
    <w:p>
      <w:pPr>
        <w:jc w:val="both"/>
        <w:ind w:left="340" w:firstLine="1290"/>
        <w:spacing w:after="0" w:line="285"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The Company shall terminate when all of the assets of the Company, after payment of or due provision for all debts, liabilities and obligations of the Company shall have been distributed to the Member in the manner provided for in this </w:t>
      </w:r>
      <w:r>
        <w:rPr>
          <w:rFonts w:ascii="Arial" w:cs="Arial" w:eastAsia="Arial" w:hAnsi="Arial"/>
          <w:sz w:val="17"/>
          <w:szCs w:val="17"/>
          <w:u w:val="single" w:color="auto"/>
          <w:color w:val="auto"/>
        </w:rPr>
        <w:t>ARTICLE V</w:t>
      </w:r>
      <w:r>
        <w:rPr>
          <w:rFonts w:ascii="Arial" w:cs="Arial" w:eastAsia="Arial" w:hAnsi="Arial"/>
          <w:sz w:val="17"/>
          <w:szCs w:val="17"/>
          <w:color w:val="auto"/>
        </w:rPr>
        <w:t>, and the certificate of formation of the Company in effect as of the date thereof shall have been canceled in the manner required by the Act.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3" w:name="page414"/>
    <w:bookmarkEnd w:id="413"/>
    <w:p>
      <w:pPr>
        <w:jc w:val="center"/>
        <w:ind w:right="320"/>
        <w:spacing w:after="0"/>
        <w:rPr>
          <w:sz w:val="20"/>
          <w:szCs w:val="20"/>
          <w:color w:val="auto"/>
        </w:rPr>
      </w:pPr>
      <w:r>
        <w:rPr>
          <w:rFonts w:ascii="Arial" w:cs="Arial" w:eastAsia="Arial" w:hAnsi="Arial"/>
          <w:sz w:val="18"/>
          <w:szCs w:val="18"/>
          <w:b w:val="1"/>
          <w:bCs w:val="1"/>
          <w:color w:val="auto"/>
        </w:rPr>
        <w:t>ARTICLE VI</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ADMISSION OF A MEMBER</w:t>
      </w:r>
    </w:p>
    <w:p>
      <w:pPr>
        <w:spacing w:after="0" w:line="227"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Admission of a Member</w:t>
      </w:r>
      <w:r>
        <w:rPr>
          <w:rFonts w:ascii="Arial" w:cs="Arial" w:eastAsia="Arial" w:hAnsi="Arial"/>
          <w:sz w:val="16"/>
          <w:szCs w:val="16"/>
          <w:color w:val="auto"/>
        </w:rPr>
        <w:t>. The Member has been admitted as a member of the Company pursuant to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person may be admitted as a Member of the Company unless the Member consents.</w:t>
      </w:r>
    </w:p>
    <w:p>
      <w:pPr>
        <w:spacing w:after="0" w:line="20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VII</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GOVERNING LAW</w:t>
      </w:r>
    </w:p>
    <w:p>
      <w:pPr>
        <w:spacing w:after="0" w:line="227"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laws of the State of Delaware without regard to conflicts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laws thereof.</w:t>
      </w:r>
    </w:p>
    <w:p>
      <w:pPr>
        <w:spacing w:after="0" w:line="20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VIII</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LIABILITY, EXCULPATION AND INDEMNIFICATION</w:t>
      </w:r>
    </w:p>
    <w:p>
      <w:pPr>
        <w:spacing w:after="0" w:line="227"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Liability</w:t>
      </w:r>
      <w:r>
        <w:rPr>
          <w:rFonts w:ascii="Arial" w:cs="Arial" w:eastAsia="Arial" w:hAnsi="Arial"/>
          <w:sz w:val="17"/>
          <w:szCs w:val="17"/>
          <w:color w:val="auto"/>
        </w:rPr>
        <w:t>. Except as otherwise provided by the Act, the debts, obligations and liabilities of the Company, whether arising in contract, tort or otherwise, shall be solely the debts, obligations and liabilities of the Company, and no Covered Person (as defined below) shall be obligated personally for any such debt, obligation or liability of the Company solely by reason of being a Covered Person.</w:t>
      </w:r>
    </w:p>
    <w:p>
      <w:pPr>
        <w:spacing w:after="0" w:line="164" w:lineRule="exact"/>
        <w:rPr>
          <w:sz w:val="20"/>
          <w:szCs w:val="20"/>
          <w:color w:val="auto"/>
        </w:rPr>
      </w:pPr>
    </w:p>
    <w:p>
      <w:pPr>
        <w:jc w:val="both"/>
        <w:ind w:firstLine="1290"/>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Exculpation</w:t>
      </w:r>
      <w:r>
        <w:rPr>
          <w:rFonts w:ascii="Arial" w:cs="Arial" w:eastAsia="Arial" w:hAnsi="Arial"/>
          <w:sz w:val="17"/>
          <w:szCs w:val="17"/>
          <w:color w:val="auto"/>
        </w:rPr>
        <w:t>. No Covered Person shall be liable to the Company or any other Covered Person for any loss, damage or claim incurred by reason of any act or omission performed or omitted by such Covered Person in good faith on behalf of the Company and in a manner reasonably believed to be within the scope of authority conferred on such Covered Person by this Agreement. 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with reasonable care by or on behalf of the Company, including, without limitation, information, opinions, reports or statements as to the value and amount of the assets, liabilities, profits, losses or net cash flow or any other facts pertinent to the existence and amount of assets from which distributions to the Member might properly be paid.</w:t>
      </w:r>
    </w:p>
    <w:p>
      <w:pPr>
        <w:spacing w:after="0" w:line="176" w:lineRule="exact"/>
        <w:rPr>
          <w:sz w:val="20"/>
          <w:szCs w:val="20"/>
          <w:color w:val="auto"/>
        </w:rPr>
      </w:pPr>
    </w:p>
    <w:p>
      <w:pPr>
        <w:jc w:val="both"/>
        <w:ind w:firstLine="1290"/>
        <w:spacing w:after="0" w:line="274"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authority conferred on such Covered Person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indemnity under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be provided out of and to the extent of Company assets only, and no Covered Person shall have any personal liability on account thereof.</w:t>
      </w:r>
    </w:p>
    <w:p>
      <w:pPr>
        <w:spacing w:after="0" w:line="175" w:lineRule="exact"/>
        <w:rPr>
          <w:sz w:val="20"/>
          <w:szCs w:val="20"/>
          <w:color w:val="auto"/>
        </w:rPr>
      </w:pPr>
    </w:p>
    <w:p>
      <w:pPr>
        <w:jc w:val="both"/>
        <w:ind w:firstLine="1290"/>
        <w:spacing w:after="0" w:line="300"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To the fullest extent permitted by applicable law, expenses (including, without limitation,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w:t>
      </w:r>
      <w:r>
        <w:rPr>
          <w:rFonts w:ascii="Arial" w:cs="Arial" w:eastAsia="Arial" w:hAnsi="Arial"/>
          <w:sz w:val="16"/>
          <w:szCs w:val="16"/>
          <w:u w:val="single" w:color="auto"/>
          <w:color w:val="auto"/>
        </w:rPr>
        <w:t>Section 8.3</w:t>
      </w:r>
      <w:r>
        <w:rPr>
          <w:rFonts w:ascii="Arial" w:cs="Arial" w:eastAsia="Arial" w:hAnsi="Arial"/>
          <w:sz w:val="16"/>
          <w:szCs w:val="16"/>
          <w:color w:val="auto"/>
        </w:rPr>
        <w:t>.</w:t>
      </w:r>
    </w:p>
    <w:p>
      <w:pPr>
        <w:spacing w:after="0" w:line="37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13970</wp:posOffset>
            </wp:positionV>
            <wp:extent cx="7247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80"/>
          </w:cols>
          <w:pgMar w:left="580" w:top="901" w:right="239" w:bottom="1440" w:gutter="0" w:footer="0" w:header="0"/>
        </w:sectPr>
      </w:pPr>
    </w:p>
    <w:bookmarkStart w:id="414" w:name="page415"/>
    <w:bookmarkEnd w:id="414"/>
    <w:p>
      <w:pPr>
        <w:jc w:val="both"/>
        <w:ind w:firstLine="1290"/>
        <w:spacing w:after="0" w:line="262"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Covered Person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w:t>
      </w:r>
      <w:r>
        <w:rPr>
          <w:rFonts w:ascii="Arial" w:cs="Arial" w:eastAsia="Arial" w:hAnsi="Arial"/>
          <w:sz w:val="18"/>
          <w:szCs w:val="18"/>
          <w:u w:val="single" w:color="auto"/>
          <w:color w:val="auto"/>
        </w:rPr>
        <w:t>Covered Person</w:t>
      </w:r>
      <w:r>
        <w:rPr>
          <w:rFonts w:ascii="Arial" w:cs="Arial" w:eastAsia="Arial" w:hAnsi="Arial"/>
          <w:sz w:val="18"/>
          <w:szCs w:val="18"/>
          <w:color w:val="auto"/>
        </w:rPr>
        <w:t>" shall mean the Manager, the Member, any affiliate of the Manager or the Member, any officer, director, shareholder, partner, member, employee, representative or agent of the Manager or the Member, their respective affiliates, or any employee or agent of the Company or its affiliates.</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IX</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CERTAIN TAX MATTERS</w:t>
      </w:r>
    </w:p>
    <w:p>
      <w:pPr>
        <w:spacing w:after="0" w:line="227"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 Thomas C. Priore shall be designated as the “partnership representative” (within the meaning of Section 6223(a) of the Internal Revenue Code of 1986, as amended, and any corresponding provision of state and local law) for any applicable tax years.</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X</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MISCELLANEOUS</w:t>
      </w:r>
    </w:p>
    <w:p>
      <w:pPr>
        <w:spacing w:after="0" w:line="227" w:lineRule="exact"/>
        <w:rPr>
          <w:sz w:val="20"/>
          <w:szCs w:val="20"/>
          <w:color w:val="auto"/>
        </w:rPr>
      </w:pPr>
    </w:p>
    <w:p>
      <w:pPr>
        <w:ind w:left="1280"/>
        <w:spacing w:after="0"/>
        <w:tabs>
          <w:tab w:leader="none" w:pos="260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 This Agreement shall be effective as of the date first set forth above.</w:t>
      </w:r>
    </w:p>
    <w:p>
      <w:pPr>
        <w:spacing w:after="0" w:line="22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document constitutes the entire Agreement and understanding by the Member with respect to the Company and supersedes all prior agreements and undertakings, if any, with respect hereto.</w:t>
      </w:r>
    </w:p>
    <w:p>
      <w:pPr>
        <w:spacing w:after="0" w:line="171"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only through a written document signed by the Member.</w:t>
      </w:r>
    </w:p>
    <w:p>
      <w:pPr>
        <w:spacing w:after="0" w:line="223" w:lineRule="exact"/>
        <w:rPr>
          <w:sz w:val="20"/>
          <w:szCs w:val="20"/>
          <w:color w:val="auto"/>
        </w:rPr>
      </w:pPr>
    </w:p>
    <w:p>
      <w:pPr>
        <w:ind w:left="1280"/>
        <w:spacing w:after="0"/>
        <w:tabs>
          <w:tab w:leader="none" w:pos="276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Captions</w:t>
      </w:r>
      <w:r>
        <w:rPr>
          <w:rFonts w:ascii="Arial" w:cs="Arial" w:eastAsia="Arial" w:hAnsi="Arial"/>
          <w:sz w:val="16"/>
          <w:szCs w:val="16"/>
          <w:color w:val="auto"/>
        </w:rPr>
        <w:t>. The titles and captions contained herein are for convenience only and shall not be deemed part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9"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Numbers and Gender</w:t>
      </w:r>
      <w:r>
        <w:rPr>
          <w:rFonts w:ascii="Arial" w:cs="Arial" w:eastAsia="Arial" w:hAnsi="Arial"/>
          <w:sz w:val="18"/>
          <w:szCs w:val="18"/>
          <w:color w:val="auto"/>
        </w:rPr>
        <w:t>. Where the context so indicates, the masculine shall include the feminine and neuter, the singular shall include the plural and the plural shall include the singular, and person shall include corporation, firm or any other entity.</w:t>
      </w:r>
    </w:p>
    <w:p>
      <w:pPr>
        <w:spacing w:after="0" w:line="17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13970</wp:posOffset>
            </wp:positionV>
            <wp:extent cx="7247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8"/>
          <w:szCs w:val="18"/>
          <w:color w:val="auto"/>
        </w:rPr>
        <w:t>IN WITNESS WHEREOF, the undersigned, intending to be legally bound hereby, has duly executed this Agreement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 above.</w:t>
      </w:r>
    </w:p>
    <w:p>
      <w:pPr>
        <w:spacing w:after="0" w:line="20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MEMBER:</w:t>
      </w: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PRIORITY TECHNOLOGY HOLDINGS, INC.</w:t>
      </w:r>
    </w:p>
    <w:p>
      <w:pPr>
        <w:spacing w:after="0" w:line="2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13970</wp:posOffset>
            </wp:positionV>
            <wp:extent cx="332930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Title: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A&amp;R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 of Priority Holdings, LLC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247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6" w:name="page417"/>
    <w:bookmarkEnd w:id="416"/>
    <w:p>
      <w:pPr>
        <w:jc w:val="right"/>
        <w:spacing w:after="0"/>
        <w:rPr>
          <w:sz w:val="20"/>
          <w:szCs w:val="20"/>
          <w:color w:val="auto"/>
        </w:rPr>
      </w:pPr>
      <w:r>
        <w:rPr>
          <w:rFonts w:ascii="Arial" w:cs="Arial" w:eastAsia="Arial" w:hAnsi="Arial"/>
          <w:sz w:val="22"/>
          <w:szCs w:val="22"/>
          <w:b w:val="1"/>
          <w:bCs w:val="1"/>
          <w:color w:val="auto"/>
        </w:rPr>
        <w:t>Annex 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 a Delaware corporation (the "Corporation"), hereby certifies as follows:</w:t>
      </w:r>
    </w:p>
    <w:p>
      <w:pPr>
        <w:spacing w:after="0" w:line="223" w:lineRule="exact"/>
        <w:rPr>
          <w:sz w:val="20"/>
          <w:szCs w:val="20"/>
          <w:color w:val="auto"/>
        </w:rPr>
      </w:pPr>
    </w:p>
    <w:p>
      <w:pPr>
        <w:ind w:left="180" w:hanging="172"/>
        <w:spacing w:after="0"/>
        <w:tabs>
          <w:tab w:leader="none" w:pos="1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name of the Corporation is M I Acquisitions, Inc.</w:t>
      </w:r>
    </w:p>
    <w:p>
      <w:pPr>
        <w:spacing w:after="0" w:line="223" w:lineRule="exact"/>
        <w:rPr>
          <w:rFonts w:ascii="Arial" w:cs="Arial" w:eastAsia="Arial" w:hAnsi="Arial"/>
          <w:sz w:val="18"/>
          <w:szCs w:val="18"/>
          <w:color w:val="auto"/>
        </w:rPr>
      </w:pPr>
    </w:p>
    <w:p>
      <w:pPr>
        <w:ind w:left="180" w:hanging="172"/>
        <w:spacing w:after="0"/>
        <w:tabs>
          <w:tab w:leader="none" w:pos="1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original Certificate of Incorporation of the Corporation was filed with the Secretary of State of the State of Delaware on April 23, 2015.</w:t>
      </w:r>
    </w:p>
    <w:p>
      <w:pPr>
        <w:spacing w:after="0" w:line="223" w:lineRule="exact"/>
        <w:rPr>
          <w:rFonts w:ascii="Arial" w:cs="Arial" w:eastAsia="Arial" w:hAnsi="Arial"/>
          <w:sz w:val="18"/>
          <w:szCs w:val="18"/>
          <w:color w:val="auto"/>
        </w:rPr>
      </w:pPr>
    </w:p>
    <w:p>
      <w:pPr>
        <w:ind w:right="80" w:firstLine="8"/>
        <w:spacing w:after="0" w:line="275" w:lineRule="auto"/>
        <w:tabs>
          <w:tab w:leader="none" w:pos="17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(the "Certificate of Incorporation") amends and restates the provisions of the Corporation's Certificate of Incorporation as heretofore amended and supplemented.</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This Certificate of Incorporation was duly adopted in accordance with Sections 242 and 245 of the General Corporation Law of the State of Delaware.</w:t>
      </w:r>
    </w:p>
    <w:p>
      <w:pPr>
        <w:spacing w:after="0" w:line="234" w:lineRule="exact"/>
        <w:rPr>
          <w:rFonts w:ascii="Arial" w:cs="Arial" w:eastAsia="Arial" w:hAnsi="Arial"/>
          <w:sz w:val="17"/>
          <w:szCs w:val="17"/>
          <w:color w:val="auto"/>
        </w:rPr>
      </w:pPr>
    </w:p>
    <w:p>
      <w:pPr>
        <w:ind w:left="180" w:hanging="172"/>
        <w:spacing w:after="0"/>
        <w:tabs>
          <w:tab w:leader="none" w:pos="1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This Certificate of Incorporation shall become effective at [___], eastern time, on [____], 2018 (the "Effective Time").</w:t>
      </w:r>
    </w:p>
    <w:p>
      <w:pPr>
        <w:spacing w:after="0" w:line="223" w:lineRule="exact"/>
        <w:rPr>
          <w:rFonts w:ascii="Arial" w:cs="Arial" w:eastAsia="Arial" w:hAnsi="Arial"/>
          <w:sz w:val="18"/>
          <w:szCs w:val="18"/>
          <w:color w:val="auto"/>
        </w:rPr>
      </w:pPr>
    </w:p>
    <w:p>
      <w:pPr>
        <w:ind w:left="180" w:hanging="172"/>
        <w:spacing w:after="0"/>
        <w:tabs>
          <w:tab w:leader="none" w:pos="18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Effective upon the Effective Time, the text of the Corporation's Certificate of Incorporation is hereby amended and restated to read in its entirety as follows:</w:t>
      </w:r>
    </w:p>
    <w:p>
      <w:pPr>
        <w:spacing w:after="0" w:line="246" w:lineRule="exact"/>
        <w:rPr>
          <w:rFonts w:ascii="Arial" w:cs="Arial" w:eastAsia="Arial" w:hAnsi="Arial"/>
          <w:sz w:val="16"/>
          <w:szCs w:val="16"/>
          <w:color w:val="auto"/>
        </w:rPr>
      </w:pPr>
    </w:p>
    <w:p>
      <w:pPr>
        <w:ind w:left="5280"/>
        <w:spacing w:after="0"/>
        <w:rPr>
          <w:rFonts w:ascii="Arial" w:cs="Arial" w:eastAsia="Arial" w:hAnsi="Arial"/>
          <w:sz w:val="16"/>
          <w:szCs w:val="16"/>
          <w:color w:val="auto"/>
        </w:rPr>
      </w:pPr>
      <w:r>
        <w:rPr>
          <w:rFonts w:ascii="Arial" w:cs="Arial" w:eastAsia="Arial" w:hAnsi="Arial"/>
          <w:sz w:val="18"/>
          <w:szCs w:val="18"/>
          <w:u w:val="single" w:color="auto"/>
          <w:color w:val="auto"/>
        </w:rPr>
        <w:t>ARTICLE 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Priority Technology Holdings, Inc. (the "Corporation").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address of the registered office of the Corporation in the State of Delaware is 615 South DuPont Highway, in the City of Dover, in the County of Kent, in the State of Delaware 19901. The name of its registered agent at that address is National Corporate Research, Ltd.</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ARTICLE III</w:t>
      </w:r>
    </w:p>
    <w:p>
      <w:pPr>
        <w:spacing w:after="0" w:line="22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now or hereafter be organized under the General Corporation Law of the State of Delaware (the "GCL").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7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The total number of shares of all classes of stock which the Corporation shall have authority to issue is 1,100,000,000), consisting of 1,000,000,000) shares of common stock, par value one cent ($0.001) per share (the "Common Stock"), and (ii) 100,000,000 shares of preferred stock, par value one cent ($0.001) per share (the "Preferred Stock"). The Board of Directors is hereby expressly authorized, by resolution or resolutions, to provide, out of the unissued shares of Preferred Stock, for one or more series of Preferred Stock and, with respect to each such series, to fix, without further stockholder approval, the designation, powers, preferences and relative, participating, optional or other special rights, including voting powers and rights, and the qualifications, limitations or restrictions thereof, of each series of Preferred Stock pursuant to Section 151 of the GCL.</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 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relating to any series of Preferred Stock) or pursuant to the GCL.</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C. Except as otherwise required by law, holders of any series of Preferred Stock shall be entitled to only such voting rights, if any, as shall expressly be granted thereto by this Certificate of Incorporation (including any certificate of designation relating to such series of Preferred Stock).</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 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 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8" w:name="page419"/>
    <w:bookmarkEnd w:id="418"/>
    <w:p>
      <w:pPr>
        <w:jc w:val="both"/>
        <w:spacing w:after="0" w:line="255" w:lineRule="auto"/>
        <w:rPr>
          <w:sz w:val="20"/>
          <w:szCs w:val="20"/>
          <w:color w:val="auto"/>
        </w:rPr>
      </w:pPr>
      <w:r>
        <w:rPr>
          <w:rFonts w:ascii="Arial" w:cs="Arial" w:eastAsia="Arial" w:hAnsi="Arial"/>
          <w:sz w:val="18"/>
          <w:szCs w:val="18"/>
          <w:color w:val="auto"/>
        </w:rPr>
        <w:t>F. The number of authorized shares of Preferred Stock or Common Stock may be increased or decreased (but not below the number of shares thereof then outstanding) by the affirmative vote of the holders of a majority in voting power of the stock of the Corporation entitled to vote thereon irrespective of the provisions of Section 242(b)(2) of the GCL (or any successor provision thereto), and no vote of the holders of any of the Common Stock or the Preferred Stock voting separately as a class shall be required therefor, unless a vote of any such holder is required pursuant to this Certificate of Incorporation (including any certificate of designation relating to any series of Preferred Stock).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Notwithstanding anything contained in this Certificate of Incorporation to the contrary, at any time when Priority Investment Holdings, LLC and Priority Incentive Equity Holdings, LLC or their Affiliates (collectively, the "Priority Holders") beneficially own, in the aggregate, less than 40% in voting power of the stock of the Corporation entitled to vote generally in the election of directors,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in voting power of all the then-outstanding shares of stock of the Corporation entitled to vote thereon, voting together as a single class: this Article V, Article VI, Article VII, Article VIII, Article IX, Article XI and Article XII. For the purposes of this Certificate of Incorporation, beneficial ownership of shares shall be determined in accordance with Rule 13d-3 promulgated under the Securities Exchange Act of 1934, as amended (the "Exchange Act").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 The Board of Directors is expressly authorized to make, repeal, alter, amend and rescind, in whole or in part, the bylaws of the Corporation (as in effect from time to time, the "Bylaws") without the assent or vote of the stockholders in any manner not inconsistent with the laws of the State of Delaware or this Certificate of Incorporation. Notwithstanding anything to the contrary contained in this Certificate of Incorporation or any provision of law which might otherwise permit a lesser vote of the stockholders, at any time when the Priority Holders beneficially own,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 at least 66 2/3%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9" w:name="page420"/>
    <w:bookmarkEnd w:id="419"/>
    <w:p>
      <w:pPr>
        <w:jc w:val="both"/>
        <w:spacing w:after="0" w:line="275" w:lineRule="auto"/>
        <w:rPr>
          <w:sz w:val="20"/>
          <w:szCs w:val="20"/>
          <w:color w:val="auto"/>
        </w:rPr>
      </w:pPr>
      <w:r>
        <w:rPr>
          <w:rFonts w:ascii="Arial" w:cs="Arial" w:eastAsia="Arial" w:hAnsi="Arial"/>
          <w:sz w:val="18"/>
          <w:szCs w:val="18"/>
          <w:color w:val="auto"/>
        </w:rPr>
        <w:t>C. For purposes of this Certificate of Incorporation, "Affiliate" means a person that directly, or indirectly through one or more intermediaries, controls or is controlled by or is under common control with another person.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The business and affairs of the Corporation shall be managed by or under the direction of the Board of Directors.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At the first election of directors by the incorporator, the incorporator shall elect a director for a term expiring at the Corporation's first annual meeting of stockholders. Such director shall then appoint additional directors, as necessary. The directors (other than those directors elected by the holders of any series of Preferred Stock, voting separately as a series or together with one or more other such series, as the case may be) shall be elected for a one (1) year term and shall hold office until the next annual meeting of stockholders and until their successors shall be elected and shall qualify, subject, however to prior death, resignation, retirement, disqualification or removal from office. At each succeeding annual meeting, successors to the directors whose term expires at that annual meeting shall be elected for a term expiring at the succeeding annual meeting of stockholders and until their successors shall be elected and shall qualify, subject, however to prior death, resignation, retirement, disqualification or removal from office.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 Vacancies on the Board of Directors by reason of death, resignation, retirement, disqualification, removal from office, or otherwise, and newly created directorships resulting from any increase in the authorized number of directors, shall be filled solely by a majority of the directors then in office, although less than a quorum, or by a sole remaining director, and shall not be filled by the stockholders. Any director elected to fill a vacancy or newly created directorship shall hold office until the next annual meeting of stockholders and until his or her successor shall be elected and qualified, or until his or her earlier death, resignation, retirement, disqualification or removal from office. In no case shall a decrease in the number of authorized directors remove or shorten the term of any incumbent director.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0" w:name="page421"/>
    <w:bookmarkEnd w:id="420"/>
    <w:p>
      <w:pPr>
        <w:jc w:val="both"/>
        <w:spacing w:after="0" w:line="292" w:lineRule="auto"/>
        <w:rPr>
          <w:sz w:val="20"/>
          <w:szCs w:val="20"/>
          <w:color w:val="auto"/>
        </w:rPr>
      </w:pPr>
      <w:r>
        <w:rPr>
          <w:rFonts w:ascii="Arial" w:cs="Arial" w:eastAsia="Arial" w:hAnsi="Arial"/>
          <w:sz w:val="16"/>
          <w:szCs w:val="16"/>
          <w:color w:val="auto"/>
        </w:rPr>
        <w:t xml:space="preserve">D.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time when the Priority Holders beneficially own, in the aggregate, less than 40% in voting power of the stock of the Corporation entitled to vote generally in the election of directors, any such director or all such directors may be removed only for cause and only by the affirmative vote of the holders of at least 66 2/3% in voting power of all the then-outstanding shares of stock of the Corporation entitled to vote thereon, voting together as a single class.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E. Elections of directors need not be by written ballot unless the Bylaws shall so provide.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 During any period when the holders of any series of Preferred Stock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Special meetings of the stockholders of the Corporation for any purpose or purposes (i) may be called at any time by the Board of Directors, and (ii) shall be called by the Secretary upon the written request of stockholders owning at least twenty-five percent (25%) in amount of the entire capital stock of the Corporation issued and outstanding, and entitled to vote at the special meeting.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1" w:name="page422"/>
    <w:bookmarkEnd w:id="421"/>
    <w:p>
      <w:pPr>
        <w:jc w:val="both"/>
        <w:spacing w:after="0" w:line="285" w:lineRule="auto"/>
        <w:rPr>
          <w:sz w:val="20"/>
          <w:szCs w:val="20"/>
          <w:color w:val="auto"/>
        </w:rPr>
      </w:pPr>
      <w:r>
        <w:rPr>
          <w:rFonts w:ascii="Arial" w:cs="Arial" w:eastAsia="Arial" w:hAnsi="Arial"/>
          <w:sz w:val="16"/>
          <w:szCs w:val="16"/>
          <w:color w:val="auto"/>
        </w:rPr>
        <w:t xml:space="preserve">B. At any time when the Priority Holders beneficially own, in the aggregate, at least 40% in voting power of the stock of the Corporation entitled to vote generally in the election of directors, any action required or permitted by the GCL to be taken at a stockholders' meeting may be taken without a meeting and without prior notice and without a vote, if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 At any time when the Priority Holders beneficially own, in the aggregate, less than 40%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officers of the Corporation shall be chosen in such a manner, shall hold their offices for such terms and shall carry out such duties as are determined by the Board of Directors, subject to the right of the Board of Directors to remove any officer or officers at any time with or without cause.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The Corporation shall indemnify to the full extent authorized or permitted by law (as now or hereafter in effect) any person made, or threatened to be made, a defendant or witness to any action, suit or proceeding (whether civil or criminal or otherwise) by reason of the fact that such person is or was a director or officer of the Corporation or by reason of the fact that such director or officer, at the request of the Corporation, is or was serving any other corporation, partnership, joint venture, employee benefit plan or other enterprise, in any capacity. Nothing contained herein shall affect any rights to indemnification to which employees other than directors or officers may be entitled by law. No amendment or repeal of this Section A of Article IX shall apply to or have any effect on any right to indemnification provided hereunder with respect to any acts or omissions occurring prior to such amendment or repeal. The rights to indemnification provided under this Section A of Article IX shall extent to the testator or intestate of the person to whom such rights are granted.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2" w:name="page423"/>
    <w:bookmarkEnd w:id="422"/>
    <w:p>
      <w:pPr>
        <w:jc w:val="both"/>
        <w:spacing w:after="0" w:line="310" w:lineRule="auto"/>
        <w:rPr>
          <w:sz w:val="20"/>
          <w:szCs w:val="20"/>
          <w:color w:val="auto"/>
        </w:rPr>
      </w:pPr>
      <w:r>
        <w:rPr>
          <w:rFonts w:ascii="Arial" w:cs="Arial" w:eastAsia="Arial" w:hAnsi="Arial"/>
          <w:sz w:val="16"/>
          <w:szCs w:val="16"/>
          <w:color w:val="auto"/>
        </w:rPr>
        <w:t>B. To the fullest extent permitted by law, no director of the Corporation shall be personally liable to the Corporation or its stockholders for monetary damages for breach of fiduciary duty as a director. No amendment to or repeal of this Section B of this Article IX shall apply to or have any effect on the liability or alleged liability of any director of the Corporation for or with respect to any acts or omissions of such director occurring prior to such amendment or repeal.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 In furtherance and not in limitation of the powers conferred by statute:</w:t>
      </w:r>
    </w:p>
    <w:p>
      <w:pPr>
        <w:spacing w:after="0" w:line="223" w:lineRule="exact"/>
        <w:rPr>
          <w:sz w:val="20"/>
          <w:szCs w:val="20"/>
          <w:color w:val="auto"/>
        </w:rPr>
      </w:pPr>
    </w:p>
    <w:p>
      <w:pPr>
        <w:jc w:val="both"/>
        <w:ind w:firstLine="1298"/>
        <w:spacing w:after="0" w:line="255" w:lineRule="auto"/>
        <w:tabs>
          <w:tab w:leader="none" w:pos="150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law; and</w:t>
      </w:r>
    </w:p>
    <w:p>
      <w:pPr>
        <w:spacing w:after="0" w:line="190" w:lineRule="exact"/>
        <w:rPr>
          <w:rFonts w:ascii="Arial" w:cs="Arial" w:eastAsia="Arial" w:hAnsi="Arial"/>
          <w:sz w:val="18"/>
          <w:szCs w:val="18"/>
          <w:color w:val="auto"/>
        </w:rPr>
      </w:pPr>
    </w:p>
    <w:p>
      <w:pPr>
        <w:jc w:val="both"/>
        <w:ind w:firstLine="1298"/>
        <w:spacing w:after="0" w:line="258" w:lineRule="auto"/>
        <w:tabs>
          <w:tab w:leader="none" w:pos="156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Corporation may create a trust fund, grant a security interest and/or use other means (including, without limitation, letters of credit, surety bonds and/or other similar arrangements), as well as enter into contracts providing indemnification to the full extent authorized or permitted by law and including as part thereof provisions with respect to any or all of the foregoing to ensure the payment of such amounts as may become necessary to effect indemnification as provided therein, or elsewhere.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22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Corporation reserves the right to repeal, alter amend, or rescind any provision contained in this Certificate of Incorporation, in the manner now or hereafter prescribed by statute, and all rights conferred on stockholders herein are granted subject to this reservation.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The Corporation hereby expressly elects not to be governed by Section 203 of the DGCL.</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3" w:name="page424"/>
    <w:bookmarkEnd w:id="423"/>
    <w:p>
      <w:pPr>
        <w:jc w:val="both"/>
        <w:spacing w:after="0" w:line="262" w:lineRule="auto"/>
        <w:rPr>
          <w:sz w:val="20"/>
          <w:szCs w:val="20"/>
          <w:color w:val="auto"/>
        </w:rPr>
      </w:pPr>
      <w:r>
        <w:rPr>
          <w:rFonts w:ascii="Arial" w:cs="Arial" w:eastAsia="Arial" w:hAnsi="Arial"/>
          <w:sz w:val="18"/>
          <w:szCs w:val="18"/>
          <w:color w:val="auto"/>
        </w:rPr>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82" w:lineRule="exact"/>
        <w:rPr>
          <w:sz w:val="20"/>
          <w:szCs w:val="20"/>
          <w:color w:val="auto"/>
        </w:rPr>
      </w:pPr>
    </w:p>
    <w:p>
      <w:pPr>
        <w:ind w:firstLine="115"/>
        <w:spacing w:after="0" w:line="275" w:lineRule="auto"/>
        <w:tabs>
          <w:tab w:leader="none" w:pos="307" w:val="left"/>
        </w:tabs>
        <w:numPr>
          <w:ilvl w:val="1"/>
          <w:numId w:val="342"/>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170" w:lineRule="exact"/>
        <w:rPr>
          <w:rFonts w:ascii="Arial" w:cs="Arial" w:eastAsia="Arial" w:hAnsi="Arial"/>
          <w:sz w:val="18"/>
          <w:szCs w:val="18"/>
          <w:color w:val="auto"/>
        </w:rPr>
      </w:pPr>
    </w:p>
    <w:p>
      <w:pPr>
        <w:jc w:val="both"/>
        <w:ind w:firstLine="115"/>
        <w:spacing w:after="0" w:line="255" w:lineRule="auto"/>
        <w:tabs>
          <w:tab w:leader="none" w:pos="287" w:val="left"/>
        </w:tabs>
        <w:numPr>
          <w:ilvl w:val="1"/>
          <w:numId w:val="342"/>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90" w:lineRule="exact"/>
        <w:rPr>
          <w:rFonts w:ascii="Arial" w:cs="Arial" w:eastAsia="Arial" w:hAnsi="Arial"/>
          <w:sz w:val="18"/>
          <w:szCs w:val="18"/>
          <w:color w:val="auto"/>
        </w:rPr>
      </w:pPr>
    </w:p>
    <w:p>
      <w:pPr>
        <w:jc w:val="both"/>
        <w:ind w:firstLine="115"/>
        <w:spacing w:after="0" w:line="262" w:lineRule="auto"/>
        <w:tabs>
          <w:tab w:leader="none" w:pos="319"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of the Corporation which is not owned by the interested stockholder.</w:t>
      </w:r>
    </w:p>
    <w:p>
      <w:pPr>
        <w:spacing w:after="0" w:line="182" w:lineRule="exact"/>
        <w:rPr>
          <w:rFonts w:ascii="Arial" w:cs="Arial" w:eastAsia="Arial" w:hAnsi="Arial"/>
          <w:sz w:val="18"/>
          <w:szCs w:val="18"/>
          <w:color w:val="auto"/>
        </w:rPr>
      </w:pPr>
    </w:p>
    <w:p>
      <w:pPr>
        <w:ind w:left="220" w:hanging="212"/>
        <w:spacing w:after="0"/>
        <w:tabs>
          <w:tab w:leader="none" w:pos="2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For purposes of this Article XI, references to:</w:t>
      </w:r>
    </w:p>
    <w:p>
      <w:pPr>
        <w:spacing w:after="0" w:line="223" w:lineRule="exact"/>
        <w:rPr>
          <w:rFonts w:ascii="Arial" w:cs="Arial" w:eastAsia="Arial" w:hAnsi="Arial"/>
          <w:sz w:val="18"/>
          <w:szCs w:val="18"/>
          <w:color w:val="auto"/>
        </w:rPr>
      </w:pPr>
    </w:p>
    <w:p>
      <w:pPr>
        <w:ind w:right="20" w:firstLine="115"/>
        <w:spacing w:after="0" w:line="275" w:lineRule="auto"/>
        <w:tabs>
          <w:tab w:leader="none" w:pos="29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jc w:val="both"/>
        <w:ind w:firstLine="115"/>
        <w:spacing w:after="0" w:line="278" w:lineRule="auto"/>
        <w:tabs>
          <w:tab w:leader="none" w:pos="302" w:val="left"/>
        </w:tabs>
        <w:numPr>
          <w:ilvl w:val="1"/>
          <w:numId w:val="343"/>
        </w:numPr>
        <w:rPr>
          <w:rFonts w:ascii="Arial" w:cs="Arial" w:eastAsia="Arial" w:hAnsi="Arial"/>
          <w:sz w:val="17"/>
          <w:szCs w:val="17"/>
          <w:color w:val="auto"/>
        </w:rPr>
      </w:pPr>
      <w:r>
        <w:rPr>
          <w:rFonts w:ascii="Arial" w:cs="Arial" w:eastAsia="Arial" w:hAnsi="Arial"/>
          <w:sz w:val="17"/>
          <w:szCs w:val="17"/>
          <w:color w:val="auto"/>
        </w:rPr>
        <w:t>"associate,"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4" w:name="page425"/>
    <w:bookmarkEnd w:id="424"/>
    <w:p>
      <w:pPr>
        <w:ind w:left="172" w:hanging="172"/>
        <w:spacing w:after="0"/>
        <w:tabs>
          <w:tab w:leader="none" w:pos="17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"business combination," when used in reference to the Corporation and any interested stockholder of the Corporation, means:</w:t>
      </w:r>
    </w:p>
    <w:p>
      <w:pPr>
        <w:spacing w:after="0" w:line="223" w:lineRule="exact"/>
        <w:rPr>
          <w:rFonts w:ascii="Arial" w:cs="Arial" w:eastAsia="Arial" w:hAnsi="Arial"/>
          <w:sz w:val="18"/>
          <w:szCs w:val="18"/>
          <w:color w:val="auto"/>
        </w:rPr>
      </w:pPr>
    </w:p>
    <w:p>
      <w:pPr>
        <w:jc w:val="both"/>
        <w:ind w:left="-8" w:firstLine="115"/>
        <w:spacing w:after="0" w:line="262" w:lineRule="auto"/>
        <w:tabs>
          <w:tab w:leader="none" w:pos="318"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XI is not applicable to the surviving entity;</w:t>
      </w:r>
    </w:p>
    <w:p>
      <w:pPr>
        <w:spacing w:after="0" w:line="182" w:lineRule="exact"/>
        <w:rPr>
          <w:rFonts w:ascii="Arial" w:cs="Arial" w:eastAsia="Arial" w:hAnsi="Arial"/>
          <w:sz w:val="18"/>
          <w:szCs w:val="18"/>
          <w:color w:val="auto"/>
        </w:rPr>
      </w:pPr>
    </w:p>
    <w:p>
      <w:pPr>
        <w:jc w:val="both"/>
        <w:ind w:left="-8" w:firstLine="115"/>
        <w:spacing w:after="0" w:line="300" w:lineRule="auto"/>
        <w:tabs>
          <w:tab w:leader="none" w:pos="386" w:val="left"/>
        </w:tabs>
        <w:numPr>
          <w:ilvl w:val="1"/>
          <w:numId w:val="344"/>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55" w:lineRule="exact"/>
        <w:rPr>
          <w:rFonts w:ascii="Arial" w:cs="Arial" w:eastAsia="Arial" w:hAnsi="Arial"/>
          <w:sz w:val="16"/>
          <w:szCs w:val="16"/>
          <w:color w:val="auto"/>
        </w:rPr>
      </w:pPr>
    </w:p>
    <w:p>
      <w:pPr>
        <w:jc w:val="both"/>
        <w:ind w:left="-8" w:firstLine="115"/>
        <w:spacing w:after="0" w:line="268" w:lineRule="auto"/>
        <w:tabs>
          <w:tab w:leader="none" w:pos="418"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83" w:lineRule="exact"/>
        <w:rPr>
          <w:rFonts w:ascii="Arial" w:cs="Arial" w:eastAsia="Arial" w:hAnsi="Arial"/>
          <w:sz w:val="17"/>
          <w:szCs w:val="17"/>
          <w:color w:val="auto"/>
        </w:rPr>
      </w:pPr>
    </w:p>
    <w:p>
      <w:pPr>
        <w:jc w:val="both"/>
        <w:ind w:left="-8" w:firstLine="115"/>
        <w:spacing w:after="0" w:line="278" w:lineRule="auto"/>
        <w:tabs>
          <w:tab w:leader="none" w:pos="433"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425" w:name="page426"/>
    <w:bookmarkEnd w:id="425"/>
    <w:p>
      <w:pPr>
        <w:jc w:val="both"/>
        <w:ind w:left="-20" w:firstLine="115"/>
        <w:spacing w:after="0" w:line="262" w:lineRule="auto"/>
        <w:tabs>
          <w:tab w:leader="none" w:pos="35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182" w:lineRule="exact"/>
        <w:rPr>
          <w:sz w:val="20"/>
          <w:szCs w:val="20"/>
          <w:color w:val="auto"/>
        </w:rPr>
      </w:pPr>
    </w:p>
    <w:p>
      <w:pPr>
        <w:jc w:val="both"/>
        <w:ind w:left="-20" w:firstLine="115"/>
        <w:spacing w:after="0" w:line="292" w:lineRule="auto"/>
        <w:tabs>
          <w:tab w:leader="none" w:pos="27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162" w:lineRule="exact"/>
        <w:rPr>
          <w:rFonts w:ascii="Arial" w:cs="Arial" w:eastAsia="Arial" w:hAnsi="Arial"/>
          <w:sz w:val="16"/>
          <w:szCs w:val="16"/>
          <w:color w:val="auto"/>
        </w:rPr>
      </w:pPr>
    </w:p>
    <w:p>
      <w:pPr>
        <w:jc w:val="both"/>
        <w:ind w:left="-20" w:firstLine="115"/>
        <w:spacing w:after="0" w:line="267" w:lineRule="auto"/>
        <w:tabs>
          <w:tab w:leader="none" w:pos="278" w:val="left"/>
        </w:tabs>
        <w:numPr>
          <w:ilvl w:val="0"/>
          <w:numId w:val="346"/>
        </w:numPr>
        <w:rPr>
          <w:rFonts w:ascii="Arial" w:cs="Arial" w:eastAsia="Arial" w:hAnsi="Arial"/>
          <w:sz w:val="17"/>
          <w:szCs w:val="17"/>
          <w:color w:val="auto"/>
        </w:rPr>
      </w:pPr>
      <w:r>
        <w:rPr>
          <w:rFonts w:ascii="Arial" w:cs="Arial" w:eastAsia="Arial" w:hAnsi="Arial"/>
          <w:sz w:val="17"/>
          <w:szCs w:val="17"/>
          <w:color w:val="auto"/>
        </w:rPr>
        <w:t>"interested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(a) Priority Holders, any Priority Holders Transferee, any Priority Holders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provided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426" w:name="page427"/>
    <w:bookmarkEnd w:id="426"/>
    <w:p>
      <w:pPr>
        <w:ind w:firstLine="115"/>
        <w:spacing w:after="0" w:line="275" w:lineRule="auto"/>
        <w:tabs>
          <w:tab w:leader="none" w:pos="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stock, means a person that individually or with or through any of its Affiliates or associates:</w:t>
      </w:r>
    </w:p>
    <w:p>
      <w:pPr>
        <w:spacing w:after="0" w:line="171" w:lineRule="exact"/>
        <w:rPr>
          <w:sz w:val="20"/>
          <w:szCs w:val="20"/>
          <w:color w:val="auto"/>
        </w:rPr>
      </w:pPr>
    </w:p>
    <w:p>
      <w:pPr>
        <w:ind w:left="320" w:hanging="205"/>
        <w:spacing w:after="0"/>
        <w:tabs>
          <w:tab w:leader="none" w:pos="3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3" w:lineRule="exact"/>
        <w:rPr>
          <w:rFonts w:ascii="Arial" w:cs="Arial" w:eastAsia="Arial" w:hAnsi="Arial"/>
          <w:sz w:val="18"/>
          <w:szCs w:val="18"/>
          <w:color w:val="auto"/>
        </w:rPr>
      </w:pPr>
    </w:p>
    <w:p>
      <w:pPr>
        <w:jc w:val="both"/>
        <w:ind w:firstLine="115"/>
        <w:spacing w:after="0" w:line="253" w:lineRule="auto"/>
        <w:tabs>
          <w:tab w:leader="none" w:pos="39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93" w:lineRule="exact"/>
        <w:rPr>
          <w:rFonts w:ascii="Arial" w:cs="Arial" w:eastAsia="Arial" w:hAnsi="Arial"/>
          <w:sz w:val="18"/>
          <w:szCs w:val="18"/>
          <w:color w:val="auto"/>
        </w:rPr>
      </w:pPr>
    </w:p>
    <w:p>
      <w:pPr>
        <w:jc w:val="both"/>
        <w:ind w:firstLine="115"/>
        <w:spacing w:after="0" w:line="262" w:lineRule="auto"/>
        <w:tabs>
          <w:tab w:leader="none" w:pos="42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 "person" means any individual, corporation, partnership, unincorporated association or other entity.</w:t>
      </w:r>
    </w:p>
    <w:p>
      <w:pPr>
        <w:spacing w:after="0" w:line="223" w:lineRule="exact"/>
        <w:rPr>
          <w:sz w:val="20"/>
          <w:szCs w:val="20"/>
          <w:color w:val="auto"/>
        </w:rPr>
      </w:pPr>
    </w:p>
    <w:p>
      <w:pPr>
        <w:jc w:val="both"/>
        <w:ind w:firstLine="107"/>
        <w:spacing w:after="0" w:line="262" w:lineRule="auto"/>
        <w:rPr>
          <w:sz w:val="20"/>
          <w:szCs w:val="20"/>
          <w:color w:val="auto"/>
        </w:rPr>
      </w:pPr>
      <w:r>
        <w:rPr>
          <w:rFonts w:ascii="Arial" w:cs="Arial" w:eastAsia="Arial" w:hAnsi="Arial"/>
          <w:sz w:val="18"/>
          <w:szCs w:val="18"/>
          <w:color w:val="auto"/>
        </w:rPr>
        <w:t>8 "Priority Holders Direct Transferee" means any person that acquires (other than in a registered public offering) directly from Priority Holders or any of its successors or any "group," or any member of any such group, of which such persons are a party under Rule 13d-5 of the Exchange Act beneficial ownership of 15% or more of the then outstanding voting stock of the Corporation.</w:t>
      </w:r>
    </w:p>
    <w:p>
      <w:pPr>
        <w:spacing w:after="0" w:line="182" w:lineRule="exact"/>
        <w:rPr>
          <w:sz w:val="20"/>
          <w:szCs w:val="20"/>
          <w:color w:val="auto"/>
        </w:rPr>
      </w:pPr>
    </w:p>
    <w:p>
      <w:pPr>
        <w:ind w:firstLine="115"/>
        <w:spacing w:after="0" w:line="340" w:lineRule="auto"/>
        <w:tabs>
          <w:tab w:leader="none" w:pos="29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"Priority Holders Indirect Transferee" means any person that acquires (other than in a registered public offering) directly from any Priority Holders Direct Transferee or any other Priority Holders Indirect Transferee beneficial ownership of 15% or more of the then outstanding voting stock of the Corporation.</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7" w:name="page428"/>
    <w:bookmarkEnd w:id="427"/>
    <w:p>
      <w:pPr>
        <w:ind w:left="380" w:hanging="265"/>
        <w:spacing w:after="0"/>
        <w:tabs>
          <w:tab w:leader="none" w:pos="3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"stock" means, with respect to any corporation, capital stock and, with respect to any other entity, any equity interest.</w:t>
      </w:r>
    </w:p>
    <w:p>
      <w:pPr>
        <w:spacing w:after="0" w:line="223" w:lineRule="exact"/>
        <w:rPr>
          <w:rFonts w:ascii="Arial" w:cs="Arial" w:eastAsia="Arial" w:hAnsi="Arial"/>
          <w:sz w:val="18"/>
          <w:szCs w:val="18"/>
          <w:color w:val="auto"/>
        </w:rPr>
      </w:pPr>
    </w:p>
    <w:p>
      <w:pPr>
        <w:ind w:left="380" w:hanging="265"/>
        <w:spacing w:after="0"/>
        <w:tabs>
          <w:tab w:leader="none" w:pos="3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"voting stock" means stock of any class or series entitled to vote generally in the election of directors.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XII</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In recognition and anticipation that members of the Board of Directors who are not employees of the Corporation ("Non-Employee Directors")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XII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 No Non-Employee Director (including any Non-Employee Director who serves as an officer of the Corporation in both his or her director and officer capacities) or his or her Affiliates (such Persons being referred to, collectively, as "Identified Persons" and, individually, as an "Identified Person")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(C) of this Article XII. Subject to said Section (C) of this Article XII,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8" w:name="page429"/>
    <w:bookmarkEnd w:id="428"/>
    <w:p>
      <w:pPr>
        <w:jc w:val="both"/>
        <w:spacing w:after="0" w:line="285" w:lineRule="auto"/>
        <w:rPr>
          <w:sz w:val="20"/>
          <w:szCs w:val="20"/>
          <w:color w:val="auto"/>
        </w:rPr>
      </w:pPr>
      <w:r>
        <w:rPr>
          <w:rFonts w:ascii="Arial" w:cs="Arial" w:eastAsia="Arial" w:hAnsi="Arial"/>
          <w:sz w:val="17"/>
          <w:szCs w:val="17"/>
          <w:color w:val="auto"/>
        </w:rPr>
        <w:t>C.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(B) of this Article XII shall not apply to any such corporate opportunity.</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 In addition to and notwithstanding the foregoing provisions of this Article XII, a corporate opportunity shall not be deemed to be a potential corporate opportunity for the Corporation if it is a business opportunity that (i) the Corporation is unable, financially or legally, or is not contractually permitted to undertake, (ii) from its nature, is not in the line of the Corporation's business or is of no practical advantage to the Corporation or (iii) is one in which the Corporation has no interest or reasonable expectancy.</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 For purposes of this Article XII, (i) "Affiliate" shall mean, (a) in respect of each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"Person" shall mean any individual, corporation, general or limited partnership, limited liability company, joint venture, trust, association or any other entity.</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 To the fullest extent permitted by law, any Person purchasing or otherwise acquiring any interest in any shares of capital stock of the Corporation shall be deemed to have notice of and to have consented to the provisions of this Article XII.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XIII</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B. 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or officer of the Corporation to the Corporation or the Corporation’s stockholders, creditors or other constituents, (iii) any action asserting a claim against the Corporation or any director or officer of the Corporation arising pursuant to any provision of the GCL or this Amended and Restated Certificate of Incorporation or the Bylaws (as either may be amended and/or restated from time to time), or (iv) any action asserting a claim against the Corporation or any director or officer of the Corporation governed by the internal affairs doctrine, in each such case subject to said court having personal jurisdiction over the indispensable parties named as defendants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and only if the Court of Chancery of the State of Delaware dismisses any such action for lack of subject matter jurisdiction, such action may be brought in another state court sitting in the State of Delaware. To the fullest extent permitted by law, any person purchasing or otherwise acquiring any interest in shares of capital stock of the Corporation shall be deemed to have notice of and consents to the provisions of this Article XII(B).</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9" w:name="page430"/>
    <w:bookmarkEnd w:id="429"/>
    <w:p>
      <w:pPr>
        <w:ind w:firstLine="645"/>
        <w:spacing w:after="0" w:line="280"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Amended and Restated Certificate of Incorporation to be executed in its corporate name</w:t>
      </w:r>
      <w:r>
        <w:rPr>
          <w:rFonts w:ascii="Arial" w:cs="Arial" w:eastAsia="Arial" w:hAnsi="Arial"/>
          <w:sz w:val="18"/>
          <w:szCs w:val="18"/>
          <w:b w:val="1"/>
          <w:bCs w:val="1"/>
          <w:color w:val="auto"/>
        </w:rPr>
        <w:t xml:space="preserve"> </w:t>
      </w:r>
      <w:r>
        <w:rPr>
          <w:rFonts w:ascii="Arial" w:cs="Arial" w:eastAsia="Arial" w:hAnsi="Arial"/>
          <w:sz w:val="18"/>
          <w:szCs w:val="18"/>
          <w:color w:val="auto"/>
        </w:rPr>
        <w:t>by its duly authorized officer as of this [___] day of [_____], 2018.</w:t>
      </w:r>
    </w:p>
    <w:p>
      <w:pPr>
        <w:spacing w:after="0" w:line="16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13970</wp:posOffset>
            </wp:positionV>
            <wp:extent cx="339725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30" w:name="page431"/>
    <w:bookmarkEnd w:id="430"/>
    <w:p>
      <w:pPr>
        <w:jc w:val="right"/>
        <w:spacing w:after="0"/>
        <w:rPr>
          <w:sz w:val="20"/>
          <w:szCs w:val="20"/>
          <w:color w:val="auto"/>
        </w:rPr>
      </w:pPr>
      <w:r>
        <w:rPr>
          <w:rFonts w:ascii="Arial" w:cs="Arial" w:eastAsia="Arial" w:hAnsi="Arial"/>
          <w:sz w:val="22"/>
          <w:szCs w:val="22"/>
          <w:b w:val="1"/>
          <w:bCs w:val="1"/>
          <w:color w:val="auto"/>
        </w:rPr>
        <w:t>Annex F</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used in these Bylaws of the Corporation, the terms set forth below shall have the meanings indicated, as follows:</w:t>
      </w:r>
    </w:p>
    <w:p>
      <w:pPr>
        <w:spacing w:after="0" w:line="223"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or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shall mean these Bylaws of the Corporation, as the same may be amended and/or restated from time to time.</w:t>
      </w:r>
    </w:p>
    <w:p>
      <w:pPr>
        <w:spacing w:after="0" w:line="223"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shall mean the Certificate of Incorporation of the Corporation, as the same may be amended and/or restated from time to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$0.001 per share, of the Corporation.</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Priority Technology Holdings, Inc., a Delaware corporation.</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Controlling Stockholder</w:t>
      </w:r>
      <w:r>
        <w:rPr>
          <w:rFonts w:ascii="Arial" w:cs="Arial" w:eastAsia="Arial" w:hAnsi="Arial"/>
          <w:sz w:val="18"/>
          <w:szCs w:val="18"/>
          <w:color w:val="auto"/>
        </w:rPr>
        <w:t>" shall mean, of the Priority Holders, the person that is the beneficial owner of the largest number of shares of the Common Stock.</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shall mean the General Corporation Law of the State of Delaware, as amended from time to time.</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shall mean any form of communication, not directly involving the physical transmission of paper, that creates a record that may be retained, retrieved and reviewed by a recipient thereof, and that may be directly reproduced on paper form by such a recipient through an automatic process.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Holders</w:t>
      </w:r>
      <w:r>
        <w:rPr>
          <w:rFonts w:ascii="Arial" w:cs="Arial" w:eastAsia="Arial" w:hAnsi="Arial"/>
          <w:sz w:val="18"/>
          <w:szCs w:val="18"/>
          <w:color w:val="auto"/>
        </w:rPr>
        <w:t>" shall mean Priority Investment Holdings, LLC and Priority Incentive Equity Holdings, LLC or their Affiliates.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431" w:name="page432"/>
    <w:bookmarkEnd w:id="431"/>
    <w:p>
      <w:pPr>
        <w:jc w:val="both"/>
        <w:ind w:firstLine="1290"/>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Proposing Stockholder"</w:t>
      </w:r>
      <w:r>
        <w:rPr>
          <w:rFonts w:ascii="Arial" w:cs="Arial" w:eastAsia="Arial" w:hAnsi="Arial"/>
          <w:sz w:val="16"/>
          <w:szCs w:val="16"/>
          <w:color w:val="auto"/>
        </w:rPr>
        <w:t xml:space="preserve"> shall mean any stockholder of record other than, when the Priority Holders beneficially own, in the aggregate, less than 40% in voting power of the stock of the Corporation entitled to vote generally in the election of directors, the Designated Controlling Stockholder.</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Secretary of State</w:t>
      </w:r>
      <w:r>
        <w:rPr>
          <w:rFonts w:ascii="Arial" w:cs="Arial" w:eastAsia="Arial" w:hAnsi="Arial"/>
          <w:sz w:val="18"/>
          <w:szCs w:val="18"/>
          <w:color w:val="auto"/>
        </w:rPr>
        <w:t>" shall mean the Secretary of State of the State of Delaware.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2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Offices</w:t>
      </w:r>
      <w:r>
        <w:rPr>
          <w:rFonts w:ascii="Arial" w:cs="Arial" w:eastAsia="Arial" w:hAnsi="Arial"/>
          <w:sz w:val="18"/>
          <w:szCs w:val="18"/>
          <w:color w:val="auto"/>
        </w:rPr>
        <w:t>. The address of the registered office of the Corporation in the State of Delaware shall be as set forth in the Certificate of Incorporation.</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23"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Place of Meeting</w:t>
      </w:r>
      <w:r>
        <w:rPr>
          <w:rFonts w:ascii="Arial" w:cs="Arial" w:eastAsia="Arial" w:hAnsi="Arial"/>
          <w:sz w:val="18"/>
          <w:szCs w:val="18"/>
          <w:color w:val="auto"/>
        </w:rPr>
        <w:t>. Meetings of stockholders shall be held at any place within or outside the State of Delaware designated by the Board of Directors. The Board of Directors may, in its sole discretion, determine that the meeting shall not be held at any place, but may instead be held solely by means of remote communication as provided under the DGCL. In the absence of any such designation, stockholders' meetings shall be held at the principal executive office of the Corporation.</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Annual Meeting</w:t>
      </w:r>
      <w:r>
        <w:rPr>
          <w:rFonts w:ascii="Arial" w:cs="Arial" w:eastAsia="Arial" w:hAnsi="Arial"/>
          <w:sz w:val="16"/>
          <w:szCs w:val="16"/>
          <w:color w:val="auto"/>
        </w:rPr>
        <w:t>.</w:t>
      </w:r>
    </w:p>
    <w:p>
      <w:pPr>
        <w:spacing w:after="0" w:line="223" w:lineRule="exact"/>
        <w:rPr>
          <w:sz w:val="20"/>
          <w:szCs w:val="20"/>
          <w:color w:val="auto"/>
        </w:rPr>
      </w:pPr>
    </w:p>
    <w:p>
      <w:pPr>
        <w:jc w:val="both"/>
        <w:ind w:firstLine="653"/>
        <w:spacing w:after="0" w:line="284" w:lineRule="auto"/>
        <w:tabs>
          <w:tab w:leader="none" w:pos="892"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annual meeting of stockholders for the election of directors and for the transaction of such other business as shall have been properly brought before the meeting shall be held on such date and at such time and place, if any, as may be fixed by the Board of Directors and stated in the notice of the meeting. The Board of Directors may postpone, reschedule or cancel any previously scheduled annual meeting of stockholders. At an annual meeting of the stockholders, only such business shall be conducted as shall have been properly brought before the meeting. To be properly brought before an annual meeting, business (other than the nomination of a person for election of a director, which is governed by Section 4.01 of these Bylaws) must be (i) specified in the notice of meeting (or any supplement thereto) given by or at the direction of the Board of Directors, including any committee thereof, (ii) otherwise properly brought before the meeting by or at the direction of the Board of Directors, including any committee thereof, or, when the Priority Holders beneficially own, in the aggregate, at least 40% in voting power of the stock of the Corporation entitled to vote generally in the election of directors, the Designated Controlling Stockholder, or (iii) otherwise properly brought before the meeting by a Proposing Stockholder who (A) was a stockholder of record (and, with respect to any beneficial owner, if different, on whose behalf such business is proposed, only if such beneficial owner was the beneficial owner of shares of the Corporation) both at the time of giving the notice provided for in this Section 3.02 and at the time of the meeting, (B) is entitled to vote at the meeting and (C) complied with all of the notice procedures set forth in this Section 3.02 as to such business. Except for proposals made in accordance with Rule 14a-8 under the Exchange Act, and included in the notice of meeting given by or at the direction of the Board of Directors, the foregoing clause (iii) shall be the exclusive means for a Proposing Stockholder to propose business (other than the nomination of a person for election of a director, which is governed by Section 4.01 of these Bylaws) to be brought before an annual meeting of the stockholders. Proposing Stockholders seeking to nominate persons for election to the Board of Directors must comply with the notice procedures set forth in Section 4.01 of these Bylaws, and this Section 3.02 shall not be applicable to nominations except as expressly provided in Section 4.01 of these Bylaws.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2" w:name="page433"/>
    <w:bookmarkEnd w:id="432"/>
    <w:p>
      <w:pPr>
        <w:jc w:val="both"/>
        <w:ind w:firstLine="653"/>
        <w:spacing w:after="0" w:line="268" w:lineRule="auto"/>
        <w:tabs>
          <w:tab w:leader="none" w:pos="915"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Without qualification, for business to be properly brought before an annual meeting by a Proposing Stockholder, such proposed business must constitute a proper matter for stockholder action and the Proposing Stockholder must (i) provide Timely Notice (as defined below) thereof in writing and in proper form to the Secretary of the Corporation and (ii) provide any updates or supplements to such notice at the times and in the forms required by this Section 3.02. To be timely, a Proposing Stockholder's notice must be delivered to or mailed and received at the principal executive offices of the Corporation not less than 90 days nor more than 120 days prior to the first anniversary of the preceding year's annual meeting (which anniversary shall, for purposes of the Corporation's first annual meeting of stockholders after its shares of Common Stock are first publicly traded, be deemed to have occurred on December 31, 2016);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more than 30 days before or more than 60 days after such anniversary date, notice by the Proposing Stockholder to be timely must be so delivered not earlier than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not later than the 90</w:t>
      </w:r>
      <w:r>
        <w:rPr>
          <w:rFonts w:ascii="Arial" w:cs="Arial" w:eastAsia="Arial" w:hAnsi="Arial"/>
          <w:sz w:val="26"/>
          <w:szCs w:val="26"/>
          <w:color w:val="auto"/>
          <w:vertAlign w:val="superscript"/>
        </w:rPr>
        <w:t>th</w:t>
      </w:r>
    </w:p>
    <w:p>
      <w:pPr>
        <w:spacing w:after="0" w:line="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day prior to such annual meeting or, if later,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disclosure of the date of such annual meeting was made (such notice within such time periods, "</w:t>
      </w:r>
      <w:r>
        <w:rPr>
          <w:rFonts w:ascii="Arial" w:cs="Arial" w:eastAsia="Arial" w:hAnsi="Arial"/>
          <w:sz w:val="18"/>
          <w:szCs w:val="18"/>
          <w:u w:val="single" w:color="auto"/>
          <w:color w:val="auto"/>
        </w:rPr>
        <w:t>Timely Notice</w:t>
      </w:r>
      <w:r>
        <w:rPr>
          <w:rFonts w:ascii="Arial" w:cs="Arial" w:eastAsia="Arial" w:hAnsi="Arial"/>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203" w:lineRule="exact"/>
        <w:rPr>
          <w:sz w:val="20"/>
          <w:szCs w:val="20"/>
          <w:color w:val="auto"/>
        </w:rPr>
      </w:pPr>
    </w:p>
    <w:p>
      <w:pPr>
        <w:ind w:firstLine="653"/>
        <w:spacing w:after="0" w:line="275" w:lineRule="auto"/>
        <w:tabs>
          <w:tab w:leader="none" w:pos="90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3.02, a Proposing Stockholder's notice to the Secretary pursuant to this Section 3.02 shall be required to set forth:</w:t>
      </w:r>
    </w:p>
    <w:p>
      <w:pPr>
        <w:spacing w:after="0" w:line="170" w:lineRule="exact"/>
        <w:rPr>
          <w:rFonts w:ascii="Arial" w:cs="Arial" w:eastAsia="Arial" w:hAnsi="Arial"/>
          <w:sz w:val="18"/>
          <w:szCs w:val="18"/>
          <w:color w:val="auto"/>
        </w:rPr>
      </w:pPr>
    </w:p>
    <w:p>
      <w:pPr>
        <w:jc w:val="both"/>
        <w:ind w:firstLine="1943"/>
        <w:spacing w:after="0" w:line="272" w:lineRule="auto"/>
        <w:tabs>
          <w:tab w:leader="none" w:pos="2633" w:val="left"/>
        </w:tabs>
        <w:numPr>
          <w:ilvl w:val="1"/>
          <w:numId w:val="353"/>
        </w:numPr>
        <w:rPr>
          <w:rFonts w:ascii="Arial" w:cs="Arial" w:eastAsia="Arial" w:hAnsi="Arial"/>
          <w:sz w:val="17"/>
          <w:szCs w:val="17"/>
          <w:color w:val="010000"/>
        </w:rPr>
      </w:pPr>
      <w:r>
        <w:rPr>
          <w:rFonts w:ascii="Arial" w:cs="Arial" w:eastAsia="Arial" w:hAnsi="Arial"/>
          <w:sz w:val="17"/>
          <w:szCs w:val="17"/>
          <w:color w:val="auto"/>
        </w:rPr>
        <w:t>As to the Proposing Stockholder providing the notice and each other Proposing Person (as defined below), (A) the name and address of the Proposing Stockholder providing the notice, as they appear on the Corporation’s books, and each other Proposing Person and (B) the class or series and number of shares of the Corporation that are, directly or indirectly, owned of record or beneficially owned (as defined in Rule 13d-3 under the Exchange Act) by the Proposing Stockholder providing the notice and/or any other Proposing Persons, except that such Proposing Stockholder and/or such other Proposing Persons shall be deemed to beneficially own any shares of any class or series of the Corporation as to which such Proposing Stockholder and/or such other Proposing Person(s) has a right to acquire beneficial ownership at any time in the future;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3" w:name="page434"/>
    <w:bookmarkEnd w:id="433"/>
    <w:p>
      <w:pPr>
        <w:jc w:val="both"/>
        <w:ind w:left="-20" w:firstLine="1943"/>
        <w:spacing w:after="0" w:line="281" w:lineRule="auto"/>
        <w:tabs>
          <w:tab w:leader="none" w:pos="2578" w:val="left"/>
        </w:tabs>
        <w:numPr>
          <w:ilvl w:val="0"/>
          <w:numId w:val="354"/>
        </w:numPr>
        <w:rPr>
          <w:rFonts w:ascii="Arial" w:cs="Arial" w:eastAsia="Arial" w:hAnsi="Arial"/>
          <w:sz w:val="16"/>
          <w:szCs w:val="16"/>
          <w:color w:val="010000"/>
        </w:rPr>
      </w:pPr>
      <w:r>
        <w:rPr>
          <w:rFonts w:ascii="Arial" w:cs="Arial" w:eastAsia="Arial" w:hAnsi="Arial"/>
          <w:sz w:val="16"/>
          <w:szCs w:val="16"/>
          <w:color w:val="auto"/>
        </w:rPr>
        <w:t>As to the Proposing Stockholder providing the notice (or, if different, the beneficial owner on whose behalf such business is proposed) and each other Proposing Person, (A) any derivative, swap or other transaction or series of transactions engaged in, directly or indirectly, by such Proposing Stockholder or beneficial owner, as applicable, and/or any other Proposing Person, the purpose or effect of which is to give such Proposing Stockholder or beneficial owner, as applicable, and/or such other Proposing Person economic risk similar to ownership of shares of any class or series of the Corporation, including due to the fact that the value of such derivative, swap or other transaction is determined by reference to the price, value or volatility of any shares of any class or series of the Corporation, or which derivative, swap or other transaction provides, directly or indirectly, the opportunity to profit from any increase in the price or value of shares of any class or series of the Corporation ("</w:t>
      </w:r>
      <w:r>
        <w:rPr>
          <w:rFonts w:ascii="Arial" w:cs="Arial" w:eastAsia="Arial" w:hAnsi="Arial"/>
          <w:sz w:val="16"/>
          <w:szCs w:val="16"/>
          <w:u w:val="single" w:color="auto"/>
          <w:color w:val="auto"/>
        </w:rPr>
        <w:t>Synthetic Equity Interests</w:t>
      </w:r>
      <w:r>
        <w:rPr>
          <w:rFonts w:ascii="Arial" w:cs="Arial" w:eastAsia="Arial" w:hAnsi="Arial"/>
          <w:sz w:val="16"/>
          <w:szCs w:val="16"/>
          <w:color w:val="auto"/>
        </w:rPr>
        <w:t>"), which such Synthetic Equity Interests shall be disclosed without regard to whether (x) such derivative, swap or other transaction conveys any voting rights in such shares to such Proposing Stockholder or beneficial owner, as applicable, and/or such other Proposing Person, (y) the derivative, swap or other transaction is required to be, or is capable of being, settled through delivery of such shares or (z) such Proposing Stockholder or beneficial owner, as applicable, and/or such other Proposing Person may have entered into other transactions that hedge or mitigate the economic effect of such derivative, swap or other transaction, (B) any proxy (other than a revocable proxy given in response to a public proxy solicitation made pursuant to, and in accordance with, the Exchange Act), agreement, arrangement, understanding or relationship pursuant to which such Proposing Stockholder or beneficial owner, as applicable, and/or any other Proposing Person has or shares a right to vote any shares of any class or series of the Corporation, (C) any agreement, arrangement, understanding or relationship, including any repurchase or similar so-called "stock borrowing" agreement or arrangement, engaged in, directly or indirectly, by such Proposing Stockholder or beneficial owner, as applicable, and/or any other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Stockholder or beneficial owner, as applicable, and/or such other Proposing Person with respect to the shares of any class or series of the Corporation, or which provides, directly or indirectly, the opportunity to profit from any decrease in the price or value of the shares of any class or series of the Corporation ("</w:t>
      </w:r>
      <w:r>
        <w:rPr>
          <w:rFonts w:ascii="Arial" w:cs="Arial" w:eastAsia="Arial" w:hAnsi="Arial"/>
          <w:sz w:val="16"/>
          <w:szCs w:val="16"/>
          <w:u w:val="single" w:color="auto"/>
          <w:color w:val="auto"/>
        </w:rPr>
        <w:t>Short Interests</w:t>
      </w:r>
      <w:r>
        <w:rPr>
          <w:rFonts w:ascii="Arial" w:cs="Arial" w:eastAsia="Arial" w:hAnsi="Arial"/>
          <w:sz w:val="16"/>
          <w:szCs w:val="16"/>
          <w:color w:val="auto"/>
        </w:rPr>
        <w:t>"), (D)(x) if such Proposing Stockholder or beneficial owner, as applicable, and/or any other Proposing Person is not a natural person, the identity of the natural person or persons associated with such Proposing Stockholder or beneficial owner, as applicable, and/or such other Proposing Person responsible for the formulation of and decision to propose the business to be brought before the meeting (such person or persons, the "</w:t>
      </w:r>
      <w:r>
        <w:rPr>
          <w:rFonts w:ascii="Arial" w:cs="Arial" w:eastAsia="Arial" w:hAnsi="Arial"/>
          <w:sz w:val="16"/>
          <w:szCs w:val="16"/>
          <w:u w:val="single" w:color="auto"/>
          <w:color w:val="auto"/>
        </w:rPr>
        <w:t>Responsible Person</w:t>
      </w:r>
      <w:r>
        <w:rPr>
          <w:rFonts w:ascii="Arial" w:cs="Arial" w:eastAsia="Arial" w:hAnsi="Arial"/>
          <w:sz w:val="16"/>
          <w:szCs w:val="16"/>
          <w:color w:val="auto"/>
        </w:rPr>
        <w:t>"), the manner in which such Responsible Person was selected, any fiduciary duties owed by such Responsible Person to the equity holders or other beneficiaries of such Proposing Stockholder and/or beneficial owner, as applicable, and/or such other Proposing Person, the qualifications and background of such Responsible Person and any material interests or relationships of such Responsible Person that are not shared generally by the other stockholders of the Corporation and that reasonably could have influenced the decision of such Proposing Stockholder and/or beneficial owner, as applicable, and/or such other Proposing Person to propose such business to be brought before the meeting, and (y) if such Proposing Stockholder or beneficial owner, as applicable, and/or any other Proposing Person is a natural person, the qualifications and background of such natural person and any material interests or relationships of such natural person that are not shared generally by the other stockholders of the Corporation and that reasonably could have influenced the decision of such Proposing Stockholder and/or beneficial owner, as applicable, and/or such other Proposing Person to propose such business to be brought before the meeting, (E) any significant equity interests or any Synthetic Equity Interests or Short Interests in any principal competitor of the Corporation held by such Proposing Stockholder and/or beneficial owner, as applicable, and/or any other Proposing Persons, (F) any direct or indirect interest of such Proposing Stockholder and/or beneficial owner, as applicable, and/or any other Proposing Person in any contract with the Corporation, any affiliate of the Corporation (including any employment agreement, collective bargaining agreement or consulting agreement), or any principal competitor of the Corporation, (G) any pending or threatened litigation in which such Proposing Stockholder and/or beneficial owner, as applicable, and/or any other Proposing Person is a party or material participant involving the Corporation or any of its officers or directors, or any affiliate of the Corporation, (H) any material transaction occurring during the prior 12 months between such Proposing Stockholder and/or beneficial owner, as applicable, and/or any other Proposing Person, on the one hand, and the Corporation, any affiliate of the Corporation or any principal competitor of the Corporation, on the other hand, (I) any other information relating to such Proposing Stockholder and/or beneficial owner, as applicable, and/or any other Proposing Person that would be required to be disclosed in a proxy statement or other filing required to be made in connection with solicitations of proxies by such Proposing Stockholder or beneficial owner, as applicable, and/or such other Proposing Person in support of the business proposed to be brought before the meeting pursuant to Section 14 of the Exchange Act and the rules and regulations thereunder, (J) a representation that the Proposing Stockholder is a holder of record of stock of the Corporation entitled to vote at such meeting and intends to appear in person or by proxy at the meeting to propose such business and (K) a representation whether the Proposing Stockholder and/or beneficial owner, if any, and/or any other Proposing Person intends or is part of a group that intends (a) to deliver a proxy statement and/or form of proxy to holders of at least the percentage of the Corporation’s outstanding Common Stock required to approve or adopt the proposal and/or (b) otherwise to solicit proxies from stockholders in support of such proposal (the disclosures to be made pursuant to the foregoing clauses (A) through (K) are referred to as "</w:t>
      </w:r>
      <w:r>
        <w:rPr>
          <w:rFonts w:ascii="Arial" w:cs="Arial" w:eastAsia="Arial" w:hAnsi="Arial"/>
          <w:sz w:val="16"/>
          <w:szCs w:val="16"/>
          <w:u w:val="single" w:color="auto"/>
          <w:color w:val="auto"/>
        </w:rPr>
        <w:t>Disclosable Interests</w:t>
      </w:r>
      <w:r>
        <w:rPr>
          <w:rFonts w:ascii="Arial" w:cs="Arial" w:eastAsia="Arial" w:hAnsi="Arial"/>
          <w:sz w:val="16"/>
          <w:szCs w:val="16"/>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34" w:name="page435"/>
    <w:bookmarkEnd w:id="434"/>
    <w:p>
      <w:pPr>
        <w:jc w:val="both"/>
        <w:ind w:firstLine="1943"/>
        <w:spacing w:after="0" w:line="253" w:lineRule="auto"/>
        <w:tabs>
          <w:tab w:leader="none" w:pos="2643" w:val="left"/>
        </w:tabs>
        <w:numPr>
          <w:ilvl w:val="0"/>
          <w:numId w:val="355"/>
        </w:numPr>
        <w:rPr>
          <w:rFonts w:ascii="Arial" w:cs="Arial" w:eastAsia="Arial" w:hAnsi="Arial"/>
          <w:sz w:val="18"/>
          <w:szCs w:val="18"/>
          <w:color w:val="010000"/>
        </w:rPr>
      </w:pPr>
      <w:r>
        <w:rPr>
          <w:rFonts w:ascii="Arial" w:cs="Arial" w:eastAsia="Arial" w:hAnsi="Arial"/>
          <w:sz w:val="18"/>
          <w:szCs w:val="18"/>
          <w:color w:val="auto"/>
        </w:rPr>
        <w:t>As to each matter the Proposing Stockholder proposes to bring before the annual meeting, (A) a brief description of the business desired to be brought before the annual meeting, the text of the proposal or business (including the text of any resolutions proposed for consideration and, in the event that such business includes a proposal to amend these Bylaws, the language of the proposed amendment), the reasons for conducting such business at the annual meeting and any material interest in such business of the Proposing Stockholder providing the notice and/or any other Proposing Person and (B) a reasonably detailed description of all agreements, arrangements and understandings between or among the Proposing Stockholder providing the notice, any other Proposing Person and/or any other persons or entities (including their names) in connection with the proposal of such business by such Proposing Stockholder.</w:t>
      </w:r>
    </w:p>
    <w:p>
      <w:pPr>
        <w:spacing w:after="0" w:line="19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For purposes of this Section 3.02, the term "</w:t>
      </w:r>
      <w:r>
        <w:rPr>
          <w:rFonts w:ascii="Arial" w:cs="Arial" w:eastAsia="Arial" w:hAnsi="Arial"/>
          <w:sz w:val="16"/>
          <w:szCs w:val="16"/>
          <w:u w:val="single" w:color="auto"/>
          <w:color w:val="auto"/>
        </w:rPr>
        <w:t>Proposing Person</w:t>
      </w:r>
      <w:r>
        <w:rPr>
          <w:rFonts w:ascii="Arial" w:cs="Arial" w:eastAsia="Arial" w:hAnsi="Arial"/>
          <w:sz w:val="16"/>
          <w:szCs w:val="16"/>
          <w:color w:val="auto"/>
        </w:rPr>
        <w:t>" shall mean (i) the Proposing Stockholder providing the notice of business proposed to be brought before an annual meeting, (ii) the beneficial owner or owners, if different, on whose behalf the business proposed to be brought before the annual meeting is made, (iii) any affiliate or associate (as such terms are defined in Rule 12b-2 under the Exchange Act) of such beneficial owner and (iv) any other person with whom such Proposing Stockholder or beneficial owner (or any of their respective affiliates or associates) is Acting in Concert (as defined below).</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5" w:name="page436"/>
    <w:bookmarkEnd w:id="435"/>
    <w:p>
      <w:pPr>
        <w:jc w:val="both"/>
        <w:ind w:firstLine="645"/>
        <w:spacing w:after="0" w:line="269" w:lineRule="auto"/>
        <w:rPr>
          <w:sz w:val="20"/>
          <w:szCs w:val="20"/>
          <w:color w:val="auto"/>
        </w:rPr>
      </w:pPr>
      <w:r>
        <w:rPr>
          <w:rFonts w:ascii="Arial" w:cs="Arial" w:eastAsia="Arial" w:hAnsi="Arial"/>
          <w:sz w:val="17"/>
          <w:szCs w:val="17"/>
          <w:color w:val="auto"/>
        </w:rPr>
        <w:t>A person shall be deemed to be "</w:t>
      </w:r>
      <w:r>
        <w:rPr>
          <w:rFonts w:ascii="Arial" w:cs="Arial" w:eastAsia="Arial" w:hAnsi="Arial"/>
          <w:sz w:val="17"/>
          <w:szCs w:val="17"/>
          <w:u w:val="single" w:color="auto"/>
          <w:color w:val="auto"/>
        </w:rPr>
        <w:t>Acting in Concert</w:t>
      </w:r>
      <w:r>
        <w:rPr>
          <w:rFonts w:ascii="Arial" w:cs="Arial" w:eastAsia="Arial" w:hAnsi="Arial"/>
          <w:sz w:val="17"/>
          <w:szCs w:val="17"/>
          <w:color w:val="auto"/>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(A) each person is conscious of the other person's conduct or intent and this awareness is an element in their decision-making processes and (B)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deemed to be Acting in Concert with any other person solely as a result of the solicitation or receipt of revocable proxies from such other person in connection with a public proxy solicitation pursuant to, and in accordance with, the Exchange Act. A person which is Acting in Concert with another person shall be deemed to be Acting in Concert with any third party who is also acting in concert with such other person.</w:t>
      </w:r>
    </w:p>
    <w:p>
      <w:pPr>
        <w:spacing w:after="0" w:line="179" w:lineRule="exact"/>
        <w:rPr>
          <w:sz w:val="20"/>
          <w:szCs w:val="20"/>
          <w:color w:val="auto"/>
        </w:rPr>
      </w:pPr>
    </w:p>
    <w:p>
      <w:pPr>
        <w:jc w:val="both"/>
        <w:ind w:firstLine="653"/>
        <w:spacing w:after="0" w:line="290" w:lineRule="auto"/>
        <w:tabs>
          <w:tab w:leader="none" w:pos="903"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 Proposing Stockholder providing notice of business proposed to be brought before an annual meeting shall further update and supplement such notice, if necessary, so that the information provided or required to be provided in such notice pursuant to this Section 3.02 shall be true and correct as of the record date for notice of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notice of the meeting (in the case of the update and supplement required to be made as of the record date for notice of the meeting), and not later than eight business days prior to the date for the meeting or any adjournment or postponement thereof (in the case of the update and supplement required to be made as of ten business days prior to the meeting or any adjournment or postponement thereof).</w:t>
      </w:r>
    </w:p>
    <w:p>
      <w:pPr>
        <w:spacing w:after="0" w:line="164" w:lineRule="exact"/>
        <w:rPr>
          <w:rFonts w:ascii="Arial" w:cs="Arial" w:eastAsia="Arial" w:hAnsi="Arial"/>
          <w:sz w:val="16"/>
          <w:szCs w:val="16"/>
          <w:color w:val="auto"/>
        </w:rPr>
      </w:pPr>
    </w:p>
    <w:p>
      <w:pPr>
        <w:jc w:val="both"/>
        <w:ind w:firstLine="653"/>
        <w:spacing w:after="0" w:line="285" w:lineRule="auto"/>
        <w:tabs>
          <w:tab w:leader="none" w:pos="907" w:val="left"/>
        </w:tabs>
        <w:numPr>
          <w:ilvl w:val="0"/>
          <w:numId w:val="356"/>
        </w:numPr>
        <w:rPr>
          <w:rFonts w:ascii="Arial" w:cs="Arial" w:eastAsia="Arial" w:hAnsi="Arial"/>
          <w:sz w:val="16"/>
          <w:szCs w:val="16"/>
          <w:color w:val="auto"/>
        </w:rPr>
      </w:pPr>
      <w:r>
        <w:rPr>
          <w:rFonts w:ascii="Arial" w:cs="Arial" w:eastAsia="Arial" w:hAnsi="Arial"/>
          <w:sz w:val="16"/>
          <w:szCs w:val="16"/>
          <w:color w:val="auto"/>
        </w:rPr>
        <w:t>Notwithstanding anything in these Bylaws to the contrary, no business shall be conducted at an annual meeting except in accordance with the procedures set forth in this Section 3.02 (including the requirement in the case of business to be brought before the meeting by a Proposing Stockholder that such Proposing Stockholder update and supplement the notice of proposed business set forth in clause (d) above). The person presiding over the annual meeting shall, if the facts warrant, determine that the business was not properly brought before the meeting in accordance with the provisions of this Section 3.02, and if he or she should so determine, he or she shall so declare to the meeting, and any such business not properly brought before the meeting shall not be transacted. Notwithstanding the foregoing provisions of this Section 3.02, unless otherwise required by law, if the Proposing Stockholder (or a qualified representative of the Proposing Stockholder) does not appear at the annual meeting of stockholders of the Corporation to present the proposed business, such proposed business shall not be transacted, notwithstanding that proxies in respect of such vote may have been received by the Corporation. For purposes of this Section 3.02, to be considered a qualified representative of the Proposing Stockholder, a person must be a duly authorized officer, manager or partner of such Proposing Stockholder or must be authorized by a writing executed by such Proposing Stockholder or an Electronic Transmission delivered by such Proposing Stockholder to act for such Proposing Stockholder as proxy at the meeting of stockholders and such person must produce such writing or Electronic Transmission, or a reliable reproduction of the writing or Electronic Transmission, at the meeting of stockholders.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6" w:name="page437"/>
    <w:bookmarkEnd w:id="436"/>
    <w:p>
      <w:pPr>
        <w:jc w:val="both"/>
        <w:ind w:firstLine="653"/>
        <w:spacing w:after="0" w:line="258" w:lineRule="auto"/>
        <w:tabs>
          <w:tab w:leader="none" w:pos="87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In addition to the requirements of this Section 3.02 with respect to any business proposed to be brought before an annual meeting, each Proposing Person shall comply with all applicable requirements of the Exchange Act and the rules and regulations thereunder with respect to any such business. This Section 3.02 shall not be deemed to affect the rights of stockholders to request inclusion of proposals in the Corporation's proxy statement pursuant to Rule 14a-8 under the Exchange Act.</w:t>
      </w:r>
    </w:p>
    <w:p>
      <w:pPr>
        <w:spacing w:after="0" w:line="185" w:lineRule="exact"/>
        <w:rPr>
          <w:rFonts w:ascii="Arial" w:cs="Arial" w:eastAsia="Arial" w:hAnsi="Arial"/>
          <w:sz w:val="18"/>
          <w:szCs w:val="18"/>
          <w:color w:val="auto"/>
        </w:rPr>
      </w:pPr>
    </w:p>
    <w:p>
      <w:pPr>
        <w:jc w:val="both"/>
        <w:ind w:firstLine="653"/>
        <w:spacing w:after="0" w:line="262" w:lineRule="auto"/>
        <w:tabs>
          <w:tab w:leader="none" w:pos="91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 and the rules and regulations thereunder.</w:t>
      </w:r>
    </w:p>
    <w:p>
      <w:pPr>
        <w:spacing w:after="0" w:line="182"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Quorum; Adjournments</w:t>
      </w:r>
      <w:r>
        <w:rPr>
          <w:rFonts w:ascii="Arial" w:cs="Arial" w:eastAsia="Arial" w:hAnsi="Arial"/>
          <w:sz w:val="16"/>
          <w:szCs w:val="16"/>
          <w:color w:val="auto"/>
        </w:rPr>
        <w:t>. A majority in voting power of the shares of Common Stock issued and outstanding and entitled to vote at the meeting of stockholders, the holders of which are present in person, present by means of remote communication in a manner, if any, authorized by the Board of Directors in its sole discretion or represented by proxy, shall constitute a quorum for the transaction of business except as otherwise provided by law, by the Certificate of Incorporation or by these Bylaws. A quorum, once established, shall not be broken by the withdrawal of enough votes to leave less than a quorum. If, however, such quorum shall not be present or represented at any meeting of the stockholders, the person presiding at the meeting or, if directed to be voted on by the person presiding at the meeting, the stockholders present or represented by proxy at the meeting and entitled to vote thereon, although less than a quorum, may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required for the adjourned meeting, the Board of Directors shall fix the record date for determining stockholders entitled to notice of such adjourned meeting, and a notice of the adjourned meeting shall be given to each stockholder of record as of the record date so fixed for notice of such adjourned meeting.</w:t>
      </w:r>
    </w:p>
    <w:p>
      <w:pPr>
        <w:spacing w:after="0" w:line="174" w:lineRule="exact"/>
        <w:rPr>
          <w:sz w:val="20"/>
          <w:szCs w:val="20"/>
          <w:color w:val="auto"/>
        </w:rPr>
      </w:pPr>
    </w:p>
    <w:p>
      <w:pPr>
        <w:jc w:val="both"/>
        <w:ind w:firstLine="1290"/>
        <w:spacing w:after="0" w:line="266"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Voting</w:t>
      </w:r>
      <w:r>
        <w:rPr>
          <w:rFonts w:ascii="Arial" w:cs="Arial" w:eastAsia="Arial" w:hAnsi="Arial"/>
          <w:sz w:val="17"/>
          <w:szCs w:val="17"/>
          <w:color w:val="auto"/>
        </w:rPr>
        <w:t>. Except as otherwise provided by the Certificate of Incorporation or applicable law, each stockholder shall have one vote for each share of stock having voting power, registered in such stockholder’s name on the books of the Corporation on the record date set by the Board of Directors for determining the stockholders entitled to vote at a meeting of stockholders as provided in Section 7.04 hereof. When a quorum is present at any meeting, a majority of the votes cast by the shares present or represented by proxy at the meeting and entitled to vote on the subject matter shall decide any questions brought before such meeting, unless the question is one upon which by express provisions of applicable law, regulation applicable to the Corporation or its securities, the rules or regulations of any stock exchange applicable to the Corporation or the Certificate of Incorporation or these Bylaws, a different vote is required, in which case such express provision shall govern and control the decision of such question. Except as otherwise provided by these Bylaws or the Certificate of Incorporation, at any meeting for the election of directors at which a quorum is present, each director of the Corporation shall be elected by the vote of a plurality of the votes cast with respect to that director’s election by the shares present or represented by proxy at the meeting and entitled to vote on the election of directors. If, as of the tenth (10th) day preceding the date the Corporation first mails its notice of meeting for such meeting of stockholders, the number of nominees exceeds the number of directors to be elected (a "</w:t>
      </w:r>
      <w:r>
        <w:rPr>
          <w:rFonts w:ascii="Arial" w:cs="Arial" w:eastAsia="Arial" w:hAnsi="Arial"/>
          <w:sz w:val="17"/>
          <w:szCs w:val="17"/>
          <w:u w:val="single" w:color="auto"/>
          <w:color w:val="auto"/>
        </w:rPr>
        <w:t>Contested Election</w:t>
      </w:r>
      <w:r>
        <w:rPr>
          <w:rFonts w:ascii="Arial" w:cs="Arial" w:eastAsia="Arial" w:hAnsi="Arial"/>
          <w:sz w:val="17"/>
          <w:szCs w:val="17"/>
          <w:color w:val="auto"/>
        </w:rPr>
        <w:t>"), stockholders shall be given the choice to cast "for" or "withhold" votes for the election of directors, and shall not have the ability to cast any other vote with respect to such election of directors. For purposes of this Section, a "majority of the votes cast" means that the number of votes cast "for" a proposal must exceed the number of votes cast "against" that proposal (with "abstentions" and "broker non-votes" (i.e., shares held by a bank, broker or other nominee which are present or represented by proxy at the meeting, but with respect to which such bank, broker or nominee is not empowered to vote) not counted as votes cast either "for" or "against" such proposal or candidate for director).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7" w:name="page438"/>
    <w:bookmarkEnd w:id="437"/>
    <w:p>
      <w:pPr>
        <w:jc w:val="both"/>
        <w:ind w:firstLine="1290"/>
        <w:spacing w:after="0" w:line="285"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Proxies</w:t>
      </w:r>
      <w:r>
        <w:rPr>
          <w:rFonts w:ascii="Arial" w:cs="Arial" w:eastAsia="Arial" w:hAnsi="Arial"/>
          <w:sz w:val="17"/>
          <w:szCs w:val="17"/>
          <w:color w:val="auto"/>
        </w:rPr>
        <w:t>. Each stockholder having the right to vote at a meeting of stockholders or to express consent or dissent to corporate action in writing without a meeting may authorize another person or persons to act for such stockholder by proxy in a manner permitted by applicable law. No such proxy shall be voted or acted upon after three years from its date, unless the proxy provides for a longer period.</w:t>
      </w:r>
    </w:p>
    <w:p>
      <w:pPr>
        <w:spacing w:after="0" w:line="164"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Special Meetings</w:t>
      </w:r>
      <w:r>
        <w:rPr>
          <w:rFonts w:ascii="Arial" w:cs="Arial" w:eastAsia="Arial" w:hAnsi="Arial"/>
          <w:sz w:val="17"/>
          <w:szCs w:val="17"/>
          <w:color w:val="auto"/>
        </w:rPr>
        <w:t>. Unless otherwise provided by the Certificate of Incorporation, special meetings of the stockholders, for any purpose or purposes, (i) may be called at any time by the Board of Directors, and (ii) shall be called by the Secretary upon the written request of stockholders owning at least 25% in amount of the Common Stock issued and outstanding, and entitled to vote at the special meeting. Such request shall set forth (i) if the purpose of the meeting relates to business other than the election or appointment of directors, all information as is required to be included in a notice delivered to the Corporation pursuant to Section 3.02(c) hereof (and, in such circumstance, the requirements of Section 3.02(d) hereof shall also apply) and (ii) if the purpose of the meeting includes the appointment or election of one or more members of the Board of Directors, all information as would be required to be included in a notice delivered to the Corporation pursuant to Section 4.01(d) hereof (and, in such circumstance, the requirements of Section 4.01(e) hereof shall also apply). The Board of Directors or, when the Priority Holders beneficially own, in the aggregate, at least 40% in voting power of the stock of the Corporation entitled to vote generally in the election of directors, the Designated Controlling Stockholder, may bring business before a special meeting of stockholders called by the Secretary upon the request of the stockholders. Business transacted at any special meeting of stockholders shall be limited to the purposes stated in the notice. The Board of Directors may postpone, reschedule or cancel any previously scheduled special meeting of stockholders, whether called by them or otherwise.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8" w:name="page439"/>
    <w:bookmarkEnd w:id="438"/>
    <w:p>
      <w:pPr>
        <w:ind w:left="1280"/>
        <w:spacing w:after="0"/>
        <w:tabs>
          <w:tab w:leader="none" w:pos="256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Notice to Stockholders</w:t>
      </w:r>
      <w:r>
        <w:rPr>
          <w:rFonts w:ascii="Arial" w:cs="Arial" w:eastAsia="Arial" w:hAnsi="Arial"/>
          <w:sz w:val="16"/>
          <w:szCs w:val="16"/>
          <w:color w:val="auto"/>
        </w:rPr>
        <w:t>.</w:t>
      </w:r>
    </w:p>
    <w:p>
      <w:pPr>
        <w:spacing w:after="0" w:line="223" w:lineRule="exact"/>
        <w:rPr>
          <w:sz w:val="20"/>
          <w:szCs w:val="20"/>
          <w:color w:val="auto"/>
        </w:rPr>
      </w:pPr>
    </w:p>
    <w:p>
      <w:pPr>
        <w:jc w:val="both"/>
        <w:ind w:left="-20" w:firstLine="1298"/>
        <w:spacing w:after="0" w:line="270" w:lineRule="auto"/>
        <w:tabs>
          <w:tab w:leader="none" w:pos="2044" w:val="left"/>
        </w:tabs>
        <w:numPr>
          <w:ilvl w:val="0"/>
          <w:numId w:val="358"/>
        </w:numPr>
        <w:rPr>
          <w:rFonts w:ascii="Arial" w:cs="Arial" w:eastAsia="Arial" w:hAnsi="Arial"/>
          <w:sz w:val="17"/>
          <w:szCs w:val="17"/>
          <w:color w:val="auto"/>
        </w:rPr>
      </w:pPr>
      <w:r>
        <w:rPr>
          <w:rFonts w:ascii="Arial" w:cs="Arial" w:eastAsia="Arial" w:hAnsi="Arial"/>
          <w:sz w:val="17"/>
          <w:szCs w:val="17"/>
          <w:color w:val="auto"/>
        </w:rPr>
        <w:t>Whenever stockholders are required or permitted to take any action at a meeting, a written notice of the meeting shall be given which notice shall state the place, if any, date and hour of the meeting, the means of remote communications, if any, by which stockholders and proxy holders may be deemed to be present in person and vote at such meeting, the record date for determining stockholders entitled to vote at the meeting (if such date is different from the record date for stockholders entitled to notice of the meeting) and, in the case of a special meeting, the purpose or purposes for which the meeting is called. Except as otherwise provided by law, such written notice of any meeting shall be given to each stockholder entitled to vote at such meeting as of the record date for determining the stockholders entitled to notice of the meeting, not less than ten nor more than 60 days before the date of the meeting. If mailed, notice is deemed given when deposited in the United States mail, postage prepaid, directed to the stockholder at such stockholder's address as it appears on the records of the Corporation.</w:t>
      </w:r>
    </w:p>
    <w:p>
      <w:pPr>
        <w:spacing w:after="0" w:line="176" w:lineRule="exact"/>
        <w:rPr>
          <w:rFonts w:ascii="Arial" w:cs="Arial" w:eastAsia="Arial" w:hAnsi="Arial"/>
          <w:sz w:val="17"/>
          <w:szCs w:val="17"/>
          <w:color w:val="auto"/>
        </w:rPr>
      </w:pPr>
    </w:p>
    <w:p>
      <w:pPr>
        <w:jc w:val="both"/>
        <w:ind w:left="-20" w:firstLine="1298"/>
        <w:spacing w:after="0" w:line="252" w:lineRule="auto"/>
        <w:tabs>
          <w:tab w:leader="none" w:pos="22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Except as otherwise prohibited by the DGCL and without limiting the foregoing,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of the Corporation, or other person responsible for the giving of notice; provided, however, the inadvertent failure to treat such inability as a revocation shall not invalidate any meeting or other action. Any such notice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w:t>
      </w:r>
    </w:p>
    <w:p>
      <w:pPr>
        <w:spacing w:after="0" w:line="190" w:lineRule="exact"/>
        <w:rPr>
          <w:rFonts w:ascii="Arial" w:cs="Arial" w:eastAsia="Arial" w:hAnsi="Arial"/>
          <w:sz w:val="18"/>
          <w:szCs w:val="18"/>
          <w:color w:val="auto"/>
        </w:rPr>
      </w:pPr>
    </w:p>
    <w:p>
      <w:pPr>
        <w:jc w:val="both"/>
        <w:ind w:left="-20" w:firstLine="1298"/>
        <w:spacing w:after="0" w:line="254" w:lineRule="auto"/>
        <w:tabs>
          <w:tab w:leader="none" w:pos="209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Except as otherwise prohibited under the DGCL and without limiting the manner by which notice otherwise may be given to stockholders, any notice to stockholders given by the Corporation under any provision of the DGCL, the Certificate of Incorporation or these Bylaws may be given by a single written notice to stockholders who share an address if consented to by the stockholders at that address to whom such notice is given. Such consent shall have been deemed to have been given if a stockholder fails to object in writing to the Corporation within 60 days of having been given written notice by the Corporation of its intention to send the single notice as set forth in this Section 3.07(c). Any such consent shall be revocable by the stockholders by written notice to the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39" w:name="page440"/>
    <w:bookmarkEnd w:id="439"/>
    <w:p>
      <w:pPr>
        <w:jc w:val="both"/>
        <w:ind w:firstLine="1290"/>
        <w:spacing w:after="0" w:line="267"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List of Stockholders</w:t>
      </w:r>
      <w:r>
        <w:rPr>
          <w:rFonts w:ascii="Arial" w:cs="Arial" w:eastAsia="Arial" w:hAnsi="Arial"/>
          <w:sz w:val="17"/>
          <w:szCs w:val="17"/>
          <w:color w:val="auto"/>
        </w:rPr>
        <w:t>. The officer who has charge of the stock ledger of the Corporation shall prepare and make, at least ten days before every meeting of stockholders, a complete list of the stockholders entitled to vote at the meeting (</w:t>
      </w:r>
      <w:r>
        <w:rPr>
          <w:rFonts w:ascii="Arial" w:cs="Arial" w:eastAsia="Arial" w:hAnsi="Arial"/>
          <w:sz w:val="17"/>
          <w:szCs w:val="17"/>
          <w:i w:val="1"/>
          <w:iCs w:val="1"/>
          <w:color w:val="auto"/>
        </w:rPr>
        <w:t>provided</w:t>
      </w:r>
      <w:r>
        <w:rPr>
          <w:rFonts w:ascii="Arial" w:cs="Arial" w:eastAsia="Arial" w:hAnsi="Arial"/>
          <w:sz w:val="17"/>
          <w:szCs w:val="17"/>
          <w:color w:val="auto"/>
        </w:rPr>
        <w:t>, however,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Section 3.08 or to vote in person or by proxy at any meeting of the stockholders. The Corporation shall not be required to include electronic mail addresses or other electronic contact information on such list.</w:t>
      </w:r>
    </w:p>
    <w:p>
      <w:pPr>
        <w:spacing w:after="0" w:line="184"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Written Consent of Stockholders in Lieu of Meeting</w:t>
      </w:r>
      <w:r>
        <w:rPr>
          <w:rFonts w:ascii="Arial" w:cs="Arial" w:eastAsia="Arial" w:hAnsi="Arial"/>
          <w:sz w:val="18"/>
          <w:szCs w:val="18"/>
          <w:color w:val="auto"/>
        </w:rPr>
        <w:t>. Unless otherwise provided in the Certificate of Incorporation, at any time when the Priority Holders beneficially own, in the aggregate, at least 40% in voting power of the stock of the Corporation entitled to vote generally in the election of directors, any action required or permitted by the DGCL to be taken at a stockholders' meeting may be taken without a meeting and without prior notice in the manner provided in the Certificate of Incorporation and the DGCL.</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Conduct of Meetings</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78" w:lineRule="auto"/>
        <w:tabs>
          <w:tab w:leader="none" w:pos="2134" w:val="left"/>
        </w:tabs>
        <w:numPr>
          <w:ilvl w:val="1"/>
          <w:numId w:val="359"/>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Chairperson of the Board of Directors, if any, or in the Chairperson's absence by the Chief Executive Officer, or in the Chief Executive Officer's absence, by the President, or in the President's absence by a Vice President, or in the absence of all of the foregoing persons by a person designated by the Board of Directors. The Secretary shall act as secretary of the meeting, but in the Secretary's absence the person presiding over the meeting may appoint any person to act as secretary of the meeting.</w:t>
      </w:r>
    </w:p>
    <w:p>
      <w:pPr>
        <w:spacing w:after="0" w:line="169" w:lineRule="exact"/>
        <w:rPr>
          <w:rFonts w:ascii="Arial" w:cs="Arial" w:eastAsia="Arial" w:hAnsi="Arial"/>
          <w:sz w:val="17"/>
          <w:szCs w:val="17"/>
          <w:color w:val="auto"/>
        </w:rPr>
      </w:pPr>
    </w:p>
    <w:p>
      <w:pPr>
        <w:jc w:val="both"/>
        <w:ind w:firstLine="1298"/>
        <w:spacing w:after="0" w:line="283" w:lineRule="auto"/>
        <w:tabs>
          <w:tab w:leader="none" w:pos="2213" w:val="left"/>
        </w:tabs>
        <w:numPr>
          <w:ilvl w:val="1"/>
          <w:numId w:val="359"/>
        </w:numPr>
        <w:rPr>
          <w:rFonts w:ascii="Arial" w:cs="Arial" w:eastAsia="Arial" w:hAnsi="Arial"/>
          <w:sz w:val="16"/>
          <w:szCs w:val="16"/>
          <w:color w:val="auto"/>
        </w:rPr>
      </w:pPr>
      <w:r>
        <w:rPr>
          <w:rFonts w:ascii="Arial" w:cs="Arial" w:eastAsia="Arial" w:hAnsi="Arial"/>
          <w:sz w:val="16"/>
          <w:szCs w:val="16"/>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presence and participation by means of remote communication of stockholders and proxy holders not physically present at a meeting. Except to the extent inconsistent with such rules, regulations and procedures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person, are appropriate for the proper conduct of the meeting. Such rules, regulations or procedures, whether adopted by the Board of Directors or prescribed by the person presiding over the meeting, may include, without limitation, the following:</w:t>
      </w:r>
    </w:p>
    <w:p>
      <w:pPr>
        <w:spacing w:after="0" w:line="1" w:lineRule="exact"/>
        <w:rPr>
          <w:rFonts w:ascii="Arial" w:cs="Arial" w:eastAsia="Arial" w:hAnsi="Arial"/>
          <w:sz w:val="16"/>
          <w:szCs w:val="16"/>
          <w:color w:val="auto"/>
        </w:rPr>
      </w:pPr>
    </w:p>
    <w:p>
      <w:pPr>
        <w:jc w:val="both"/>
        <w:ind w:firstLine="8"/>
        <w:spacing w:after="0" w:line="290" w:lineRule="auto"/>
        <w:tabs>
          <w:tab w:leader="none" w:pos="223"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person presiding over the meeting, meetings of stockholders shall not be required to be held in accordance with the rules of parliamentary procedure.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0" w:name="page441"/>
    <w:bookmarkEnd w:id="440"/>
    <w:p>
      <w:pPr>
        <w:ind w:firstLine="1298"/>
        <w:spacing w:after="0" w:line="306" w:lineRule="auto"/>
        <w:tabs>
          <w:tab w:leader="none" w:pos="1938"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person presiding over the meeting shall announce at the meeting when the polls for each matter to be voted upon at the meeting will be opened and closed. After the polls close, no ballots, proxies or votes or any revocations or changes thereto may be accepted.</w:t>
      </w:r>
    </w:p>
    <w:p>
      <w:pPr>
        <w:spacing w:after="0" w:line="146" w:lineRule="exact"/>
        <w:rPr>
          <w:rFonts w:ascii="Arial" w:cs="Arial" w:eastAsia="Arial" w:hAnsi="Arial"/>
          <w:sz w:val="17"/>
          <w:szCs w:val="17"/>
          <w:color w:val="auto"/>
        </w:rPr>
      </w:pPr>
    </w:p>
    <w:p>
      <w:pPr>
        <w:jc w:val="both"/>
        <w:ind w:firstLine="1298"/>
        <w:spacing w:after="0" w:line="270" w:lineRule="auto"/>
        <w:tabs>
          <w:tab w:leader="none" w:pos="1952" w:val="left"/>
        </w:tabs>
        <w:numPr>
          <w:ilvl w:val="0"/>
          <w:numId w:val="361"/>
        </w:numPr>
        <w:rPr>
          <w:rFonts w:ascii="Arial" w:cs="Arial" w:eastAsia="Arial" w:hAnsi="Arial"/>
          <w:sz w:val="17"/>
          <w:szCs w:val="17"/>
          <w:color w:val="auto"/>
        </w:rPr>
      </w:pPr>
      <w:r>
        <w:rPr>
          <w:rFonts w:ascii="Arial" w:cs="Arial" w:eastAsia="Arial" w:hAnsi="Arial"/>
          <w:sz w:val="17"/>
          <w:szCs w:val="17"/>
          <w:color w:val="auto"/>
        </w:rPr>
        <w:t>In advance of any meeting of stockholders, the Board of Directors, the Chairperson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person presiding over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22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Election of Directors</w:t>
      </w:r>
      <w:r>
        <w:rPr>
          <w:rFonts w:ascii="Arial" w:cs="Arial" w:eastAsia="Arial" w:hAnsi="Arial"/>
          <w:sz w:val="16"/>
          <w:szCs w:val="16"/>
          <w:color w:val="auto"/>
        </w:rPr>
        <w:t>.</w:t>
      </w:r>
    </w:p>
    <w:p>
      <w:pPr>
        <w:spacing w:after="0" w:line="223" w:lineRule="exact"/>
        <w:rPr>
          <w:sz w:val="20"/>
          <w:szCs w:val="20"/>
          <w:color w:val="auto"/>
        </w:rPr>
      </w:pPr>
    </w:p>
    <w:p>
      <w:pPr>
        <w:jc w:val="both"/>
        <w:ind w:right="20" w:firstLine="1298"/>
        <w:spacing w:after="0" w:line="262" w:lineRule="auto"/>
        <w:tabs>
          <w:tab w:leader="none" w:pos="1991" w:val="left"/>
        </w:tabs>
        <w:numPr>
          <w:ilvl w:val="0"/>
          <w:numId w:val="362"/>
        </w:numPr>
        <w:rPr>
          <w:rFonts w:ascii="Arial" w:cs="Arial" w:eastAsia="Arial" w:hAnsi="Arial"/>
          <w:sz w:val="18"/>
          <w:szCs w:val="18"/>
          <w:color w:val="010000"/>
        </w:rPr>
      </w:pPr>
      <w:r>
        <w:rPr>
          <w:rFonts w:ascii="Arial" w:cs="Arial" w:eastAsia="Arial" w:hAnsi="Arial"/>
          <w:sz w:val="18"/>
          <w:szCs w:val="18"/>
          <w:color w:val="auto"/>
        </w:rPr>
        <w:t>The total number of directors constituting the Board of Directors shall be as fixed in, or be determined in the manner provided by, the Certificate of Incorporation. Directors shall be elected by the stockholders at their annual meeting, and the term of each director so elected shall be as set forth in the Certificate of Incorporation. Directors need not be stockholders.</w:t>
      </w:r>
    </w:p>
    <w:p>
      <w:pPr>
        <w:spacing w:after="0" w:line="182"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With respect to nominations by Proposing Stockholders, only persons who are nominated in accordance with the following procedures shall be eligible for election as directors. Nominations of persons for election to the Board of Directors at an annual meeting or at a special meeting (but only if the Board, or pursuant to Section 3.06 of these Bylaws, the stockholders, have first determined that directors are to be elected at such special meeting) may be made at such meeting (i) specified in the notice of meeting given by or at the direction of the Board of Directors, including any committee thereof, (ii) brought before the meeting by or at the direction of the Board of Directors, including any committee thereof or, when the Priority Holders beneficially own, in the aggregate, at least 40% in voting power of the stock of the Corporation entitled to vote generally in the election of directors, the Designated Controlling Stockholder, or (iii) by any Proposing Stockholder who (A) was a stockholder of record (and, with respect to any beneficial owner, if different, on whose behalf such nomination is proposed to be made, only if such beneficial owner was the beneficial owner of shares of the Corporation) both at the time of giving the notice provided for in this Section 4.01 and at the time of the meeting, (B) is entitled to vote at the meeting and (C) complied with the notice procedures set forth in this Section 4.01 as to such nomination. This Section 4.01 shall be the exclusive means for a Proposing Stockholder to propose any nomination of a person or persons for election to the Board to be considered by the stockholders at an annual meeting or special meeting.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1" w:name="page442"/>
    <w:bookmarkEnd w:id="441"/>
    <w:p>
      <w:pPr>
        <w:jc w:val="both"/>
        <w:ind w:firstLine="645"/>
        <w:spacing w:after="0" w:line="282" w:lineRule="auto"/>
        <w:rPr>
          <w:sz w:val="20"/>
          <w:szCs w:val="20"/>
          <w:color w:val="auto"/>
        </w:rPr>
      </w:pPr>
      <w:r>
        <w:rPr>
          <w:rFonts w:ascii="Arial" w:cs="Arial" w:eastAsia="Arial" w:hAnsi="Arial"/>
          <w:sz w:val="16"/>
          <w:szCs w:val="16"/>
          <w:color w:val="auto"/>
        </w:rPr>
        <w:t>Without qualification, for nominations to be made at an annual meeting by a Proposing Stockholder, the Proposing Stockholder must (i) provide Timely Notice (as defined in Section 3.02 of these Bylaws) thereof in writing and in proper form to the Secretary of the Corporation and (ii) provide any updates or supplements to such notice at the times and in the forms required by this Section 4.01. Without qualification, if the Board has first determined that directors are to be elected at such special meeting (or if a special meeting is called pursuant to Section 3.06 hereof and relates to the election or appointment of directors), then for nominations to be made at a special meeting by a Proposing Stockholder, the Proposing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4.01. To be timely, a Proposing Stockholder’s notice for nominations to be made at a special meeting by a Proposing Stockholder must be delivered to or mailed and received at the principal executive offices of the Corporation not</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earlier than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such special meeting and not later than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such special meeting or, if later,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disclosure (as defined in Section 3.02 of these Bylaws) of the date of such special meeting was first made. In no event shall any adjournment or postponement of an annual meeting or special meeting or the announcement thereof commence a new time period (or extend any time period) for the giving of a stockholder’s notice as described above.</w:t>
      </w:r>
    </w:p>
    <w:p>
      <w:pPr>
        <w:spacing w:after="0" w:line="20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To be in proper form for purposes of this Section 4.01, a Proposing Stockholder’s notice to the Secretary pursuant to this Section 4.01 shall be required to set forth:</w:t>
      </w:r>
    </w:p>
    <w:p>
      <w:pPr>
        <w:spacing w:after="0" w:line="171" w:lineRule="exact"/>
        <w:rPr>
          <w:sz w:val="20"/>
          <w:szCs w:val="20"/>
          <w:color w:val="auto"/>
        </w:rPr>
      </w:pPr>
    </w:p>
    <w:p>
      <w:pPr>
        <w:jc w:val="both"/>
        <w:ind w:firstLine="1943"/>
        <w:spacing w:after="0" w:line="270" w:lineRule="auto"/>
        <w:tabs>
          <w:tab w:leader="none" w:pos="2633" w:val="left"/>
        </w:tabs>
        <w:numPr>
          <w:ilvl w:val="0"/>
          <w:numId w:val="363"/>
        </w:numPr>
        <w:rPr>
          <w:rFonts w:ascii="Arial" w:cs="Arial" w:eastAsia="Arial" w:hAnsi="Arial"/>
          <w:sz w:val="17"/>
          <w:szCs w:val="17"/>
          <w:color w:val="010000"/>
        </w:rPr>
      </w:pPr>
      <w:r>
        <w:rPr>
          <w:rFonts w:ascii="Arial" w:cs="Arial" w:eastAsia="Arial" w:hAnsi="Arial"/>
          <w:sz w:val="17"/>
          <w:szCs w:val="17"/>
          <w:color w:val="auto"/>
        </w:rPr>
        <w:t>As to the Proposing Stockholder providing the notice and each other Proposing Person (as defined below), (A) the name and address of the Proposing Stockholder providing the notice, as they appear on the Corporation’s books, and of the other Proposing Persons, (B) a representation that the Proposing Stockholder is a holder of record of stock of the Corporation entitled to vote at such meeting and intends to appear in person or by proxy at the meeting to propose such nomination, (C) a representation whether the Proposing Stockholder or the beneficial owner, if any, and/or any other Proposing Person intends or is part of a group that intends (a) to deliver a proxy statement and/or form of proxy to holders of at least the percentage of the Corporation’s outstanding Common Stock required to elect the nominee and/or (b) otherwise to solicit proxies from stockholders in support of such nomination, and (D) any Disclosable Interests (as defined in Section 3.02 of these Bylaws) of the Proposing Stockholder providing the notice (or, if different, the beneficial owner on whose behalf such notice is given) and/or each other Proposing Person;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2" w:name="page443"/>
    <w:bookmarkEnd w:id="442"/>
    <w:p>
      <w:pPr>
        <w:jc w:val="both"/>
        <w:ind w:firstLine="1943"/>
        <w:spacing w:after="0" w:line="285" w:lineRule="auto"/>
        <w:tabs>
          <w:tab w:leader="none" w:pos="2665" w:val="left"/>
        </w:tabs>
        <w:numPr>
          <w:ilvl w:val="0"/>
          <w:numId w:val="364"/>
        </w:numPr>
        <w:rPr>
          <w:rFonts w:ascii="Arial" w:cs="Arial" w:eastAsia="Arial" w:hAnsi="Arial"/>
          <w:sz w:val="16"/>
          <w:szCs w:val="16"/>
          <w:color w:val="010000"/>
        </w:rPr>
      </w:pPr>
      <w:r>
        <w:rPr>
          <w:rFonts w:ascii="Arial" w:cs="Arial" w:eastAsia="Arial" w:hAnsi="Arial"/>
          <w:sz w:val="16"/>
          <w:szCs w:val="16"/>
          <w:color w:val="auto"/>
        </w:rPr>
        <w:t>As to each person whom the Proposing Stockholder proposes to nominate for election as a director, (A) all information with respect to such proposed nominee that would be required to be set forth in a Proposing Stockholder’s notice pursuant to this Section 4.01 if such proposed nominee were a Proposing Person, (B) all information relating to such proposed nominee that is required to be disclosed in a proxy statement or other filings required to be made in connection with solicitations of proxies for election of directors in a contested election pursuant to Section 14 under the Exchange Act and the rules and regulations thereunder (including such proposed nominee's written consent to being named in the proxy statement as a nominee and to serving as a director if elected) and (C) a description of all direct and indirect compensation and other material monetary agreements, arrangements and understandings during the past three years, and any other material relationships, between or among the Proposing Stockholder providing the notice (or, if different, the beneficial owner on whose behalf such notice is given) and/or any Proposing Person, on the one hand, and each proposed nominee, his or her respective affiliates and associates and any other persons with whom such proposed nominee (or any of his or her respective affiliates and associates) is Acting in Concert (as defined in Section 3.02 of these Bylaws), on the other hand, including, without limitation, all information that would be required to be disclosed pursuant to Item 404 under Regulation S-K if such Proposing Stockholder or beneficial owner, as applicable, and/or such Proposing Person were the "registrant" for purposes of such rule and the proposed nominee were a director or executive officer of such registrant; and</w:t>
      </w:r>
    </w:p>
    <w:p>
      <w:pPr>
        <w:spacing w:after="0" w:line="174" w:lineRule="exact"/>
        <w:rPr>
          <w:rFonts w:ascii="Arial" w:cs="Arial" w:eastAsia="Arial" w:hAnsi="Arial"/>
          <w:sz w:val="16"/>
          <w:szCs w:val="16"/>
          <w:color w:val="010000"/>
        </w:rPr>
      </w:pPr>
    </w:p>
    <w:p>
      <w:pPr>
        <w:jc w:val="both"/>
        <w:ind w:firstLine="1943"/>
        <w:spacing w:after="0" w:line="262" w:lineRule="auto"/>
        <w:tabs>
          <w:tab w:leader="none" w:pos="2630" w:val="left"/>
        </w:tabs>
        <w:numPr>
          <w:ilvl w:val="0"/>
          <w:numId w:val="364"/>
        </w:numPr>
        <w:rPr>
          <w:rFonts w:ascii="Arial" w:cs="Arial" w:eastAsia="Arial" w:hAnsi="Arial"/>
          <w:sz w:val="18"/>
          <w:szCs w:val="18"/>
          <w:color w:val="010000"/>
        </w:rPr>
      </w:pPr>
      <w:r>
        <w:rPr>
          <w:rFonts w:ascii="Arial" w:cs="Arial" w:eastAsia="Arial" w:hAnsi="Arial"/>
          <w:sz w:val="18"/>
          <w:szCs w:val="18"/>
          <w:color w:val="auto"/>
        </w:rPr>
        <w:t>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of independence of such proposed nominee.</w:t>
      </w:r>
    </w:p>
    <w:p>
      <w:pPr>
        <w:spacing w:after="0" w:line="18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For purposes of this Section 4.01,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shall mean (i) the Proposing Stockholder providing the notice of the nomination proposed to be made at the annual or special meeting, (ii) the beneficial owner or owners, if different, on whose behalf the nomination proposed to be made at the annual or special meeting is made, (iii) any affiliate or associate of such beneficial owner (as such terms are defined in Rule 12b-2 under the Exchange Act) and (iv) any other person with whom such Proposing Stockholder or such beneficial owner (or any of their respective affiliates or associates) is Acting in Concert.</w:t>
      </w:r>
    </w:p>
    <w:p>
      <w:pPr>
        <w:spacing w:after="0" w:line="191"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A Proposing Stockholder providing notice of any nomination proposed to be made at an annual or special meeting shall further update and supplement such notice, if necessary, so that the information provided or required to be provided in such notice pursuant to this Section 4.01 shall be true and correct as of the record date for the annual or special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any adjournment or postponement thereof (in the case of the update and supplement required to be made as of ten business days prior to the meeting or any adjournment or postponement thereof).</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3" w:name="page444"/>
    <w:bookmarkEnd w:id="443"/>
    <w:p>
      <w:pPr>
        <w:jc w:val="both"/>
        <w:ind w:firstLine="645"/>
        <w:spacing w:after="0" w:line="267" w:lineRule="auto"/>
        <w:rPr>
          <w:sz w:val="20"/>
          <w:szCs w:val="20"/>
          <w:color w:val="auto"/>
        </w:rPr>
      </w:pPr>
      <w:r>
        <w:rPr>
          <w:rFonts w:ascii="Arial" w:cs="Arial" w:eastAsia="Arial" w:hAnsi="Arial"/>
          <w:sz w:val="17"/>
          <w:szCs w:val="17"/>
          <w:color w:val="auto"/>
        </w:rPr>
        <w:t>Notwithstanding anything in these Bylaws to the contrary, no person nominated by a Proposing Stockholder shall be eligible for election as a director of the Corporation unless nominated in accordance with the procedures set forth in this Section 4.01. The person presiding over the annual or special meeting shall, if the facts warrant, determine that a nomination was not properly made in accordance with the provisions of this Section 4.01 (including the requirement to update and supplement a Proposing Stockholder's notice of any nomination set forth in clause (e) above), and if he or she should so determine, he or she shall so declare such determination to the meeting, and the defective nomination shall be disregarded. Notwithstanding the foregoing provisions of this Section 4.01, unless otherwise required by law, if the Proposing Stockholder (or a qualified representative of the Proposing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4.01, to be considered a qualified representative of the Proposing Stockholder, a person must be a duly authorized officer, manager or partner of such Proposing Stockholder or must be authorized by a writing executed by such Proposing Stockholder or an Electronic Transmission delivered by such Proposing Stockholder to act for such Proposing Stockholder as proxy at the meeting of stockholders and such person must produce such writing or Electronic Transmission, or a reliable reproduction of the writing or Electronic Transmission, at the meeting of stockholders.</w:t>
      </w:r>
    </w:p>
    <w:p>
      <w:pPr>
        <w:spacing w:after="0" w:line="187"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This Section 4.01 is expressly intended to apply to any nomination by a Proposing Stockholder proposed to be brought before an annual or special meeting. In addition to the requirements of this Section 4.01 with respect to any nomination by a Proposing Stockholder proposed to be made at an annual or special meeting, each Proposing Person shall comply with all applicable requirements of the Exchange Act and the rules and regulations thereunder with respect to any such nominations. Nothing in this Section 4.01 shall be deemed to affect any rights of the holders of any series of preferred stock to elect directors pursuant to any applicable provisions of the Certificate of Incorporation or the rights of the Designated Controlling Stockholder as agreed with the Corporation.</w:t>
      </w:r>
    </w:p>
    <w:p>
      <w:pPr>
        <w:spacing w:after="0" w:line="191"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on the Board of Directors by reason of death, resignation, retirement, disqualification, removal from office, or otherwise, and newly created directorships resulting from any increase in the authorized number of directors, shall be filled as provided in the Certificate of Incorporation. Any director elected to fill a vacancy or newly created directorship shall hold office until the next election of the directorship for which such director shall have been chosen and until his or her successor shall be elected and qualified, or until his or her earlier death, resignation, retirement, disqualification or removal. Any director may resign at any time upon notice given in writing or by electronic transmission to the Board of Directors, the Chairperson of the Board of Directors or the Secretary of the Corporation. The resignation shall take effect at the time specified therein, and if no time is specified, at the time of its receipt. The acceptance of a resignation shall not be necessary to make it effective unless otherwise expressly provided in the resignation.</w:t>
      </w:r>
    </w:p>
    <w:p>
      <w:pPr>
        <w:spacing w:after="0" w:line="190"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Removal</w:t>
      </w:r>
      <w:r>
        <w:rPr>
          <w:rFonts w:ascii="Arial" w:cs="Arial" w:eastAsia="Arial" w:hAnsi="Arial"/>
          <w:sz w:val="18"/>
          <w:szCs w:val="18"/>
          <w:color w:val="auto"/>
        </w:rPr>
        <w:t>. Any director or the entire Board of Directors may be removed from office in the manner provided in the Certificate of Incorporation.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4" w:name="page445"/>
    <w:bookmarkEnd w:id="444"/>
    <w:p>
      <w:pPr>
        <w:jc w:val="both"/>
        <w:ind w:firstLine="1290"/>
        <w:spacing w:after="0" w:line="275"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otherwise provided by law or the Certificate of Incorporation, the business and affairs of the Corporation shall be managed by or under the direction of its Board of Directors.</w:t>
      </w:r>
    </w:p>
    <w:p>
      <w:pPr>
        <w:spacing w:after="0" w:line="171"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Place of Meeting</w:t>
      </w:r>
      <w:r>
        <w:rPr>
          <w:rFonts w:ascii="Arial" w:cs="Arial" w:eastAsia="Arial" w:hAnsi="Arial"/>
          <w:sz w:val="18"/>
          <w:szCs w:val="18"/>
          <w:color w:val="auto"/>
        </w:rPr>
        <w:t>. The Board may hold its meetings at such place or places within or without the State of Delaware as it may from time to time determine.</w:t>
      </w:r>
    </w:p>
    <w:p>
      <w:pPr>
        <w:spacing w:after="0" w:line="171"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as shall from time to time be determined by the Board.</w:t>
      </w:r>
    </w:p>
    <w:p>
      <w:pPr>
        <w:spacing w:after="0" w:line="171"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the Chairperson of the Board of Directors. Special meetings also shall be called by the Secretary on the written request of any two directors unless the Board consists of only one director, in which case special meetings shall be called by the Secretary on the written request of the sole director. Notice of the time, date and place of such meeting shall be given, orally or in writing, by the person or persons calling or requesting the meeting to all directors at least four days before the meeting if the notice is mailed, or at least 24 hours before the meeting if such notice is given by telephone, hand delivery, overnight express courier, facsimile, electronic mail or other Electronic Transmission. Unless otherwise indicated in the notice, any and all business may be transacted at a special meeting, provided that notice of the special meeting shall state the purpose or purposes of the special meeting. The notice shall be deemed given:</w:t>
      </w:r>
    </w:p>
    <w:p>
      <w:pPr>
        <w:spacing w:after="0" w:line="176" w:lineRule="exact"/>
        <w:rPr>
          <w:sz w:val="20"/>
          <w:szCs w:val="20"/>
          <w:color w:val="auto"/>
        </w:rPr>
      </w:pPr>
    </w:p>
    <w:p>
      <w:pPr>
        <w:ind w:firstLine="1943"/>
        <w:spacing w:after="0" w:line="275" w:lineRule="auto"/>
        <w:tabs>
          <w:tab w:leader="none" w:pos="2593" w:val="left"/>
        </w:tabs>
        <w:numPr>
          <w:ilvl w:val="0"/>
          <w:numId w:val="365"/>
        </w:numPr>
        <w:rPr>
          <w:rFonts w:ascii="Arial" w:cs="Arial" w:eastAsia="Arial" w:hAnsi="Arial"/>
          <w:sz w:val="18"/>
          <w:szCs w:val="18"/>
          <w:color w:val="010000"/>
        </w:rPr>
      </w:pPr>
      <w:r>
        <w:rPr>
          <w:rFonts w:ascii="Arial" w:cs="Arial" w:eastAsia="Arial" w:hAnsi="Arial"/>
          <w:sz w:val="18"/>
          <w:szCs w:val="18"/>
          <w:color w:val="auto"/>
        </w:rPr>
        <w:t>in the case of hand delivery or notice by telephone, when received by the director to whom notice is to be given or by any person accepting such notice on behalf of such director,</w:t>
      </w:r>
    </w:p>
    <w:p>
      <w:pPr>
        <w:spacing w:after="0" w:line="170" w:lineRule="exact"/>
        <w:rPr>
          <w:rFonts w:ascii="Arial" w:cs="Arial" w:eastAsia="Arial" w:hAnsi="Arial"/>
          <w:sz w:val="18"/>
          <w:szCs w:val="18"/>
          <w:color w:val="010000"/>
        </w:rPr>
      </w:pPr>
    </w:p>
    <w:p>
      <w:pPr>
        <w:ind w:firstLine="1943"/>
        <w:spacing w:after="0" w:line="275" w:lineRule="auto"/>
        <w:tabs>
          <w:tab w:leader="none" w:pos="2625" w:val="left"/>
        </w:tabs>
        <w:numPr>
          <w:ilvl w:val="0"/>
          <w:numId w:val="365"/>
        </w:numPr>
        <w:rPr>
          <w:rFonts w:ascii="Arial" w:cs="Arial" w:eastAsia="Arial" w:hAnsi="Arial"/>
          <w:sz w:val="18"/>
          <w:szCs w:val="18"/>
          <w:color w:val="010000"/>
        </w:rPr>
      </w:pPr>
      <w:r>
        <w:rPr>
          <w:rFonts w:ascii="Arial" w:cs="Arial" w:eastAsia="Arial" w:hAnsi="Arial"/>
          <w:sz w:val="18"/>
          <w:szCs w:val="18"/>
          <w:color w:val="auto"/>
        </w:rPr>
        <w:t>in the case of delivery by mail, upon deposit in the United States mail, postage prepaid, directed to the director to whom notice is being given at such director’s address as it appears on the records of the Corporation,</w:t>
      </w:r>
    </w:p>
    <w:p>
      <w:pPr>
        <w:spacing w:after="0" w:line="170" w:lineRule="exact"/>
        <w:rPr>
          <w:rFonts w:ascii="Arial" w:cs="Arial" w:eastAsia="Arial" w:hAnsi="Arial"/>
          <w:sz w:val="18"/>
          <w:szCs w:val="18"/>
          <w:color w:val="010000"/>
        </w:rPr>
      </w:pPr>
    </w:p>
    <w:p>
      <w:pPr>
        <w:ind w:left="2580" w:hanging="637"/>
        <w:spacing w:after="0"/>
        <w:tabs>
          <w:tab w:leader="none" w:pos="2580" w:val="left"/>
        </w:tabs>
        <w:numPr>
          <w:ilvl w:val="0"/>
          <w:numId w:val="365"/>
        </w:numPr>
        <w:rPr>
          <w:rFonts w:ascii="Arial" w:cs="Arial" w:eastAsia="Arial" w:hAnsi="Arial"/>
          <w:sz w:val="17"/>
          <w:szCs w:val="17"/>
          <w:color w:val="010000"/>
        </w:rPr>
      </w:pPr>
      <w:r>
        <w:rPr>
          <w:rFonts w:ascii="Arial" w:cs="Arial" w:eastAsia="Arial" w:hAnsi="Arial"/>
          <w:sz w:val="17"/>
          <w:szCs w:val="17"/>
          <w:color w:val="auto"/>
        </w:rPr>
        <w:t>in the case of delivery by overnight express courier, on the first business day after such notice is dispatched, and</w:t>
      </w:r>
    </w:p>
    <w:p>
      <w:pPr>
        <w:spacing w:after="0" w:line="234" w:lineRule="exact"/>
        <w:rPr>
          <w:rFonts w:ascii="Arial" w:cs="Arial" w:eastAsia="Arial" w:hAnsi="Arial"/>
          <w:sz w:val="17"/>
          <w:szCs w:val="17"/>
          <w:color w:val="010000"/>
        </w:rPr>
      </w:pPr>
    </w:p>
    <w:p>
      <w:pPr>
        <w:ind w:firstLine="1943"/>
        <w:spacing w:after="0" w:line="306" w:lineRule="auto"/>
        <w:tabs>
          <w:tab w:leader="none" w:pos="2606" w:val="left"/>
        </w:tabs>
        <w:numPr>
          <w:ilvl w:val="0"/>
          <w:numId w:val="365"/>
        </w:numPr>
        <w:rPr>
          <w:rFonts w:ascii="Arial" w:cs="Arial" w:eastAsia="Arial" w:hAnsi="Arial"/>
          <w:sz w:val="17"/>
          <w:szCs w:val="17"/>
          <w:color w:val="010000"/>
        </w:rPr>
      </w:pPr>
      <w:r>
        <w:rPr>
          <w:rFonts w:ascii="Arial" w:cs="Arial" w:eastAsia="Arial" w:hAnsi="Arial"/>
          <w:sz w:val="17"/>
          <w:szCs w:val="17"/>
          <w:color w:val="auto"/>
        </w:rPr>
        <w:t>in the case of delivery via facsimile, electronic mail or other Electronic Transmission, when sent to the director to whom notice is to be given at such director’s facsimile number or electronic mail address, as the case may be, as shown on the Corporation’s records.</w:t>
      </w:r>
    </w:p>
    <w:p>
      <w:pPr>
        <w:spacing w:after="0" w:line="147"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Quorum; Adjournments</w:t>
      </w:r>
      <w:r>
        <w:rPr>
          <w:rFonts w:ascii="Arial" w:cs="Arial" w:eastAsia="Arial" w:hAnsi="Arial"/>
          <w:sz w:val="18"/>
          <w:szCs w:val="18"/>
          <w:color w:val="auto"/>
        </w:rPr>
        <w:t>. At all meetings of the Board of Directors a majority of the authorized number of directors shall be necessary and sufficient to constitute a quorum for the transaction of business, and the vote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 If only one director is authorized, such sole director shall constitute a quorum.</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5" w:name="page446"/>
    <w:bookmarkEnd w:id="445"/>
    <w:p>
      <w:pPr>
        <w:jc w:val="both"/>
        <w:ind w:firstLine="1290"/>
        <w:spacing w:after="0" w:line="274"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Unanimous Action in Lieu of a Meeting</w:t>
      </w:r>
      <w:r>
        <w:rPr>
          <w:rFonts w:ascii="Arial" w:cs="Arial" w:eastAsia="Arial" w:hAnsi="Arial"/>
          <w:sz w:val="17"/>
          <w:szCs w:val="17"/>
          <w:color w:val="auto"/>
        </w:rPr>
        <w:t>.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respectively. Such filing shall be in paper form if the minutes are maintained in paper form and shall be in electronic form if the minutes are maintained in electronic form.</w:t>
      </w:r>
    </w:p>
    <w:p>
      <w:pPr>
        <w:spacing w:after="0" w:line="175"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Conference Call Meetings</w:t>
      </w:r>
      <w:r>
        <w:rPr>
          <w:rFonts w:ascii="Arial" w:cs="Arial" w:eastAsia="Arial" w:hAnsi="Arial"/>
          <w:sz w:val="18"/>
          <w:szCs w:val="18"/>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85" w:lineRule="exact"/>
        <w:rPr>
          <w:sz w:val="20"/>
          <w:szCs w:val="20"/>
          <w:color w:val="auto"/>
        </w:rPr>
      </w:pPr>
    </w:p>
    <w:p>
      <w:pPr>
        <w:jc w:val="both"/>
        <w:ind w:firstLine="1290"/>
        <w:spacing w:after="0" w:line="288"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such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approving or adopting, or recommending to the stockholders, any action or matter (other than the election or removal of directors) expressly required by the DGCL to be submitted to stockholders for approval or adopting, amending or repealing these Bylaws.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shall keep regular minutes of its meetings and report the same to the Board of Directors when required.</w:t>
      </w:r>
    </w:p>
    <w:p>
      <w:pPr>
        <w:spacing w:after="0" w:line="223"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Compensation</w:t>
      </w:r>
      <w:r>
        <w:rPr>
          <w:rFonts w:ascii="Arial" w:cs="Arial" w:eastAsia="Arial" w:hAnsi="Arial"/>
          <w:sz w:val="17"/>
          <w:szCs w:val="17"/>
          <w:color w:val="auto"/>
        </w:rPr>
        <w:t>. Unless otherwise restricted by the Certificate of Incorporation or these Bylaws, the Board of Directors shall have the authority to fix the compensation of directors, including the granting of equity interests (which may include profits interests and Synthetic Equity Interests) of the Corporation to the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 or a stated salary as a committee member. The terms of any compensation (including the granting of equity interests of the Corporation) paid to directors shall be as determined by the Board of Directors.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6" w:name="page447"/>
    <w:bookmarkEnd w:id="446"/>
    <w:p>
      <w:pPr>
        <w:jc w:val="both"/>
        <w:ind w:firstLine="1290"/>
        <w:spacing w:after="0" w:line="25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Reliance on Books and Records</w:t>
      </w:r>
      <w:r>
        <w:rPr>
          <w:rFonts w:ascii="Arial" w:cs="Arial" w:eastAsia="Arial" w:hAnsi="Arial"/>
          <w:sz w:val="18"/>
          <w:szCs w:val="18"/>
          <w:color w:val="auto"/>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23"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Generally</w:t>
      </w:r>
      <w:r>
        <w:rPr>
          <w:rFonts w:ascii="Arial" w:cs="Arial" w:eastAsia="Arial" w:hAnsi="Arial"/>
          <w:sz w:val="17"/>
          <w:szCs w:val="17"/>
          <w:color w:val="auto"/>
        </w:rPr>
        <w:t>. The Board of Directors shall from time to time elect or appoint such officers as it shall deem necessary or appropriate to the management and operation of the Corporation, including, without limitation, a Chief Executive Officer ("</w:t>
      </w:r>
      <w:r>
        <w:rPr>
          <w:rFonts w:ascii="Arial" w:cs="Arial" w:eastAsia="Arial" w:hAnsi="Arial"/>
          <w:sz w:val="17"/>
          <w:szCs w:val="17"/>
          <w:u w:val="single" w:color="auto"/>
          <w:color w:val="auto"/>
        </w:rPr>
        <w:t>CEO</w:t>
      </w:r>
      <w:r>
        <w:rPr>
          <w:rFonts w:ascii="Arial" w:cs="Arial" w:eastAsia="Arial" w:hAnsi="Arial"/>
          <w:sz w:val="17"/>
          <w:szCs w:val="17"/>
          <w:color w:val="auto"/>
        </w:rPr>
        <w:t>"), President (which may be the CEO), a Secretary, a Chief Financial Officer and a Treasurer (which may be the Chief Financial Officer). The Board of Directors or the CEO shall have the power and authority to appoint as officers one or more Executive Vice Presidents, Senior Vice Presidents, Vice Presidents, a President, a Chief Operating Officer, and a General Counsel &amp; Secretary. The officers of the Corporation shall exercise such powers and perform such duties as are specified in these Bylaws, in a resolution of the Board of Directors or, in the case of an officer appointed by the CEO, as specified by the CEO. Any person may hold two or more offices simultaneously, and no officer need be a stockholder of the Corporation.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authority of the CEO to appoint officers as set forth above, if so provided by resolution of the Board, any officer may be delegated the authority to appoint one or more officers or assistant officers, which appointed officers or assistant officers shall have the duties and powers specified in the resolution of the Board or as determined by such officer.</w:t>
      </w:r>
    </w:p>
    <w:p>
      <w:pPr>
        <w:spacing w:after="0" w:line="182"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Compensation</w:t>
      </w:r>
      <w:r>
        <w:rPr>
          <w:rFonts w:ascii="Arial" w:cs="Arial" w:eastAsia="Arial" w:hAnsi="Arial"/>
          <w:sz w:val="18"/>
          <w:szCs w:val="18"/>
          <w:color w:val="auto"/>
        </w:rPr>
        <w:t>. The officers of the Corporation shall be entitled to such salaries, compensation or reimbursement as shall be fixed or allowed from time to time by the Board of Directors or any duly authorized committee thereof. In fixing the salaries, compensation and reimbursement of the officers of the Company other than the CEO, the Board of Directors may, among other things, take into account the recommendation of the CEO.</w:t>
      </w:r>
    </w:p>
    <w:p>
      <w:pPr>
        <w:spacing w:after="0" w:line="185"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Term; Removal</w:t>
      </w:r>
      <w:r>
        <w:rPr>
          <w:rFonts w:ascii="Arial" w:cs="Arial" w:eastAsia="Arial" w:hAnsi="Arial"/>
          <w:sz w:val="18"/>
          <w:szCs w:val="18"/>
          <w:color w:val="auto"/>
        </w:rPr>
        <w:t>. Each officer shall hold office until such officer’s successor is elected or appointed and qualified or until such officer’s earlier resignation or removal. Any officer may be removed at any time, with or without cause, by the Board of Directors. Any officer appointed by the CEO may be removed at any time by the CEO. If the office of any officer or officers becomes vacant for any reason, the vacancy shall be filled by the Board of Directors or by the CEO.</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Duties</w:t>
      </w:r>
      <w:r>
        <w:rPr>
          <w:rFonts w:ascii="Arial" w:cs="Arial" w:eastAsia="Arial" w:hAnsi="Arial"/>
          <w:sz w:val="16"/>
          <w:szCs w:val="16"/>
          <w:color w:val="auto"/>
        </w:rPr>
        <w:t>.</w:t>
      </w:r>
    </w:p>
    <w:p>
      <w:pPr>
        <w:spacing w:after="0" w:line="223" w:lineRule="exact"/>
        <w:rPr>
          <w:sz w:val="20"/>
          <w:szCs w:val="20"/>
          <w:color w:val="auto"/>
        </w:rPr>
      </w:pPr>
    </w:p>
    <w:p>
      <w:pPr>
        <w:jc w:val="both"/>
        <w:ind w:firstLine="653"/>
        <w:spacing w:after="0" w:line="258" w:lineRule="auto"/>
        <w:tabs>
          <w:tab w:leader="none" w:pos="1346"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Chairperson of the Board</w:t>
      </w:r>
      <w:r>
        <w:rPr>
          <w:rFonts w:ascii="Arial" w:cs="Arial" w:eastAsia="Arial" w:hAnsi="Arial"/>
          <w:sz w:val="18"/>
          <w:szCs w:val="18"/>
          <w:color w:val="auto"/>
        </w:rPr>
        <w:t>. The Chairperson of the Board shall, if present, preside at all meetings of the stockholders and of the Board. The Chairperson of the Board shall also perform such other duties and may exercise such other powers as may be assigned by these Bylaws or prescribed by the Board from time to time. If there is no President, the Chairperson of the Board shall in addition be the CEO and shall have the powers and duties prescribed in paragraph (c) of this Section 5.04.</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47" w:name="page448"/>
    <w:bookmarkEnd w:id="447"/>
    <w:p>
      <w:pPr>
        <w:jc w:val="both"/>
        <w:ind w:left="-20" w:firstLine="653"/>
        <w:spacing w:after="0" w:line="255" w:lineRule="auto"/>
        <w:tabs>
          <w:tab w:leader="none" w:pos="1497"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CEO shall be the principal executive officer of the Corporation and shall have such other title or titles designated by the Board. Subject to the control of the Board, the CEO shall in general manage, supervise and control all of the business and affairs of the Corporation. He or she shall have authority to conduct all ordinary business on behalf of the Corporation and may execute and deliver on behalf of the Corporation any contract, conveyance or similar document; and in general shall perform all duties incident to the office of the CEO of a corporation and such other duties as may be prescribed by the Board or these Bylaws from time to time.</w:t>
      </w:r>
    </w:p>
    <w:p>
      <w:pPr>
        <w:spacing w:after="0" w:line="190" w:lineRule="exact"/>
        <w:rPr>
          <w:rFonts w:ascii="Arial" w:cs="Arial" w:eastAsia="Arial" w:hAnsi="Arial"/>
          <w:sz w:val="18"/>
          <w:szCs w:val="18"/>
          <w:color w:val="auto"/>
        </w:rPr>
      </w:pPr>
    </w:p>
    <w:p>
      <w:pPr>
        <w:ind w:left="-20" w:firstLine="653"/>
        <w:spacing w:after="0" w:line="275" w:lineRule="auto"/>
        <w:tabs>
          <w:tab w:leader="none" w:pos="1272"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perform such duties and shall have such powers as the Board or the CEO (if the President is not the CEO) may from time to time prescribe.</w:t>
      </w:r>
    </w:p>
    <w:p>
      <w:pPr>
        <w:spacing w:after="0" w:line="170" w:lineRule="exact"/>
        <w:rPr>
          <w:rFonts w:ascii="Arial" w:cs="Arial" w:eastAsia="Arial" w:hAnsi="Arial"/>
          <w:sz w:val="18"/>
          <w:szCs w:val="18"/>
          <w:color w:val="auto"/>
        </w:rPr>
      </w:pPr>
    </w:p>
    <w:p>
      <w:pPr>
        <w:jc w:val="both"/>
        <w:ind w:left="-20" w:firstLine="653"/>
        <w:spacing w:after="0" w:line="287" w:lineRule="auto"/>
        <w:tabs>
          <w:tab w:leader="none" w:pos="1363"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Treasurer</w:t>
      </w:r>
      <w:r>
        <w:rPr>
          <w:rFonts w:ascii="Arial" w:cs="Arial" w:eastAsia="Arial" w:hAnsi="Arial"/>
          <w:sz w:val="16"/>
          <w:szCs w:val="16"/>
          <w:color w:val="auto"/>
        </w:rPr>
        <w:t>. The Treasurer (who shall have any other title or titles designated by the Board or the CEO, including without limitation, in the Board's or the CEO's discretion,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He or she shall disburse the funds of the corporation as may be ordered by the Board, taking proper vouchers for such disbursements, and shall render to the Board, at its regular meetings, or when the Board so requires, an account of all his or her transactions as Treasurer and of the financial condition of the Corporation. If required by the Board, he or she shall give the Corporation a bond, in such sum and with such surety or sureties as shall be satisfactory to the Board,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 The Treasurer in general shall perform all duties incident to the office of the Treasurer of a corporation and such other duties as may be prescribed by the Board, the CEO or these Bylaws from time to time.</w:t>
      </w:r>
    </w:p>
    <w:p>
      <w:pPr>
        <w:spacing w:after="0" w:line="165" w:lineRule="exact"/>
        <w:rPr>
          <w:rFonts w:ascii="Arial" w:cs="Arial" w:eastAsia="Arial" w:hAnsi="Arial"/>
          <w:sz w:val="16"/>
          <w:szCs w:val="16"/>
          <w:color w:val="auto"/>
        </w:rPr>
      </w:pPr>
    </w:p>
    <w:p>
      <w:pPr>
        <w:jc w:val="both"/>
        <w:ind w:left="-20" w:firstLine="653"/>
        <w:spacing w:after="0" w:line="268" w:lineRule="auto"/>
        <w:tabs>
          <w:tab w:leader="none" w:pos="1379"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(1) attend and keep the minutes of the stockholders' meetings and of the Board's meetings in one or more books provided for that purpose, and perform like duties for the standing committees of the Board when required by the Board; (2) see that all notices are duly given in accordance with the provisions of these Bylaws or as otherwise required by law or the provisions of the Certificate of Incorporation; (3) be custodian of the corporate records and of the seal of the Corporation and see that the seal of the Corporation is affixed to all documents, the execution of which on behalf of the Corporation under its seal is duly authorized; (4) maintain, or cause an agent designated by the Board to maintain, a record of the Corporation's stockholders in a form that permits the preparation of a list of the names and addresses of all stockholders in alphabetical order by class of shares, showing the number and class of shares held by each; (5) have general charge of the stock transfer books of the Corporation or responsibility for supervision, on behalf of the Corporation, of any agent to which stock transfer responsibility has been delegated by the Board; (6) have responsibility for the custody, maintenance and preservation of those corporate records which the Corporation is required by the DGCL or otherwise to create, maintain or preserve; and (7) in general perform all duties incident to the office of Secretary of a corporation and such other duties as may be assigned by the Board, the CEO or these Bylaws from time to time.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48" w:name="page449"/>
    <w:bookmarkEnd w:id="448"/>
    <w:p>
      <w:pPr>
        <w:jc w:val="both"/>
        <w:ind w:firstLine="653"/>
        <w:spacing w:after="0" w:line="274" w:lineRule="auto"/>
        <w:tabs>
          <w:tab w:leader="none" w:pos="1491"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Deputy Officers</w:t>
      </w:r>
      <w:r>
        <w:rPr>
          <w:rFonts w:ascii="Arial" w:cs="Arial" w:eastAsia="Arial" w:hAnsi="Arial"/>
          <w:sz w:val="17"/>
          <w:szCs w:val="17"/>
          <w:color w:val="auto"/>
        </w:rPr>
        <w:t>. The Board may create one or more deputy officers whose duties shall be, among any other designated thereto by the Board, to perform the duties of the officer to which such office has been deputized in the event of the unavailability, death or inability or refusal of such officer to act. Deputy officers may hold such titles as designated therefor by the Board; however, any office designated with the prefix "Vice" or "Deputy" shall be, unless otherwise specified by resolution of the Board, automatically a deputy officer to the office with the title of which the prefix term is conjoined. Deputy officers shall have such other duties as prescribed by the Board or the CEO from time to time.</w:t>
      </w:r>
    </w:p>
    <w:p>
      <w:pPr>
        <w:spacing w:after="0" w:line="174" w:lineRule="exact"/>
        <w:rPr>
          <w:rFonts w:ascii="Arial" w:cs="Arial" w:eastAsia="Arial" w:hAnsi="Arial"/>
          <w:sz w:val="17"/>
          <w:szCs w:val="17"/>
          <w:color w:val="auto"/>
        </w:rPr>
      </w:pPr>
    </w:p>
    <w:p>
      <w:pPr>
        <w:jc w:val="both"/>
        <w:ind w:firstLine="653"/>
        <w:spacing w:after="0" w:line="255" w:lineRule="auto"/>
        <w:tabs>
          <w:tab w:leader="none" w:pos="1436"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Assistant Officers</w:t>
      </w:r>
      <w:r>
        <w:rPr>
          <w:rFonts w:ascii="Arial" w:cs="Arial" w:eastAsia="Arial" w:hAnsi="Arial"/>
          <w:sz w:val="18"/>
          <w:szCs w:val="18"/>
          <w:color w:val="auto"/>
        </w:rPr>
        <w:t>. The Board may appoint one or more officers who shall be assistants to principal officers of the Corporation, or their deputies, and who shall have such duties as shall be delegated to such assistant officers by the Board or such principal officers, including the authority to perform such functions of those principal officers in the place of and with full authority of such principal officers as shall be designated by the Board or (if so authorized) by such principal officers. The Board may by resolution authorize appointment of assistant officers by those principal officers to which such appointed officers will serve as assistants.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3" w:lineRule="exact"/>
        <w:rPr>
          <w:sz w:val="20"/>
          <w:szCs w:val="20"/>
          <w:color w:val="auto"/>
        </w:rPr>
      </w:pPr>
    </w:p>
    <w:p>
      <w:pPr>
        <w:jc w:val="both"/>
        <w:ind w:firstLine="653"/>
        <w:spacing w:after="0" w:line="285" w:lineRule="auto"/>
        <w:tabs>
          <w:tab w:leader="none" w:pos="1308"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The Corporation shall indemnify and hold harmless to the full extent permitted by law (as now or hereafter in effect)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while serving as a director, officer, employee or agent of the Corporation, is or was serving at the request of the Corporation, any other corporation, partnership, joint venture, trust or other enterprise in any capacity,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 Notwithstanding this Section 6.01(a) or the provisions of Section 6.01(b) hereof, except as otherwise provided in Section 6.01(f) hereof,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9" w:name="page450"/>
    <w:bookmarkEnd w:id="449"/>
    <w:p>
      <w:pPr>
        <w:jc w:val="both"/>
        <w:ind w:left="-20" w:firstLine="653"/>
        <w:spacing w:after="0" w:line="268" w:lineRule="auto"/>
        <w:tabs>
          <w:tab w:leader="none" w:pos="129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Corporation shall indemnify and hold harmless to the full extent permitted by law (as now or hereafter in effect)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while serving as a director, officer, employee or agent of the Corporation, is or was serving at the request of the Corporation another corporation, partnership, joint venture, trust or other enterprise in any capacity against expenses (including attorneys’ fees) actually and reasonably incurred by him or her in connection with the defense or settlement of such action or suit if he or she acted in good faith and in a manner he or she reasonably believed to be in or not opposed to the best interests of the Corporation and except that no such indemnification shall be made in respect of any claim, issue or matter as to which such person shall have been adjudged to be liable to the Corporation unless and only to the extent that the Delaware Court or the court in which such action or suit was brought shall determine upon application that, despite the adjudication of liability but in view of all the circumstances of the case, such person is fairly and reasonably entitled to indemnity for such expenses which such Delaware Court or such other court shall deem proper.</w:t>
      </w:r>
    </w:p>
    <w:p>
      <w:pPr>
        <w:spacing w:after="0" w:line="183" w:lineRule="exact"/>
        <w:rPr>
          <w:rFonts w:ascii="Arial" w:cs="Arial" w:eastAsia="Arial" w:hAnsi="Arial"/>
          <w:sz w:val="17"/>
          <w:szCs w:val="17"/>
          <w:color w:val="auto"/>
        </w:rPr>
      </w:pPr>
    </w:p>
    <w:p>
      <w:pPr>
        <w:jc w:val="both"/>
        <w:ind w:left="-20" w:firstLine="653"/>
        <w:spacing w:after="0" w:line="285" w:lineRule="auto"/>
        <w:tabs>
          <w:tab w:leader="none" w:pos="128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To the extent that a present or former director, officer, employee or agent of the Corporation shall be successful on the merits or otherwise in defense of any action, suit or proceeding referred to in paragraphs (a) and (b), or in defense of any claim, issue or matter therein, he or she shall be indemnified against expenses (including attorneys’ fees) actually and reasonably incurred by him or her in connection therewith.</w:t>
      </w:r>
    </w:p>
    <w:p>
      <w:pPr>
        <w:spacing w:after="0" w:line="163" w:lineRule="exact"/>
        <w:rPr>
          <w:rFonts w:ascii="Arial" w:cs="Arial" w:eastAsia="Arial" w:hAnsi="Arial"/>
          <w:sz w:val="17"/>
          <w:szCs w:val="17"/>
          <w:color w:val="auto"/>
        </w:rPr>
      </w:pPr>
    </w:p>
    <w:p>
      <w:pPr>
        <w:jc w:val="both"/>
        <w:ind w:left="-20" w:firstLine="653"/>
        <w:spacing w:after="0" w:line="292" w:lineRule="auto"/>
        <w:tabs>
          <w:tab w:leader="none" w:pos="1377" w:val="left"/>
        </w:tabs>
        <w:numPr>
          <w:ilvl w:val="0"/>
          <w:numId w:val="370"/>
        </w:numPr>
        <w:rPr>
          <w:rFonts w:ascii="Arial" w:cs="Arial" w:eastAsia="Arial" w:hAnsi="Arial"/>
          <w:sz w:val="16"/>
          <w:szCs w:val="16"/>
          <w:color w:val="auto"/>
        </w:rPr>
      </w:pPr>
      <w:r>
        <w:rPr>
          <w:rFonts w:ascii="Arial" w:cs="Arial" w:eastAsia="Arial" w:hAnsi="Arial"/>
          <w:sz w:val="16"/>
          <w:szCs w:val="16"/>
          <w:color w:val="auto"/>
        </w:rPr>
        <w:t>Any indemnification under paragraphs (a) and (b) (unless ordered by a court) shall be made by the Corporation only as authorized in the specific case upon a determination that indemnification of the present or former director, officer, employee or agent is proper in the circumstances because he or she has met the applicable standard of conduct set forth in paragraphs (a) and (b). Such determination shall be made, with respect to a person who is a director, officer, employee or agent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62" w:lineRule="exact"/>
        <w:rPr>
          <w:rFonts w:ascii="Arial" w:cs="Arial" w:eastAsia="Arial" w:hAnsi="Arial"/>
          <w:sz w:val="16"/>
          <w:szCs w:val="16"/>
          <w:color w:val="auto"/>
        </w:rPr>
      </w:pPr>
    </w:p>
    <w:p>
      <w:pPr>
        <w:jc w:val="both"/>
        <w:ind w:left="-20" w:firstLine="653"/>
        <w:spacing w:after="0" w:line="255" w:lineRule="auto"/>
        <w:tabs>
          <w:tab w:leader="none" w:pos="130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Expenses incurred by an officer or director in defending a civil or criminal action, suit or proceeding shall be paid by the Corporation to the fullest extent permitted by law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in this Section 6.01. Such expenses incurred by former directors and officers or other employees and agents may be so paid upon such terms and conditions, if any, as the Corporation deems appropriate.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50" w:name="page451"/>
    <w:bookmarkEnd w:id="450"/>
    <w:p>
      <w:pPr>
        <w:jc w:val="both"/>
        <w:ind w:left="-20" w:firstLine="653"/>
        <w:spacing w:after="0" w:line="254" w:lineRule="auto"/>
        <w:tabs>
          <w:tab w:leader="none" w:pos="127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paragraphs of this Section 6.01 shall not be deemed exclusive of any other rights to which those seeking indemnification or advancement of expenses may be entitled under any Bylaw, agreement, vote of stockholders or disinterested directors or otherwise, both as to action in his or her official capacity and as to action in another capacity while holding such office. The provisions of this Section 6.01 shall not be deemed to preclude the indemnification of (or advancement of expenses to) any person who is not specified in Section 6.01(a) or Section 6.01(b) but whom the Corporation has the power or obligation to indemnity under the provisions of the DGCL, or otherwise.</w:t>
      </w:r>
    </w:p>
    <w:p>
      <w:pPr>
        <w:spacing w:after="0" w:line="191" w:lineRule="exact"/>
        <w:rPr>
          <w:rFonts w:ascii="Arial" w:cs="Arial" w:eastAsia="Arial" w:hAnsi="Arial"/>
          <w:sz w:val="18"/>
          <w:szCs w:val="18"/>
          <w:color w:val="auto"/>
        </w:rPr>
      </w:pPr>
    </w:p>
    <w:p>
      <w:pPr>
        <w:jc w:val="both"/>
        <w:ind w:left="-20" w:firstLine="653"/>
        <w:spacing w:after="0" w:line="255" w:lineRule="auto"/>
        <w:tabs>
          <w:tab w:leader="none" w:pos="137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If a claim for indemnification (following the final disposition of a proceeding) or advancement of expenses under this Section 6.01 is not paid in full within 90 days after a written claim therefor has been received by the Corporation, the claimant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advancement of expenses under applicable law.</w:t>
      </w:r>
    </w:p>
    <w:p>
      <w:pPr>
        <w:spacing w:after="0" w:line="191" w:lineRule="exact"/>
        <w:rPr>
          <w:sz w:val="20"/>
          <w:szCs w:val="20"/>
          <w:color w:val="auto"/>
        </w:rPr>
      </w:pPr>
    </w:p>
    <w:p>
      <w:pPr>
        <w:jc w:val="both"/>
        <w:ind w:left="-20" w:firstLine="653"/>
        <w:spacing w:after="0" w:line="255" w:lineRule="auto"/>
        <w:tabs>
          <w:tab w:leader="none" w:pos="142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Board of Directors may authorize, by a vote of a majority of a quorum of the Board of Directors, the Corporation to purchase and maintain insurance on behalf of any person who is or was a director, officer, employee or agent of the Corporation, or is or was serving at the request of the Corporation another corporation, partnership, joint venture, trust or other enterprise in any capacity against any liability asserted against him or her and incurred by him or her in any such capacity, or arising out of his or her status as such, whether or not the Corporation would have the power to indemnify him or her against such liability under the provisions of this Section 6.01.</w:t>
      </w:r>
    </w:p>
    <w:p>
      <w:pPr>
        <w:spacing w:after="0" w:line="190" w:lineRule="exact"/>
        <w:rPr>
          <w:rFonts w:ascii="Arial" w:cs="Arial" w:eastAsia="Arial" w:hAnsi="Arial"/>
          <w:sz w:val="18"/>
          <w:szCs w:val="18"/>
          <w:color w:val="auto"/>
        </w:rPr>
      </w:pPr>
    </w:p>
    <w:p>
      <w:pPr>
        <w:jc w:val="both"/>
        <w:ind w:left="-20" w:firstLine="653"/>
        <w:spacing w:after="0" w:line="258" w:lineRule="auto"/>
        <w:tabs>
          <w:tab w:leader="none" w:pos="129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Board of Directors may authorize the Corporation to enter into a contract with any person who is or was a director, officer, employee or agent of the Corporation or is or was serving at the request of the Corporation as a director, officer, employee or agent of another corporation, partnership, joint venture, trust or other enterprise providing for indemnification rights equivalent to or, if the Board of Directors so determines, greater than those provided in Section 6.01.</w:t>
      </w:r>
    </w:p>
    <w:p>
      <w:pPr>
        <w:spacing w:after="0" w:line="185" w:lineRule="exact"/>
        <w:rPr>
          <w:rFonts w:ascii="Arial" w:cs="Arial" w:eastAsia="Arial" w:hAnsi="Arial"/>
          <w:sz w:val="18"/>
          <w:szCs w:val="18"/>
          <w:color w:val="auto"/>
        </w:rPr>
      </w:pPr>
    </w:p>
    <w:p>
      <w:pPr>
        <w:jc w:val="both"/>
        <w:ind w:left="-20" w:firstLine="653"/>
        <w:spacing w:after="0" w:line="292" w:lineRule="auto"/>
        <w:tabs>
          <w:tab w:leader="none" w:pos="1309" w:val="left"/>
        </w:tabs>
        <w:numPr>
          <w:ilvl w:val="0"/>
          <w:numId w:val="372"/>
        </w:numPr>
        <w:rPr>
          <w:rFonts w:ascii="Arial" w:cs="Arial" w:eastAsia="Arial" w:hAnsi="Arial"/>
          <w:sz w:val="16"/>
          <w:szCs w:val="16"/>
          <w:color w:val="auto"/>
        </w:rPr>
      </w:pPr>
      <w:r>
        <w:rPr>
          <w:rFonts w:ascii="Arial" w:cs="Arial" w:eastAsia="Arial" w:hAnsi="Arial"/>
          <w:sz w:val="16"/>
          <w:szCs w:val="16"/>
          <w:color w:val="auto"/>
        </w:rPr>
        <w:t>For the purposes of this Section 6.01,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6.01 with respect to the resulting or surviving corporation as he or she would have with respect to such constituent corporation if its separate existence had continued.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51" w:name="page452"/>
    <w:bookmarkEnd w:id="451"/>
    <w:p>
      <w:pPr>
        <w:jc w:val="both"/>
        <w:ind w:firstLine="653"/>
        <w:spacing w:after="0" w:line="254" w:lineRule="auto"/>
        <w:tabs>
          <w:tab w:leader="none" w:pos="133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For purposes of this Section 6.01, references to "other enterprises" shall include employee benefit plans; references to "fines" shall include any excise taxes assessed on a person with respect to an employee benefit plan; and references to "serving at the request of the Corporation" shall include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 of the Corporation" as referred to in this section.</w:t>
      </w:r>
    </w:p>
    <w:p>
      <w:pPr>
        <w:spacing w:after="0" w:line="191" w:lineRule="exact"/>
        <w:rPr>
          <w:rFonts w:ascii="Arial" w:cs="Arial" w:eastAsia="Arial" w:hAnsi="Arial"/>
          <w:sz w:val="18"/>
          <w:szCs w:val="18"/>
          <w:color w:val="auto"/>
        </w:rPr>
      </w:pPr>
    </w:p>
    <w:p>
      <w:pPr>
        <w:jc w:val="both"/>
        <w:ind w:firstLine="653"/>
        <w:spacing w:after="0" w:line="262" w:lineRule="auto"/>
        <w:tabs>
          <w:tab w:leader="none" w:pos="14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6.01 shall, unless otherwise provided when authorized or ratified, continue as to a person who has ceased to be a director, officer, employee or agent and shall inure to the benefit of the heirs, executors and administrators of such a person.</w:t>
      </w:r>
    </w:p>
    <w:p>
      <w:pPr>
        <w:spacing w:after="0" w:line="182" w:lineRule="exact"/>
        <w:rPr>
          <w:rFonts w:ascii="Arial" w:cs="Arial" w:eastAsia="Arial" w:hAnsi="Arial"/>
          <w:sz w:val="18"/>
          <w:szCs w:val="18"/>
          <w:color w:val="auto"/>
        </w:rPr>
      </w:pPr>
    </w:p>
    <w:p>
      <w:pPr>
        <w:jc w:val="both"/>
        <w:ind w:firstLine="653"/>
        <w:spacing w:after="0" w:line="262" w:lineRule="auto"/>
        <w:tabs>
          <w:tab w:leader="none" w:pos="148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Corporation's obligation, if any, to indemnify or to advance expenses to any person who was or is serving at its request another corporation, partnership, joint venture, trust or other enterprise in any capacity shall be reduced by any amount such person may collect as indemnification or advancement of expenses from such other corporation, partnership, joint venture, trust or other enterprise.</w:t>
      </w:r>
    </w:p>
    <w:p>
      <w:pPr>
        <w:spacing w:after="0" w:line="182" w:lineRule="exact"/>
        <w:rPr>
          <w:rFonts w:ascii="Arial" w:cs="Arial" w:eastAsia="Arial" w:hAnsi="Arial"/>
          <w:sz w:val="18"/>
          <w:szCs w:val="18"/>
          <w:color w:val="auto"/>
        </w:rPr>
      </w:pPr>
    </w:p>
    <w:p>
      <w:pPr>
        <w:jc w:val="both"/>
        <w:ind w:right="20" w:firstLine="653"/>
        <w:spacing w:after="0" w:line="262" w:lineRule="auto"/>
        <w:tabs>
          <w:tab w:leader="none" w:pos="14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Any repeal or modification of the foregoing provisions of this Section 6.01 shall not adversely affect any right or protection hereunder of any person in respect of any proceeding (regardless of when such proceeding is first threatened, commenced or completed) arising out of, or related to, any act or omission occurring prior to the time of such repeal or modification.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CERTIFICATES OF STOCK</w:t>
      </w:r>
    </w:p>
    <w:p>
      <w:pPr>
        <w:spacing w:after="0" w:line="223" w:lineRule="exact"/>
        <w:rPr>
          <w:sz w:val="20"/>
          <w:szCs w:val="20"/>
          <w:color w:val="auto"/>
        </w:rPr>
      </w:pPr>
    </w:p>
    <w:p>
      <w:pPr>
        <w:jc w:val="both"/>
        <w:ind w:firstLine="1290"/>
        <w:spacing w:after="0" w:line="289"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Certificates</w:t>
      </w:r>
      <w:r>
        <w:rPr>
          <w:rFonts w:ascii="Arial" w:cs="Arial" w:eastAsia="Arial" w:hAnsi="Arial"/>
          <w:sz w:val="16"/>
          <w:szCs w:val="16"/>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of the Board of Directors, or the CEO, President or a Vice President, and by the Secretary or an Assistant Secretary, or the Treasurer or an Assistant Treasurer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2" w:name="page453"/>
    <w:bookmarkEnd w:id="452"/>
    <w:p>
      <w:pPr>
        <w:jc w:val="both"/>
        <w:ind w:firstLine="1290"/>
        <w:spacing w:after="0" w:line="275"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Transfer</w:t>
      </w:r>
      <w:r>
        <w:rPr>
          <w:rFonts w:ascii="Arial" w:cs="Arial" w:eastAsia="Arial" w:hAnsi="Arial"/>
          <w:sz w:val="18"/>
          <w:szCs w:val="18"/>
          <w:color w:val="auto"/>
        </w:rPr>
        <w:t>. The issue, transfer, conversion and registration of stock certificates or uncertificated shares shall be governed by such other regulations as the Board of Directors may establish.</w:t>
      </w:r>
    </w:p>
    <w:p>
      <w:pPr>
        <w:spacing w:after="0" w:line="171"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or uncertificated shares in the place of any certificate previously issued by it, alleged to have been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Fixing the Record Date</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86" w:lineRule="auto"/>
        <w:tabs>
          <w:tab w:leader="none" w:pos="1979" w:val="left"/>
        </w:tabs>
        <w:numPr>
          <w:ilvl w:val="0"/>
          <w:numId w:val="374"/>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9" w:lineRule="exact"/>
        <w:rPr>
          <w:rFonts w:ascii="Arial" w:cs="Arial" w:eastAsia="Arial" w:hAnsi="Arial"/>
          <w:sz w:val="16"/>
          <w:szCs w:val="16"/>
          <w:color w:val="auto"/>
        </w:rPr>
      </w:pPr>
    </w:p>
    <w:p>
      <w:pPr>
        <w:jc w:val="both"/>
        <w:ind w:firstLine="1298"/>
        <w:spacing w:after="0" w:line="295" w:lineRule="auto"/>
        <w:tabs>
          <w:tab w:leader="none" w:pos="2031" w:val="left"/>
        </w:tabs>
        <w:numPr>
          <w:ilvl w:val="0"/>
          <w:numId w:val="374"/>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3" w:name="page454"/>
    <w:bookmarkEnd w:id="453"/>
    <w:p>
      <w:pPr>
        <w:jc w:val="both"/>
        <w:ind w:firstLine="1298"/>
        <w:spacing w:after="0" w:line="269" w:lineRule="auto"/>
        <w:tabs>
          <w:tab w:leader="none" w:pos="2039" w:val="left"/>
        </w:tabs>
        <w:numPr>
          <w:ilvl w:val="0"/>
          <w:numId w:val="375"/>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express consent to corporate action in writing without a meeting at any time when the Priority Holders beneficially own, in the aggregate, at least 40% in voting power of the stock of the Corporation entitled to vote generally in the election of directors,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179"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shall be entitled to treat the holder of record of any share or shares of stock as the holder in fact thereof and accordingly shall not be bound to recognize any equitable or other claim or interest in such share on the part of any other person, whether or not it shall have express or other notice thereof, save as expressly provided by the laws of the State of Delaware.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of the Corporation, subject to the provisions of the Certificate of Incorporation.</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Before payment of any dividend there may be set aside out of any funds of the Corporation available for dividends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interests of the Corporation, and the directors may abolish any such reserve.</w:t>
      </w:r>
    </w:p>
    <w:p>
      <w:pPr>
        <w:spacing w:after="0" w:line="185"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as the Board of Directors may from time to time designate.</w:t>
      </w:r>
    </w:p>
    <w:p>
      <w:pPr>
        <w:spacing w:after="0" w:line="17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4" w:name="page455"/>
    <w:bookmarkEnd w:id="454"/>
    <w:p>
      <w:pPr>
        <w:jc w:val="both"/>
        <w:ind w:firstLine="1290"/>
        <w:spacing w:after="0" w:line="262"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provide for a corporate seal, which shall have the name of the Corporation inscribed thereon and shall otherwise be in such form as may be approved from time to time by the Board of Directors. Said seal may be used by causing it or a facsimile thereof to be impressed or affixed or reproduced or otherwise.</w:t>
      </w:r>
    </w:p>
    <w:p>
      <w:pPr>
        <w:spacing w:after="0" w:line="182"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Waiver of Notice</w:t>
      </w:r>
      <w:r>
        <w:rPr>
          <w:rFonts w:ascii="Arial" w:cs="Arial" w:eastAsia="Arial" w:hAnsi="Arial"/>
          <w:sz w:val="17"/>
          <w:szCs w:val="17"/>
          <w:color w:val="auto"/>
        </w:rPr>
        <w:t>. Whenever any notice is required to be given under applicable law or the Certificate of Incorporation or these Bylaws, a waiver thereof in writing, signed by the person or persons entitled to said notice, or a waiver by Electronic Transmission by the person entitled to notice, whether before or after the time stated therein, shall be deemed equivalent thereto.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w:t>
      </w:r>
    </w:p>
    <w:p>
      <w:pPr>
        <w:spacing w:after="0" w:line="22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amended or repealed, in whole or in part, or new Bylaws may be adopted by the Board or by the stockholders as expressly provided in the Certificate of Incorporation.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5" w:name="page456"/>
    <w:bookmarkEnd w:id="455"/>
    <w:p>
      <w:pPr>
        <w:jc w:val="right"/>
        <w:spacing w:after="0"/>
        <w:rPr>
          <w:sz w:val="20"/>
          <w:szCs w:val="20"/>
          <w:color w:val="auto"/>
        </w:rPr>
      </w:pPr>
      <w:r>
        <w:rPr>
          <w:rFonts w:ascii="Arial" w:cs="Arial" w:eastAsia="Arial" w:hAnsi="Arial"/>
          <w:sz w:val="22"/>
          <w:szCs w:val="22"/>
          <w:b w:val="1"/>
          <w:bCs w:val="1"/>
          <w:color w:val="auto"/>
        </w:rPr>
        <w:t>Annex G</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w:t>
      </w:r>
    </w:p>
    <w:p>
      <w:pPr>
        <w:spacing w:after="0" w:line="209" w:lineRule="exact"/>
        <w:rPr>
          <w:sz w:val="20"/>
          <w:szCs w:val="20"/>
          <w:color w:val="auto"/>
        </w:rPr>
      </w:pPr>
    </w:p>
    <w:p>
      <w:pPr>
        <w:ind w:left="340" w:hanging="332"/>
        <w:spacing w:after="0"/>
        <w:tabs>
          <w:tab w:leader="none" w:pos="340" w:val="left"/>
        </w:tabs>
        <w:numPr>
          <w:ilvl w:val="0"/>
          <w:numId w:val="376"/>
        </w:numPr>
        <w:rPr>
          <w:rFonts w:ascii="Arial" w:cs="Arial" w:eastAsia="Arial" w:hAnsi="Arial"/>
          <w:sz w:val="18"/>
          <w:szCs w:val="18"/>
          <w:color w:val="auto"/>
        </w:rPr>
      </w:pPr>
      <w:r>
        <w:rPr>
          <w:rFonts w:ascii="Arial" w:cs="Arial" w:eastAsia="Arial" w:hAnsi="Arial"/>
          <w:sz w:val="18"/>
          <w:szCs w:val="18"/>
          <w:i w:val="1"/>
          <w:iCs w:val="1"/>
          <w:color w:val="auto"/>
        </w:rPr>
        <w:t>Purpose; Establishment.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Priority Technology Holdings, Inc.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intended to promote the interests of the Company and its stockholders by providing employees, directors and consultants of the Company and its affiliates with appropriate incentives and rewards to encourage them to enter into and continue in the employ or service of the Company and its affiliates and to acquire a proprietary interest in the long-term success of the Company.</w:t>
      </w:r>
    </w:p>
    <w:p>
      <w:pPr>
        <w:spacing w:after="0" w:line="185" w:lineRule="exact"/>
        <w:rPr>
          <w:sz w:val="20"/>
          <w:szCs w:val="20"/>
          <w:color w:val="auto"/>
        </w:rPr>
      </w:pPr>
    </w:p>
    <w:p>
      <w:pPr>
        <w:ind w:left="340" w:hanging="332"/>
        <w:spacing w:after="0"/>
        <w:tabs>
          <w:tab w:leader="none" w:pos="340" w:val="left"/>
        </w:tabs>
        <w:numPr>
          <w:ilvl w:val="0"/>
          <w:numId w:val="377"/>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definitions apply to the terms indicated below:</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any entity controlled by, controlling or under common control with the Company.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shall mean any Option, Stock Appreciation Right, Restricted Stock, Restricted Stock Unit, Stock Bonus or Other Award granted pursuant to the terms of the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shall mean the agreement, instrument or documentation evidencing an Award.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Price</w:t>
      </w:r>
      <w:r>
        <w:rPr>
          <w:rFonts w:ascii="Arial" w:cs="Arial" w:eastAsia="Arial" w:hAnsi="Arial"/>
          <w:sz w:val="18"/>
          <w:szCs w:val="18"/>
          <w:color w:val="auto"/>
        </w:rPr>
        <w:t>” shall have the meaning provided in Section 8(a) of the Plan.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3" w:lineRule="exact"/>
        <w:rPr>
          <w:sz w:val="20"/>
          <w:szCs w:val="20"/>
          <w:color w:val="auto"/>
        </w:rPr>
      </w:pPr>
    </w:p>
    <w:p>
      <w:pPr>
        <w:jc w:val="both"/>
        <w:ind w:firstLine="64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mean, unless otherwise specified in the Participant’s Award Agreement: (a) in the case where there is no employment agreement, consulting agreement, change in control agreement or similar agreement in effect between the Company or any of its Affiliates and the Participant at the time of the grant of the Award (or where there is such an agreement but it does not define “cause” (or words of like import)), (i) the Participant’s failure (other than as a result of incapacity due to mental or physical impairment) to perform his or her material duties for the Company or the Affiliate by which the Participant is employed or retained to the reasonable satisfaction of the Administrator, (ii) conduct by the Participant in connection with the Participant’s duties that is fraudulent or constitutes willful misconduct or gross negligence or is otherwise materially injurious to the Company or any of its Affiliates, (iii) a material breach by the Participant of the Participant’s fiduciary duty or duty of loyalty to the Company or any of its Affiliates which demonstrably results in financial harm to the Company or Affiliate, (iv) the Participant’s misappropriation of funds or other property of the Company or any of its Affiliates or other acts of dishonesty resulting or intending to result in personal gain or enrichment at the expense of the Company or any Affiliate, (v) the plea of guilty by the Participant to or conviction of the Participant for the commission of a felony or a misdemeanor (excluding petty offenses) involving fraud, dishonesty or moral turpitude, (vi) the Participant’s breach of his or her restrictive covenant obligations, or (vii) the conduct by the Participant which is a material violation of an applicable policy of the Company or any of its Affiliates; or (ii) in the case where there is an employment agreement, consulting agreement, change in control agreement or similar agreement in effect between the Company or any of its Affiliates and the Participant at the time of the grant of the Award that defines “cause” (or words of like import), “cause” as defined under such agreement. Notwithstanding the foregoing, with respect to a Director, “Cause” shall mean, unless otherwise specified in the Director’s Award Agreement, an act or failure to act that constitutes cause for removal of a director under applicable Delaware law.</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w:t>
      </w:r>
    </w:p>
    <w:p>
      <w:pPr>
        <w:spacing w:after="0" w:line="223" w:lineRule="exact"/>
        <w:rPr>
          <w:sz w:val="20"/>
          <w:szCs w:val="20"/>
          <w:color w:val="auto"/>
        </w:rPr>
      </w:pPr>
    </w:p>
    <w:p>
      <w:pPr>
        <w:ind w:left="1180" w:hanging="527"/>
        <w:spacing w:after="0"/>
        <w:tabs>
          <w:tab w:leader="none" w:pos="118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Any Person becomes the beneficial owner (within the meaning of Rule 13d-3 promulgated under the Exchange Act) of 50% or more of either</w:t>
      </w:r>
    </w:p>
    <w:p>
      <w:pPr>
        <w:spacing w:after="0" w:line="45" w:lineRule="exact"/>
        <w:rPr>
          <w:rFonts w:ascii="Arial" w:cs="Arial" w:eastAsia="Arial" w:hAnsi="Arial"/>
          <w:sz w:val="16"/>
          <w:szCs w:val="16"/>
          <w:color w:val="auto"/>
        </w:rPr>
      </w:pPr>
    </w:p>
    <w:p>
      <w:pPr>
        <w:jc w:val="both"/>
        <w:ind w:firstLine="8"/>
        <w:spacing w:after="0" w:line="270" w:lineRule="auto"/>
        <w:tabs>
          <w:tab w:leader="none" w:pos="226"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then-outstanding shares of Company Stock (the “</w:t>
      </w:r>
      <w:r>
        <w:rPr>
          <w:rFonts w:ascii="Arial" w:cs="Arial" w:eastAsia="Arial" w:hAnsi="Arial"/>
          <w:sz w:val="17"/>
          <w:szCs w:val="17"/>
          <w:b w:val="1"/>
          <w:bCs w:val="1"/>
          <w:i w:val="1"/>
          <w:iCs w:val="1"/>
          <w:color w:val="auto"/>
        </w:rPr>
        <w:t>Outstanding Company Common Stock</w:t>
      </w:r>
      <w:r>
        <w:rPr>
          <w:rFonts w:ascii="Arial" w:cs="Arial" w:eastAsia="Arial" w:hAnsi="Arial"/>
          <w:sz w:val="17"/>
          <w:szCs w:val="17"/>
          <w:color w:val="auto"/>
        </w:rPr>
        <w:t>”) or (ii) the combined voting power of the then-outstanding voting securities of the Company entitled to vote generally in the election of Directors (the “</w:t>
      </w:r>
      <w:r>
        <w:rPr>
          <w:rFonts w:ascii="Arial" w:cs="Arial" w:eastAsia="Arial" w:hAnsi="Arial"/>
          <w:sz w:val="17"/>
          <w:szCs w:val="17"/>
          <w:b w:val="1"/>
          <w:bCs w:val="1"/>
          <w:i w:val="1"/>
          <w:iCs w:val="1"/>
          <w:color w:val="auto"/>
        </w:rPr>
        <w:t>Outstanding Company Voting 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clause (a), the following acquisitions shall not constitute a Change in Control: (A) any acquisition directly from the Company, (B) any acquisition by the Company, (C) any acquisition by any employee benefit plan (or related trust) sponsored or maintained by the Company or any of its Affiliates, or (D) any acquisition pursuant to a transaction that complies with clause (c)(i), (c)(ii) and (c)(iii);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7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56" w:name="page457"/>
    <w:bookmarkEnd w:id="456"/>
    <w:p>
      <w:pPr>
        <w:jc w:val="both"/>
        <w:ind w:firstLine="653"/>
        <w:spacing w:after="0" w:line="272" w:lineRule="auto"/>
        <w:tabs>
          <w:tab w:leader="none" w:pos="1218" w:val="left"/>
        </w:tabs>
        <w:numPr>
          <w:ilvl w:val="0"/>
          <w:numId w:val="380"/>
        </w:numPr>
        <w:rPr>
          <w:rFonts w:ascii="Arial" w:cs="Arial" w:eastAsia="Arial" w:hAnsi="Arial"/>
          <w:sz w:val="17"/>
          <w:szCs w:val="17"/>
          <w:color w:val="auto"/>
        </w:rPr>
      </w:pPr>
      <w:r>
        <w:rPr>
          <w:rFonts w:ascii="Arial" w:cs="Arial" w:eastAsia="Arial" w:hAnsi="Arial"/>
          <w:sz w:val="17"/>
          <w:szCs w:val="17"/>
          <w:color w:val="auto"/>
        </w:rPr>
        <w:t>During any 12-month period beginning on or after the Effective Date, individuals who, at the beginning of such period, constitute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individual becoming a Director whose election, or nomination for election by the Company’s stockholders, was approved by a vote of at least a majority of the Directors then comprising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76" w:lineRule="exact"/>
        <w:rPr>
          <w:rFonts w:ascii="Arial" w:cs="Arial" w:eastAsia="Arial" w:hAnsi="Arial"/>
          <w:sz w:val="17"/>
          <w:szCs w:val="17"/>
          <w:color w:val="auto"/>
        </w:rPr>
      </w:pPr>
    </w:p>
    <w:p>
      <w:pPr>
        <w:jc w:val="both"/>
        <w:ind w:firstLine="653"/>
        <w:spacing w:after="0" w:line="284" w:lineRule="auto"/>
        <w:tabs>
          <w:tab w:leader="none" w:pos="1188" w:val="left"/>
        </w:tabs>
        <w:numPr>
          <w:ilvl w:val="0"/>
          <w:numId w:val="380"/>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any employee benefit plan (or related trust) of the Company or such entity resulting from such Business Combination) beneficially owns, directly or indirectly, 50%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(iii)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72" w:lineRule="exact"/>
        <w:rPr>
          <w:rFonts w:ascii="Arial" w:cs="Arial" w:eastAsia="Arial" w:hAnsi="Arial"/>
          <w:sz w:val="16"/>
          <w:szCs w:val="16"/>
          <w:color w:val="auto"/>
        </w:rPr>
      </w:pPr>
    </w:p>
    <w:p>
      <w:pPr>
        <w:ind w:left="1160" w:hanging="507"/>
        <w:spacing w:after="0"/>
        <w:tabs>
          <w:tab w:leader="none" w:pos="1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3"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shall mean the Internal Revenue Code of 1986, as amended from time to time, and any regulations promulgated thereunder. Reference to any specific section of the Code shall be deemed to include such regulations and guidance, as well as any successor provision of the Code.</w:t>
      </w:r>
    </w:p>
    <w:p>
      <w:pPr>
        <w:spacing w:after="0" w:line="14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xml:space="preserve">” shall mean a committee of the Board, which shall consist of two or more persons, each of whom shall qualify as a “non-employee director” within the meaning of Rule 16b-3 of the Exchange Act and is “independent director” within the rules of the NASDAQ Stock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appointed Committee does not meet such requirements, such noncompliance shall not affect the validity of the Awards granted by, the interpretations of, or other actions by, the Committee.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Priority Technology Holdings, Inc., a Delaware corporation.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w:t>
      </w:r>
      <w:r>
        <w:rPr>
          <w:rFonts w:ascii="Arial" w:cs="Arial" w:eastAsia="Arial" w:hAnsi="Arial"/>
          <w:sz w:val="18"/>
          <w:szCs w:val="18"/>
          <w:color w:val="auto"/>
        </w:rPr>
        <w:t>” shall mean the common stock of the Company, par value $0.01 per share.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shall mean any consultant or adviser to the Company or any of its Affiliates who is a natural person.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7" w:name="page458"/>
    <w:bookmarkEnd w:id="4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shall mean a member of the Board.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have the meaning provided in Section 22 of the Plan.</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Individual</w:t>
      </w:r>
      <w:r>
        <w:rPr>
          <w:rFonts w:ascii="Arial" w:cs="Arial" w:eastAsia="Arial" w:hAnsi="Arial"/>
          <w:sz w:val="18"/>
          <w:szCs w:val="18"/>
          <w:color w:val="auto"/>
        </w:rPr>
        <w:t>” means a Director, Employee or Consultant, and any prospective Employee or Consultant who has accepted an offer of employment or consultancy from the Company or any of its Affiliates.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shall mean any officer or other employee of the Company or any of its Affiliates.</w:t>
      </w:r>
    </w:p>
    <w:p>
      <w:pPr>
        <w:spacing w:after="0" w:line="223"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shall mean the Securities Exchange Act of 1934, as amended from time to time. Reference to any specific section of the Exchange Act shall be deemed to include such regulations and guidance issued thereunder, as well as any successor provision of the Exchange 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shall have the meaning provided in Section 7(b) of the Plan.</w:t>
      </w:r>
    </w:p>
    <w:p>
      <w:pPr>
        <w:spacing w:after="0" w:line="22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with respect to a share of Company Stock, on a particular date (a) the closing price of Company Stock as reported by the NASDAQ Stock Market (or other national securities exchange or national market system as may at the applicable time be the principal market for the Common Stock), or if there is no trading of Company Stock on such date, such price on the next preceding date on which there was trading in of Company Stock or (b) if the shares of Company Stock are then traded in an over-the-counter market, the average of the closing bid and asked prices for the shares of Company Stock in such over-the-counter market for the last preceding date on which there was a sale of such Stock in such market, or (c) if the shares of Company Stock are not then listed on a national securities exchange or national market system, or are not then traded in an over-the-counter market, such value as the Committee, in its discretion, shall determine in good faith using a reasonable method in accordance with Section 409A or Section 422 of the Code, as applicable.</w:t>
      </w:r>
    </w:p>
    <w:p>
      <w:pPr>
        <w:spacing w:after="0" w:line="190"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shall mean an Option that qualifies as an “incentive stock option” within the meaning of Section 422 of the Code, and which is designated in the applicable Award Agreement as an Incentive Stock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shall mean an Option other than an Incentive Stock Option.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shall mean an Award granted pursuant to Section 7 of an option to purchase shares of Company Stock.</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w:t>
      </w:r>
      <w:r>
        <w:rPr>
          <w:rFonts w:ascii="Arial" w:cs="Arial" w:eastAsia="Arial" w:hAnsi="Arial"/>
          <w:sz w:val="18"/>
          <w:szCs w:val="18"/>
          <w:color w:val="auto"/>
        </w:rPr>
        <w:t>” shall mean an Award granted pursuant to Section 12 hereof valued in whole or in part by reference to, or otherwise based on, Company Stock, including but not limited to unrestricted stock and dividend equivalents.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Individual to whom an Award is granted pursuant to the Plan.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entity or group within the meaning of Section 13(d)(3) or 14(d)(2) of the Exchange Act.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shall mean an Award granted pursuant to Section 9 of a share of Company Stock that is subject to restrictions as set forth in Section 9(d).</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shall mean an Award granted pursuant to Section 10 of a right to receive the Fair Market Value of a share of Company Stock, paid in either Company Stock or cash.</w:t>
      </w:r>
    </w:p>
    <w:p>
      <w:pPr>
        <w:spacing w:after="0" w:line="171"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shall mean the Securities Act of 1933, as amended from time to time. Reference to any specific section of the Securities Act shall be deemed to include such regulations and guidance issued thereunder, as well as any successor provision of the Securities Act.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8" w:name="page459"/>
    <w:bookmarkEnd w:id="458"/>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shall mean an Award granted pursuant to Section 8 of a right to receive, upon exercise of the right, the applicable amounts as described in Section 8(c).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Bonus</w:t>
      </w:r>
      <w:r>
        <w:rPr>
          <w:rFonts w:ascii="Arial" w:cs="Arial" w:eastAsia="Arial" w:hAnsi="Arial"/>
          <w:sz w:val="18"/>
          <w:szCs w:val="18"/>
          <w:color w:val="auto"/>
        </w:rPr>
        <w:t>” shall mean an Award granted pursuant to Section 11 of a bonus payable in shares of Company Stock.</w:t>
      </w:r>
    </w:p>
    <w:p>
      <w:pPr>
        <w:spacing w:after="0" w:line="223"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shall mean, except as otherwise provided in an Award Agreement: (a) with respect to an Employee, a termination of employment from the Company and its Affiliates; (b) with respect to a Consultant, that the Consultant is no longer acting as a Consultant to the Company or any of its Affiliates; and (c) with respect to a Director, that the Director is no longer serving as a Director. Unless otherwise determined by the Committee: (i) if a Participant’s employment, consultancy or directorship with the Company and its Affiliates terminates but such Participant continues to provide services to the Company and its Affiliates in a different capacity as an Eligible Individual, such change in status shall not be deemed a Termination of Service, and (ii) a Participant employed by, or performing services for, an entity that is an Affiliate of the Company shall be deemed to incur a Termination of Service if such entity ceases to be an Affiliate of the Company for any reason (including, without limitation, as a result of a public offering, or a spinoff or sale by the Company) unless the Participant immediately thereafter becomes an Employee, Director or Consultant of the Company or an Affiliate of the Company. A Participant’s approved absence or leave, or transfer among the Company and its Affiliates, shall not be considered a Termination of Service. With respect to any Award that constitutes a “nonqualified deferred compensation plan” within the meaning of Section 409A of the Code, a “Termination of Service” for purposes of payment or delivery of an Award shall mean a “separation from service” as defined under Section 409A of the Code.</w:t>
      </w:r>
    </w:p>
    <w:p>
      <w:pPr>
        <w:spacing w:after="0" w:line="169" w:lineRule="exact"/>
        <w:rPr>
          <w:sz w:val="20"/>
          <w:szCs w:val="20"/>
          <w:color w:val="auto"/>
        </w:rPr>
      </w:pPr>
    </w:p>
    <w:p>
      <w:pPr>
        <w:ind w:left="340" w:hanging="332"/>
        <w:spacing w:after="0"/>
        <w:tabs>
          <w:tab w:leader="none" w:pos="340" w:val="left"/>
        </w:tabs>
        <w:numPr>
          <w:ilvl w:val="0"/>
          <w:numId w:val="381"/>
        </w:numPr>
        <w:rPr>
          <w:rFonts w:ascii="Arial" w:cs="Arial" w:eastAsia="Arial" w:hAnsi="Arial"/>
          <w:sz w:val="18"/>
          <w:szCs w:val="18"/>
          <w:color w:val="auto"/>
        </w:rPr>
      </w:pPr>
      <w:r>
        <w:rPr>
          <w:rFonts w:ascii="Arial" w:cs="Arial" w:eastAsia="Arial" w:hAnsi="Arial"/>
          <w:sz w:val="18"/>
          <w:szCs w:val="18"/>
          <w:i w:val="1"/>
          <w:iCs w:val="1"/>
          <w:color w:val="auto"/>
        </w:rPr>
        <w:t>Stock Subject to the Plan.</w:t>
      </w:r>
    </w:p>
    <w:p>
      <w:pPr>
        <w:spacing w:after="0" w:line="223" w:lineRule="exact"/>
        <w:rPr>
          <w:rFonts w:ascii="Arial" w:cs="Arial" w:eastAsia="Arial" w:hAnsi="Arial"/>
          <w:sz w:val="18"/>
          <w:szCs w:val="18"/>
          <w:color w:val="auto"/>
        </w:rPr>
      </w:pPr>
    </w:p>
    <w:p>
      <w:pPr>
        <w:jc w:val="both"/>
        <w:ind w:firstLine="1056"/>
        <w:spacing w:after="0" w:line="254" w:lineRule="auto"/>
        <w:tabs>
          <w:tab w:leader="none" w:pos="1561" w:val="left"/>
        </w:tabs>
        <w:numPr>
          <w:ilvl w:val="1"/>
          <w:numId w:val="381"/>
        </w:numPr>
        <w:rPr>
          <w:rFonts w:ascii="Arial" w:cs="Arial" w:eastAsia="Arial" w:hAnsi="Arial"/>
          <w:sz w:val="18"/>
          <w:szCs w:val="18"/>
          <w:color w:val="auto"/>
        </w:rPr>
      </w:pPr>
      <w:r>
        <w:rPr>
          <w:rFonts w:ascii="Arial" w:cs="Arial" w:eastAsia="Arial" w:hAnsi="Arial"/>
          <w:sz w:val="18"/>
          <w:szCs w:val="18"/>
          <w:i w:val="1"/>
          <w:iCs w:val="1"/>
          <w:color w:val="auto"/>
        </w:rPr>
        <w:t>Shares Available for Awards; Individual Limitations</w:t>
      </w:r>
      <w:r>
        <w:rPr>
          <w:rFonts w:ascii="Arial" w:cs="Arial" w:eastAsia="Arial" w:hAnsi="Arial"/>
          <w:sz w:val="18"/>
          <w:szCs w:val="18"/>
          <w:color w:val="auto"/>
        </w:rPr>
        <w:t>. The maximum number of shares of Company Stock reserved for issuance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 shall be 10% of our Common Stock outstanding immediately following consummation of the Business Combination shares (subject to adjustment as provided by Section 3(b));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more than [•] shares of Company Stock may be granted as Incentive Stock Options. Any shares of Company Stock granted in connection with Options and Stock Appreciation Rights shall be counted against this limit as one share of Company Stock for every one Option or Stock Appreciation Right awarded. Such shares of Company Stock may be authorized but unissued shares of Company Stock or authorized and issued shares of Company Stock held in the Company’s treasury.</w:t>
      </w:r>
    </w:p>
    <w:p>
      <w:pPr>
        <w:spacing w:after="0" w:line="191" w:lineRule="exact"/>
        <w:rPr>
          <w:rFonts w:ascii="Arial" w:cs="Arial" w:eastAsia="Arial" w:hAnsi="Arial"/>
          <w:sz w:val="18"/>
          <w:szCs w:val="18"/>
          <w:color w:val="auto"/>
        </w:rPr>
      </w:pPr>
    </w:p>
    <w:p>
      <w:pPr>
        <w:ind w:left="1580" w:hanging="524"/>
        <w:spacing w:after="0"/>
        <w:tabs>
          <w:tab w:leader="none" w:pos="1580" w:val="left"/>
        </w:tabs>
        <w:numPr>
          <w:ilvl w:val="1"/>
          <w:numId w:val="381"/>
        </w:numPr>
        <w:rPr>
          <w:rFonts w:ascii="Arial" w:cs="Arial" w:eastAsia="Arial" w:hAnsi="Arial"/>
          <w:sz w:val="18"/>
          <w:szCs w:val="18"/>
          <w:color w:val="auto"/>
        </w:rPr>
      </w:pPr>
      <w:r>
        <w:rPr>
          <w:rFonts w:ascii="Arial" w:cs="Arial" w:eastAsia="Arial" w:hAnsi="Arial"/>
          <w:sz w:val="18"/>
          <w:szCs w:val="18"/>
          <w:i w:val="1"/>
          <w:iCs w:val="1"/>
          <w:color w:val="auto"/>
        </w:rPr>
        <w:t>Adjustment for Change in Capitalization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660" w:firstLine="638"/>
        <w:spacing w:after="0" w:line="253" w:lineRule="auto"/>
        <w:tabs>
          <w:tab w:leader="none" w:pos="1831" w:val="left"/>
        </w:tabs>
        <w:numPr>
          <w:ilvl w:val="2"/>
          <w:numId w:val="381"/>
        </w:numPr>
        <w:rPr>
          <w:rFonts w:ascii="Arial" w:cs="Arial" w:eastAsia="Arial" w:hAnsi="Arial"/>
          <w:sz w:val="18"/>
          <w:szCs w:val="18"/>
          <w:color w:val="auto"/>
        </w:rPr>
      </w:pPr>
      <w:r>
        <w:rPr>
          <w:rFonts w:ascii="Arial" w:cs="Arial" w:eastAsia="Arial" w:hAnsi="Arial"/>
          <w:sz w:val="18"/>
          <w:szCs w:val="18"/>
          <w:color w:val="auto"/>
        </w:rPr>
        <w:t>In the event of a merger, consolidation, acquisition of property or shares, stock rights offering, liquidation, or similar event affecting the Company or any of its subsidiaries (each, a “</w:t>
      </w:r>
      <w:r>
        <w:rPr>
          <w:rFonts w:ascii="Arial" w:cs="Arial" w:eastAsia="Arial" w:hAnsi="Arial"/>
          <w:sz w:val="18"/>
          <w:szCs w:val="18"/>
          <w:b w:val="1"/>
          <w:bCs w:val="1"/>
          <w:i w:val="1"/>
          <w:iCs w:val="1"/>
          <w:color w:val="auto"/>
        </w:rPr>
        <w:t>Corporate Event</w:t>
      </w:r>
      <w:r>
        <w:rPr>
          <w:rFonts w:ascii="Arial" w:cs="Arial" w:eastAsia="Arial" w:hAnsi="Arial"/>
          <w:sz w:val="18"/>
          <w:szCs w:val="18"/>
          <w:color w:val="auto"/>
        </w:rPr>
        <w:t>”) or a stock dividend, stock split, reverse stock split, separation, spinoff, reorganization, extraordinary dividend of cash or other property, share combination, or recapitalization or similar event affecting the capital structure of the Company (each, a “</w:t>
      </w:r>
      <w:r>
        <w:rPr>
          <w:rFonts w:ascii="Arial" w:cs="Arial" w:eastAsia="Arial" w:hAnsi="Arial"/>
          <w:sz w:val="18"/>
          <w:szCs w:val="18"/>
          <w:b w:val="1"/>
          <w:bCs w:val="1"/>
          <w:i w:val="1"/>
          <w:iCs w:val="1"/>
          <w:color w:val="auto"/>
        </w:rPr>
        <w:t>Share Change</w:t>
      </w:r>
      <w:r>
        <w:rPr>
          <w:rFonts w:ascii="Arial" w:cs="Arial" w:eastAsia="Arial" w:hAnsi="Arial"/>
          <w:sz w:val="18"/>
          <w:szCs w:val="18"/>
          <w:color w:val="auto"/>
        </w:rPr>
        <w:t>”), the Committee or the Board shall make such equitable and appropriate substitutions or adjustments to (A) the aggregate number and kind of shares of Company Stock or other securities reserved for issuance and delivery under the Plan, (B) the various maximum limitations set forth in Section 3(a) upon certain types of Awards and upon the grants to individuals of certain types of Awards, (C) the number and kind of shares of Company Stock or other securities subject to outstanding Awards and (D) the Exercise Price or Base Price of outstanding Awards.</w:t>
      </w:r>
    </w:p>
    <w:p>
      <w:pPr>
        <w:spacing w:after="0" w:line="190" w:lineRule="exact"/>
        <w:rPr>
          <w:rFonts w:ascii="Arial" w:cs="Arial" w:eastAsia="Arial" w:hAnsi="Arial"/>
          <w:sz w:val="18"/>
          <w:szCs w:val="18"/>
          <w:color w:val="auto"/>
        </w:rPr>
      </w:pPr>
    </w:p>
    <w:p>
      <w:pPr>
        <w:jc w:val="both"/>
        <w:ind w:left="660" w:firstLine="638"/>
        <w:spacing w:after="0" w:line="285" w:lineRule="auto"/>
        <w:tabs>
          <w:tab w:leader="none" w:pos="1936" w:val="left"/>
        </w:tabs>
        <w:numPr>
          <w:ilvl w:val="2"/>
          <w:numId w:val="381"/>
        </w:numPr>
        <w:rPr>
          <w:rFonts w:ascii="Arial" w:cs="Arial" w:eastAsia="Arial" w:hAnsi="Arial"/>
          <w:sz w:val="16"/>
          <w:szCs w:val="16"/>
          <w:color w:val="auto"/>
        </w:rPr>
      </w:pPr>
      <w:r>
        <w:rPr>
          <w:rFonts w:ascii="Arial" w:cs="Arial" w:eastAsia="Arial" w:hAnsi="Arial"/>
          <w:sz w:val="16"/>
          <w:szCs w:val="16"/>
          <w:color w:val="auto"/>
        </w:rPr>
        <w:t>In the case of Corporate Events, such adjustments may include, without limitation, (A) the cancellation of outstanding Awards in exchange for payments of cash, securities or other property or a combination thereof having an aggregate value equal to the value of such Awards, as determined by the Committee or the Board, in its discretion (it being understood that in the case of a Corporate Event with respect to which stockholders receive consideration other than publicly-traded equity securities of the ultimate surviving entity, any such determination by the Committee that the value of an Option or Stock Appreciation Right shall for this purpose be deemed to equal the excess, if any, of the value of the consideration being paid for each share of Company Stock pursuant to such Corporate Event over the Exercise Price of such Option or the Base Price of such Stock Appreciation Right shall conclusively be deemed valid), (B) the substitution of securities or other property (including, without limitation, cash or other securities of the Company and securities of entities other than the Company) for the shares of Company Stock subject to outstanding Awards and (C) in connection with a sale of a subsidiary, Affiliate, or division, arranging for the assumption of Awards, or replacement of Awards with new awards based on securities or other property (including, without limitation, other securities of the Company and securities of entities other than the Company), by the affected subsidiary, Affiliate, or division or by the entity that controls such subsidiary, Affiliate, or division following such Corporate Event (as well as any corresponding adjustments to Awards that remain based upon Company Stock).</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9" w:name="page460"/>
    <w:bookmarkEnd w:id="459"/>
    <w:p>
      <w:pPr>
        <w:jc w:val="both"/>
        <w:ind w:left="660" w:firstLine="638"/>
        <w:spacing w:after="0" w:line="270" w:lineRule="auto"/>
        <w:tabs>
          <w:tab w:leader="none" w:pos="2014" w:val="left"/>
        </w:tabs>
        <w:numPr>
          <w:ilvl w:val="2"/>
          <w:numId w:val="382"/>
        </w:numPr>
        <w:rPr>
          <w:rFonts w:ascii="Arial" w:cs="Arial" w:eastAsia="Arial" w:hAnsi="Arial"/>
          <w:sz w:val="17"/>
          <w:szCs w:val="17"/>
          <w:color w:val="auto"/>
        </w:rPr>
      </w:pPr>
      <w:r>
        <w:rPr>
          <w:rFonts w:ascii="Arial" w:cs="Arial" w:eastAsia="Arial" w:hAnsi="Arial"/>
          <w:sz w:val="17"/>
          <w:szCs w:val="17"/>
          <w:color w:val="auto"/>
        </w:rPr>
        <w:t>The Committee may, in its discretion, adjust any performance-based vesting conditions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filings with the Securities and Exchange Commission. If the Committee determines that a change in the business, operations, corporate structure or capital structure of the Company or the applicable subsidiary, division or other operational unit of, or the manner in which any of the foregoing conducts its business, or other events or circumstances render any performance-based vesting conditions to be unsuitable, the Committee may modify such conditions or the related minimum acceptable level of achievement, in whole or in part, as the Committee deems appropriate and equitable.</w:t>
      </w:r>
    </w:p>
    <w:p>
      <w:pPr>
        <w:spacing w:after="0" w:line="176" w:lineRule="exact"/>
        <w:rPr>
          <w:rFonts w:ascii="Arial" w:cs="Arial" w:eastAsia="Arial" w:hAnsi="Arial"/>
          <w:sz w:val="17"/>
          <w:szCs w:val="17"/>
          <w:color w:val="auto"/>
        </w:rPr>
      </w:pPr>
    </w:p>
    <w:p>
      <w:pPr>
        <w:jc w:val="both"/>
        <w:ind w:firstLine="1056"/>
        <w:spacing w:after="0" w:line="268" w:lineRule="auto"/>
        <w:tabs>
          <w:tab w:leader="none" w:pos="1574" w:val="left"/>
        </w:tabs>
        <w:numPr>
          <w:ilvl w:val="1"/>
          <w:numId w:val="383"/>
        </w:numPr>
        <w:rPr>
          <w:rFonts w:ascii="Arial" w:cs="Arial" w:eastAsia="Arial" w:hAnsi="Arial"/>
          <w:sz w:val="17"/>
          <w:szCs w:val="17"/>
          <w:color w:val="auto"/>
        </w:rPr>
      </w:pPr>
      <w:r>
        <w:rPr>
          <w:rFonts w:ascii="Arial" w:cs="Arial" w:eastAsia="Arial" w:hAnsi="Arial"/>
          <w:sz w:val="17"/>
          <w:szCs w:val="17"/>
          <w:i w:val="1"/>
          <w:iCs w:val="1"/>
          <w:color w:val="auto"/>
        </w:rPr>
        <w:t>Reuse of Shares</w:t>
      </w:r>
      <w:r>
        <w:rPr>
          <w:rFonts w:ascii="Arial" w:cs="Arial" w:eastAsia="Arial" w:hAnsi="Arial"/>
          <w:sz w:val="17"/>
          <w:szCs w:val="17"/>
          <w:color w:val="auto"/>
        </w:rPr>
        <w:t>. If any shares of Company Stock subject to an Award are forfeited, cancelled, exchanged or surrendered, or if an Award</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terminates or expires without the issuance or distribution of shares of Company Stock to the Participant, the shares of Company Stock with respect to such Award shall, to the extent of any such forfeiture, cancellation, exchange, surrender, termination or expiration, again be available for Awards under the Plan. Notwithstanding the foregoing, shares of Company Stock that are exchanged by a Participant or withheld by the Company as full or partial payment in connection with any Award under the Plan, as well as any shares of Company Stock exchanged by a Participant or withheld by the Company or any Affiliate to satisfy the tax withholding obligations related to any Award under the Plan, shall be available for subsequent Awards under the Plan, and notwithstanding that a Stock Appreciation Right is settled by the delivery of a net number of shares of Company Stock, the full number of shares of Company Stock underlying such Stock Appreciation Right shall not be available for subsequent Awards under the Plan. To the extent an Award is paid or settled in cash, the number of shares of Company Stock with respect to which such payment or settlement is made shall again be available for grants of Awards pursuant to the Plan. Shares of Company Stock underlying Awards that can only be settled in cash shall not be counted against the aggregate number of shares of Company Stock available for Awards under the Plan.</w:t>
      </w:r>
    </w:p>
    <w:p>
      <w:pPr>
        <w:spacing w:after="0" w:line="179" w:lineRule="exact"/>
        <w:rPr>
          <w:rFonts w:ascii="Arial" w:cs="Arial" w:eastAsia="Arial" w:hAnsi="Arial"/>
          <w:sz w:val="17"/>
          <w:szCs w:val="17"/>
          <w:color w:val="auto"/>
        </w:rPr>
      </w:pPr>
    </w:p>
    <w:p>
      <w:pPr>
        <w:ind w:left="340" w:hanging="332"/>
        <w:spacing w:after="0"/>
        <w:tabs>
          <w:tab w:leader="none" w:pos="340"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223" w:lineRule="exact"/>
        <w:rPr>
          <w:rFonts w:ascii="Arial" w:cs="Arial" w:eastAsia="Arial" w:hAnsi="Arial"/>
          <w:sz w:val="18"/>
          <w:szCs w:val="18"/>
          <w:color w:val="auto"/>
        </w:rPr>
      </w:pPr>
    </w:p>
    <w:p>
      <w:pPr>
        <w:jc w:val="both"/>
        <w:ind w:firstLine="1056"/>
        <w:spacing w:after="0" w:line="282" w:lineRule="auto"/>
        <w:tabs>
          <w:tab w:leader="none" w:pos="1568" w:val="left"/>
        </w:tabs>
        <w:numPr>
          <w:ilvl w:val="1"/>
          <w:numId w:val="384"/>
        </w:numPr>
        <w:rPr>
          <w:rFonts w:ascii="Arial" w:cs="Arial" w:eastAsia="Arial" w:hAnsi="Arial"/>
          <w:sz w:val="16"/>
          <w:szCs w:val="16"/>
          <w:color w:val="auto"/>
        </w:rPr>
      </w:pPr>
      <w:r>
        <w:rPr>
          <w:rFonts w:ascii="Arial" w:cs="Arial" w:eastAsia="Arial" w:hAnsi="Arial"/>
          <w:sz w:val="16"/>
          <w:szCs w:val="16"/>
          <w:color w:val="auto"/>
        </w:rPr>
        <w:t>The Plan shall be administered by the Committee. The Committee shall have the following authority, to exercise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select the Eligible Individuals to whom Awards may from time to time be granted and the time or times at which Awards shall be granted; to determine the type and number of Awards to be granted, the number of shares of Company Stock or cash or other property to which an Award may relate and the terms, conditions, restrictions and performance criteria relating to any Award; to determine whether, to what extent, and under what circumstances an Award may be settled, cancelled, forfeited, exchanged, or surrendered; to determine whether an Award may be settled in cash and/or shares of the Company; to waive any of the terms, conditions, restrictions and performance criteria of any Award, including to accelerate the vesting or lapse of restrictions of any outstanding Award, based in each case on such considerations as the Committee, in its discretion, determines; to construe and interpret the Plan and any Award; to prescribe, amend and rescind rules and regulations relating to the Plan; to determine the terms and provisions of Award Agreements; and to make all other determinations that it deems necessary or advisable for the administration of the Plan. The Committee may, in its discretion, without amendment to the Plan,</w:t>
      </w:r>
    </w:p>
    <w:p>
      <w:pPr>
        <w:spacing w:after="0" w:line="2" w:lineRule="exact"/>
        <w:rPr>
          <w:rFonts w:ascii="Arial" w:cs="Arial" w:eastAsia="Arial" w:hAnsi="Arial"/>
          <w:sz w:val="16"/>
          <w:szCs w:val="16"/>
          <w:color w:val="auto"/>
        </w:rPr>
      </w:pPr>
    </w:p>
    <w:p>
      <w:pPr>
        <w:jc w:val="both"/>
        <w:spacing w:after="0" w:line="272" w:lineRule="auto"/>
        <w:rPr>
          <w:rFonts w:ascii="Arial" w:cs="Arial" w:eastAsia="Arial" w:hAnsi="Arial"/>
          <w:sz w:val="16"/>
          <w:szCs w:val="16"/>
          <w:color w:val="auto"/>
        </w:rPr>
      </w:pPr>
      <w:r>
        <w:rPr>
          <w:rFonts w:ascii="Arial" w:cs="Arial" w:eastAsia="Arial" w:hAnsi="Arial"/>
          <w:sz w:val="17"/>
          <w:szCs w:val="17"/>
          <w:color w:val="auto"/>
        </w:rPr>
        <w:t xml:space="preserve">(i) accelerate the date on which any Option or Stock Appreciation Right becomes exercisable, (ii) waive or amend the operation of Plan provisions respecting exercise after Termination of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of an Option or Stock Appreciation Right may not be extended beyond ten years from the date of grant or the original term of the Option or Stock Appreciation Right, if less. Notwithstanding anything in the Plan to the contrary, the powers and authority of the Committee shall be exercised by the Board in the case of Awards made to non-employee Directors.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120" w:right="239" w:bottom="1440" w:gutter="0" w:footer="0" w:header="0"/>
        </w:sectPr>
      </w:pPr>
    </w:p>
    <w:bookmarkStart w:id="460" w:name="page461"/>
    <w:bookmarkEnd w:id="460"/>
    <w:p>
      <w:pPr>
        <w:jc w:val="both"/>
        <w:ind w:firstLine="1056"/>
        <w:spacing w:after="0" w:line="254" w:lineRule="auto"/>
        <w:tabs>
          <w:tab w:leader="none" w:pos="1669"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Committee’s interpretation of the Plan, any Awards granted pursuant to the Plan or any Award Agreement and all decisions and determinations by the Committee with respect to the Plan shall be final, binding, and conclusive on all persons, including the Company, its stockholders, Eligible Individuals and Participants, and their estates and beneficiaries. Notwithstanding any provision of the Plan or any Award Agreement to the contrary, any discretionary authority provided or invested in the Committee or the Company (or to Persons who are delegated such authority pursuant to Section 4(c)) is intended to be, and shall be deemed to be, exercised in the sole and absolute discretion of the Committee or the Company (or to Persons who are delegated such authority pursuant to Section 4(c)), respectively.</w:t>
      </w:r>
    </w:p>
    <w:p>
      <w:pPr>
        <w:spacing w:after="0" w:line="191" w:lineRule="exact"/>
        <w:rPr>
          <w:rFonts w:ascii="Arial" w:cs="Arial" w:eastAsia="Arial" w:hAnsi="Arial"/>
          <w:sz w:val="18"/>
          <w:szCs w:val="18"/>
          <w:color w:val="auto"/>
        </w:rPr>
      </w:pPr>
    </w:p>
    <w:p>
      <w:pPr>
        <w:jc w:val="both"/>
        <w:ind w:firstLine="1056"/>
        <w:spacing w:after="0" w:line="269" w:lineRule="auto"/>
        <w:tabs>
          <w:tab w:leader="none" w:pos="1600" w:val="left"/>
        </w:tabs>
        <w:numPr>
          <w:ilvl w:val="1"/>
          <w:numId w:val="385"/>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or the rules of any securities exchange or automated quotation system on which the shares of Company Stock are listed, quoted or traded, the Board or Committee may from time to time delegate to a committee of one or more members of the Board, or to the Chief Executive Officer of the Company, the authority to grant or amend Awards or to take other administrative actions pursuant to this Section 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such individuals be delegated the authority to grant Awards to, or amend Awards held by, (i) individuals who are subject to Section 16 of the Exchange Act, or (ii) officers of the Company (or Directors) to whom authority to grant or amend Awards has been delegated hereunder;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delegation of administrative authority shall only be permitted to the extent it is permissible under applicable securities laws or the rules of any securities exchange or automated quotation system on which the shares of Company Stock are listed, quoted or traded. Any delegation hereunder shall be subject to the restrictions and limits that the Board or Committee specifies at the time of such delegation, and the Board or Committee, as the case may be, may at any time rescind the authority so delegated or appoint a new delegatee.</w:t>
      </w:r>
    </w:p>
    <w:p>
      <w:pPr>
        <w:spacing w:after="0" w:line="179" w:lineRule="exact"/>
        <w:rPr>
          <w:rFonts w:ascii="Arial" w:cs="Arial" w:eastAsia="Arial" w:hAnsi="Arial"/>
          <w:sz w:val="17"/>
          <w:szCs w:val="17"/>
          <w:color w:val="auto"/>
        </w:rPr>
      </w:pPr>
    </w:p>
    <w:p>
      <w:pPr>
        <w:ind w:left="340" w:hanging="332"/>
        <w:spacing w:after="0"/>
        <w:tabs>
          <w:tab w:leader="none" w:pos="340" w:val="left"/>
        </w:tabs>
        <w:numPr>
          <w:ilvl w:val="0"/>
          <w:numId w:val="386"/>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23"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Eligible Individuals that the Committee (or, in the case of non-employee Directors, the Board) shall select, from time to time, shall be eligible to receive Awards pursuant to the Plan.</w:t>
      </w:r>
    </w:p>
    <w:p>
      <w:pPr>
        <w:spacing w:after="0" w:line="171" w:lineRule="exact"/>
        <w:rPr>
          <w:sz w:val="20"/>
          <w:szCs w:val="20"/>
          <w:color w:val="auto"/>
        </w:rPr>
      </w:pPr>
    </w:p>
    <w:p>
      <w:pPr>
        <w:ind w:left="340" w:hanging="332"/>
        <w:spacing w:after="0"/>
        <w:tabs>
          <w:tab w:leader="none" w:pos="340" w:val="left"/>
        </w:tabs>
        <w:numPr>
          <w:ilvl w:val="0"/>
          <w:numId w:val="387"/>
        </w:numPr>
        <w:rPr>
          <w:rFonts w:ascii="Arial" w:cs="Arial" w:eastAsia="Arial" w:hAnsi="Arial"/>
          <w:sz w:val="18"/>
          <w:szCs w:val="18"/>
          <w:color w:val="auto"/>
        </w:rPr>
      </w:pPr>
      <w:r>
        <w:rPr>
          <w:rFonts w:ascii="Arial" w:cs="Arial" w:eastAsia="Arial" w:hAnsi="Arial"/>
          <w:sz w:val="18"/>
          <w:szCs w:val="18"/>
          <w:i w:val="1"/>
          <w:iCs w:val="1"/>
          <w:color w:val="auto"/>
        </w:rPr>
        <w:t>Awards Under the Plan; Award Agreement.</w:t>
      </w:r>
    </w:p>
    <w:p>
      <w:pPr>
        <w:spacing w:after="0" w:line="22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The Committee may grant Awards in such amounts and with such terms and conditions as the Committee shall determine, subject to the provisions of the Plan. Each Award granted under the Plan (except an unconditional Stock Bonus) shall be evidenced by an Award Agreement which shall contain such provisions as the Committee may in its discretion deem necessary or desirable and which are not in conflict with the terms of the Plan. By accepting an Award, a Participant shall be deemed to agree that the Award shall be subject to all of the terms and provisions of the Plan and the applicable Award Agreement.</w:t>
      </w:r>
    </w:p>
    <w:p>
      <w:pPr>
        <w:spacing w:after="0" w:line="155" w:lineRule="exact"/>
        <w:rPr>
          <w:sz w:val="20"/>
          <w:szCs w:val="20"/>
          <w:color w:val="auto"/>
        </w:rPr>
      </w:pPr>
    </w:p>
    <w:p>
      <w:pPr>
        <w:ind w:left="340" w:hanging="332"/>
        <w:spacing w:after="0"/>
        <w:tabs>
          <w:tab w:leader="none" w:pos="340" w:val="left"/>
        </w:tabs>
        <w:numPr>
          <w:ilvl w:val="0"/>
          <w:numId w:val="388"/>
        </w:numPr>
        <w:rPr>
          <w:rFonts w:ascii="Arial" w:cs="Arial" w:eastAsia="Arial" w:hAnsi="Arial"/>
          <w:sz w:val="18"/>
          <w:szCs w:val="18"/>
          <w:color w:val="auto"/>
        </w:rPr>
      </w:pPr>
      <w:r>
        <w:rPr>
          <w:rFonts w:ascii="Arial" w:cs="Arial" w:eastAsia="Arial" w:hAnsi="Arial"/>
          <w:sz w:val="18"/>
          <w:szCs w:val="18"/>
          <w:i w:val="1"/>
          <w:iCs w:val="1"/>
          <w:color w:val="auto"/>
        </w:rPr>
        <w:t>Options.</w:t>
      </w:r>
    </w:p>
    <w:p>
      <w:pPr>
        <w:spacing w:after="0" w:line="223" w:lineRule="exact"/>
        <w:rPr>
          <w:sz w:val="20"/>
          <w:szCs w:val="20"/>
          <w:color w:val="auto"/>
        </w:rPr>
      </w:pPr>
    </w:p>
    <w:p>
      <w:pPr>
        <w:jc w:val="both"/>
        <w:ind w:firstLine="1056"/>
        <w:spacing w:after="0" w:line="262" w:lineRule="auto"/>
        <w:tabs>
          <w:tab w:leader="none" w:pos="1641"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Identification of Options</w:t>
      </w:r>
      <w:r>
        <w:rPr>
          <w:rFonts w:ascii="Arial" w:cs="Arial" w:eastAsia="Arial" w:hAnsi="Arial"/>
          <w:sz w:val="18"/>
          <w:szCs w:val="18"/>
          <w:color w:val="auto"/>
        </w:rPr>
        <w:t>. Unless an Option is identified in the applicable Award Agreement as an Incentive Stock Option,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a Nonqualified Stock Option. All Options shall be non-transferable, except by will or the laws of descent and distribution or except as otherwise determined by the Committee for estate planning purposes with respect to a Nonqualified Stock Option.</w:t>
      </w:r>
    </w:p>
    <w:p>
      <w:pPr>
        <w:spacing w:after="0" w:line="182" w:lineRule="exact"/>
        <w:rPr>
          <w:rFonts w:ascii="Arial" w:cs="Arial" w:eastAsia="Arial" w:hAnsi="Arial"/>
          <w:sz w:val="18"/>
          <w:szCs w:val="18"/>
          <w:color w:val="auto"/>
        </w:rPr>
      </w:pPr>
    </w:p>
    <w:p>
      <w:pPr>
        <w:jc w:val="both"/>
        <w:ind w:firstLine="1056"/>
        <w:spacing w:after="0" w:line="290" w:lineRule="auto"/>
        <w:tabs>
          <w:tab w:leader="none" w:pos="1611" w:val="left"/>
        </w:tabs>
        <w:numPr>
          <w:ilvl w:val="0"/>
          <w:numId w:val="389"/>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Award Agreement evidencing an Option shall set forth the amount per share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to be paid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 to the Company to exercise such Option. The Exercise Price shall be equal to or greater than the Fair Market Value of a share of Company Stock on the date of the grant of the Option. Except in connection with an adjustment described in Section 3(b), in no event shall the Exercise Price of an Option be reduced following the grant of the Option, nor shall the Option be cancelled in exchange for a replacement Option with a lower Exercise Price or in exchange for another type of Award or cash payment, in each case without stockholder approval. In addition, the Committee shall not have the authority to grant an Option which provides that the Participant will be granted a new Option (commonly referred to as a “reload option”) for a number of shares of Company Stock equal to the number of shares of Company Stock surrendered by the Participant upon exercise of all or a part of the original Option.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61" w:name="page462"/>
    <w:bookmarkEnd w:id="461"/>
    <w:p>
      <w:pPr>
        <w:ind w:left="1600" w:hanging="564"/>
        <w:spacing w:after="0"/>
        <w:tabs>
          <w:tab w:leader="none" w:pos="1600" w:val="left"/>
        </w:tabs>
        <w:numPr>
          <w:ilvl w:val="0"/>
          <w:numId w:val="390"/>
        </w:numPr>
        <w:rPr>
          <w:rFonts w:ascii="Arial" w:cs="Arial" w:eastAsia="Arial" w:hAnsi="Arial"/>
          <w:sz w:val="18"/>
          <w:szCs w:val="18"/>
          <w:color w:val="auto"/>
        </w:rPr>
      </w:pPr>
      <w:r>
        <w:rPr>
          <w:rFonts w:ascii="Arial" w:cs="Arial" w:eastAsia="Arial" w:hAnsi="Arial"/>
          <w:sz w:val="18"/>
          <w:szCs w:val="18"/>
          <w:i w:val="1"/>
          <w:iCs w:val="1"/>
          <w:color w:val="auto"/>
        </w:rPr>
        <w:t>Term and Exercise of Options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1920" w:hanging="642"/>
        <w:spacing w:after="0" w:line="252" w:lineRule="auto"/>
        <w:tabs>
          <w:tab w:leader="none" w:pos="192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 xml:space="preserve">Each Option shall become exercisable at the time or times specified by the Committee and set forth in the applicable Award Agreement. At the time of grant of an Option, the Committee may impose such restrictions or conditions to the exercisability of the Option as it, in its discretion, deems appropriate. Subject to Section 7(d) hereof, the Committee shall determine and set forth in the applicable Award Agreement the expiration date of each Option, which shall be no later than the 10-year anniversary of the date of grant of the Option (or 5-year anniversary in the case of a an Incentive Stock Option granted to an individual who owns (or is deemed to own under the Code) Company Stock possessing more than 10% of the total combined voting power of all classes of stock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term of a Nonqualified Stock Option would expire at a time when trading in the shares of Company Stock is prohibited by the Company's insider trading policy, the term of the Option shall be extended automatically until the 30th day following the expiration of such prohibition (as long as such extension shall not violate Section 409A of the Code).</w:t>
      </w:r>
    </w:p>
    <w:p>
      <w:pPr>
        <w:spacing w:after="0" w:line="192" w:lineRule="exact"/>
        <w:rPr>
          <w:rFonts w:ascii="Arial" w:cs="Arial" w:eastAsia="Arial" w:hAnsi="Arial"/>
          <w:sz w:val="18"/>
          <w:szCs w:val="18"/>
          <w:color w:val="auto"/>
        </w:rPr>
      </w:pPr>
    </w:p>
    <w:p>
      <w:pPr>
        <w:jc w:val="both"/>
        <w:ind w:left="1920" w:hanging="642"/>
        <w:spacing w:after="0" w:line="286" w:lineRule="auto"/>
        <w:tabs>
          <w:tab w:leader="none" w:pos="1920" w:val="left"/>
        </w:tabs>
        <w:numPr>
          <w:ilvl w:val="1"/>
          <w:numId w:val="390"/>
        </w:numPr>
        <w:rPr>
          <w:rFonts w:ascii="Arial" w:cs="Arial" w:eastAsia="Arial" w:hAnsi="Arial"/>
          <w:sz w:val="16"/>
          <w:szCs w:val="16"/>
          <w:color w:val="auto"/>
        </w:rPr>
      </w:pPr>
      <w:r>
        <w:rPr>
          <w:rFonts w:ascii="Arial" w:cs="Arial" w:eastAsia="Arial" w:hAnsi="Arial"/>
          <w:sz w:val="16"/>
          <w:szCs w:val="16"/>
          <w:color w:val="auto"/>
        </w:rPr>
        <w:t>An Option shall be exercised by delivering the form of notice of exercise provided by the Company. Payment of the Exercise Price for shares of Company Stock purchased upon the exercise of an Option shall be made on the effective date of such exercise by one or a combination of the following means: (A) in cash or by personal check, certified check, bank cashier’s check or wire transfer;</w:t>
      </w:r>
    </w:p>
    <w:p>
      <w:pPr>
        <w:spacing w:after="0" w:line="2" w:lineRule="exact"/>
        <w:rPr>
          <w:rFonts w:ascii="Arial" w:cs="Arial" w:eastAsia="Arial" w:hAnsi="Arial"/>
          <w:sz w:val="16"/>
          <w:szCs w:val="16"/>
          <w:color w:val="auto"/>
        </w:rPr>
      </w:pPr>
    </w:p>
    <w:p>
      <w:pPr>
        <w:jc w:val="both"/>
        <w:ind w:left="1920" w:firstLine="3"/>
        <w:spacing w:after="0" w:line="285" w:lineRule="auto"/>
        <w:tabs>
          <w:tab w:leader="none" w:pos="2229" w:val="left"/>
        </w:tabs>
        <w:numPr>
          <w:ilvl w:val="2"/>
          <w:numId w:val="390"/>
        </w:numPr>
        <w:rPr>
          <w:rFonts w:ascii="Arial" w:cs="Arial" w:eastAsia="Arial" w:hAnsi="Arial"/>
          <w:sz w:val="16"/>
          <w:szCs w:val="16"/>
          <w:color w:val="auto"/>
        </w:rPr>
      </w:pPr>
      <w:r>
        <w:rPr>
          <w:rFonts w:ascii="Arial" w:cs="Arial" w:eastAsia="Arial" w:hAnsi="Arial"/>
          <w:sz w:val="16"/>
          <w:szCs w:val="16"/>
          <w:color w:val="auto"/>
        </w:rPr>
        <w:t xml:space="preserve">in shares of Company Stock owned by the Participant and valued at their Fair Market Value on the effective date of such exercise; (C) by withholding shares of Company Stock otherwise deliverable upon exercise of an Option; or (D) by any such other methods (including broker-assisted cashless exercise) as the Committee may from time to time authorize;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Participant who is subject to Section 16 of the Exchange Act, the method of making such payment shall be in compliance with applicable law. Except as authorized by the Committee, any payment in shares of Company Stock shall be effected by the delivery of such shares of Company Stock to the Secretary of the Company, duly endorsed in blank or accompanied by stock powers duly executed in blank, together with any other documents and evidences as the Secretary of the Company shall require. If the Committee decides that payment will be made in shares of Company Stock, and the amount payable results in a fractional share of Company Stock, payment for the fractional share of Company Stock will be made in cash.</w:t>
      </w:r>
    </w:p>
    <w:p>
      <w:pPr>
        <w:spacing w:after="0" w:line="169" w:lineRule="exact"/>
        <w:rPr>
          <w:rFonts w:ascii="Arial" w:cs="Arial" w:eastAsia="Arial" w:hAnsi="Arial"/>
          <w:sz w:val="16"/>
          <w:szCs w:val="16"/>
          <w:color w:val="auto"/>
        </w:rPr>
      </w:pPr>
    </w:p>
    <w:p>
      <w:pPr>
        <w:jc w:val="both"/>
        <w:ind w:left="1920" w:hanging="642"/>
        <w:spacing w:after="0" w:line="258" w:lineRule="auto"/>
        <w:tabs>
          <w:tab w:leader="none" w:pos="192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Certificates for shares of Company Stock purchased upon the exercise of an Option shall be issued in the name of or for the account of the Participant or other person entitled to receive such shares of Company Stock, and delivered to the Participant or such other person as soon as practicable following the effective date on which the Option is exercised or the Participant’s ownership of the Company Stock shall be registered by the Company in book entry form.</w:t>
      </w:r>
    </w:p>
    <w:p>
      <w:pPr>
        <w:spacing w:after="0" w:line="185" w:lineRule="exact"/>
        <w:rPr>
          <w:rFonts w:ascii="Arial" w:cs="Arial" w:eastAsia="Arial" w:hAnsi="Arial"/>
          <w:sz w:val="18"/>
          <w:szCs w:val="18"/>
          <w:color w:val="auto"/>
        </w:rPr>
      </w:pPr>
    </w:p>
    <w:p>
      <w:pPr>
        <w:jc w:val="both"/>
        <w:ind w:left="-20" w:firstLine="1056"/>
        <w:spacing w:after="0" w:line="267" w:lineRule="auto"/>
        <w:tabs>
          <w:tab w:leader="none" w:pos="1632" w:val="left"/>
        </w:tabs>
        <w:numPr>
          <w:ilvl w:val="0"/>
          <w:numId w:val="390"/>
        </w:numPr>
        <w:rPr>
          <w:rFonts w:ascii="Arial" w:cs="Arial" w:eastAsia="Arial" w:hAnsi="Arial"/>
          <w:sz w:val="17"/>
          <w:szCs w:val="17"/>
          <w:color w:val="auto"/>
        </w:rPr>
      </w:pPr>
      <w:r>
        <w:rPr>
          <w:rFonts w:ascii="Arial" w:cs="Arial" w:eastAsia="Arial" w:hAnsi="Arial"/>
          <w:sz w:val="17"/>
          <w:szCs w:val="17"/>
          <w:i w:val="1"/>
          <w:iCs w:val="1"/>
          <w:color w:val="auto"/>
        </w:rPr>
        <w:t>Provisions Relating to Incentive Stock Options</w:t>
      </w:r>
      <w:r>
        <w:rPr>
          <w:rFonts w:ascii="Arial" w:cs="Arial" w:eastAsia="Arial" w:hAnsi="Arial"/>
          <w:sz w:val="17"/>
          <w:szCs w:val="17"/>
          <w:color w:val="auto"/>
        </w:rPr>
        <w:t>. Incentive Stock Options may only be granted to Employees of the Company and any</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corporation” (within the meaning of Section 424(f) of the Code) of the Company. To the extent that the aggregate Fair Market Value of shares of Company Stock with respect to which Incentive Stock Options are exercisable for the first time by a Participant during any calendar year under the Plan and any other stock option plan of the Company and any “subsidiary corporation” (within the meaning of Section 424(f) of the Code) shall exceed $100,000, such Options shall be treated as Nonqualified Stock Options. For purposes of this Section 7(d), Fair Market Value shall be determined as of the date on which the Incentive Stock Option is granted. Each Award Agreement with respect to an Incentive Stock Option shall require the Participant to notify the Company of any disposition of shares of Company Stock issued pursuant to the exercise of such Incentive Stock Option under the circumstances described in Section 421(b) of the Code (relating to certain disqualifying dispositions), within 10 days of such disposition. No Incentive Stock Option may be granted to an individual if, at the time of the proposed grant, such individual owns (or is deemed to own under the Code) stock possessing more than 10%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5 years from the date such Incentive Stock Option is granted.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62" w:name="page463"/>
    <w:bookmarkEnd w:id="462"/>
    <w:p>
      <w:pPr>
        <w:jc w:val="both"/>
        <w:ind w:left="-8" w:firstLine="1056"/>
        <w:spacing w:after="0" w:line="268" w:lineRule="auto"/>
        <w:tabs>
          <w:tab w:leader="none" w:pos="1674" w:val="left"/>
        </w:tabs>
        <w:numPr>
          <w:ilvl w:val="1"/>
          <w:numId w:val="391"/>
        </w:numPr>
        <w:rPr>
          <w:rFonts w:ascii="Arial" w:cs="Arial" w:eastAsia="Arial" w:hAnsi="Arial"/>
          <w:sz w:val="17"/>
          <w:szCs w:val="17"/>
          <w:color w:val="auto"/>
        </w:rPr>
      </w:pPr>
      <w:r>
        <w:rPr>
          <w:rFonts w:ascii="Arial" w:cs="Arial" w:eastAsia="Arial" w:hAnsi="Arial"/>
          <w:sz w:val="17"/>
          <w:szCs w:val="17"/>
          <w:i w:val="1"/>
          <w:iCs w:val="1"/>
          <w:color w:val="auto"/>
        </w:rPr>
        <w:t>Effect of Termination of Service</w:t>
      </w:r>
      <w:r>
        <w:rPr>
          <w:rFonts w:ascii="Arial" w:cs="Arial" w:eastAsia="Arial" w:hAnsi="Arial"/>
          <w:sz w:val="17"/>
          <w:szCs w:val="17"/>
          <w:color w:val="auto"/>
        </w:rPr>
        <w:t>. Unless otherwise determined by the Committee at the time of grant and set forth in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Award Agreement, in the event of a Participant’s Termination of Service for any reason other than (i) Cause or (ii) death, each Option granted to such Participant, to the extent that it is exercisable at the time of such Termination of Service, shall remain exercisable for the 90-day period following such Termination of Service, but in no event following the expiration of its term. Except as may be otherwise determined by the Committee, each Option that remains unexercisable as of the date of such a Termination of Service shall be terminated at the time of such Termination of Service. Unless otherwise determined by the Committee at the time of grant as set forth in the applicable Award Agreement, in the event of a Participant’s Termination of Service on account of the death of the Participant, each Option granted to such Participant that is outstanding as of the date of death shall become fully exercisable and shall remain exercisable by the Participant’s legal representatives, heirs or legatees for the 1-year period following such Termination of Service, but in no event following the expiration of its term. In the event of a Participant’s Termination of Service for Cause, each outstanding Option granted to such Participant shall terminate immediately upon such Termination of Service.</w:t>
      </w:r>
    </w:p>
    <w:p>
      <w:pPr>
        <w:spacing w:after="0" w:line="183" w:lineRule="exact"/>
        <w:rPr>
          <w:rFonts w:ascii="Arial" w:cs="Arial" w:eastAsia="Arial" w:hAnsi="Arial"/>
          <w:sz w:val="17"/>
          <w:szCs w:val="17"/>
          <w:color w:val="auto"/>
        </w:rPr>
      </w:pPr>
    </w:p>
    <w:p>
      <w:pPr>
        <w:ind w:left="332" w:hanging="332"/>
        <w:spacing w:after="0"/>
        <w:tabs>
          <w:tab w:leader="none" w:pos="332" w:val="left"/>
        </w:tabs>
        <w:numPr>
          <w:ilvl w:val="0"/>
          <w:numId w:val="392"/>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p>
    <w:p>
      <w:pPr>
        <w:spacing w:after="0" w:line="223" w:lineRule="exact"/>
        <w:rPr>
          <w:rFonts w:ascii="Arial" w:cs="Arial" w:eastAsia="Arial" w:hAnsi="Arial"/>
          <w:sz w:val="18"/>
          <w:szCs w:val="18"/>
          <w:color w:val="auto"/>
        </w:rPr>
      </w:pPr>
    </w:p>
    <w:p>
      <w:pPr>
        <w:jc w:val="both"/>
        <w:ind w:left="-8" w:firstLine="1056"/>
        <w:spacing w:after="0" w:line="258" w:lineRule="auto"/>
        <w:tabs>
          <w:tab w:leader="none" w:pos="15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At the time of grant of a Stock Appreciation Right, the Committee may impose such restrictions or conditions to the exercisability of the Stock Appreciation Right as it, in its discretion, deems appropriate. The term of a Stock Appreciation Right shall not exceed ten years from the date of grant. In addition, the base price per share (the “</w:t>
      </w:r>
      <w:r>
        <w:rPr>
          <w:rFonts w:ascii="Arial" w:cs="Arial" w:eastAsia="Arial" w:hAnsi="Arial"/>
          <w:sz w:val="18"/>
          <w:szCs w:val="18"/>
          <w:b w:val="1"/>
          <w:bCs w:val="1"/>
          <w:i w:val="1"/>
          <w:iCs w:val="1"/>
          <w:color w:val="auto"/>
        </w:rPr>
        <w:t>Base Price</w:t>
      </w:r>
      <w:r>
        <w:rPr>
          <w:rFonts w:ascii="Arial" w:cs="Arial" w:eastAsia="Arial" w:hAnsi="Arial"/>
          <w:sz w:val="18"/>
          <w:szCs w:val="18"/>
          <w:color w:val="auto"/>
        </w:rPr>
        <w:t>”) of a Stock Appreciation Right shall be equal to or greater than the Fair Market Value of a share of Company Stock on the date of grant.</w:t>
      </w:r>
    </w:p>
    <w:p>
      <w:pPr>
        <w:spacing w:after="0" w:line="185" w:lineRule="exact"/>
        <w:rPr>
          <w:rFonts w:ascii="Arial" w:cs="Arial" w:eastAsia="Arial" w:hAnsi="Arial"/>
          <w:sz w:val="18"/>
          <w:szCs w:val="18"/>
          <w:color w:val="auto"/>
        </w:rPr>
      </w:pPr>
    </w:p>
    <w:p>
      <w:pPr>
        <w:ind w:left="-8" w:right="20" w:firstLine="1056"/>
        <w:spacing w:after="0" w:line="275" w:lineRule="auto"/>
        <w:tabs>
          <w:tab w:leader="none" w:pos="1637"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All Stock Appreciation Rights shall be non-transferable, except by will or the laws of descent and distribution or except as otherwise determined by the Committee for estate planning purposes.</w:t>
      </w:r>
    </w:p>
    <w:p>
      <w:pPr>
        <w:spacing w:after="0" w:line="170" w:lineRule="exact"/>
        <w:rPr>
          <w:rFonts w:ascii="Arial" w:cs="Arial" w:eastAsia="Arial" w:hAnsi="Arial"/>
          <w:sz w:val="18"/>
          <w:szCs w:val="18"/>
          <w:color w:val="auto"/>
        </w:rPr>
      </w:pPr>
    </w:p>
    <w:p>
      <w:pPr>
        <w:ind w:left="1552" w:hanging="504"/>
        <w:spacing w:after="0"/>
        <w:tabs>
          <w:tab w:leader="none" w:pos="1552" w:val="left"/>
        </w:tabs>
        <w:numPr>
          <w:ilvl w:val="1"/>
          <w:numId w:val="392"/>
        </w:numPr>
        <w:rPr>
          <w:rFonts w:ascii="Arial" w:cs="Arial" w:eastAsia="Arial" w:hAnsi="Arial"/>
          <w:sz w:val="16"/>
          <w:szCs w:val="16"/>
          <w:color w:val="auto"/>
        </w:rPr>
      </w:pPr>
      <w:r>
        <w:rPr>
          <w:rFonts w:ascii="Arial" w:cs="Arial" w:eastAsia="Arial" w:hAnsi="Arial"/>
          <w:sz w:val="16"/>
          <w:szCs w:val="16"/>
          <w:color w:val="auto"/>
        </w:rPr>
        <w:t>Upon the exercise of a Stock Appreciation Right, the holder will be entitled to receive payment of an amount determined by multiplying:</w:t>
      </w:r>
    </w:p>
    <w:p>
      <w:pPr>
        <w:spacing w:after="0" w:line="246" w:lineRule="exact"/>
        <w:rPr>
          <w:rFonts w:ascii="Arial" w:cs="Arial" w:eastAsia="Arial" w:hAnsi="Arial"/>
          <w:sz w:val="16"/>
          <w:szCs w:val="16"/>
          <w:color w:val="auto"/>
        </w:rPr>
      </w:pPr>
    </w:p>
    <w:p>
      <w:pPr>
        <w:ind w:left="1932" w:hanging="642"/>
        <w:spacing w:after="0" w:line="275" w:lineRule="auto"/>
        <w:tabs>
          <w:tab w:leader="none" w:pos="1932" w:val="left"/>
        </w:tabs>
        <w:numPr>
          <w:ilvl w:val="2"/>
          <w:numId w:val="392"/>
        </w:numPr>
        <w:rPr>
          <w:rFonts w:ascii="Arial" w:cs="Arial" w:eastAsia="Arial" w:hAnsi="Arial"/>
          <w:sz w:val="18"/>
          <w:szCs w:val="18"/>
          <w:color w:val="auto"/>
        </w:rPr>
      </w:pPr>
      <w:r>
        <w:rPr>
          <w:rFonts w:ascii="Arial" w:cs="Arial" w:eastAsia="Arial" w:hAnsi="Arial"/>
          <w:sz w:val="18"/>
          <w:szCs w:val="18"/>
          <w:color w:val="auto"/>
        </w:rPr>
        <w:t>the excess of the Fair Market Value of a share of Company Stock on the date of exercise of such Stock Appreciation Right over the Base Price of the Stock Appreciation Right, by</w:t>
      </w:r>
    </w:p>
    <w:p>
      <w:pPr>
        <w:spacing w:after="0" w:line="170" w:lineRule="exact"/>
        <w:rPr>
          <w:rFonts w:ascii="Arial" w:cs="Arial" w:eastAsia="Arial" w:hAnsi="Arial"/>
          <w:sz w:val="18"/>
          <w:szCs w:val="18"/>
          <w:color w:val="auto"/>
        </w:rPr>
      </w:pPr>
    </w:p>
    <w:p>
      <w:pPr>
        <w:ind w:left="1932" w:hanging="642"/>
        <w:spacing w:after="0"/>
        <w:tabs>
          <w:tab w:leader="none" w:pos="1932" w:val="left"/>
        </w:tabs>
        <w:numPr>
          <w:ilvl w:val="2"/>
          <w:numId w:val="392"/>
        </w:numPr>
        <w:rPr>
          <w:rFonts w:ascii="Arial" w:cs="Arial" w:eastAsia="Arial" w:hAnsi="Arial"/>
          <w:sz w:val="18"/>
          <w:szCs w:val="18"/>
          <w:color w:val="auto"/>
        </w:rPr>
      </w:pPr>
      <w:r>
        <w:rPr>
          <w:rFonts w:ascii="Arial" w:cs="Arial" w:eastAsia="Arial" w:hAnsi="Arial"/>
          <w:sz w:val="18"/>
          <w:szCs w:val="18"/>
          <w:color w:val="auto"/>
        </w:rPr>
        <w:t>the number of shares of Company Stock as to which such Stock Appreciation Right is exercised.</w:t>
      </w:r>
    </w:p>
    <w:p>
      <w:pPr>
        <w:spacing w:after="0" w:line="223" w:lineRule="exact"/>
        <w:rPr>
          <w:rFonts w:ascii="Arial" w:cs="Arial" w:eastAsia="Arial" w:hAnsi="Arial"/>
          <w:sz w:val="18"/>
          <w:szCs w:val="18"/>
          <w:color w:val="auto"/>
        </w:rPr>
      </w:pPr>
    </w:p>
    <w:p>
      <w:pPr>
        <w:ind w:left="-8" w:firstLine="1056"/>
        <w:spacing w:after="0" w:line="275" w:lineRule="auto"/>
        <w:tabs>
          <w:tab w:leader="none" w:pos="1686" w:val="left"/>
        </w:tabs>
        <w:numPr>
          <w:ilvl w:val="1"/>
          <w:numId w:val="392"/>
        </w:numPr>
        <w:rPr>
          <w:rFonts w:ascii="Arial" w:cs="Arial" w:eastAsia="Arial" w:hAnsi="Arial"/>
          <w:sz w:val="18"/>
          <w:szCs w:val="18"/>
          <w:color w:val="auto"/>
        </w:rPr>
      </w:pPr>
      <w:r>
        <w:rPr>
          <w:rFonts w:ascii="Arial" w:cs="Arial" w:eastAsia="Arial" w:hAnsi="Arial"/>
          <w:sz w:val="18"/>
          <w:szCs w:val="18"/>
          <w:color w:val="auto"/>
        </w:rPr>
        <w:t>Notwithstanding subsection (c) above, the Committee may impose a limitation on the amount payable upon the exercise of a Stock Appreciation Right. Any such limitation shall be determined as of the date of grant and indicated in the applicable Award Agreement.</w:t>
      </w:r>
    </w:p>
    <w:p>
      <w:pPr>
        <w:spacing w:after="0" w:line="170" w:lineRule="exact"/>
        <w:rPr>
          <w:rFonts w:ascii="Arial" w:cs="Arial" w:eastAsia="Arial" w:hAnsi="Arial"/>
          <w:sz w:val="18"/>
          <w:szCs w:val="18"/>
          <w:color w:val="auto"/>
        </w:rPr>
      </w:pPr>
    </w:p>
    <w:p>
      <w:pPr>
        <w:jc w:val="both"/>
        <w:ind w:left="-8" w:firstLine="1056"/>
        <w:spacing w:after="0" w:line="292" w:lineRule="auto"/>
        <w:tabs>
          <w:tab w:leader="none" w:pos="1620" w:val="left"/>
        </w:tabs>
        <w:numPr>
          <w:ilvl w:val="1"/>
          <w:numId w:val="392"/>
        </w:numPr>
        <w:rPr>
          <w:rFonts w:ascii="Arial" w:cs="Arial" w:eastAsia="Arial" w:hAnsi="Arial"/>
          <w:sz w:val="16"/>
          <w:szCs w:val="16"/>
          <w:color w:val="auto"/>
        </w:rPr>
      </w:pPr>
      <w:r>
        <w:rPr>
          <w:rFonts w:ascii="Arial" w:cs="Arial" w:eastAsia="Arial" w:hAnsi="Arial"/>
          <w:sz w:val="16"/>
          <w:szCs w:val="16"/>
          <w:color w:val="auto"/>
        </w:rPr>
        <w:t>Payment of the amount determined under subsection (c) above may be made solely in whole shares of Company Stock valued at their Fair Market Value on the date of exercise of the Stock Appreciation Right or alternatively, in the discretion of the Committee, solely in cash or a combination of cash and shares of Company Stock. Except as authorized by the Committee, any payment in shares of Company Stock shall be effected by the delivery of such shares of Company Stock to the Secretary of the Company, duly endorsed in blank or accompanied by stock powers duly executed in blank, together with any other documents and evidences as the Secretary of the Company shall require. If the Committee decides that payment will be made in shares of Company Stock, and the amount payable results in a fractional share of Company Stock, payment for the fractional share of Company Stock will be made in cash.</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463" w:name="page464"/>
    <w:bookmarkEnd w:id="463"/>
    <w:p>
      <w:pPr>
        <w:jc w:val="both"/>
        <w:ind w:left="-8" w:firstLine="1056"/>
        <w:spacing w:after="0" w:line="285" w:lineRule="auto"/>
        <w:tabs>
          <w:tab w:leader="none" w:pos="1562" w:val="left"/>
        </w:tabs>
        <w:numPr>
          <w:ilvl w:val="1"/>
          <w:numId w:val="393"/>
        </w:numPr>
        <w:rPr>
          <w:rFonts w:ascii="Arial" w:cs="Arial" w:eastAsia="Arial" w:hAnsi="Arial"/>
          <w:sz w:val="17"/>
          <w:szCs w:val="17"/>
          <w:color w:val="auto"/>
        </w:rPr>
      </w:pPr>
      <w:r>
        <w:rPr>
          <w:rFonts w:ascii="Arial" w:cs="Arial" w:eastAsia="Arial" w:hAnsi="Arial"/>
          <w:sz w:val="17"/>
          <w:szCs w:val="17"/>
          <w:color w:val="auto"/>
        </w:rPr>
        <w:t>Other than with respect to an adjustment described in Section 3(b), in no event shall the Base Price with respect to a Stock Appreciation Right be reduced following the grant of a Stock Appreciation Right, nor shall a Stock Appreciation Right be cancelled in exchange for a replacement Stock Appreciation Right with a lower Base Price or in exchange for another type of Award or cash payment without stockholder approval.</w:t>
      </w:r>
    </w:p>
    <w:p>
      <w:pPr>
        <w:spacing w:after="0" w:line="163" w:lineRule="exact"/>
        <w:rPr>
          <w:rFonts w:ascii="Arial" w:cs="Arial" w:eastAsia="Arial" w:hAnsi="Arial"/>
          <w:sz w:val="17"/>
          <w:szCs w:val="17"/>
          <w:color w:val="auto"/>
        </w:rPr>
      </w:pPr>
    </w:p>
    <w:p>
      <w:pPr>
        <w:jc w:val="both"/>
        <w:ind w:left="-8" w:firstLine="1056"/>
        <w:spacing w:after="0" w:line="268" w:lineRule="auto"/>
        <w:tabs>
          <w:tab w:leader="none" w:pos="1623" w:val="left"/>
        </w:tabs>
        <w:numPr>
          <w:ilvl w:val="1"/>
          <w:numId w:val="393"/>
        </w:numPr>
        <w:rPr>
          <w:rFonts w:ascii="Arial" w:cs="Arial" w:eastAsia="Arial" w:hAnsi="Arial"/>
          <w:sz w:val="17"/>
          <w:szCs w:val="17"/>
          <w:color w:val="auto"/>
        </w:rPr>
      </w:pPr>
      <w:r>
        <w:rPr>
          <w:rFonts w:ascii="Arial" w:cs="Arial" w:eastAsia="Arial" w:hAnsi="Arial"/>
          <w:sz w:val="17"/>
          <w:szCs w:val="17"/>
          <w:color w:val="auto"/>
        </w:rPr>
        <w:t>Unless otherwise determined by the Committee at the time of grant and set forth in the applicable Award Agreement, in the event of a Participant’s Termination of Service for any reason other than (i) Cause or (ii) death, each Stock Appreciation Right granted to such Participant, to the extent that it is exercisable at the time of such Termination of Service, shall remain exercisable for the 90-day period following such Termination of Service, but in no event following the expiration of its term. Except as may be otherwise determined by the Committee, any Stock Appreciation Right that is not exercisable as of the date of such a Termination of Service shall be terminated at the time of such Termination of Service. Unless otherwise determined by the Committee at the time of grant as set forth in the applicable Award Agreement, in the event of a Participant’s Termination of Service on account of the death of the Participant, each Stock Appreciation Right granted to such Participant that is outstanding as of the date of death shall become fully exercisable and shall remain exercisable by the Participant’s legal representatives, heirs or legatees for the one-year period following such Termination of Service, but in no event following the expiration of its term. In the event of a Participant’s Termination of Service for Cause, each outstanding Stock Appreciation Right granted to such Participant shall terminate immediately upon such Termination of Service.</w:t>
      </w:r>
    </w:p>
    <w:p>
      <w:pPr>
        <w:spacing w:after="0" w:line="183" w:lineRule="exact"/>
        <w:rPr>
          <w:rFonts w:ascii="Arial" w:cs="Arial" w:eastAsia="Arial" w:hAnsi="Arial"/>
          <w:sz w:val="17"/>
          <w:szCs w:val="17"/>
          <w:color w:val="auto"/>
        </w:rPr>
      </w:pPr>
    </w:p>
    <w:p>
      <w:pPr>
        <w:ind w:left="332" w:hanging="332"/>
        <w:spacing w:after="0"/>
        <w:tabs>
          <w:tab w:leader="none" w:pos="332" w:val="left"/>
        </w:tabs>
        <w:numPr>
          <w:ilvl w:val="0"/>
          <w:numId w:val="394"/>
        </w:numPr>
        <w:rPr>
          <w:rFonts w:ascii="Arial" w:cs="Arial" w:eastAsia="Arial" w:hAnsi="Arial"/>
          <w:sz w:val="18"/>
          <w:szCs w:val="18"/>
          <w:color w:val="auto"/>
        </w:rPr>
      </w:pPr>
      <w:r>
        <w:rPr>
          <w:rFonts w:ascii="Arial" w:cs="Arial" w:eastAsia="Arial" w:hAnsi="Arial"/>
          <w:sz w:val="18"/>
          <w:szCs w:val="18"/>
          <w:i w:val="1"/>
          <w:iCs w:val="1"/>
          <w:color w:val="auto"/>
        </w:rPr>
        <w:t>Restricted Stock.</w:t>
      </w:r>
    </w:p>
    <w:p>
      <w:pPr>
        <w:spacing w:after="0" w:line="223" w:lineRule="exact"/>
        <w:rPr>
          <w:rFonts w:ascii="Arial" w:cs="Arial" w:eastAsia="Arial" w:hAnsi="Arial"/>
          <w:sz w:val="18"/>
          <w:szCs w:val="18"/>
          <w:color w:val="auto"/>
        </w:rPr>
      </w:pPr>
    </w:p>
    <w:p>
      <w:pPr>
        <w:ind w:left="-8" w:firstLine="1056"/>
        <w:spacing w:after="0" w:line="275" w:lineRule="auto"/>
        <w:tabs>
          <w:tab w:leader="none" w:pos="1594" w:val="left"/>
        </w:tabs>
        <w:numPr>
          <w:ilvl w:val="1"/>
          <w:numId w:val="394"/>
        </w:numPr>
        <w:rPr>
          <w:rFonts w:ascii="Arial" w:cs="Arial" w:eastAsia="Arial" w:hAnsi="Arial"/>
          <w:sz w:val="18"/>
          <w:szCs w:val="18"/>
          <w:color w:val="auto"/>
        </w:rPr>
      </w:pPr>
      <w:r>
        <w:rPr>
          <w:rFonts w:ascii="Arial" w:cs="Arial" w:eastAsia="Arial" w:hAnsi="Arial"/>
          <w:sz w:val="18"/>
          <w:szCs w:val="18"/>
          <w:i w:val="1"/>
          <w:iCs w:val="1"/>
          <w:color w:val="auto"/>
        </w:rPr>
        <w:t>Price</w:t>
      </w:r>
      <w:r>
        <w:rPr>
          <w:rFonts w:ascii="Arial" w:cs="Arial" w:eastAsia="Arial" w:hAnsi="Arial"/>
          <w:sz w:val="18"/>
          <w:szCs w:val="18"/>
          <w:color w:val="auto"/>
        </w:rPr>
        <w:t>. At the time of the grant of an Award of shares of Restricted Stock, the Committee shall determine the price, if any, to be paid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for each share of Restricted Stock subject to the Award.</w:t>
      </w:r>
    </w:p>
    <w:p>
      <w:pPr>
        <w:spacing w:after="0" w:line="170" w:lineRule="exact"/>
        <w:rPr>
          <w:rFonts w:ascii="Arial" w:cs="Arial" w:eastAsia="Arial" w:hAnsi="Arial"/>
          <w:sz w:val="18"/>
          <w:szCs w:val="18"/>
          <w:color w:val="auto"/>
        </w:rPr>
      </w:pPr>
    </w:p>
    <w:p>
      <w:pPr>
        <w:jc w:val="both"/>
        <w:ind w:left="-8" w:firstLine="1056"/>
        <w:spacing w:after="0" w:line="278" w:lineRule="auto"/>
        <w:tabs>
          <w:tab w:leader="none" w:pos="1563" w:val="left"/>
        </w:tabs>
        <w:numPr>
          <w:ilvl w:val="1"/>
          <w:numId w:val="394"/>
        </w:numPr>
        <w:rPr>
          <w:rFonts w:ascii="Arial" w:cs="Arial" w:eastAsia="Arial" w:hAnsi="Arial"/>
          <w:sz w:val="17"/>
          <w:szCs w:val="17"/>
          <w:color w:val="auto"/>
        </w:rPr>
      </w:pPr>
      <w:r>
        <w:rPr>
          <w:rFonts w:ascii="Arial" w:cs="Arial" w:eastAsia="Arial" w:hAnsi="Arial"/>
          <w:sz w:val="17"/>
          <w:szCs w:val="17"/>
          <w:i w:val="1"/>
          <w:iCs w:val="1"/>
          <w:color w:val="auto"/>
        </w:rPr>
        <w:t>Vesting Date</w:t>
      </w:r>
      <w:r>
        <w:rPr>
          <w:rFonts w:ascii="Arial" w:cs="Arial" w:eastAsia="Arial" w:hAnsi="Arial"/>
          <w:sz w:val="17"/>
          <w:szCs w:val="17"/>
          <w:color w:val="auto"/>
        </w:rPr>
        <w:t>. At the time of the grant of an Award of Restricted Stock, the Committee shall establish a vesting date or vesting dates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such Award. The Committee may divide the shares of Restricted Stock constituting the Award into classes and assign a different vesting date for each class. If all conditions to the vesting of a share of Restricted Stock are satisfied, subject to Section 9(h), upon the occurrence of the vesting date such share of Restricted Stock shall vest and the restrictions of Section 9(d) with respect thereto shall lapse.</w:t>
      </w:r>
    </w:p>
    <w:p>
      <w:pPr>
        <w:spacing w:after="0" w:line="169" w:lineRule="exact"/>
        <w:rPr>
          <w:rFonts w:ascii="Arial" w:cs="Arial" w:eastAsia="Arial" w:hAnsi="Arial"/>
          <w:sz w:val="17"/>
          <w:szCs w:val="17"/>
          <w:color w:val="auto"/>
        </w:rPr>
      </w:pPr>
    </w:p>
    <w:p>
      <w:pPr>
        <w:jc w:val="both"/>
        <w:ind w:left="-8" w:firstLine="1056"/>
        <w:spacing w:after="0" w:line="253" w:lineRule="auto"/>
        <w:tabs>
          <w:tab w:leader="none" w:pos="1688" w:val="left"/>
        </w:tabs>
        <w:numPr>
          <w:ilvl w:val="1"/>
          <w:numId w:val="394"/>
        </w:numPr>
        <w:rPr>
          <w:rFonts w:ascii="Arial" w:cs="Arial" w:eastAsia="Arial" w:hAnsi="Arial"/>
          <w:sz w:val="18"/>
          <w:szCs w:val="18"/>
          <w:color w:val="auto"/>
        </w:rPr>
      </w:pPr>
      <w:r>
        <w:rPr>
          <w:rFonts w:ascii="Arial" w:cs="Arial" w:eastAsia="Arial" w:hAnsi="Arial"/>
          <w:sz w:val="18"/>
          <w:szCs w:val="18"/>
          <w:i w:val="1"/>
          <w:iCs w:val="1"/>
          <w:color w:val="auto"/>
        </w:rPr>
        <w:t>Conditions to Vesting</w:t>
      </w:r>
      <w:r>
        <w:rPr>
          <w:rFonts w:ascii="Arial" w:cs="Arial" w:eastAsia="Arial" w:hAnsi="Arial"/>
          <w:sz w:val="18"/>
          <w:szCs w:val="18"/>
          <w:color w:val="auto"/>
        </w:rPr>
        <w:t>. At the time of the grant of an Award of Restricted Stock, the Committee in its discretion, may impose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or conditions to the vesting of such Award as it, deems appropriate. The Committee may also provide that the vesting or forfeiture of shares of Restricted Stock may be based upon the achievement of, or failure to achieve, certain levels of performance and may provide for partial vesting of Restricted Stock in the event that the maximum level of performance is not met if the minimum level of performance has been equaled or exceeded. Notwithstanding anything in this Section 9(c) to the contrary, unless otherwise provided by the Committee pursuant to Section 9(h) or Section 13, Restricted Stock that vests based on achievement of performance goals or levels of performance may not become fully vested prior to the first anniversary of the date upon which such Restricted Stock is granted.</w:t>
      </w:r>
    </w:p>
    <w:p>
      <w:pPr>
        <w:spacing w:after="0" w:line="193" w:lineRule="exact"/>
        <w:rPr>
          <w:rFonts w:ascii="Arial" w:cs="Arial" w:eastAsia="Arial" w:hAnsi="Arial"/>
          <w:sz w:val="18"/>
          <w:szCs w:val="18"/>
          <w:color w:val="auto"/>
        </w:rPr>
      </w:pPr>
    </w:p>
    <w:p>
      <w:pPr>
        <w:jc w:val="both"/>
        <w:ind w:left="-8" w:firstLine="1056"/>
        <w:spacing w:after="0" w:line="258" w:lineRule="auto"/>
        <w:tabs>
          <w:tab w:leader="none" w:pos="1765" w:val="left"/>
        </w:tabs>
        <w:numPr>
          <w:ilvl w:val="1"/>
          <w:numId w:val="394"/>
        </w:numPr>
        <w:rPr>
          <w:rFonts w:ascii="Arial" w:cs="Arial" w:eastAsia="Arial" w:hAnsi="Arial"/>
          <w:sz w:val="18"/>
          <w:szCs w:val="18"/>
          <w:color w:val="auto"/>
        </w:rPr>
      </w:pPr>
      <w:r>
        <w:rPr>
          <w:rFonts w:ascii="Arial" w:cs="Arial" w:eastAsia="Arial" w:hAnsi="Arial"/>
          <w:sz w:val="18"/>
          <w:szCs w:val="18"/>
          <w:i w:val="1"/>
          <w:iCs w:val="1"/>
          <w:color w:val="auto"/>
        </w:rPr>
        <w:t>Restrictions on Transfer Prior to Vesting</w:t>
      </w:r>
      <w:r>
        <w:rPr>
          <w:rFonts w:ascii="Arial" w:cs="Arial" w:eastAsia="Arial" w:hAnsi="Arial"/>
          <w:sz w:val="18"/>
          <w:szCs w:val="18"/>
          <w:color w:val="auto"/>
        </w:rPr>
        <w:t>. Prior to the vesting of a share of Restricted Stock, such Restricted Stock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assigned or otherwise disposed of, and no transfer of a Participant’s rights with respect to such Restricted Stock, whether voluntary or involuntary, by operation of law or otherwise, shall be permitted. Immediately upon any attempt to transfer such rights, such shares of Restricted Stock, and all of the rights related thereto, shall be forfeited by the Participant.</w:t>
      </w:r>
    </w:p>
    <w:p>
      <w:pPr>
        <w:spacing w:after="0" w:line="185" w:lineRule="exact"/>
        <w:rPr>
          <w:rFonts w:ascii="Arial" w:cs="Arial" w:eastAsia="Arial" w:hAnsi="Arial"/>
          <w:sz w:val="18"/>
          <w:szCs w:val="18"/>
          <w:color w:val="auto"/>
        </w:rPr>
      </w:pPr>
    </w:p>
    <w:p>
      <w:pPr>
        <w:ind w:left="-8" w:firstLine="1056"/>
        <w:spacing w:after="0" w:line="275" w:lineRule="auto"/>
        <w:tabs>
          <w:tab w:leader="none" w:pos="1620" w:val="left"/>
        </w:tabs>
        <w:numPr>
          <w:ilvl w:val="1"/>
          <w:numId w:val="394"/>
        </w:numPr>
        <w:rPr>
          <w:rFonts w:ascii="Arial" w:cs="Arial" w:eastAsia="Arial" w:hAnsi="Arial"/>
          <w:sz w:val="18"/>
          <w:szCs w:val="18"/>
          <w:color w:val="auto"/>
        </w:rPr>
      </w:pPr>
      <w:r>
        <w:rPr>
          <w:rFonts w:ascii="Arial" w:cs="Arial" w:eastAsia="Arial" w:hAnsi="Arial"/>
          <w:sz w:val="18"/>
          <w:szCs w:val="18"/>
          <w:i w:val="1"/>
          <w:iCs w:val="1"/>
          <w:color w:val="auto"/>
        </w:rPr>
        <w:t>Dividends on Restricted Stock</w:t>
      </w:r>
      <w:r>
        <w:rPr>
          <w:rFonts w:ascii="Arial" w:cs="Arial" w:eastAsia="Arial" w:hAnsi="Arial"/>
          <w:sz w:val="18"/>
          <w:szCs w:val="18"/>
          <w:color w:val="auto"/>
        </w:rPr>
        <w:t>. The Committee, in its discretion, may require that any dividends paid on shares of Restricted Stock be</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escrow until all restrictions on such shares of Restricted Stock have lapsed.</w:t>
      </w:r>
    </w:p>
    <w:p>
      <w:pPr>
        <w:spacing w:after="0" w:line="170" w:lineRule="exact"/>
        <w:rPr>
          <w:rFonts w:ascii="Arial" w:cs="Arial" w:eastAsia="Arial" w:hAnsi="Arial"/>
          <w:sz w:val="18"/>
          <w:szCs w:val="18"/>
          <w:color w:val="auto"/>
        </w:rPr>
      </w:pPr>
    </w:p>
    <w:p>
      <w:pPr>
        <w:jc w:val="both"/>
        <w:ind w:left="-8" w:firstLine="1056"/>
        <w:spacing w:after="0" w:line="254" w:lineRule="auto"/>
        <w:tabs>
          <w:tab w:leader="none" w:pos="1533" w:val="left"/>
        </w:tabs>
        <w:numPr>
          <w:ilvl w:val="1"/>
          <w:numId w:val="394"/>
        </w:numPr>
        <w:rPr>
          <w:rFonts w:ascii="Arial" w:cs="Arial" w:eastAsia="Arial" w:hAnsi="Arial"/>
          <w:sz w:val="18"/>
          <w:szCs w:val="18"/>
          <w:color w:val="auto"/>
        </w:rPr>
      </w:pPr>
      <w:r>
        <w:rPr>
          <w:rFonts w:ascii="Arial" w:cs="Arial" w:eastAsia="Arial" w:hAnsi="Arial"/>
          <w:sz w:val="18"/>
          <w:szCs w:val="18"/>
          <w:i w:val="1"/>
          <w:iCs w:val="1"/>
          <w:color w:val="auto"/>
        </w:rPr>
        <w:t>Issuance of Certificates</w:t>
      </w:r>
      <w:r>
        <w:rPr>
          <w:rFonts w:ascii="Arial" w:cs="Arial" w:eastAsia="Arial" w:hAnsi="Arial"/>
          <w:sz w:val="18"/>
          <w:szCs w:val="18"/>
          <w:color w:val="auto"/>
        </w:rPr>
        <w:t>. The Committee may provide, upon such terms and conditions as it determines, that (i) a certificate or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the shares of Company Stock underlying a Restricted Stock Award shall be registered in the Participant’s name and bear an appropriate legend specifying that such shares of Company Stock are not transferable and are subject to the provisions of the Plan and the restrictions, terms and conditions set forth in the applicable Award Agreement, (ii) such certificate or certificates shall be held in escrow by the Company on behalf of the Participant until such shares of Restricted Stock become vested or are forfeited or (iii) the Participant’s ownership of the Restricted Stock shall be registered by the Company in book entry form.</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464" w:name="page465"/>
    <w:bookmarkEnd w:id="464"/>
    <w:p>
      <w:pPr>
        <w:jc w:val="both"/>
        <w:ind w:firstLine="1056"/>
        <w:spacing w:after="0" w:line="300" w:lineRule="auto"/>
        <w:tabs>
          <w:tab w:leader="none" w:pos="1584" w:val="left"/>
        </w:tabs>
        <w:numPr>
          <w:ilvl w:val="1"/>
          <w:numId w:val="395"/>
        </w:numPr>
        <w:rPr>
          <w:rFonts w:ascii="Arial" w:cs="Arial" w:eastAsia="Arial" w:hAnsi="Arial"/>
          <w:sz w:val="16"/>
          <w:szCs w:val="16"/>
          <w:color w:val="auto"/>
        </w:rPr>
      </w:pPr>
      <w:r>
        <w:rPr>
          <w:rFonts w:ascii="Arial" w:cs="Arial" w:eastAsia="Arial" w:hAnsi="Arial"/>
          <w:sz w:val="16"/>
          <w:szCs w:val="16"/>
          <w:i w:val="1"/>
          <w:iCs w:val="1"/>
          <w:color w:val="auto"/>
        </w:rPr>
        <w:t>Consequences of Vesting</w:t>
      </w:r>
      <w:r>
        <w:rPr>
          <w:rFonts w:ascii="Arial" w:cs="Arial" w:eastAsia="Arial" w:hAnsi="Arial"/>
          <w:sz w:val="16"/>
          <w:szCs w:val="16"/>
          <w:color w:val="auto"/>
        </w:rPr>
        <w:t>. Upon the vesting of a share of Restricted Stock, the restrictions of Section 9(d) shall lapse with respect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Restricted Stock. As determined by the Committee, following the date on which a share of Restricted Stock vests, the Company shall, make a book entry record of such share of Restricted Stock or cause to be delivered to the Participant to whom such shares of Restricted Stock were granted, a certificate evidencing such share of Restricted Stock, which may bear a restrictive legend, if the Committee determines such a legend to be appropriate.</w:t>
      </w:r>
    </w:p>
    <w:p>
      <w:pPr>
        <w:spacing w:after="0" w:line="155" w:lineRule="exact"/>
        <w:rPr>
          <w:rFonts w:ascii="Arial" w:cs="Arial" w:eastAsia="Arial" w:hAnsi="Arial"/>
          <w:sz w:val="16"/>
          <w:szCs w:val="16"/>
          <w:color w:val="auto"/>
        </w:rPr>
      </w:pPr>
    </w:p>
    <w:p>
      <w:pPr>
        <w:jc w:val="both"/>
        <w:ind w:firstLine="1056"/>
        <w:spacing w:after="0" w:line="271" w:lineRule="auto"/>
        <w:tabs>
          <w:tab w:leader="none" w:pos="1799" w:val="left"/>
        </w:tabs>
        <w:numPr>
          <w:ilvl w:val="1"/>
          <w:numId w:val="395"/>
        </w:numPr>
        <w:rPr>
          <w:rFonts w:ascii="Arial" w:cs="Arial" w:eastAsia="Arial" w:hAnsi="Arial"/>
          <w:sz w:val="17"/>
          <w:szCs w:val="17"/>
          <w:color w:val="auto"/>
        </w:rPr>
      </w:pPr>
      <w:r>
        <w:rPr>
          <w:rFonts w:ascii="Arial" w:cs="Arial" w:eastAsia="Arial" w:hAnsi="Arial"/>
          <w:sz w:val="17"/>
          <w:szCs w:val="17"/>
          <w:i w:val="1"/>
          <w:iCs w:val="1"/>
          <w:color w:val="auto"/>
        </w:rPr>
        <w:t>Effect of Termination of Service</w:t>
      </w:r>
      <w:r>
        <w:rPr>
          <w:rFonts w:ascii="Arial" w:cs="Arial" w:eastAsia="Arial" w:hAnsi="Arial"/>
          <w:sz w:val="17"/>
          <w:szCs w:val="17"/>
          <w:color w:val="auto"/>
        </w:rPr>
        <w:t>. Except as may otherwise be provided in the applicable Award Agreement, and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Committee’s authority under Section 4 hereof, upon a Participant’s Termination of Service for any reason, any and all shares of Restricted Stock to which restrictions on transferability apply shall be immediately forfeited by the Participant and transferred to, and reacquired by, the Company. In the event of a forfeiture of shares of Restricted Stock pursuant to this section, the Company shall repay to the Participant (or the Participant’s estate) any amount paid by the Participant for such shares of Restricted Stock. In the event that a Participant forfeits any shares of Restricted Stock and the Company requires that the Participant to return shares of Restricted Stock, it shall also have the right to require the return of all dividends paid on such shares of Restricted Stock, whether by termination of any escrow arrangement under which such dividends are held or otherwise.</w:t>
      </w:r>
    </w:p>
    <w:p>
      <w:pPr>
        <w:spacing w:after="0" w:line="175" w:lineRule="exact"/>
        <w:rPr>
          <w:rFonts w:ascii="Arial" w:cs="Arial" w:eastAsia="Arial" w:hAnsi="Arial"/>
          <w:sz w:val="17"/>
          <w:szCs w:val="17"/>
          <w:color w:val="auto"/>
        </w:rPr>
      </w:pPr>
    </w:p>
    <w:p>
      <w:pPr>
        <w:ind w:left="340" w:hanging="332"/>
        <w:spacing w:after="0"/>
        <w:tabs>
          <w:tab w:leader="none" w:pos="340" w:val="left"/>
        </w:tabs>
        <w:numPr>
          <w:ilvl w:val="0"/>
          <w:numId w:val="396"/>
        </w:numPr>
        <w:rPr>
          <w:rFonts w:ascii="Arial" w:cs="Arial" w:eastAsia="Arial" w:hAnsi="Arial"/>
          <w:sz w:val="18"/>
          <w:szCs w:val="18"/>
          <w:color w:val="auto"/>
        </w:rPr>
      </w:pPr>
      <w:r>
        <w:rPr>
          <w:rFonts w:ascii="Arial" w:cs="Arial" w:eastAsia="Arial" w:hAnsi="Arial"/>
          <w:sz w:val="18"/>
          <w:szCs w:val="18"/>
          <w:i w:val="1"/>
          <w:iCs w:val="1"/>
          <w:color w:val="auto"/>
        </w:rPr>
        <w:t>Restricted Stock Units.</w:t>
      </w:r>
    </w:p>
    <w:p>
      <w:pPr>
        <w:spacing w:after="0" w:line="223" w:lineRule="exact"/>
        <w:rPr>
          <w:rFonts w:ascii="Arial" w:cs="Arial" w:eastAsia="Arial" w:hAnsi="Arial"/>
          <w:sz w:val="18"/>
          <w:szCs w:val="18"/>
          <w:color w:val="auto"/>
        </w:rPr>
      </w:pPr>
    </w:p>
    <w:p>
      <w:pPr>
        <w:jc w:val="both"/>
        <w:ind w:firstLine="1056"/>
        <w:spacing w:after="0" w:line="258" w:lineRule="auto"/>
        <w:tabs>
          <w:tab w:leader="none" w:pos="1655" w:val="left"/>
        </w:tabs>
        <w:numPr>
          <w:ilvl w:val="1"/>
          <w:numId w:val="396"/>
        </w:numPr>
        <w:rPr>
          <w:rFonts w:ascii="Arial" w:cs="Arial" w:eastAsia="Arial" w:hAnsi="Arial"/>
          <w:sz w:val="18"/>
          <w:szCs w:val="18"/>
          <w:color w:val="auto"/>
        </w:rPr>
      </w:pPr>
      <w:r>
        <w:rPr>
          <w:rFonts w:ascii="Arial" w:cs="Arial" w:eastAsia="Arial" w:hAnsi="Arial"/>
          <w:sz w:val="18"/>
          <w:szCs w:val="18"/>
          <w:i w:val="1"/>
          <w:iCs w:val="1"/>
          <w:color w:val="auto"/>
        </w:rPr>
        <w:t>Vesting Date</w:t>
      </w:r>
      <w:r>
        <w:rPr>
          <w:rFonts w:ascii="Arial" w:cs="Arial" w:eastAsia="Arial" w:hAnsi="Arial"/>
          <w:sz w:val="18"/>
          <w:szCs w:val="18"/>
          <w:color w:val="auto"/>
        </w:rPr>
        <w:t>. At the time of the grant of an Award of Restricted Stock Units, the Committee shall establish a vesting date or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dates with respect to such Award. The Committee may divide such Restricted Stock Units into classes and assign a different vesting date for each class. If all conditions to the vesting of a Restricted Stock Unit are satisfied, subject to Section 10(d), upon the occurrence of the vesting date such Restricted Stock Unit shall vest.</w:t>
      </w:r>
    </w:p>
    <w:p>
      <w:pPr>
        <w:spacing w:after="0" w:line="185" w:lineRule="exact"/>
        <w:rPr>
          <w:rFonts w:ascii="Arial" w:cs="Arial" w:eastAsia="Arial" w:hAnsi="Arial"/>
          <w:sz w:val="18"/>
          <w:szCs w:val="18"/>
          <w:color w:val="auto"/>
        </w:rPr>
      </w:pPr>
    </w:p>
    <w:p>
      <w:pPr>
        <w:jc w:val="both"/>
        <w:ind w:firstLine="1056"/>
        <w:spacing w:after="0" w:line="295" w:lineRule="auto"/>
        <w:tabs>
          <w:tab w:leader="none" w:pos="1638" w:val="left"/>
        </w:tabs>
        <w:numPr>
          <w:ilvl w:val="1"/>
          <w:numId w:val="396"/>
        </w:numPr>
        <w:rPr>
          <w:rFonts w:ascii="Arial" w:cs="Arial" w:eastAsia="Arial" w:hAnsi="Arial"/>
          <w:sz w:val="16"/>
          <w:szCs w:val="16"/>
          <w:color w:val="auto"/>
        </w:rPr>
      </w:pPr>
      <w:r>
        <w:rPr>
          <w:rFonts w:ascii="Arial" w:cs="Arial" w:eastAsia="Arial" w:hAnsi="Arial"/>
          <w:sz w:val="16"/>
          <w:szCs w:val="16"/>
          <w:i w:val="1"/>
          <w:iCs w:val="1"/>
          <w:color w:val="auto"/>
        </w:rPr>
        <w:t>Benefit Upon Vesting</w:t>
      </w:r>
      <w:r>
        <w:rPr>
          <w:rFonts w:ascii="Arial" w:cs="Arial" w:eastAsia="Arial" w:hAnsi="Arial"/>
          <w:sz w:val="16"/>
          <w:szCs w:val="16"/>
          <w:color w:val="auto"/>
        </w:rPr>
        <w:t>. Unless otherwise provided in an Award Agreement, upon the vesting of a Restricted Stock Unit,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paid, within 30 days of the date on which such Restricted Stock Unit vests, an amount, in cash and/or shares of Company Stock, as determined by the Committee. The amount per Restricted Stock Unit shall be equal to the sum of (i) the Fair Market Value of a share of Company Stock on the date on which such Restricted Stock Units vest and (ii) the aggregate amount of cash dividends paid with respect to a share of Company Stock during the period commencing on the date on which the Restricted Stock Units were granted and terminating on the date on which such Restricted Stock Units vest.</w:t>
      </w:r>
    </w:p>
    <w:p>
      <w:pPr>
        <w:spacing w:after="0" w:line="159" w:lineRule="exact"/>
        <w:rPr>
          <w:rFonts w:ascii="Arial" w:cs="Arial" w:eastAsia="Arial" w:hAnsi="Arial"/>
          <w:sz w:val="16"/>
          <w:szCs w:val="16"/>
          <w:color w:val="auto"/>
        </w:rPr>
      </w:pPr>
    </w:p>
    <w:p>
      <w:pPr>
        <w:ind w:firstLine="1056"/>
        <w:spacing w:after="0" w:line="275" w:lineRule="auto"/>
        <w:tabs>
          <w:tab w:leader="none" w:pos="1561" w:val="left"/>
        </w:tabs>
        <w:numPr>
          <w:ilvl w:val="1"/>
          <w:numId w:val="396"/>
        </w:numPr>
        <w:rPr>
          <w:rFonts w:ascii="Arial" w:cs="Arial" w:eastAsia="Arial" w:hAnsi="Arial"/>
          <w:sz w:val="18"/>
          <w:szCs w:val="18"/>
          <w:color w:val="auto"/>
        </w:rPr>
      </w:pPr>
      <w:r>
        <w:rPr>
          <w:rFonts w:ascii="Arial" w:cs="Arial" w:eastAsia="Arial" w:hAnsi="Arial"/>
          <w:sz w:val="18"/>
          <w:szCs w:val="18"/>
          <w:i w:val="1"/>
          <w:iCs w:val="1"/>
          <w:color w:val="auto"/>
        </w:rPr>
        <w:t>Conditions to Vesting</w:t>
      </w:r>
      <w:r>
        <w:rPr>
          <w:rFonts w:ascii="Arial" w:cs="Arial" w:eastAsia="Arial" w:hAnsi="Arial"/>
          <w:sz w:val="18"/>
          <w:szCs w:val="18"/>
          <w:color w:val="auto"/>
        </w:rPr>
        <w:t>. At the time of the grant of Restricted Stock Units, the Committee in its discretion, may impose such restrictions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conditions to the vesting of such Restricted Stock Units as it deems appropriate.</w:t>
      </w:r>
    </w:p>
    <w:p>
      <w:pPr>
        <w:spacing w:after="0" w:line="170" w:lineRule="exact"/>
        <w:rPr>
          <w:rFonts w:ascii="Arial" w:cs="Arial" w:eastAsia="Arial" w:hAnsi="Arial"/>
          <w:sz w:val="18"/>
          <w:szCs w:val="18"/>
          <w:color w:val="auto"/>
        </w:rPr>
      </w:pPr>
    </w:p>
    <w:p>
      <w:pPr>
        <w:jc w:val="both"/>
        <w:ind w:firstLine="1056"/>
        <w:spacing w:after="0" w:line="262" w:lineRule="auto"/>
        <w:tabs>
          <w:tab w:leader="none" w:pos="1746" w:val="left"/>
        </w:tabs>
        <w:numPr>
          <w:ilvl w:val="1"/>
          <w:numId w:val="396"/>
        </w:numPr>
        <w:rPr>
          <w:rFonts w:ascii="Arial" w:cs="Arial" w:eastAsia="Arial" w:hAnsi="Arial"/>
          <w:sz w:val="18"/>
          <w:szCs w:val="18"/>
          <w:color w:val="auto"/>
        </w:rPr>
      </w:pPr>
      <w:r>
        <w:rPr>
          <w:rFonts w:ascii="Arial" w:cs="Arial" w:eastAsia="Arial" w:hAnsi="Arial"/>
          <w:sz w:val="18"/>
          <w:szCs w:val="18"/>
          <w:i w:val="1"/>
          <w:iCs w:val="1"/>
          <w:color w:val="auto"/>
        </w:rPr>
        <w:t>Effect of Termination of Service</w:t>
      </w:r>
      <w:r>
        <w:rPr>
          <w:rFonts w:ascii="Arial" w:cs="Arial" w:eastAsia="Arial" w:hAnsi="Arial"/>
          <w:sz w:val="18"/>
          <w:szCs w:val="18"/>
          <w:color w:val="auto"/>
        </w:rPr>
        <w:t>. Except as may otherwise be provided in the applicable Award Agreement or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its discretion, Restricted Stock Units that have not vested, together with any dividend equivalents deemed to have been credited with respect to such unvested Restricted Stock Units, shall be forfeited upon the Participant’s Termination of Service for any reason.</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396"/>
        </w:numPr>
        <w:rPr>
          <w:rFonts w:ascii="Arial" w:cs="Arial" w:eastAsia="Arial" w:hAnsi="Arial"/>
          <w:sz w:val="18"/>
          <w:szCs w:val="18"/>
          <w:color w:val="auto"/>
        </w:rPr>
      </w:pPr>
      <w:r>
        <w:rPr>
          <w:rFonts w:ascii="Arial" w:cs="Arial" w:eastAsia="Arial" w:hAnsi="Arial"/>
          <w:sz w:val="18"/>
          <w:szCs w:val="18"/>
          <w:i w:val="1"/>
          <w:iCs w:val="1"/>
          <w:color w:val="auto"/>
        </w:rPr>
        <w:t>Stock Bonuses.</w:t>
      </w:r>
    </w:p>
    <w:p>
      <w:pPr>
        <w:spacing w:after="0" w:line="223"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In the event that the Committee grants an Award of a Stock Bonus to a Participant, a certificate for the shares of Company Stock constituting such Stock Bonus shall be issued in the name of the Participant to whom such grant was made and delivered to such Participant as soon as practicable after the date on which such Stock Bonus is payable, or, as determined by the Committee, the Company shall make a book entry record of such share of Company Stock.</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5" w:name="page466"/>
    <w:bookmarkEnd w:id="465"/>
    <w:p>
      <w:pPr>
        <w:ind w:left="340" w:hanging="332"/>
        <w:spacing w:after="0"/>
        <w:tabs>
          <w:tab w:leader="none" w:pos="340" w:val="left"/>
        </w:tabs>
        <w:numPr>
          <w:ilvl w:val="0"/>
          <w:numId w:val="397"/>
        </w:numPr>
        <w:rPr>
          <w:rFonts w:ascii="Arial" w:cs="Arial" w:eastAsia="Arial" w:hAnsi="Arial"/>
          <w:sz w:val="18"/>
          <w:szCs w:val="18"/>
          <w:color w:val="auto"/>
        </w:rPr>
      </w:pPr>
      <w:r>
        <w:rPr>
          <w:rFonts w:ascii="Arial" w:cs="Arial" w:eastAsia="Arial" w:hAnsi="Arial"/>
          <w:sz w:val="18"/>
          <w:szCs w:val="18"/>
          <w:i w:val="1"/>
          <w:iCs w:val="1"/>
          <w:color w:val="auto"/>
        </w:rPr>
        <w:t>Other Stock-Based Awards.</w:t>
      </w:r>
    </w:p>
    <w:p>
      <w:pPr>
        <w:spacing w:after="0" w:line="223"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Other Stock-Based Awards may be granted either alone or in addition to Other Stock-Based Awards (other than in connection with Options or Stock Appreciation Rights) under the Plan. Any dividend or dividend equivalent awarded under the Plan shall be subject to the same restrictions, conditions and risks of forfeiture as the underlying Award. Cash incentive awards may be denominated in units that have a dollar value established by the Committee as of the date of grant. Subject to the provisions of the Plan, the Committee shall have the discretion to determine the persons to whom, and the time or times at which, such Other Stock-Based Awards discretion shall be granted, the number of shares of Company Stock to be granted pursuant to such Other Stock-Based Awards, and the manner in which such Other Stock-Based Awards shall be settled (for example, in shares of Company Stock or cash), or the conditions to the vesting and/or payment or settlement of such Other Stock-Based Awards (which may include, but not be limited to, achievement of performance goals) and all other terms and conditions of such Other Stock-Based Awards.</w:t>
      </w:r>
    </w:p>
    <w:p>
      <w:pPr>
        <w:spacing w:after="0" w:line="176" w:lineRule="exact"/>
        <w:rPr>
          <w:sz w:val="20"/>
          <w:szCs w:val="20"/>
          <w:color w:val="auto"/>
        </w:rPr>
      </w:pPr>
    </w:p>
    <w:p>
      <w:pPr>
        <w:ind w:left="340" w:hanging="332"/>
        <w:spacing w:after="0"/>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Change in Control Provisions.</w:t>
      </w:r>
    </w:p>
    <w:p>
      <w:pPr>
        <w:spacing w:after="0" w:line="223" w:lineRule="exact"/>
        <w:rPr>
          <w:rFonts w:ascii="Arial" w:cs="Arial" w:eastAsia="Arial" w:hAnsi="Arial"/>
          <w:sz w:val="18"/>
          <w:szCs w:val="18"/>
          <w:color w:val="auto"/>
        </w:rPr>
      </w:pPr>
    </w:p>
    <w:p>
      <w:pPr>
        <w:jc w:val="both"/>
        <w:ind w:firstLine="1056"/>
        <w:spacing w:after="0" w:line="262" w:lineRule="auto"/>
        <w:tabs>
          <w:tab w:leader="none" w:pos="1659" w:val="left"/>
        </w:tabs>
        <w:numPr>
          <w:ilvl w:val="1"/>
          <w:numId w:val="398"/>
        </w:numPr>
        <w:rPr>
          <w:rFonts w:ascii="Arial" w:cs="Arial" w:eastAsia="Arial" w:hAnsi="Arial"/>
          <w:sz w:val="18"/>
          <w:szCs w:val="18"/>
          <w:color w:val="auto"/>
        </w:rPr>
      </w:pPr>
      <w:r>
        <w:rPr>
          <w:rFonts w:ascii="Arial" w:cs="Arial" w:eastAsia="Arial" w:hAnsi="Arial"/>
          <w:sz w:val="18"/>
          <w:szCs w:val="18"/>
          <w:color w:val="auto"/>
        </w:rPr>
        <w:t>Unless otherwise determined by the Committee and provided in the applicable Award Agreement, and subject to Section 3(b), in the event of a Change in Control, the Committee, in its discretion, may take such actions with respect to outstanding Awards as determines to be appropriate, including without limitation:</w:t>
      </w:r>
    </w:p>
    <w:p>
      <w:pPr>
        <w:spacing w:after="0" w:line="182" w:lineRule="exact"/>
        <w:rPr>
          <w:rFonts w:ascii="Arial" w:cs="Arial" w:eastAsia="Arial" w:hAnsi="Arial"/>
          <w:sz w:val="18"/>
          <w:szCs w:val="18"/>
          <w:color w:val="auto"/>
        </w:rPr>
      </w:pPr>
    </w:p>
    <w:p>
      <w:pPr>
        <w:jc w:val="both"/>
        <w:ind w:left="1940" w:hanging="642"/>
        <w:spacing w:after="0" w:line="262" w:lineRule="auto"/>
        <w:tabs>
          <w:tab w:leader="none" w:pos="1940" w:val="left"/>
        </w:tabs>
        <w:numPr>
          <w:ilvl w:val="2"/>
          <w:numId w:val="398"/>
        </w:numPr>
        <w:rPr>
          <w:rFonts w:ascii="Arial" w:cs="Arial" w:eastAsia="Arial" w:hAnsi="Arial"/>
          <w:sz w:val="18"/>
          <w:szCs w:val="18"/>
          <w:color w:val="auto"/>
        </w:rPr>
      </w:pPr>
      <w:r>
        <w:rPr>
          <w:rFonts w:ascii="Arial" w:cs="Arial" w:eastAsia="Arial" w:hAnsi="Arial"/>
          <w:sz w:val="18"/>
          <w:szCs w:val="18"/>
          <w:color w:val="auto"/>
        </w:rPr>
        <w:t>provide that any outstanding Award that is not assumed or substituted in connection with a Change in Control, immediately upon the occurrence of the Change in Control, such Award shall become fully vested and exercisable and the restrictions, payment conditions, and forfeiture conditions applicable to any such Award granted shall lapse, and</w:t>
      </w:r>
    </w:p>
    <w:p>
      <w:pPr>
        <w:spacing w:after="0" w:line="182" w:lineRule="exact"/>
        <w:rPr>
          <w:rFonts w:ascii="Arial" w:cs="Arial" w:eastAsia="Arial" w:hAnsi="Arial"/>
          <w:sz w:val="18"/>
          <w:szCs w:val="18"/>
          <w:color w:val="auto"/>
        </w:rPr>
      </w:pPr>
    </w:p>
    <w:p>
      <w:pPr>
        <w:jc w:val="both"/>
        <w:ind w:left="1940" w:hanging="642"/>
        <w:spacing w:after="0" w:line="292" w:lineRule="auto"/>
        <w:tabs>
          <w:tab w:leader="none" w:pos="1940" w:val="left"/>
        </w:tabs>
        <w:numPr>
          <w:ilvl w:val="2"/>
          <w:numId w:val="398"/>
        </w:numPr>
        <w:rPr>
          <w:rFonts w:ascii="Arial" w:cs="Arial" w:eastAsia="Arial" w:hAnsi="Arial"/>
          <w:sz w:val="16"/>
          <w:szCs w:val="16"/>
          <w:color w:val="auto"/>
        </w:rPr>
      </w:pPr>
      <w:r>
        <w:rPr>
          <w:rFonts w:ascii="Arial" w:cs="Arial" w:eastAsia="Arial" w:hAnsi="Arial"/>
          <w:sz w:val="16"/>
          <w:szCs w:val="16"/>
          <w:color w:val="auto"/>
        </w:rPr>
        <w:t>provide that each Award shall, immediately upon the occurrence of a Change in Control, be cancelled in exchange for a payment in cash or securities in an amount equal to (A) the excess of the consideration paid per share of Company Stock in the Change in Control over the exercise or purchase price (if any) per share of Company Stock subject to the Award multiplied by (B) the number of shares of Company Stock granted under the Award. If the amount determined pursuant to the immediately preceding sentence is zero, such Award may be cancelled pursuant to this Section 13(a) without payment of any consideration to the affected Participant. The Committee shall not be required to treat all Awards similarly for purposes of this Section 13(a).</w:t>
      </w:r>
    </w:p>
    <w:p>
      <w:pPr>
        <w:spacing w:after="0" w:line="162" w:lineRule="exact"/>
        <w:rPr>
          <w:rFonts w:ascii="Arial" w:cs="Arial" w:eastAsia="Arial" w:hAnsi="Arial"/>
          <w:sz w:val="16"/>
          <w:szCs w:val="16"/>
          <w:color w:val="auto"/>
        </w:rPr>
      </w:pPr>
    </w:p>
    <w:p>
      <w:pPr>
        <w:jc w:val="both"/>
        <w:ind w:firstLine="1056"/>
        <w:spacing w:after="0" w:line="274" w:lineRule="auto"/>
        <w:tabs>
          <w:tab w:leader="none" w:pos="1610" w:val="left"/>
        </w:tabs>
        <w:numPr>
          <w:ilvl w:val="1"/>
          <w:numId w:val="398"/>
        </w:numPr>
        <w:rPr>
          <w:rFonts w:ascii="Arial" w:cs="Arial" w:eastAsia="Arial" w:hAnsi="Arial"/>
          <w:sz w:val="17"/>
          <w:szCs w:val="17"/>
          <w:color w:val="auto"/>
        </w:rPr>
      </w:pPr>
      <w:r>
        <w:rPr>
          <w:rFonts w:ascii="Arial" w:cs="Arial" w:eastAsia="Arial" w:hAnsi="Arial"/>
          <w:sz w:val="17"/>
          <w:szCs w:val="17"/>
          <w:color w:val="auto"/>
        </w:rPr>
        <w:t>Notwithstanding the foregoing, for each Award that constitutes nonqualified deferred compensation under Section 409A of the Code, if required to avoid accelerated taxation and/or tax penalties under Section 409A of the Code, a Change in Control shall be deemed to have occurred for purposes of vesting or the lapse of restrictions, but not purposes of the payment or settlement of such Award under the Plan unless such Change in Control constitutes a “change in the ownership of the corporation,” a “change in effective control of the corporation” or a “change in the ownership of a substantial portion of the assets of the corporation,” within the meaning of Section 409A(a)(2)(A)(v) of the Code.</w:t>
      </w:r>
    </w:p>
    <w:p>
      <w:pPr>
        <w:spacing w:after="0" w:line="174" w:lineRule="exact"/>
        <w:rPr>
          <w:rFonts w:ascii="Arial" w:cs="Arial" w:eastAsia="Arial" w:hAnsi="Arial"/>
          <w:sz w:val="17"/>
          <w:szCs w:val="17"/>
          <w:color w:val="auto"/>
        </w:rPr>
      </w:pPr>
    </w:p>
    <w:p>
      <w:pPr>
        <w:jc w:val="both"/>
        <w:ind w:firstLine="1056"/>
        <w:spacing w:after="0" w:line="262" w:lineRule="auto"/>
        <w:tabs>
          <w:tab w:leader="none" w:pos="1692"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Rights as a Stockholder.</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No person shall have any rights as a stockholder with respect to any shares of Company Stock covered by or relating to any Award until the date of record issuance of such shares of Company Stock in the books of the Company or the issuance of a stock certificate with respect to such shares of Company Stock. Except for adjustments provided in Section 3(b), no adjustment to any Award shall be made for dividends or other rights for which the record date occurs prior to the date such book entry is made or stock certificate is issued.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66" w:name="page467"/>
    <w:bookmarkEnd w:id="466"/>
    <w:p>
      <w:pPr>
        <w:ind w:left="340" w:hanging="332"/>
        <w:spacing w:after="0"/>
        <w:tabs>
          <w:tab w:leader="none" w:pos="340" w:val="left"/>
        </w:tabs>
        <w:numPr>
          <w:ilvl w:val="0"/>
          <w:numId w:val="399"/>
        </w:numPr>
        <w:rPr>
          <w:rFonts w:ascii="Arial" w:cs="Arial" w:eastAsia="Arial" w:hAnsi="Arial"/>
          <w:sz w:val="18"/>
          <w:szCs w:val="18"/>
          <w:color w:val="auto"/>
        </w:rPr>
      </w:pPr>
      <w:r>
        <w:rPr>
          <w:rFonts w:ascii="Arial" w:cs="Arial" w:eastAsia="Arial" w:hAnsi="Arial"/>
          <w:sz w:val="18"/>
          <w:szCs w:val="18"/>
          <w:i w:val="1"/>
          <w:iCs w:val="1"/>
          <w:color w:val="auto"/>
        </w:rPr>
        <w:t>No Employment Rights; No Right to Award.</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Nothing contained in the Plan or any Award Agreement shall confer upon any Participant any right with respect to the continuation of employment by or provision of services to the Company and its Affiliates or interfere in any way with the right of the Company or any of its Affiliates, subject to the terms of any separate agreement to the contrary, at any time to terminate such employment or service or to increase or decrease the compensation of the Participant. No person shall have any claim or right to receive an Award hereunder. The Committee’s granting of an Award to a Participant at any time shall neither require the Committee to grant any other Award to such Participant or other person at any time nor preclude the Committee from making subsequent grants to such Participant or any other person.</w:t>
      </w:r>
    </w:p>
    <w:p>
      <w:pPr>
        <w:spacing w:after="0" w:line="191" w:lineRule="exact"/>
        <w:rPr>
          <w:sz w:val="20"/>
          <w:szCs w:val="20"/>
          <w:color w:val="auto"/>
        </w:rPr>
      </w:pPr>
    </w:p>
    <w:p>
      <w:pPr>
        <w:ind w:left="340" w:hanging="332"/>
        <w:spacing w:after="0"/>
        <w:tabs>
          <w:tab w:leader="none" w:pos="340"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Securities Matters and Regulations.</w:t>
      </w:r>
    </w:p>
    <w:p>
      <w:pPr>
        <w:spacing w:after="0" w:line="223" w:lineRule="exact"/>
        <w:rPr>
          <w:rFonts w:ascii="Arial" w:cs="Arial" w:eastAsia="Arial" w:hAnsi="Arial"/>
          <w:sz w:val="18"/>
          <w:szCs w:val="18"/>
          <w:color w:val="auto"/>
        </w:rPr>
      </w:pPr>
    </w:p>
    <w:p>
      <w:pPr>
        <w:jc w:val="both"/>
        <w:ind w:firstLine="1056"/>
        <w:spacing w:after="0" w:line="254" w:lineRule="auto"/>
        <w:tabs>
          <w:tab w:leader="none" w:pos="1645" w:val="left"/>
        </w:tabs>
        <w:numPr>
          <w:ilvl w:val="1"/>
          <w:numId w:val="400"/>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obligation of the Company to sell or deliver Company Stock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Committee. The Committee may require, as a condition of the issuance and delivery of certificates evidencing shares of Company Stock pursuant to the terms hereof, that the recipient of such shares of Company Stock make such agreements and representations, and that such certificates bear such legends, as the Committee, in its discretion, deems necessary or advisable.</w:t>
      </w:r>
    </w:p>
    <w:p>
      <w:pPr>
        <w:spacing w:after="0" w:line="191" w:lineRule="exact"/>
        <w:rPr>
          <w:rFonts w:ascii="Arial" w:cs="Arial" w:eastAsia="Arial" w:hAnsi="Arial"/>
          <w:sz w:val="18"/>
          <w:szCs w:val="18"/>
          <w:color w:val="auto"/>
        </w:rPr>
      </w:pPr>
    </w:p>
    <w:p>
      <w:pPr>
        <w:jc w:val="both"/>
        <w:ind w:firstLine="1056"/>
        <w:spacing w:after="0" w:line="274" w:lineRule="auto"/>
        <w:tabs>
          <w:tab w:leader="none" w:pos="1620" w:val="left"/>
        </w:tabs>
        <w:numPr>
          <w:ilvl w:val="1"/>
          <w:numId w:val="400"/>
        </w:numPr>
        <w:rPr>
          <w:rFonts w:ascii="Arial" w:cs="Arial" w:eastAsia="Arial" w:hAnsi="Arial"/>
          <w:sz w:val="17"/>
          <w:szCs w:val="17"/>
          <w:color w:val="auto"/>
        </w:rPr>
      </w:pPr>
      <w:r>
        <w:rPr>
          <w:rFonts w:ascii="Arial" w:cs="Arial" w:eastAsia="Arial" w:hAnsi="Arial"/>
          <w:sz w:val="17"/>
          <w:szCs w:val="17"/>
          <w:color w:val="auto"/>
        </w:rPr>
        <w:t>Each Award is subject to the requirement that, if at any time the Committee determines, in its discretion, that the listing, registration or qualification of Company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Company Stock, no such Award shall be granted or payment made or Company Stock issued, in whole or in part, unless listing, registration, qualification, consent or approval has been effected or obtained free of any conditions not acceptable to the Committee.</w:t>
      </w:r>
    </w:p>
    <w:p>
      <w:pPr>
        <w:spacing w:after="0" w:line="174" w:lineRule="exact"/>
        <w:rPr>
          <w:rFonts w:ascii="Arial" w:cs="Arial" w:eastAsia="Arial" w:hAnsi="Arial"/>
          <w:sz w:val="17"/>
          <w:szCs w:val="17"/>
          <w:color w:val="auto"/>
        </w:rPr>
      </w:pPr>
    </w:p>
    <w:p>
      <w:pPr>
        <w:jc w:val="both"/>
        <w:ind w:firstLine="1056"/>
        <w:spacing w:after="0" w:line="255" w:lineRule="auto"/>
        <w:tabs>
          <w:tab w:leader="none" w:pos="1601" w:val="left"/>
        </w:tabs>
        <w:numPr>
          <w:ilvl w:val="1"/>
          <w:numId w:val="400"/>
        </w:numPr>
        <w:rPr>
          <w:rFonts w:ascii="Arial" w:cs="Arial" w:eastAsia="Arial" w:hAnsi="Arial"/>
          <w:sz w:val="18"/>
          <w:szCs w:val="18"/>
          <w:color w:val="auto"/>
        </w:rPr>
      </w:pPr>
      <w:r>
        <w:rPr>
          <w:rFonts w:ascii="Arial" w:cs="Arial" w:eastAsia="Arial" w:hAnsi="Arial"/>
          <w:sz w:val="18"/>
          <w:szCs w:val="18"/>
          <w:color w:val="auto"/>
        </w:rPr>
        <w:t>In the event that the disposition of Company Stock acquired pursuant to the Plan is not covered by a then-current registration statement under the Securities Act and is not otherwise exempt from such registration, such Company Stock shall be restricted against transfer to the extent required by the Securities Act, and the Committee may require a Participant receiving Company Stock pursuant to the Plan, as a condition precedent to receipt of such Company Stock, to represent to the Company in writing that the Company Stock acquired by such Participant is acquired for investment only and not with a view to distribution.</w:t>
      </w:r>
    </w:p>
    <w:p>
      <w:pPr>
        <w:spacing w:after="0" w:line="190" w:lineRule="exact"/>
        <w:rPr>
          <w:rFonts w:ascii="Arial" w:cs="Arial" w:eastAsia="Arial" w:hAnsi="Arial"/>
          <w:sz w:val="18"/>
          <w:szCs w:val="18"/>
          <w:color w:val="auto"/>
        </w:rPr>
      </w:pPr>
    </w:p>
    <w:p>
      <w:pPr>
        <w:jc w:val="both"/>
        <w:ind w:firstLine="1056"/>
        <w:spacing w:after="0" w:line="300" w:lineRule="auto"/>
        <w:tabs>
          <w:tab w:leader="none" w:pos="1577" w:val="left"/>
        </w:tabs>
        <w:numPr>
          <w:ilvl w:val="1"/>
          <w:numId w:val="400"/>
        </w:numPr>
        <w:rPr>
          <w:rFonts w:ascii="Arial" w:cs="Arial" w:eastAsia="Arial" w:hAnsi="Arial"/>
          <w:sz w:val="16"/>
          <w:szCs w:val="16"/>
          <w:color w:val="auto"/>
        </w:rPr>
      </w:pPr>
      <w:r>
        <w:rPr>
          <w:rFonts w:ascii="Arial" w:cs="Arial" w:eastAsia="Arial" w:hAnsi="Arial"/>
          <w:sz w:val="16"/>
          <w:szCs w:val="16"/>
          <w:color w:val="auto"/>
        </w:rPr>
        <w:t>The intent of the Plan is to qualify for the exemption provided by Rule 16b-3 under the Exchange Act. To the extent any provision of the Plan or any Award Agreement does not comply with the requirements of Rule 16b-3, it shall be deemed inoperative to the extent permitted by law and deemed advisable by the Committee and shall not affect the validity of the Plan. In the event that Rule 16b-3 is revised or replaced, the Committee, acting on behalf of the Board, may exercise discretion to modify the Plan in any respect necessary to satisfy the requirements of the revised exemption or its replacement.</w:t>
      </w:r>
    </w:p>
    <w:p>
      <w:pPr>
        <w:spacing w:after="0" w:line="155" w:lineRule="exact"/>
        <w:rPr>
          <w:rFonts w:ascii="Arial" w:cs="Arial" w:eastAsia="Arial" w:hAnsi="Arial"/>
          <w:sz w:val="16"/>
          <w:szCs w:val="16"/>
          <w:color w:val="auto"/>
        </w:rPr>
      </w:pPr>
    </w:p>
    <w:p>
      <w:pPr>
        <w:ind w:left="340" w:hanging="332"/>
        <w:spacing w:after="0"/>
        <w:tabs>
          <w:tab w:leader="none" w:pos="340"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Withholding Taxes.</w:t>
      </w:r>
    </w:p>
    <w:p>
      <w:pPr>
        <w:spacing w:after="0" w:line="22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Whenever cash is to be paid pursuant to an Award, the Company or any of its Affiliates shall have the right to deduct therefrom an amount sufficient to satisfy any federal, state and local withholding tax requirements related thereto. 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equal to the amount of tax required to be withheld. Such shares of Company Stock shall be valued at their Fair Market Value on the date of which the amount of tax to be withheld is determined. Amounts with respect to fractional shares of Company Stock shall be settled in cash. Such a withholding election may be made with respect to all or any portion of the shares of Company Stock to be delivered pursuant to an Award.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7" w:name="page468"/>
    <w:bookmarkEnd w:id="467"/>
    <w:p>
      <w:pPr>
        <w:ind w:left="340" w:hanging="332"/>
        <w:spacing w:after="0"/>
        <w:tabs>
          <w:tab w:leader="none" w:pos="340" w:val="left"/>
        </w:tabs>
        <w:numPr>
          <w:ilvl w:val="0"/>
          <w:numId w:val="401"/>
        </w:numPr>
        <w:rPr>
          <w:rFonts w:ascii="Arial" w:cs="Arial" w:eastAsia="Arial" w:hAnsi="Arial"/>
          <w:sz w:val="18"/>
          <w:szCs w:val="18"/>
          <w:color w:val="auto"/>
        </w:rPr>
      </w:pPr>
      <w:r>
        <w:rPr>
          <w:rFonts w:ascii="Arial" w:cs="Arial" w:eastAsia="Arial" w:hAnsi="Arial"/>
          <w:sz w:val="18"/>
          <w:szCs w:val="18"/>
          <w:i w:val="1"/>
          <w:iCs w:val="1"/>
          <w:color w:val="auto"/>
        </w:rPr>
        <w:t>Notification of Election Under Section 83(b) of the Code.</w:t>
      </w:r>
    </w:p>
    <w:p>
      <w:pPr>
        <w:spacing w:after="0" w:line="223" w:lineRule="exact"/>
        <w:rPr>
          <w:sz w:val="20"/>
          <w:szCs w:val="20"/>
          <w:color w:val="auto"/>
        </w:rPr>
      </w:pPr>
    </w:p>
    <w:p>
      <w:pPr>
        <w:jc w:val="both"/>
        <w:ind w:right="20" w:firstLine="645"/>
        <w:spacing w:after="0" w:line="340" w:lineRule="auto"/>
        <w:rPr>
          <w:sz w:val="20"/>
          <w:szCs w:val="20"/>
          <w:color w:val="auto"/>
        </w:rPr>
      </w:pPr>
      <w:r>
        <w:rPr>
          <w:rFonts w:ascii="Arial" w:cs="Arial" w:eastAsia="Arial" w:hAnsi="Arial"/>
          <w:sz w:val="16"/>
          <w:szCs w:val="16"/>
          <w:color w:val="auto"/>
        </w:rPr>
        <w:t>If any Participant shall, in connection with the acquisition of shares of Company Stock under the Plan, make the election permitted under Section 83(b) of the Code, such Participant shall notify the Company of such election within 10 days of filing notice of the election with the Internal Revenue Service.</w:t>
      </w:r>
    </w:p>
    <w:p>
      <w:pPr>
        <w:spacing w:after="0" w:line="124" w:lineRule="exact"/>
        <w:rPr>
          <w:sz w:val="20"/>
          <w:szCs w:val="20"/>
          <w:color w:val="auto"/>
        </w:rPr>
      </w:pPr>
    </w:p>
    <w:p>
      <w:pPr>
        <w:ind w:left="340" w:hanging="332"/>
        <w:spacing w:after="0"/>
        <w:tabs>
          <w:tab w:leader="none" w:pos="340" w:val="left"/>
        </w:tabs>
        <w:numPr>
          <w:ilvl w:val="0"/>
          <w:numId w:val="402"/>
        </w:numPr>
        <w:rPr>
          <w:rFonts w:ascii="Arial" w:cs="Arial" w:eastAsia="Arial" w:hAnsi="Arial"/>
          <w:sz w:val="18"/>
          <w:szCs w:val="18"/>
          <w:color w:val="auto"/>
        </w:rPr>
      </w:pPr>
      <w:r>
        <w:rPr>
          <w:rFonts w:ascii="Arial" w:cs="Arial" w:eastAsia="Arial" w:hAnsi="Arial"/>
          <w:sz w:val="18"/>
          <w:szCs w:val="18"/>
          <w:i w:val="1"/>
          <w:iCs w:val="1"/>
          <w:color w:val="auto"/>
        </w:rPr>
        <w:t>Amendment or Termination of the Plan.</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The Board may, at any time, suspend or terminate the Plan or revise or amend it in any respect whatsoever;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stockholder approval shall be required for any such amendment if and to the extent such approval is required in order to comply with applicable law or stock exchange listing requirement. Nothing herein shall restrict the Committee’s ability to exercise its discretionary authority pursuant to Sections 3 and 4, which discretion may be exercised without amendment to the Plan. No amendment, suspension or termination will materially and adversely affect the rights of any Participant under an Award or the Plan without the consent of the Participant.</w:t>
      </w:r>
    </w:p>
    <w:p>
      <w:pPr>
        <w:spacing w:after="0" w:line="191" w:lineRule="exact"/>
        <w:rPr>
          <w:sz w:val="20"/>
          <w:szCs w:val="20"/>
          <w:color w:val="auto"/>
        </w:rPr>
      </w:pPr>
    </w:p>
    <w:p>
      <w:pPr>
        <w:ind w:left="340" w:hanging="332"/>
        <w:spacing w:after="0"/>
        <w:tabs>
          <w:tab w:leader="none" w:pos="340" w:val="left"/>
        </w:tabs>
        <w:numPr>
          <w:ilvl w:val="0"/>
          <w:numId w:val="403"/>
        </w:numPr>
        <w:rPr>
          <w:rFonts w:ascii="Arial" w:cs="Arial" w:eastAsia="Arial" w:hAnsi="Arial"/>
          <w:sz w:val="18"/>
          <w:szCs w:val="18"/>
          <w:color w:val="auto"/>
        </w:rPr>
      </w:pPr>
      <w:r>
        <w:rPr>
          <w:rFonts w:ascii="Arial" w:cs="Arial" w:eastAsia="Arial" w:hAnsi="Arial"/>
          <w:sz w:val="18"/>
          <w:szCs w:val="18"/>
          <w:i w:val="1"/>
          <w:iCs w:val="1"/>
          <w:color w:val="auto"/>
        </w:rPr>
        <w:t>Transfers Upon Death.</w:t>
      </w:r>
    </w:p>
    <w:p>
      <w:pPr>
        <w:spacing w:after="0" w:line="223"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acknowledgments made by the Participant in connection with the grant of the Award.</w:t>
      </w:r>
    </w:p>
    <w:p>
      <w:pPr>
        <w:spacing w:after="0" w:line="176" w:lineRule="exact"/>
        <w:rPr>
          <w:sz w:val="20"/>
          <w:szCs w:val="20"/>
          <w:color w:val="auto"/>
        </w:rPr>
      </w:pPr>
    </w:p>
    <w:p>
      <w:pPr>
        <w:ind w:left="340" w:hanging="332"/>
        <w:spacing w:after="0"/>
        <w:tabs>
          <w:tab w:leader="none" w:pos="340" w:val="left"/>
        </w:tabs>
        <w:numPr>
          <w:ilvl w:val="0"/>
          <w:numId w:val="404"/>
        </w:numPr>
        <w:rPr>
          <w:rFonts w:ascii="Arial" w:cs="Arial" w:eastAsia="Arial" w:hAnsi="Arial"/>
          <w:sz w:val="18"/>
          <w:szCs w:val="18"/>
          <w:color w:val="auto"/>
        </w:rPr>
      </w:pPr>
      <w:r>
        <w:rPr>
          <w:rFonts w:ascii="Arial" w:cs="Arial" w:eastAsia="Arial" w:hAnsi="Arial"/>
          <w:sz w:val="18"/>
          <w:szCs w:val="18"/>
          <w:i w:val="1"/>
          <w:iCs w:val="1"/>
          <w:color w:val="auto"/>
        </w:rPr>
        <w:t>Expenses and Receipts.</w:t>
      </w:r>
    </w:p>
    <w:p>
      <w:pPr>
        <w:spacing w:after="0" w:line="223"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The expenses of the Plan shall be paid by the Company. Any proceeds received by the Company in connection with any Award may be used for general corporate purposes.</w:t>
      </w:r>
    </w:p>
    <w:p>
      <w:pPr>
        <w:spacing w:after="0" w:line="171" w:lineRule="exact"/>
        <w:rPr>
          <w:sz w:val="20"/>
          <w:szCs w:val="20"/>
          <w:color w:val="auto"/>
        </w:rPr>
      </w:pPr>
    </w:p>
    <w:p>
      <w:pPr>
        <w:ind w:left="340" w:hanging="332"/>
        <w:spacing w:after="0"/>
        <w:tabs>
          <w:tab w:leader="none" w:pos="340" w:val="left"/>
        </w:tabs>
        <w:numPr>
          <w:ilvl w:val="0"/>
          <w:numId w:val="405"/>
        </w:numPr>
        <w:rPr>
          <w:rFonts w:ascii="Arial" w:cs="Arial" w:eastAsia="Arial" w:hAnsi="Arial"/>
          <w:sz w:val="18"/>
          <w:szCs w:val="18"/>
          <w:color w:val="auto"/>
        </w:rPr>
      </w:pPr>
      <w:r>
        <w:rPr>
          <w:rFonts w:ascii="Arial" w:cs="Arial" w:eastAsia="Arial" w:hAnsi="Arial"/>
          <w:sz w:val="18"/>
          <w:szCs w:val="18"/>
          <w:i w:val="1"/>
          <w:iCs w:val="1"/>
          <w:color w:val="auto"/>
        </w:rPr>
        <w:t>Effective Date and Term of Plan.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Plan was adopted and approved by the Board on [•], 2018 and approved by the stockholders of the Company on [•], 2018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p>
    <w:p>
      <w:pPr>
        <w:spacing w:after="0" w:line="246" w:lineRule="exact"/>
        <w:rPr>
          <w:sz w:val="20"/>
          <w:szCs w:val="20"/>
          <w:color w:val="auto"/>
        </w:rPr>
      </w:pPr>
    </w:p>
    <w:p>
      <w:pPr>
        <w:ind w:left="340" w:hanging="332"/>
        <w:spacing w:after="0"/>
        <w:tabs>
          <w:tab w:leader="none" w:pos="340" w:val="left"/>
        </w:tabs>
        <w:numPr>
          <w:ilvl w:val="0"/>
          <w:numId w:val="406"/>
        </w:numPr>
        <w:rPr>
          <w:rFonts w:ascii="Arial" w:cs="Arial" w:eastAsia="Arial" w:hAnsi="Arial"/>
          <w:sz w:val="18"/>
          <w:szCs w:val="18"/>
          <w:color w:val="auto"/>
        </w:rPr>
      </w:pPr>
      <w:r>
        <w:rPr>
          <w:rFonts w:ascii="Arial" w:cs="Arial" w:eastAsia="Arial" w:hAnsi="Arial"/>
          <w:sz w:val="18"/>
          <w:szCs w:val="18"/>
          <w:i w:val="1"/>
          <w:iCs w:val="1"/>
          <w:color w:val="auto"/>
        </w:rPr>
        <w:t>Participant Rights.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Participant shall have any claim to be granted any award under the Plan, and there is no obligation for uniformity of treatment for Participants.</w:t>
      </w:r>
    </w:p>
    <w:p>
      <w:pPr>
        <w:spacing w:after="0" w:line="246" w:lineRule="exact"/>
        <w:rPr>
          <w:sz w:val="20"/>
          <w:szCs w:val="20"/>
          <w:color w:val="auto"/>
        </w:rPr>
      </w:pPr>
    </w:p>
    <w:p>
      <w:pPr>
        <w:ind w:left="340" w:hanging="332"/>
        <w:spacing w:after="0"/>
        <w:tabs>
          <w:tab w:leader="none" w:pos="340" w:val="left"/>
        </w:tabs>
        <w:numPr>
          <w:ilvl w:val="0"/>
          <w:numId w:val="407"/>
        </w:numPr>
        <w:rPr>
          <w:rFonts w:ascii="Arial" w:cs="Arial" w:eastAsia="Arial" w:hAnsi="Arial"/>
          <w:sz w:val="18"/>
          <w:szCs w:val="18"/>
          <w:color w:val="auto"/>
        </w:rPr>
      </w:pPr>
      <w:r>
        <w:rPr>
          <w:rFonts w:ascii="Arial" w:cs="Arial" w:eastAsia="Arial" w:hAnsi="Arial"/>
          <w:sz w:val="18"/>
          <w:szCs w:val="18"/>
          <w:i w:val="1"/>
          <w:iCs w:val="1"/>
          <w:color w:val="auto"/>
        </w:rPr>
        <w:t>Unfunded Status of Awards.</w:t>
      </w:r>
    </w:p>
    <w:p>
      <w:pPr>
        <w:spacing w:after="0" w:line="223" w:lineRule="exact"/>
        <w:rPr>
          <w:sz w:val="20"/>
          <w:szCs w:val="20"/>
          <w:color w:val="auto"/>
        </w:rPr>
      </w:pPr>
    </w:p>
    <w:p>
      <w:pPr>
        <w:jc w:val="both"/>
        <w:ind w:right="20" w:firstLine="645"/>
        <w:spacing w:after="0" w:line="262" w:lineRule="auto"/>
        <w:rPr>
          <w:sz w:val="20"/>
          <w:szCs w:val="20"/>
          <w:color w:val="auto"/>
        </w:rPr>
      </w:pPr>
      <w:r>
        <w:rPr>
          <w:rFonts w:ascii="Arial" w:cs="Arial" w:eastAsia="Arial" w:hAnsi="Arial"/>
          <w:sz w:val="18"/>
          <w:szCs w:val="18"/>
          <w:color w:val="auto"/>
        </w:rPr>
        <w:t>The Plan is intended to constitute an “unfunded” plan for incentive and deferred compensation. With respect to any payments not yet made to a Participant pursuant to an Award, nothing contained in the Plan or any Award Agreement shall give any such Participant any rights that are greater than those of a general creditor of the Company.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68" w:name="page469"/>
    <w:bookmarkEnd w:id="468"/>
    <w:p>
      <w:pPr>
        <w:ind w:left="340" w:hanging="332"/>
        <w:spacing w:after="0"/>
        <w:tabs>
          <w:tab w:leader="none" w:pos="340"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Foreign Employees and Foreign Law Considerations.</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The Committee may grant Awards to Eligible Individuals who are foreign nationals, who are located outside the United States or who are not compensated from a payroll maintained in the United States, or who are otherwise subject to (or could cause the Company to be subject to) tax,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or subplans as may be necessary or advisable to comply with such tax, legal or regulatory provisions.</w:t>
      </w:r>
    </w:p>
    <w:p>
      <w:pPr>
        <w:spacing w:after="0" w:line="191" w:lineRule="exact"/>
        <w:rPr>
          <w:sz w:val="20"/>
          <w:szCs w:val="20"/>
          <w:color w:val="auto"/>
        </w:rPr>
      </w:pPr>
    </w:p>
    <w:p>
      <w:pPr>
        <w:ind w:left="340" w:hanging="332"/>
        <w:spacing w:after="0"/>
        <w:tabs>
          <w:tab w:leader="none" w:pos="340" w:val="left"/>
        </w:tabs>
        <w:numPr>
          <w:ilvl w:val="0"/>
          <w:numId w:val="409"/>
        </w:numPr>
        <w:rPr>
          <w:rFonts w:ascii="Arial" w:cs="Arial" w:eastAsia="Arial" w:hAnsi="Arial"/>
          <w:sz w:val="18"/>
          <w:szCs w:val="18"/>
          <w:color w:val="auto"/>
        </w:rPr>
      </w:pPr>
      <w:r>
        <w:rPr>
          <w:rFonts w:ascii="Arial" w:cs="Arial" w:eastAsia="Arial" w:hAnsi="Arial"/>
          <w:sz w:val="18"/>
          <w:szCs w:val="18"/>
          <w:i w:val="1"/>
          <w:iCs w:val="1"/>
          <w:color w:val="auto"/>
        </w:rPr>
        <w:t>No Fractional Shares.</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No fractional shares of Company Stock shall be issued or delivered pursuant to the Plan. Unless otherwise provided herein, the Committee shall determine whether cash, Other Stock-Based Awards, or other property shall be issued or paid in lieu of such fractional shares of Company Stock or whether such fractional shares of Company Stock or any rights thereto shall be forfeited or otherwise eliminated.</w:t>
      </w:r>
    </w:p>
    <w:p>
      <w:pPr>
        <w:spacing w:after="0" w:line="182" w:lineRule="exact"/>
        <w:rPr>
          <w:sz w:val="20"/>
          <w:szCs w:val="20"/>
          <w:color w:val="auto"/>
        </w:rPr>
      </w:pPr>
    </w:p>
    <w:p>
      <w:pPr>
        <w:ind w:left="340" w:hanging="332"/>
        <w:spacing w:after="0"/>
        <w:tabs>
          <w:tab w:leader="none" w:pos="340" w:val="left"/>
        </w:tabs>
        <w:numPr>
          <w:ilvl w:val="0"/>
          <w:numId w:val="410"/>
        </w:numPr>
        <w:rPr>
          <w:rFonts w:ascii="Arial" w:cs="Arial" w:eastAsia="Arial" w:hAnsi="Arial"/>
          <w:sz w:val="18"/>
          <w:szCs w:val="18"/>
          <w:color w:val="auto"/>
        </w:rPr>
      </w:pPr>
      <w:r>
        <w:rPr>
          <w:rFonts w:ascii="Arial" w:cs="Arial" w:eastAsia="Arial" w:hAnsi="Arial"/>
          <w:sz w:val="18"/>
          <w:szCs w:val="18"/>
          <w:i w:val="1"/>
          <w:iCs w:val="1"/>
          <w:color w:val="auto"/>
        </w:rPr>
        <w:t>Beneficiary.</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182" w:lineRule="exact"/>
        <w:rPr>
          <w:sz w:val="20"/>
          <w:szCs w:val="20"/>
          <w:color w:val="auto"/>
        </w:rPr>
      </w:pPr>
    </w:p>
    <w:p>
      <w:pPr>
        <w:ind w:left="340" w:hanging="332"/>
        <w:spacing w:after="0"/>
        <w:tabs>
          <w:tab w:leader="none" w:pos="340" w:val="left"/>
        </w:tabs>
        <w:numPr>
          <w:ilvl w:val="0"/>
          <w:numId w:val="411"/>
        </w:numPr>
        <w:rPr>
          <w:rFonts w:ascii="Arial" w:cs="Arial" w:eastAsia="Arial" w:hAnsi="Arial"/>
          <w:sz w:val="18"/>
          <w:szCs w:val="18"/>
          <w:color w:val="auto"/>
        </w:rPr>
      </w:pPr>
      <w:r>
        <w:rPr>
          <w:rFonts w:ascii="Arial" w:cs="Arial" w:eastAsia="Arial" w:hAnsi="Arial"/>
          <w:sz w:val="18"/>
          <w:szCs w:val="18"/>
          <w:i w:val="1"/>
          <w:iCs w:val="1"/>
          <w:color w:val="auto"/>
        </w:rPr>
        <w:t>Paperless Administration.</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In the event that the Company establishes, for itself or using the services of a third-party,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82" w:lineRule="exact"/>
        <w:rPr>
          <w:sz w:val="20"/>
          <w:szCs w:val="20"/>
          <w:color w:val="auto"/>
        </w:rPr>
      </w:pPr>
    </w:p>
    <w:p>
      <w:pPr>
        <w:ind w:left="340" w:hanging="332"/>
        <w:spacing w:after="0"/>
        <w:tabs>
          <w:tab w:leader="none" w:pos="340" w:val="left"/>
        </w:tabs>
        <w:numPr>
          <w:ilvl w:val="0"/>
          <w:numId w:val="412"/>
        </w:numPr>
        <w:rPr>
          <w:rFonts w:ascii="Arial" w:cs="Arial" w:eastAsia="Arial" w:hAnsi="Arial"/>
          <w:sz w:val="18"/>
          <w:szCs w:val="18"/>
          <w:color w:val="auto"/>
        </w:rPr>
      </w:pPr>
      <w:r>
        <w:rPr>
          <w:rFonts w:ascii="Arial" w:cs="Arial" w:eastAsia="Arial" w:hAnsi="Arial"/>
          <w:sz w:val="18"/>
          <w:szCs w:val="18"/>
          <w:i w:val="1"/>
          <w:iCs w:val="1"/>
          <w:color w:val="auto"/>
        </w:rPr>
        <w:t>Effect of Plan upon Other Compensation Plans.</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adoption of the Plan shall not affect any other compensation or incentive plans in effect for the Company or any of its Affiliates. Nothing in the Plan shall be construed to limit the right of the Company or any of its Affiliates to establish any other forms of incentives or compensation for Employees, Directors or Consultants.</w:t>
      </w:r>
    </w:p>
    <w:p>
      <w:pPr>
        <w:spacing w:after="0" w:line="182" w:lineRule="exact"/>
        <w:rPr>
          <w:sz w:val="20"/>
          <w:szCs w:val="20"/>
          <w:color w:val="auto"/>
        </w:rPr>
      </w:pPr>
    </w:p>
    <w:p>
      <w:pPr>
        <w:ind w:left="340" w:hanging="332"/>
        <w:spacing w:after="0"/>
        <w:tabs>
          <w:tab w:leader="none" w:pos="340" w:val="left"/>
        </w:tabs>
        <w:numPr>
          <w:ilvl w:val="0"/>
          <w:numId w:val="413"/>
        </w:numPr>
        <w:rPr>
          <w:rFonts w:ascii="Arial" w:cs="Arial" w:eastAsia="Arial" w:hAnsi="Arial"/>
          <w:sz w:val="18"/>
          <w:szCs w:val="18"/>
          <w:color w:val="auto"/>
        </w:rPr>
      </w:pPr>
      <w:r>
        <w:rPr>
          <w:rFonts w:ascii="Arial" w:cs="Arial" w:eastAsia="Arial" w:hAnsi="Arial"/>
          <w:sz w:val="18"/>
          <w:szCs w:val="18"/>
          <w:i w:val="1"/>
          <w:iCs w:val="1"/>
          <w:color w:val="auto"/>
        </w:rPr>
        <w:t>Gender and Number; Captions.</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Except where otherwise indicated by the context, any masculine term used herein also shall include the feminine; any feminine term used herein also shall include the masculine; and the plural shall include the singular and the singular shall include the plural. Captions and headings are given to the articles, sections and subsections of the Plan solely as a convenience to facilitate reference. Such headings shall not be deemed in any way material or relevant to the construction or interpretation of the Plan or any provision thereof.</w:t>
      </w:r>
    </w:p>
    <w:p>
      <w:pPr>
        <w:spacing w:after="0" w:line="185" w:lineRule="exact"/>
        <w:rPr>
          <w:sz w:val="20"/>
          <w:szCs w:val="20"/>
          <w:color w:val="auto"/>
        </w:rPr>
      </w:pPr>
    </w:p>
    <w:p>
      <w:pPr>
        <w:ind w:left="340" w:hanging="332"/>
        <w:spacing w:after="0"/>
        <w:tabs>
          <w:tab w:leader="none" w:pos="340" w:val="left"/>
        </w:tabs>
        <w:numPr>
          <w:ilvl w:val="0"/>
          <w:numId w:val="414"/>
        </w:numPr>
        <w:rPr>
          <w:rFonts w:ascii="Arial" w:cs="Arial" w:eastAsia="Arial" w:hAnsi="Arial"/>
          <w:sz w:val="18"/>
          <w:szCs w:val="18"/>
          <w:color w:val="auto"/>
        </w:rPr>
      </w:pPr>
      <w:r>
        <w:rPr>
          <w:rFonts w:ascii="Arial" w:cs="Arial" w:eastAsia="Arial" w:hAnsi="Arial"/>
          <w:sz w:val="18"/>
          <w:szCs w:val="18"/>
          <w:i w:val="1"/>
          <w:iCs w:val="1"/>
          <w:color w:val="auto"/>
        </w:rPr>
        <w:t>Severability.</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If any provision of the Plan or any Award Agreement is held to be invalid, illegal or unenforceable, such provision shall be deemed modified to the extent, but only to the extent, of such invalidity, illegality or unenforceability and the other provisions of the Plan or Award Agreement shall not be affected but shall be applied as if the invalid or unenforceable provision had not been included in the Plan.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69" w:name="page470"/>
    <w:bookmarkEnd w:id="469"/>
    <w:p>
      <w:pPr>
        <w:ind w:left="340" w:hanging="332"/>
        <w:spacing w:after="0"/>
        <w:tabs>
          <w:tab w:leader="none" w:pos="340"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Applicable Law.</w:t>
      </w:r>
    </w:p>
    <w:p>
      <w:pPr>
        <w:spacing w:after="0" w:line="223"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Except to the extent preempted by any applicable federal law, the Plan shall be construed and administered in accordance with the laws of the State of Delaware without reference to its principles of conflicts of law.</w:t>
      </w:r>
    </w:p>
    <w:p>
      <w:pPr>
        <w:spacing w:after="0" w:line="171" w:lineRule="exact"/>
        <w:rPr>
          <w:sz w:val="20"/>
          <w:szCs w:val="20"/>
          <w:color w:val="auto"/>
        </w:rPr>
      </w:pPr>
    </w:p>
    <w:p>
      <w:pPr>
        <w:ind w:left="340" w:hanging="332"/>
        <w:spacing w:after="0"/>
        <w:tabs>
          <w:tab w:leader="none" w:pos="340" w:val="left"/>
        </w:tabs>
        <w:numPr>
          <w:ilvl w:val="0"/>
          <w:numId w:val="416"/>
        </w:numPr>
        <w:rPr>
          <w:rFonts w:ascii="Arial" w:cs="Arial" w:eastAsia="Arial" w:hAnsi="Arial"/>
          <w:sz w:val="18"/>
          <w:szCs w:val="18"/>
          <w:color w:val="auto"/>
        </w:rPr>
      </w:pPr>
      <w:r>
        <w:rPr>
          <w:rFonts w:ascii="Arial" w:cs="Arial" w:eastAsia="Arial" w:hAnsi="Arial"/>
          <w:sz w:val="18"/>
          <w:szCs w:val="18"/>
          <w:i w:val="1"/>
          <w:iCs w:val="1"/>
          <w:color w:val="auto"/>
        </w:rPr>
        <w:t>Clawback.</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Awards granted under the Plan are subject to the terms of the Company’s recoupment, clawback or similar policy as it may be in effect from time to time, as well as any similar provisions of applicable law, as well as any other policy of the Company that applies to Awards, such as anti-hedging or pledging policies, as they may be in effect from time to time.</w:t>
      </w:r>
    </w:p>
    <w:p>
      <w:pPr>
        <w:spacing w:after="0" w:line="182" w:lineRule="exact"/>
        <w:rPr>
          <w:sz w:val="20"/>
          <w:szCs w:val="20"/>
          <w:color w:val="auto"/>
        </w:rPr>
      </w:pPr>
    </w:p>
    <w:p>
      <w:pPr>
        <w:ind w:left="340" w:hanging="332"/>
        <w:spacing w:after="0"/>
        <w:tabs>
          <w:tab w:leader="none" w:pos="340" w:val="left"/>
        </w:tabs>
        <w:numPr>
          <w:ilvl w:val="0"/>
          <w:numId w:val="417"/>
        </w:numPr>
        <w:rPr>
          <w:rFonts w:ascii="Arial" w:cs="Arial" w:eastAsia="Arial" w:hAnsi="Arial"/>
          <w:sz w:val="18"/>
          <w:szCs w:val="18"/>
          <w:color w:val="auto"/>
        </w:rPr>
      </w:pPr>
      <w:r>
        <w:rPr>
          <w:rFonts w:ascii="Arial" w:cs="Arial" w:eastAsia="Arial" w:hAnsi="Arial"/>
          <w:sz w:val="18"/>
          <w:szCs w:val="18"/>
          <w:i w:val="1"/>
          <w:iCs w:val="1"/>
          <w:color w:val="auto"/>
        </w:rPr>
        <w:t>Section 409A Compliance.</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The Plan as well as payments and benefits under the Plan are intended to comply with Section 409A of the Code to the extent subject thereto, and, accordingly, to the maximum extent permitted, the Plan shall be interpreted and be administered to be in compliance therewith. Notwithstanding anything contained herein to the contrary, to the extent required in order to avoid taxation and/or tax penalties under Section 409A of the Code, the Participant shall not be considered to have terminated employment with the Company for purposes of the Plan and no payment shall be due to the Participant under the Plan or any Award until the Participant would be considered to have incurred a “separation from service” from the Company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are payable upon a separation from service and such payment would result in the imposition of any individual tax and penalty interest charges imposed under Section 409A of the Code, the settlement and payment of such Awards shall instead be made on the first business day after the date that is 6 months following such separation from service (or death, if earlier). Whenever a payment under an Award specifies a payment period with reference to a number of days, the actual date of payment within the specified period shall be within the discretion of the Company. If under an Award an amount is to be paid in two or more installments, for purposes of Section 409A of the Code, each installment shall be treated as a separate payment.</w:t>
      </w:r>
    </w:p>
    <w:p>
      <w:pPr>
        <w:spacing w:after="0" w:line="174" w:lineRule="exact"/>
        <w:rPr>
          <w:sz w:val="20"/>
          <w:szCs w:val="20"/>
          <w:color w:val="auto"/>
        </w:rPr>
      </w:pPr>
    </w:p>
    <w:p>
      <w:pPr>
        <w:ind w:left="340" w:hanging="332"/>
        <w:spacing w:after="0"/>
        <w:tabs>
          <w:tab w:leader="none" w:pos="340" w:val="left"/>
        </w:tabs>
        <w:numPr>
          <w:ilvl w:val="0"/>
          <w:numId w:val="418"/>
        </w:numPr>
        <w:rPr>
          <w:rFonts w:ascii="Arial" w:cs="Arial" w:eastAsia="Arial" w:hAnsi="Arial"/>
          <w:sz w:val="18"/>
          <w:szCs w:val="18"/>
          <w:color w:val="auto"/>
        </w:rPr>
      </w:pPr>
      <w:r>
        <w:rPr>
          <w:rFonts w:ascii="Arial" w:cs="Arial" w:eastAsia="Arial" w:hAnsi="Arial"/>
          <w:sz w:val="18"/>
          <w:szCs w:val="18"/>
          <w:i w:val="1"/>
          <w:iCs w:val="1"/>
          <w:color w:val="auto"/>
        </w:rPr>
        <w:t>Forfeiture and Compensation Recovery.</w:t>
      </w:r>
    </w:p>
    <w:p>
      <w:pPr>
        <w:spacing w:after="0" w:line="223" w:lineRule="exact"/>
        <w:rPr>
          <w:rFonts w:ascii="Arial" w:cs="Arial" w:eastAsia="Arial" w:hAnsi="Arial"/>
          <w:sz w:val="18"/>
          <w:szCs w:val="18"/>
          <w:color w:val="auto"/>
        </w:rPr>
      </w:pPr>
    </w:p>
    <w:p>
      <w:pPr>
        <w:jc w:val="both"/>
        <w:ind w:firstLine="1056"/>
        <w:spacing w:after="0" w:line="254" w:lineRule="auto"/>
        <w:tabs>
          <w:tab w:leader="none" w:pos="1564"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the Participant’s rights, payments and benefits with respect to an Award will be subject to reduction, cancellation or forfeiture or recovery by the Company upon the occurrence of certain specified events, in addition to any otherwise applicable vesting or performance conditions of the Award. Such events may include a Termination of Service for Cause, violation of material Company policies, breach of noncompetition or other restrictive covenants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91" w:lineRule="exact"/>
        <w:rPr>
          <w:rFonts w:ascii="Arial" w:cs="Arial" w:eastAsia="Arial" w:hAnsi="Arial"/>
          <w:sz w:val="18"/>
          <w:szCs w:val="18"/>
          <w:color w:val="auto"/>
        </w:rPr>
      </w:pPr>
    </w:p>
    <w:p>
      <w:pPr>
        <w:jc w:val="both"/>
        <w:ind w:firstLine="1056"/>
        <w:spacing w:after="0" w:line="258" w:lineRule="auto"/>
        <w:tabs>
          <w:tab w:leader="none" w:pos="1578" w:val="left"/>
        </w:tabs>
        <w:numPr>
          <w:ilvl w:val="1"/>
          <w:numId w:val="418"/>
        </w:numPr>
        <w:rPr>
          <w:rFonts w:ascii="Arial" w:cs="Arial" w:eastAsia="Arial" w:hAnsi="Arial"/>
          <w:sz w:val="18"/>
          <w:szCs w:val="18"/>
          <w:color w:val="auto"/>
        </w:rPr>
      </w:pPr>
      <w:r>
        <w:rPr>
          <w:rFonts w:ascii="Arial" w:cs="Arial" w:eastAsia="Arial" w:hAnsi="Arial"/>
          <w:sz w:val="18"/>
          <w:szCs w:val="18"/>
          <w:color w:val="auto"/>
        </w:rPr>
        <w:t>Awards and any payments or compensation associated therewith may be made subject to forfeiture or recovery by the Company or other action pursuant to any compensation recovery policy adopted by the Board or the Committee at any time, including in response to requirements of Section 10D of the Exchange Act and any implementing rules and regulations thereunder, or as otherwise required by law. Any Award Agreement may be unilaterally amended by the Committee to comply with such compensation or recovery policy.</w:t>
      </w:r>
    </w:p>
    <w:p>
      <w:pPr>
        <w:spacing w:after="0" w:line="185"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0" w:name="page471"/>
    <w:bookmarkEnd w:id="470"/>
    <w:p>
      <w:pPr>
        <w:jc w:val="right"/>
        <w:spacing w:after="0"/>
        <w:rPr>
          <w:sz w:val="20"/>
          <w:szCs w:val="20"/>
          <w:color w:val="auto"/>
        </w:rPr>
      </w:pPr>
      <w:r>
        <w:rPr>
          <w:rFonts w:ascii="Arial" w:cs="Arial" w:eastAsia="Arial" w:hAnsi="Arial"/>
          <w:sz w:val="22"/>
          <w:szCs w:val="22"/>
          <w:b w:val="1"/>
          <w:bCs w:val="1"/>
          <w:color w:val="auto"/>
        </w:rPr>
        <w:t>Annex H</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PRIORITY TECHNOLOGY HOLDINGS, INC. EARNOUT INCENTIVE PLAN</w:t>
      </w:r>
    </w:p>
    <w:p>
      <w:pPr>
        <w:spacing w:after="0" w:line="217" w:lineRule="exact"/>
        <w:rPr>
          <w:sz w:val="20"/>
          <w:szCs w:val="20"/>
          <w:color w:val="auto"/>
        </w:rPr>
      </w:pPr>
    </w:p>
    <w:p>
      <w:pPr>
        <w:jc w:val="both"/>
        <w:ind w:firstLine="1290"/>
        <w:spacing w:after="0" w:line="290" w:lineRule="auto"/>
        <w:rPr>
          <w:sz w:val="20"/>
          <w:szCs w:val="20"/>
          <w:color w:val="auto"/>
        </w:rPr>
      </w:pPr>
      <w:r>
        <w:rPr>
          <w:rFonts w:ascii="Arial" w:cs="Arial" w:eastAsia="Arial" w:hAnsi="Arial"/>
          <w:sz w:val="16"/>
          <w:szCs w:val="16"/>
          <w:color w:val="auto"/>
        </w:rPr>
        <w:t>Priority Technology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adopted the Priority Technology Holdings, Inc. Earnout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pursuant to the terms of the Contribution Agreement, dated as of </w:t>
      </w:r>
      <w:r>
        <w:rPr>
          <w:rFonts w:ascii="Arial" w:cs="Arial" w:eastAsia="Arial" w:hAnsi="Arial"/>
          <w:sz w:val="16"/>
          <w:szCs w:val="16"/>
          <w:b w:val="1"/>
          <w:bCs w:val="1"/>
          <w:color w:val="auto"/>
        </w:rPr>
        <w:t>[</w:t>
      </w:r>
      <w:r>
        <w:rPr>
          <w:rFonts w:ascii="Arial" w:cs="Arial" w:eastAsia="Arial" w:hAnsi="Arial"/>
          <w:sz w:val="16"/>
          <w:szCs w:val="16"/>
          <w:color w:val="auto"/>
        </w:rPr>
        <w:t>____</w:t>
      </w:r>
      <w:r>
        <w:rPr>
          <w:rFonts w:ascii="Arial" w:cs="Arial" w:eastAsia="Arial" w:hAnsi="Arial"/>
          <w:sz w:val="16"/>
          <w:szCs w:val="16"/>
          <w:b w:val="1"/>
          <w:bCs w:val="1"/>
          <w:color w:val="auto"/>
        </w:rPr>
        <w:t>]</w:t>
      </w:r>
      <w:r>
        <w:rPr>
          <w:rFonts w:ascii="Arial" w:cs="Arial" w:eastAsia="Arial" w:hAnsi="Arial"/>
          <w:sz w:val="16"/>
          <w:szCs w:val="16"/>
          <w:color w:val="auto"/>
        </w:rPr>
        <w:t>, 2018, by and among Priority Investment Holdings, LLC,</w:t>
      </w:r>
    </w:p>
    <w:p>
      <w:pPr>
        <w:jc w:val="both"/>
        <w:spacing w:after="0" w:line="258" w:lineRule="auto"/>
        <w:rPr>
          <w:sz w:val="20"/>
          <w:szCs w:val="20"/>
          <w:color w:val="auto"/>
        </w:rPr>
      </w:pPr>
      <w:r>
        <w:rPr>
          <w:rFonts w:ascii="Arial" w:cs="Arial" w:eastAsia="Arial" w:hAnsi="Arial"/>
          <w:sz w:val="18"/>
          <w:szCs w:val="18"/>
          <w:color w:val="auto"/>
        </w:rPr>
        <w:t>Priority Incentive Equity Holdings, LLC and the Company (the “</w:t>
      </w:r>
      <w:r>
        <w:rPr>
          <w:rFonts w:ascii="Arial" w:cs="Arial" w:eastAsia="Arial" w:hAnsi="Arial"/>
          <w:sz w:val="18"/>
          <w:szCs w:val="18"/>
          <w:u w:val="single" w:color="auto"/>
          <w:color w:val="auto"/>
        </w:rPr>
        <w:t>Contribution Agreement</w:t>
      </w:r>
      <w:r>
        <w:rPr>
          <w:rFonts w:ascii="Arial" w:cs="Arial" w:eastAsia="Arial" w:hAnsi="Arial"/>
          <w:sz w:val="18"/>
          <w:szCs w:val="18"/>
          <w:color w:val="auto"/>
        </w:rPr>
        <w:t>”). The Plan is effective upon the Closing as defined in the Contribution Agreement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7" w:lineRule="exact"/>
        <w:rPr>
          <w:sz w:val="20"/>
          <w:szCs w:val="20"/>
          <w:color w:val="auto"/>
        </w:rPr>
      </w:pPr>
    </w:p>
    <w:p>
      <w:pPr>
        <w:jc w:val="both"/>
        <w:ind w:right="20" w:firstLine="1290"/>
        <w:spacing w:after="0" w:line="275"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1"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010000"/>
        </w:rPr>
        <w:t xml:space="preserve">1.1. </w:t>
      </w:r>
      <w:r>
        <w:rPr>
          <w:rFonts w:ascii="Arial" w:cs="Arial" w:eastAsia="Arial" w:hAnsi="Arial"/>
          <w:sz w:val="18"/>
          <w:szCs w:val="18"/>
          <w:color w:val="000000"/>
        </w:rPr>
        <w:t>“</w:t>
      </w:r>
      <w:r>
        <w:rPr>
          <w:rFonts w:ascii="Arial" w:cs="Arial" w:eastAsia="Arial" w:hAnsi="Arial"/>
          <w:sz w:val="18"/>
          <w:szCs w:val="18"/>
          <w:u w:val="single" w:color="auto"/>
          <w:color w:val="000000"/>
        </w:rPr>
        <w:t>Applicable Exchange</w:t>
      </w:r>
      <w:r>
        <w:rPr>
          <w:rFonts w:ascii="Arial" w:cs="Arial" w:eastAsia="Arial" w:hAnsi="Arial"/>
          <w:sz w:val="18"/>
          <w:szCs w:val="18"/>
          <w:color w:val="000000"/>
        </w:rPr>
        <w:t>” means the NASDAQ Capital Market or other securities exchange or national market system as may at the</w:t>
      </w:r>
      <w:r>
        <w:rPr>
          <w:rFonts w:ascii="Arial" w:cs="Arial" w:eastAsia="Arial" w:hAnsi="Arial"/>
          <w:sz w:val="18"/>
          <w:szCs w:val="18"/>
          <w:color w:val="010000"/>
        </w:rPr>
        <w:t xml:space="preserve"> </w:t>
      </w:r>
      <w:r>
        <w:rPr>
          <w:rFonts w:ascii="Arial" w:cs="Arial" w:eastAsia="Arial" w:hAnsi="Arial"/>
          <w:sz w:val="18"/>
          <w:szCs w:val="18"/>
          <w:color w:val="000000"/>
        </w:rPr>
        <w:t>applicable time be the principal market for the Common Stock.</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1.2. </w:t>
      </w:r>
      <w:r>
        <w:rPr>
          <w:rFonts w:ascii="Arial" w:cs="Arial" w:eastAsia="Arial" w:hAnsi="Arial"/>
          <w:sz w:val="18"/>
          <w:szCs w:val="18"/>
          <w:color w:val="000000"/>
        </w:rPr>
        <w:t>“</w:t>
      </w:r>
      <w:r>
        <w:rPr>
          <w:rFonts w:ascii="Arial" w:cs="Arial" w:eastAsia="Arial" w:hAnsi="Arial"/>
          <w:sz w:val="18"/>
          <w:szCs w:val="18"/>
          <w:u w:val="single" w:color="auto"/>
          <w:color w:val="000000"/>
        </w:rPr>
        <w:t>Award</w:t>
      </w:r>
      <w:r>
        <w:rPr>
          <w:rFonts w:ascii="Arial" w:cs="Arial" w:eastAsia="Arial" w:hAnsi="Arial"/>
          <w:sz w:val="18"/>
          <w:szCs w:val="18"/>
          <w:color w:val="000000"/>
        </w:rPr>
        <w:t>” means a Restricted Stock Unit Award, a Deferred Stock Award or a Stock Payment Award, in each case, which may be awarded or</w:t>
      </w:r>
      <w:r>
        <w:rPr>
          <w:rFonts w:ascii="Arial" w:cs="Arial" w:eastAsia="Arial" w:hAnsi="Arial"/>
          <w:sz w:val="18"/>
          <w:szCs w:val="18"/>
          <w:color w:val="010000"/>
        </w:rPr>
        <w:t xml:space="preserve"> </w:t>
      </w:r>
      <w:r>
        <w:rPr>
          <w:rFonts w:ascii="Arial" w:cs="Arial" w:eastAsia="Arial" w:hAnsi="Arial"/>
          <w:sz w:val="18"/>
          <w:szCs w:val="18"/>
          <w:color w:val="000000"/>
        </w:rPr>
        <w:t>granted under the Plan.</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1.3. </w:t>
      </w:r>
      <w:r>
        <w:rPr>
          <w:rFonts w:ascii="Arial" w:cs="Arial" w:eastAsia="Arial" w:hAnsi="Arial"/>
          <w:sz w:val="18"/>
          <w:szCs w:val="18"/>
          <w:color w:val="000000"/>
        </w:rPr>
        <w:t>“</w:t>
      </w:r>
      <w:r>
        <w:rPr>
          <w:rFonts w:ascii="Arial" w:cs="Arial" w:eastAsia="Arial" w:hAnsi="Arial"/>
          <w:sz w:val="18"/>
          <w:szCs w:val="18"/>
          <w:u w:val="single" w:color="auto"/>
          <w:color w:val="000000"/>
        </w:rPr>
        <w:t>Award Agreement</w:t>
      </w:r>
      <w:r>
        <w:rPr>
          <w:rFonts w:ascii="Arial" w:cs="Arial" w:eastAsia="Arial" w:hAnsi="Arial"/>
          <w:sz w:val="18"/>
          <w:szCs w:val="18"/>
          <w:color w:val="000000"/>
        </w:rPr>
        <w:t>” means any written notice, agreement, terms and conditions, contract or other instrument or document evidencing an</w:t>
      </w:r>
      <w:r>
        <w:rPr>
          <w:rFonts w:ascii="Arial" w:cs="Arial" w:eastAsia="Arial" w:hAnsi="Arial"/>
          <w:sz w:val="18"/>
          <w:szCs w:val="18"/>
          <w:color w:val="010000"/>
        </w:rPr>
        <w:t xml:space="preserve"> </w:t>
      </w:r>
      <w:r>
        <w:rPr>
          <w:rFonts w:ascii="Arial" w:cs="Arial" w:eastAsia="Arial" w:hAnsi="Arial"/>
          <w:sz w:val="18"/>
          <w:szCs w:val="18"/>
          <w:color w:val="000000"/>
        </w:rPr>
        <w:t>Award, including through electronic medium, which shall contain such terms and conditions with respect to an Award as the Committee shall determine consistent with the Plan.</w:t>
      </w:r>
    </w:p>
    <w:p>
      <w:pPr>
        <w:spacing w:after="0" w:line="18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1.5. </w:t>
      </w:r>
      <w:r>
        <w:rPr>
          <w:rFonts w:ascii="Arial" w:cs="Arial" w:eastAsia="Arial" w:hAnsi="Arial"/>
          <w:sz w:val="18"/>
          <w:szCs w:val="18"/>
          <w:color w:val="000000"/>
        </w:rPr>
        <w:t>“</w:t>
      </w:r>
      <w:r>
        <w:rPr>
          <w:rFonts w:ascii="Arial" w:cs="Arial" w:eastAsia="Arial" w:hAnsi="Arial"/>
          <w:sz w:val="18"/>
          <w:szCs w:val="18"/>
          <w:u w:val="single" w:color="auto"/>
          <w:color w:val="000000"/>
        </w:rPr>
        <w:t>Code</w:t>
      </w:r>
      <w:r>
        <w:rPr>
          <w:rFonts w:ascii="Arial" w:cs="Arial" w:eastAsia="Arial" w:hAnsi="Arial"/>
          <w:sz w:val="18"/>
          <w:szCs w:val="18"/>
          <w:color w:val="000000"/>
        </w:rPr>
        <w:t>” means the Internal Revenue Code of 1986, as amended from time to time. Any reference to any section of the Code shall also be a</w:t>
      </w:r>
      <w:r>
        <w:rPr>
          <w:rFonts w:ascii="Arial" w:cs="Arial" w:eastAsia="Arial" w:hAnsi="Arial"/>
          <w:sz w:val="18"/>
          <w:szCs w:val="18"/>
          <w:color w:val="010000"/>
        </w:rPr>
        <w:t xml:space="preserve"> </w:t>
      </w:r>
      <w:r>
        <w:rPr>
          <w:rFonts w:ascii="Arial" w:cs="Arial" w:eastAsia="Arial" w:hAnsi="Arial"/>
          <w:sz w:val="18"/>
          <w:szCs w:val="18"/>
          <w:color w:val="000000"/>
        </w:rPr>
        <w:t>reference to any successor provision and any Treasury Regulation promulgated thereunder.</w:t>
      </w:r>
    </w:p>
    <w:p>
      <w:pPr>
        <w:spacing w:after="0" w:line="17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or subcommittee of the Board, appointed as provided in Section 5.1, consisting of one or more Directors.</w:t>
      </w:r>
    </w:p>
    <w:p>
      <w:pPr>
        <w:spacing w:after="0" w:line="2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the Company, par value $0.001 per share.</w:t>
      </w:r>
    </w:p>
    <w:p>
      <w:pPr>
        <w:spacing w:after="0" w:line="223"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010000"/>
        </w:rPr>
        <w:t xml:space="preserve">1.8. </w:t>
      </w:r>
      <w:r>
        <w:rPr>
          <w:rFonts w:ascii="Arial" w:cs="Arial" w:eastAsia="Arial" w:hAnsi="Arial"/>
          <w:sz w:val="17"/>
          <w:szCs w:val="17"/>
          <w:color w:val="000000"/>
        </w:rPr>
        <w:t>“</w:t>
      </w:r>
      <w:r>
        <w:rPr>
          <w:rFonts w:ascii="Arial" w:cs="Arial" w:eastAsia="Arial" w:hAnsi="Arial"/>
          <w:sz w:val="17"/>
          <w:szCs w:val="17"/>
          <w:u w:val="single" w:color="auto"/>
          <w:color w:val="000000"/>
        </w:rPr>
        <w:t>Consolidated Adjusted EBITDA</w:t>
      </w:r>
      <w:r>
        <w:rPr>
          <w:rFonts w:ascii="Arial" w:cs="Arial" w:eastAsia="Arial" w:hAnsi="Arial"/>
          <w:sz w:val="17"/>
          <w:szCs w:val="17"/>
          <w:color w:val="000000"/>
        </w:rPr>
        <w:t>” has the meaning set forth in that Credit and Guaranty Agreement (the “</w:t>
      </w:r>
      <w:r>
        <w:rPr>
          <w:rFonts w:ascii="Arial" w:cs="Arial" w:eastAsia="Arial" w:hAnsi="Arial"/>
          <w:sz w:val="17"/>
          <w:szCs w:val="17"/>
          <w:u w:val="single" w:color="auto"/>
          <w:color w:val="000000"/>
        </w:rPr>
        <w:t>Guaranty Agreement</w:t>
      </w:r>
      <w:r>
        <w:rPr>
          <w:rFonts w:ascii="Arial" w:cs="Arial" w:eastAsia="Arial" w:hAnsi="Arial"/>
          <w:sz w:val="17"/>
          <w:szCs w:val="17"/>
          <w:color w:val="000000"/>
        </w:rPr>
        <w:t>”) dated as</w:t>
      </w:r>
      <w:r>
        <w:rPr>
          <w:rFonts w:ascii="Arial" w:cs="Arial" w:eastAsia="Arial" w:hAnsi="Arial"/>
          <w:sz w:val="17"/>
          <w:szCs w:val="17"/>
          <w:color w:val="010000"/>
        </w:rPr>
        <w:t xml:space="preserve"> </w:t>
      </w:r>
      <w:r>
        <w:rPr>
          <w:rFonts w:ascii="Arial" w:cs="Arial" w:eastAsia="Arial" w:hAnsi="Arial"/>
          <w:sz w:val="17"/>
          <w:szCs w:val="17"/>
          <w:color w:val="000000"/>
        </w:rPr>
        <w:t>of January 3, 2017, among (a) Pipeline Cynergy Holdings, LLC, a Delaware limited liability company, Priority Institutional Partner Services, LLC, a Delaware limited liability company, and Priority Payment Systems Holdings, LLC, a Georgia limited liability company, as borrowers, (b) Priority Holdings, LLC and certain of its other subsidiaries, (c) the lenders from time to time party thereto, and (d) SunTrust Bank, as administrative agent and collateral agent for such lenders, as amended by the First Amendment, dated as of November 14, 2017 and the Second Amendment, dated as of January 11, 2018 and as further amended, restated, amended and restated, supplemented, refinanced, replaced or otherwise modified from time to time, provided that any Unrestricted Subsidiaries (as defined in the Guarantee Agreement) shall be treated as Restricted Subsidiaries (as defined in the Guarantee Agreement) for purposes of the calculation of Consolidated Adjusted EBITDA under this Plan.</w:t>
      </w:r>
    </w:p>
    <w:p>
      <w:pPr>
        <w:spacing w:after="0" w:line="176"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010000"/>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consultant or adviser of the Company or any of its Subsidiaries if: (a) the consultant or adviser is a natural person,</w:t>
      </w:r>
    </w:p>
    <w:p>
      <w:pPr>
        <w:spacing w:after="0" w:line="23" w:lineRule="exact"/>
        <w:rPr>
          <w:sz w:val="20"/>
          <w:szCs w:val="20"/>
          <w:color w:val="auto"/>
        </w:rPr>
      </w:pPr>
    </w:p>
    <w:p>
      <w:pPr>
        <w:jc w:val="both"/>
        <w:ind w:firstLine="8"/>
        <w:spacing w:after="0" w:line="254" w:lineRule="auto"/>
        <w:tabs>
          <w:tab w:leader="none" w:pos="255"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consultant or adviser renders bona fide services to the Company or any of its Subsidiaries; and (c) the services rendered by the consultant or adviser are not in connection with the offer or sale of securities in a capital-raising transaction and do not directly or indirectly promote or maintain a market for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7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471" w:name="page472"/>
    <w:bookmarkEnd w:id="471"/>
    <w:p>
      <w:pPr>
        <w:ind w:left="660"/>
        <w:spacing w:after="0"/>
        <w:tabs>
          <w:tab w:leader="none" w:pos="1400" w:val="left"/>
        </w:tabs>
        <w:rPr>
          <w:sz w:val="20"/>
          <w:szCs w:val="20"/>
          <w:color w:val="auto"/>
        </w:rPr>
      </w:pPr>
      <w:r>
        <w:rPr>
          <w:rFonts w:ascii="Arial" w:cs="Arial" w:eastAsia="Arial" w:hAnsi="Arial"/>
          <w:sz w:val="18"/>
          <w:szCs w:val="18"/>
          <w:color w:val="010000"/>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Deferred Stock</w:t>
      </w:r>
      <w:r>
        <w:rPr>
          <w:rFonts w:ascii="Arial" w:cs="Arial" w:eastAsia="Arial" w:hAnsi="Arial"/>
          <w:sz w:val="16"/>
          <w:szCs w:val="16"/>
          <w:color w:val="auto"/>
        </w:rPr>
        <w:t>” means a right to receive Common Stock awarded under Section 4.3 of the Plan.</w:t>
      </w:r>
    </w:p>
    <w:p>
      <w:pPr>
        <w:spacing w:after="0" w:line="223"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010000"/>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1.12. </w:t>
      </w:r>
      <w:r>
        <w:rPr>
          <w:rFonts w:ascii="Arial" w:cs="Arial" w:eastAsia="Arial" w:hAnsi="Arial"/>
          <w:sz w:val="18"/>
          <w:szCs w:val="18"/>
          <w:color w:val="000000"/>
        </w:rPr>
        <w:t>“</w:t>
      </w:r>
      <w:r>
        <w:rPr>
          <w:rFonts w:ascii="Arial" w:cs="Arial" w:eastAsia="Arial" w:hAnsi="Arial"/>
          <w:sz w:val="18"/>
          <w:szCs w:val="18"/>
          <w:u w:val="single" w:color="auto"/>
          <w:color w:val="000000"/>
        </w:rPr>
        <w:t>DRO</w:t>
      </w:r>
      <w:r>
        <w:rPr>
          <w:rFonts w:ascii="Arial" w:cs="Arial" w:eastAsia="Arial" w:hAnsi="Arial"/>
          <w:sz w:val="18"/>
          <w:szCs w:val="18"/>
          <w:color w:val="000000"/>
        </w:rPr>
        <w:t>” means any judgment, decree or order which relates to marital property rights of a spouse or former spouse and is made pursuant to</w:t>
      </w:r>
      <w:r>
        <w:rPr>
          <w:rFonts w:ascii="Arial" w:cs="Arial" w:eastAsia="Arial" w:hAnsi="Arial"/>
          <w:sz w:val="18"/>
          <w:szCs w:val="18"/>
          <w:color w:val="010000"/>
        </w:rPr>
        <w:t xml:space="preserve"> </w:t>
      </w:r>
      <w:r>
        <w:rPr>
          <w:rFonts w:ascii="Arial" w:cs="Arial" w:eastAsia="Arial" w:hAnsi="Arial"/>
          <w:sz w:val="18"/>
          <w:szCs w:val="18"/>
          <w:color w:val="000000"/>
        </w:rPr>
        <w:t>applicable domestic relations law (including community property law).</w:t>
      </w:r>
    </w:p>
    <w:p>
      <w:pPr>
        <w:spacing w:after="0" w:line="17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Eligible Person</w:t>
      </w:r>
      <w:r>
        <w:rPr>
          <w:rFonts w:ascii="Arial" w:cs="Arial" w:eastAsia="Arial" w:hAnsi="Arial"/>
          <w:sz w:val="16"/>
          <w:szCs w:val="16"/>
          <w:color w:val="auto"/>
        </w:rPr>
        <w:t>” means an Employee, Consultant or Non-Employee Director.</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officer or other employee of the Company or of its Subsidiaries.</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010000"/>
        </w:rPr>
        <w:t xml:space="preserve">1.16. </w:t>
      </w:r>
      <w:r>
        <w:rPr>
          <w:rFonts w:ascii="Arial" w:cs="Arial" w:eastAsia="Arial" w:hAnsi="Arial"/>
          <w:sz w:val="18"/>
          <w:szCs w:val="18"/>
          <w:color w:val="000000"/>
        </w:rPr>
        <w:t>“</w:t>
      </w:r>
      <w:r>
        <w:rPr>
          <w:rFonts w:ascii="Arial" w:cs="Arial" w:eastAsia="Arial" w:hAnsi="Arial"/>
          <w:sz w:val="18"/>
          <w:szCs w:val="18"/>
          <w:u w:val="single" w:color="auto"/>
          <w:color w:val="000000"/>
        </w:rPr>
        <w:t>Equity Restructuring</w:t>
      </w:r>
      <w:r>
        <w:rPr>
          <w:rFonts w:ascii="Arial" w:cs="Arial" w:eastAsia="Arial" w:hAnsi="Arial"/>
          <w:sz w:val="18"/>
          <w:szCs w:val="18"/>
          <w:color w:val="000000"/>
        </w:rPr>
        <w:t>” means a nonreciprocal transaction between the Company and its stockholders, such as a stock dividend, stock split,</w:t>
      </w:r>
      <w:r>
        <w:rPr>
          <w:rFonts w:ascii="Arial" w:cs="Arial" w:eastAsia="Arial" w:hAnsi="Arial"/>
          <w:sz w:val="18"/>
          <w:szCs w:val="18"/>
          <w:color w:val="010000"/>
        </w:rPr>
        <w:t xml:space="preserve"> </w:t>
      </w:r>
      <w:r>
        <w:rPr>
          <w:rFonts w:ascii="Arial" w:cs="Arial" w:eastAsia="Arial" w:hAnsi="Arial"/>
          <w:sz w:val="18"/>
          <w:szCs w:val="18"/>
          <w:color w:val="000000"/>
        </w:rPr>
        <w:t>spin-off, rights offering or recapitalization through a large, nonrecurring cash dividend, that affects the number or kind of shares of Common Stock (or other securities of the Company) or the share price of Common Stock (or other securities) and causes a material change in the per share value of the Common Stock underlying outstanding Awards.</w:t>
      </w:r>
    </w:p>
    <w:p>
      <w:pPr>
        <w:spacing w:after="0" w:line="18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the closing sales price for a share of Common Stock as quoted on the Applicable Exchange on a specified date.</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means the fiscal year of the Company.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1.19. </w:t>
      </w:r>
      <w:r>
        <w:rPr>
          <w:rFonts w:ascii="Arial" w:cs="Arial" w:eastAsia="Arial" w:hAnsi="Arial"/>
          <w:sz w:val="18"/>
          <w:szCs w:val="18"/>
          <w:color w:val="000000"/>
        </w:rPr>
        <w:t>“</w:t>
      </w:r>
      <w:r>
        <w:rPr>
          <w:rFonts w:ascii="Arial" w:cs="Arial" w:eastAsia="Arial" w:hAnsi="Arial"/>
          <w:sz w:val="18"/>
          <w:szCs w:val="18"/>
          <w:u w:val="single" w:color="auto"/>
          <w:color w:val="000000"/>
        </w:rPr>
        <w:t>GAAP</w:t>
      </w:r>
      <w:r>
        <w:rPr>
          <w:rFonts w:ascii="Arial" w:cs="Arial" w:eastAsia="Arial" w:hAnsi="Arial"/>
          <w:sz w:val="18"/>
          <w:szCs w:val="18"/>
          <w:color w:val="000000"/>
        </w:rPr>
        <w:t>” means generally accepted accounting principles in the United States as of the Effective Date and consistently applied throughout</w:t>
      </w:r>
      <w:r>
        <w:rPr>
          <w:rFonts w:ascii="Arial" w:cs="Arial" w:eastAsia="Arial" w:hAnsi="Arial"/>
          <w:sz w:val="18"/>
          <w:szCs w:val="18"/>
          <w:color w:val="010000"/>
        </w:rPr>
        <w:t xml:space="preserve"> </w:t>
      </w:r>
      <w:r>
        <w:rPr>
          <w:rFonts w:ascii="Arial" w:cs="Arial" w:eastAsia="Arial" w:hAnsi="Arial"/>
          <w:sz w:val="18"/>
          <w:szCs w:val="18"/>
          <w:color w:val="000000"/>
        </w:rPr>
        <w:t>the periods involved.</w:t>
      </w:r>
    </w:p>
    <w:p>
      <w:pPr>
        <w:spacing w:after="0" w:line="17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 Director who is not an Employee.</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Employee, Non-Employee Director or Consultant who has been granted an Award.</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1.22. </w:t>
      </w:r>
      <w:r>
        <w:rPr>
          <w:rFonts w:ascii="Arial" w:cs="Arial" w:eastAsia="Arial" w:hAnsi="Arial"/>
          <w:sz w:val="18"/>
          <w:szCs w:val="18"/>
          <w:color w:val="000000"/>
        </w:rPr>
        <w:t>“</w:t>
      </w:r>
      <w:r>
        <w:rPr>
          <w:rFonts w:ascii="Arial" w:cs="Arial" w:eastAsia="Arial" w:hAnsi="Arial"/>
          <w:sz w:val="18"/>
          <w:szCs w:val="18"/>
          <w:u w:val="single" w:color="auto"/>
          <w:color w:val="000000"/>
        </w:rPr>
        <w:t>Person</w:t>
      </w:r>
      <w:r>
        <w:rPr>
          <w:rFonts w:ascii="Arial" w:cs="Arial" w:eastAsia="Arial" w:hAnsi="Arial"/>
          <w:sz w:val="18"/>
          <w:szCs w:val="18"/>
          <w:color w:val="000000"/>
        </w:rPr>
        <w:t>” means any individual, corporation, partnership, limited liability company, firm, joint venture, association, joint-stock company,</w:t>
      </w:r>
      <w:r>
        <w:rPr>
          <w:rFonts w:ascii="Arial" w:cs="Arial" w:eastAsia="Arial" w:hAnsi="Arial"/>
          <w:sz w:val="18"/>
          <w:szCs w:val="18"/>
          <w:color w:val="010000"/>
        </w:rPr>
        <w:t xml:space="preserve"> </w:t>
      </w:r>
      <w:r>
        <w:rPr>
          <w:rFonts w:ascii="Arial" w:cs="Arial" w:eastAsia="Arial" w:hAnsi="Arial"/>
          <w:sz w:val="18"/>
          <w:szCs w:val="18"/>
          <w:color w:val="000000"/>
        </w:rPr>
        <w:t>trust, incorporated organization, governmental or regulatory or other entity.</w:t>
      </w:r>
    </w:p>
    <w:p>
      <w:pPr>
        <w:spacing w:after="0" w:line="17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means rights to receive Common Stock awarded under Section 4.4.</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under the Exchange Act, as such Rule may be amended from time to time.</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from time to time.</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Payment”</w:t>
      </w:r>
      <w:r>
        <w:rPr>
          <w:rFonts w:ascii="Arial" w:cs="Arial" w:eastAsia="Arial" w:hAnsi="Arial"/>
          <w:sz w:val="16"/>
          <w:szCs w:val="16"/>
          <w:color w:val="auto"/>
        </w:rPr>
        <w:t xml:space="preserve"> means a payment in the form of shares of Common Stock.</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1.27. </w:t>
      </w:r>
      <w:r>
        <w:rPr>
          <w:rFonts w:ascii="Arial" w:cs="Arial" w:eastAsia="Arial" w:hAnsi="Arial"/>
          <w:sz w:val="18"/>
          <w:szCs w:val="18"/>
          <w:color w:val="000000"/>
        </w:rPr>
        <w:t>“</w:t>
      </w:r>
      <w:r>
        <w:rPr>
          <w:rFonts w:ascii="Arial" w:cs="Arial" w:eastAsia="Arial" w:hAnsi="Arial"/>
          <w:sz w:val="18"/>
          <w:szCs w:val="18"/>
          <w:u w:val="single" w:color="auto"/>
          <w:color w:val="000000"/>
        </w:rPr>
        <w:t>Subsidiary</w:t>
      </w:r>
      <w:r>
        <w:rPr>
          <w:rFonts w:ascii="Arial" w:cs="Arial" w:eastAsia="Arial" w:hAnsi="Arial"/>
          <w:sz w:val="18"/>
          <w:szCs w:val="18"/>
          <w:color w:val="000000"/>
        </w:rPr>
        <w:t>” means, with respect to any Person, any entity of which (a) securities or other ownership interests having ordinary voting</w:t>
      </w:r>
      <w:r>
        <w:rPr>
          <w:rFonts w:ascii="Arial" w:cs="Arial" w:eastAsia="Arial" w:hAnsi="Arial"/>
          <w:sz w:val="18"/>
          <w:szCs w:val="18"/>
          <w:color w:val="010000"/>
        </w:rPr>
        <w:t xml:space="preserve"> </w:t>
      </w:r>
      <w:r>
        <w:rPr>
          <w:rFonts w:ascii="Arial" w:cs="Arial" w:eastAsia="Arial" w:hAnsi="Arial"/>
          <w:sz w:val="18"/>
          <w:szCs w:val="18"/>
          <w:color w:val="000000"/>
        </w:rPr>
        <w:t>power to elect a majority of the board of directors or other persons performing similar functions or (b) 50% or more of the equity interests are at the time directly or indirectly owned by such Person.</w:t>
      </w:r>
    </w:p>
    <w:p>
      <w:pPr>
        <w:spacing w:after="0" w:line="18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Termination</w:t>
      </w:r>
      <w:r>
        <w:rPr>
          <w:rFonts w:ascii="Arial" w:cs="Arial" w:eastAsia="Arial" w:hAnsi="Arial"/>
          <w:sz w:val="16"/>
          <w:szCs w:val="16"/>
          <w:color w:val="auto"/>
        </w:rPr>
        <w:t>” means a Termination of Consultancy, Termination of Directorship or Termination of Employment, as applicable.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2" w:name="page473"/>
    <w:bookmarkEnd w:id="472"/>
    <w:p>
      <w:pPr>
        <w:jc w:val="both"/>
        <w:ind w:firstLine="645"/>
        <w:spacing w:after="0" w:line="254" w:lineRule="auto"/>
        <w:rPr>
          <w:sz w:val="20"/>
          <w:szCs w:val="20"/>
          <w:color w:val="auto"/>
        </w:rPr>
      </w:pPr>
      <w:r>
        <w:rPr>
          <w:rFonts w:ascii="Arial" w:cs="Arial" w:eastAsia="Arial" w:hAnsi="Arial"/>
          <w:sz w:val="18"/>
          <w:szCs w:val="18"/>
          <w:color w:val="010000"/>
        </w:rPr>
        <w:t xml:space="preserve">1.29. </w:t>
      </w:r>
      <w:r>
        <w:rPr>
          <w:rFonts w:ascii="Arial" w:cs="Arial" w:eastAsia="Arial" w:hAnsi="Arial"/>
          <w:sz w:val="18"/>
          <w:szCs w:val="18"/>
          <w:color w:val="000000"/>
        </w:rPr>
        <w:t>“</w:t>
      </w:r>
      <w:r>
        <w:rPr>
          <w:rFonts w:ascii="Arial" w:cs="Arial" w:eastAsia="Arial" w:hAnsi="Arial"/>
          <w:sz w:val="18"/>
          <w:szCs w:val="18"/>
          <w:u w:val="single" w:color="auto"/>
          <w:color w:val="000000"/>
        </w:rPr>
        <w:t>Termination of Consultancy</w:t>
      </w:r>
      <w:r>
        <w:rPr>
          <w:rFonts w:ascii="Arial" w:cs="Arial" w:eastAsia="Arial" w:hAnsi="Arial"/>
          <w:sz w:val="18"/>
          <w:szCs w:val="18"/>
          <w:color w:val="000000"/>
        </w:rPr>
        <w:t>” means the time when the engagement of a Participant as a Consultant to the Company or any of its</w:t>
      </w:r>
      <w:r>
        <w:rPr>
          <w:rFonts w:ascii="Arial" w:cs="Arial" w:eastAsia="Arial" w:hAnsi="Arial"/>
          <w:sz w:val="18"/>
          <w:szCs w:val="18"/>
          <w:color w:val="010000"/>
        </w:rPr>
        <w:t xml:space="preserve"> </w:t>
      </w:r>
      <w:r>
        <w:rPr>
          <w:rFonts w:ascii="Arial" w:cs="Arial" w:eastAsia="Arial" w:hAnsi="Arial"/>
          <w:sz w:val="18"/>
          <w:szCs w:val="18"/>
          <w:color w:val="000000"/>
        </w:rPr>
        <w:t>Subsidiaries is terminated for any reason, with or without cause, including, without limitation, by resignation, discharge, death or retirement, but excluding terminations where there is a simultaneous commencement of employment with the Company or any of its Subsidiaries or service as a Non-Employee Director. For purposes of the Plan, the engagement of a Participant as a Consultant to a Subsidiary of the Company shall be deemed to be terminated in the event that the Subsidiary engaging such Participant ceases to remain a Subsidiary of the Company for any reason and the Participant has not continued to be engaged by the Company or other Subsidiary of the Company.</w:t>
      </w:r>
    </w:p>
    <w:p>
      <w:pPr>
        <w:spacing w:after="0" w:line="19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1.30. </w:t>
      </w:r>
      <w:r>
        <w:rPr>
          <w:rFonts w:ascii="Arial" w:cs="Arial" w:eastAsia="Arial" w:hAnsi="Arial"/>
          <w:sz w:val="18"/>
          <w:szCs w:val="18"/>
          <w:color w:val="000000"/>
        </w:rPr>
        <w:t>“</w:t>
      </w:r>
      <w:r>
        <w:rPr>
          <w:rFonts w:ascii="Arial" w:cs="Arial" w:eastAsia="Arial" w:hAnsi="Arial"/>
          <w:sz w:val="18"/>
          <w:szCs w:val="18"/>
          <w:u w:val="single" w:color="auto"/>
          <w:color w:val="000000"/>
        </w:rPr>
        <w:t>Termination of Directorship</w:t>
      </w:r>
      <w:r>
        <w:rPr>
          <w:rFonts w:ascii="Arial" w:cs="Arial" w:eastAsia="Arial" w:hAnsi="Arial"/>
          <w:sz w:val="18"/>
          <w:szCs w:val="18"/>
          <w:color w:val="000000"/>
        </w:rPr>
        <w:t>” means the time when a Participant who is a Non-Employee Director ceases to be a Director for any reason,</w:t>
      </w:r>
      <w:r>
        <w:rPr>
          <w:rFonts w:ascii="Arial" w:cs="Arial" w:eastAsia="Arial" w:hAnsi="Arial"/>
          <w:sz w:val="18"/>
          <w:szCs w:val="18"/>
          <w:color w:val="010000"/>
        </w:rPr>
        <w:t xml:space="preserve"> </w:t>
      </w:r>
      <w:r>
        <w:rPr>
          <w:rFonts w:ascii="Arial" w:cs="Arial" w:eastAsia="Arial" w:hAnsi="Arial"/>
          <w:sz w:val="18"/>
          <w:szCs w:val="18"/>
          <w:color w:val="000000"/>
        </w:rPr>
        <w:t>including, without limitation, a termination by resignation, removal, failure to be elected, death or retirement, but excluding terminations where there is a simultaneous commencement of employment or service as a Consultant with the Company or any of its Subsidiaries.</w:t>
      </w:r>
    </w:p>
    <w:p>
      <w:pPr>
        <w:spacing w:after="0" w:line="182"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010000"/>
        </w:rPr>
        <w:t xml:space="preserve">1.31. </w:t>
      </w:r>
      <w:r>
        <w:rPr>
          <w:rFonts w:ascii="Arial" w:cs="Arial" w:eastAsia="Arial" w:hAnsi="Arial"/>
          <w:sz w:val="17"/>
          <w:szCs w:val="17"/>
          <w:color w:val="000000"/>
        </w:rPr>
        <w:t>“</w:t>
      </w:r>
      <w:r>
        <w:rPr>
          <w:rFonts w:ascii="Arial" w:cs="Arial" w:eastAsia="Arial" w:hAnsi="Arial"/>
          <w:sz w:val="17"/>
          <w:szCs w:val="17"/>
          <w:u w:val="single" w:color="auto"/>
          <w:color w:val="000000"/>
        </w:rPr>
        <w:t>Termination of Employment</w:t>
      </w:r>
      <w:r>
        <w:rPr>
          <w:rFonts w:ascii="Arial" w:cs="Arial" w:eastAsia="Arial" w:hAnsi="Arial"/>
          <w:sz w:val="17"/>
          <w:szCs w:val="17"/>
          <w:color w:val="000000"/>
        </w:rPr>
        <w:t>” means the time when the employee-employer relationship between a Participant and the Company or any of</w:t>
      </w:r>
      <w:r>
        <w:rPr>
          <w:rFonts w:ascii="Arial" w:cs="Arial" w:eastAsia="Arial" w:hAnsi="Arial"/>
          <w:sz w:val="17"/>
          <w:szCs w:val="17"/>
          <w:color w:val="010000"/>
        </w:rPr>
        <w:t xml:space="preserve"> </w:t>
      </w:r>
      <w:r>
        <w:rPr>
          <w:rFonts w:ascii="Arial" w:cs="Arial" w:eastAsia="Arial" w:hAnsi="Arial"/>
          <w:sz w:val="17"/>
          <w:szCs w:val="17"/>
          <w:color w:val="000000"/>
        </w:rPr>
        <w:t>its Subsidiaries is terminated for any reason, with or without cause, including, without limitation, a termination by resignation, discharge, death, disability or retirement; but excluding a termination where there is a simultaneous (a) reemployment or continuing employment of the Participant by the Company or any of its Subsidiaries, (b) establishment of a consulting relationship by the Company or any of its Subsidiaries with the Participant, or (c) commencement of service by the Participant as a Non-Employee Director. For purposes of the Plan, a Participant’s employment relationship shall be deemed to be terminated in the event that the Subsidiary of the Company employing such Participant ceases to remain a Subsidiary of the Company for any reason and the Participant has not continued employment with the Company or other Subsidiary of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PLAN</w:t>
      </w:r>
    </w:p>
    <w:p>
      <w:pPr>
        <w:spacing w:after="0" w:line="22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2.1.</w:t>
      </w:r>
      <w:r>
        <w:rPr>
          <w:sz w:val="20"/>
          <w:szCs w:val="20"/>
          <w:color w:val="auto"/>
        </w:rPr>
        <w:tab/>
      </w:r>
      <w:r>
        <w:rPr>
          <w:rFonts w:ascii="Arial" w:cs="Arial" w:eastAsia="Arial" w:hAnsi="Arial"/>
          <w:sz w:val="15"/>
          <w:szCs w:val="15"/>
          <w:u w:val="single" w:color="auto"/>
          <w:color w:val="auto"/>
        </w:rPr>
        <w:t>Shares Subject to Plan</w:t>
      </w:r>
      <w:r>
        <w:rPr>
          <w:rFonts w:ascii="Arial" w:cs="Arial" w:eastAsia="Arial" w:hAnsi="Arial"/>
          <w:sz w:val="15"/>
          <w:szCs w:val="15"/>
          <w:color w:val="auto"/>
        </w:rPr>
        <w:t>.</w:t>
      </w:r>
    </w:p>
    <w:p>
      <w:pPr>
        <w:spacing w:after="0" w:line="223" w:lineRule="exact"/>
        <w:rPr>
          <w:sz w:val="20"/>
          <w:szCs w:val="20"/>
          <w:color w:val="auto"/>
        </w:rPr>
      </w:pPr>
    </w:p>
    <w:p>
      <w:pPr>
        <w:ind w:firstLine="1298"/>
        <w:spacing w:after="0" w:line="275" w:lineRule="auto"/>
        <w:tabs>
          <w:tab w:leader="none" w:pos="2112" w:val="left"/>
        </w:tabs>
        <w:numPr>
          <w:ilvl w:val="0"/>
          <w:numId w:val="420"/>
        </w:numPr>
        <w:rPr>
          <w:rFonts w:ascii="Arial" w:cs="Arial" w:eastAsia="Arial" w:hAnsi="Arial"/>
          <w:sz w:val="18"/>
          <w:szCs w:val="18"/>
          <w:color w:val="010000"/>
        </w:rPr>
      </w:pPr>
      <w:r>
        <w:rPr>
          <w:rFonts w:ascii="Arial" w:cs="Arial" w:eastAsia="Arial" w:hAnsi="Arial"/>
          <w:sz w:val="18"/>
          <w:szCs w:val="18"/>
          <w:color w:val="auto"/>
        </w:rPr>
        <w:t>Subject to Section 6.3 and Section 2.1(b), 5,880,000 shares of Common Stock, in the aggregate, may be issued or transferred pursuant to Awards under the Plan (the “</w:t>
      </w:r>
      <w:r>
        <w:rPr>
          <w:rFonts w:ascii="Arial" w:cs="Arial" w:eastAsia="Arial" w:hAnsi="Arial"/>
          <w:sz w:val="18"/>
          <w:szCs w:val="18"/>
          <w:u w:val="single" w:color="auto"/>
          <w:color w:val="auto"/>
        </w:rPr>
        <w:t>Share Limit</w:t>
      </w:r>
      <w:r>
        <w:rPr>
          <w:rFonts w:ascii="Arial" w:cs="Arial" w:eastAsia="Arial" w:hAnsi="Arial"/>
          <w:sz w:val="18"/>
          <w:szCs w:val="18"/>
          <w:color w:val="auto"/>
        </w:rPr>
        <w:t>”) as follows:</w:t>
      </w:r>
    </w:p>
    <w:p>
      <w:pPr>
        <w:spacing w:after="0" w:line="170" w:lineRule="exact"/>
        <w:rPr>
          <w:rFonts w:ascii="Arial" w:cs="Arial" w:eastAsia="Arial" w:hAnsi="Arial"/>
          <w:sz w:val="18"/>
          <w:szCs w:val="18"/>
          <w:color w:val="010000"/>
        </w:rPr>
      </w:pPr>
    </w:p>
    <w:p>
      <w:pPr>
        <w:jc w:val="both"/>
        <w:ind w:firstLine="1943"/>
        <w:spacing w:after="0" w:line="258" w:lineRule="auto"/>
        <w:tabs>
          <w:tab w:leader="none" w:pos="2687" w:val="left"/>
        </w:tabs>
        <w:numPr>
          <w:ilvl w:val="1"/>
          <w:numId w:val="420"/>
        </w:numPr>
        <w:rPr>
          <w:rFonts w:ascii="Arial" w:cs="Arial" w:eastAsia="Arial" w:hAnsi="Arial"/>
          <w:sz w:val="18"/>
          <w:szCs w:val="18"/>
          <w:color w:val="010000"/>
        </w:rPr>
      </w:pPr>
      <w:r>
        <w:rPr>
          <w:rFonts w:ascii="Arial" w:cs="Arial" w:eastAsia="Arial" w:hAnsi="Arial"/>
          <w:sz w:val="18"/>
          <w:szCs w:val="18"/>
          <w:color w:val="auto"/>
        </w:rPr>
        <w:t>an aggregate of 2,940,000 shares of Common Stock (the “</w:t>
      </w:r>
      <w:r>
        <w:rPr>
          <w:rFonts w:ascii="Arial" w:cs="Arial" w:eastAsia="Arial" w:hAnsi="Arial"/>
          <w:sz w:val="18"/>
          <w:szCs w:val="18"/>
          <w:u w:val="single" w:color="auto"/>
          <w:color w:val="auto"/>
        </w:rPr>
        <w:t>Initial Threshold Shares</w:t>
      </w:r>
      <w:r>
        <w:rPr>
          <w:rFonts w:ascii="Arial" w:cs="Arial" w:eastAsia="Arial" w:hAnsi="Arial"/>
          <w:sz w:val="18"/>
          <w:szCs w:val="18"/>
          <w:color w:val="auto"/>
        </w:rPr>
        <w:t>”) may be issued to Eligible Persons pursuant to Awards under the Plan if: (a) the Consolidated Adjusted EBITDA during the Fiscal Year ending December 31, 2018 equals or exceeds $82,500,000 and (b) the Fair Market Value of the Common Stock equals or exceeds $12.00 per share for any 20 trading days within a consecutive 30-trading day period on or before December 31, 2019; and</w:t>
      </w:r>
    </w:p>
    <w:p>
      <w:pPr>
        <w:spacing w:after="0" w:line="185" w:lineRule="exact"/>
        <w:rPr>
          <w:rFonts w:ascii="Arial" w:cs="Arial" w:eastAsia="Arial" w:hAnsi="Arial"/>
          <w:sz w:val="18"/>
          <w:szCs w:val="18"/>
          <w:color w:val="010000"/>
        </w:rPr>
      </w:pPr>
    </w:p>
    <w:p>
      <w:pPr>
        <w:jc w:val="both"/>
        <w:ind w:firstLine="1943"/>
        <w:spacing w:after="0" w:line="258" w:lineRule="auto"/>
        <w:tabs>
          <w:tab w:leader="none" w:pos="2746" w:val="left"/>
        </w:tabs>
        <w:numPr>
          <w:ilvl w:val="1"/>
          <w:numId w:val="420"/>
        </w:numPr>
        <w:rPr>
          <w:rFonts w:ascii="Arial" w:cs="Arial" w:eastAsia="Arial" w:hAnsi="Arial"/>
          <w:sz w:val="18"/>
          <w:szCs w:val="18"/>
          <w:color w:val="010000"/>
        </w:rPr>
      </w:pPr>
      <w:r>
        <w:rPr>
          <w:rFonts w:ascii="Arial" w:cs="Arial" w:eastAsia="Arial" w:hAnsi="Arial"/>
          <w:sz w:val="18"/>
          <w:szCs w:val="18"/>
          <w:color w:val="auto"/>
        </w:rPr>
        <w:t>subject to Section 2.1(a)(iii), an aggregate of 2,940,000 shares of Common Stock may be issued to Eligible Persons pursuant to Awards under the Plan if: (a) the Consolidated Adjusted EBITDA during the Fiscal Year ending December 31, 2019 equals or exceeds $91,500,000 and (b) the Fair Market Value the Common Stock equals or exceeds $14.00 per share for any 20 trading days within a consecutive 30-trading day period during the period beginning on January 1, 2019 and ending on December 31, 2020.</w:t>
      </w:r>
    </w:p>
    <w:p>
      <w:pPr>
        <w:spacing w:after="0" w:line="185" w:lineRule="exact"/>
        <w:rPr>
          <w:rFonts w:ascii="Arial" w:cs="Arial" w:eastAsia="Arial" w:hAnsi="Arial"/>
          <w:sz w:val="18"/>
          <w:szCs w:val="18"/>
          <w:color w:val="010000"/>
        </w:rPr>
      </w:pPr>
    </w:p>
    <w:p>
      <w:pPr>
        <w:jc w:val="both"/>
        <w:ind w:firstLine="1943"/>
        <w:spacing w:after="0" w:line="278" w:lineRule="auto"/>
        <w:tabs>
          <w:tab w:leader="none" w:pos="2737" w:val="left"/>
        </w:tabs>
        <w:numPr>
          <w:ilvl w:val="1"/>
          <w:numId w:val="420"/>
        </w:numPr>
        <w:rPr>
          <w:rFonts w:ascii="Arial" w:cs="Arial" w:eastAsia="Arial" w:hAnsi="Arial"/>
          <w:sz w:val="17"/>
          <w:szCs w:val="17"/>
          <w:color w:val="010000"/>
        </w:rPr>
      </w:pPr>
      <w:r>
        <w:rPr>
          <w:rFonts w:ascii="Arial" w:cs="Arial" w:eastAsia="Arial" w:hAnsi="Arial"/>
          <w:sz w:val="17"/>
          <w:szCs w:val="17"/>
          <w:color w:val="auto"/>
        </w:rPr>
        <w:t>notwithstanding the provisions of Section 2.1(a)(i) and (a)(ii), if no Initial Threshold Shares are issuable pursuant to Section 2.1(a)(i) because the conditions therein were not satisfied, then an aggregate of 5,880,000 shares of Common Stock may be issued to Eligible Persons pursuant to Section 2.1(a)(ii) (in lieu of 2,940,000) if clauses (a) and (b) of Section 2.1(a)(ii) are satisfied. For the avoidance of doubt, this Section 2.1(a)(iii) shall not be interpreted to authorize the issuance of shares of Common Stock in excess of the Share Limit.</w:t>
      </w:r>
    </w:p>
    <w:p>
      <w:pPr>
        <w:spacing w:after="0" w:line="169" w:lineRule="exact"/>
        <w:rPr>
          <w:rFonts w:ascii="Arial" w:cs="Arial" w:eastAsia="Arial" w:hAnsi="Arial"/>
          <w:sz w:val="17"/>
          <w:szCs w:val="17"/>
          <w:color w:val="010000"/>
        </w:rPr>
      </w:pPr>
    </w:p>
    <w:p>
      <w:pPr>
        <w:ind w:firstLine="1298"/>
        <w:spacing w:after="0" w:line="275" w:lineRule="auto"/>
        <w:tabs>
          <w:tab w:leader="none" w:pos="2041" w:val="left"/>
        </w:tabs>
        <w:numPr>
          <w:ilvl w:val="0"/>
          <w:numId w:val="420"/>
        </w:numPr>
        <w:rPr>
          <w:rFonts w:ascii="Arial" w:cs="Arial" w:eastAsia="Arial" w:hAnsi="Arial"/>
          <w:sz w:val="18"/>
          <w:szCs w:val="18"/>
          <w:color w:val="010000"/>
        </w:rPr>
      </w:pPr>
      <w:r>
        <w:rPr>
          <w:rFonts w:ascii="Arial" w:cs="Arial" w:eastAsia="Arial" w:hAnsi="Arial"/>
          <w:sz w:val="18"/>
          <w:szCs w:val="18"/>
          <w:color w:val="auto"/>
        </w:rPr>
        <w:t>In the event of any termination, expiration, lapse or forfeiture of an Award, any shares of Common Stock subject to such Award shall, to the extent of such termination, expiration, lapse or forfeiture, again be available for future grants of Awards under the Plan.</w:t>
      </w:r>
    </w:p>
    <w:p>
      <w:pPr>
        <w:spacing w:after="0" w:line="171"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010000"/>
        </w:rPr>
        <w:t xml:space="preserve">2.2. </w:t>
      </w:r>
      <w:r>
        <w:rPr>
          <w:rFonts w:ascii="Arial" w:cs="Arial" w:eastAsia="Arial" w:hAnsi="Arial"/>
          <w:sz w:val="18"/>
          <w:szCs w:val="18"/>
          <w:u w:val="single" w:color="auto"/>
          <w:color w:val="000000"/>
        </w:rPr>
        <w:t>Stock Distributed</w:t>
      </w:r>
      <w:r>
        <w:rPr>
          <w:rFonts w:ascii="Arial" w:cs="Arial" w:eastAsia="Arial" w:hAnsi="Arial"/>
          <w:sz w:val="18"/>
          <w:szCs w:val="18"/>
          <w:color w:val="000000"/>
        </w:rPr>
        <w:t>. Any Common Stock distributed pursuant to an Award shall consist, in whole or in part, of authorized and unissued</w:t>
      </w:r>
      <w:r>
        <w:rPr>
          <w:rFonts w:ascii="Arial" w:cs="Arial" w:eastAsia="Arial" w:hAnsi="Arial"/>
          <w:sz w:val="18"/>
          <w:szCs w:val="18"/>
          <w:color w:val="010000"/>
        </w:rPr>
        <w:t xml:space="preserve"> </w:t>
      </w:r>
      <w:r>
        <w:rPr>
          <w:rFonts w:ascii="Arial" w:cs="Arial" w:eastAsia="Arial" w:hAnsi="Arial"/>
          <w:sz w:val="18"/>
          <w:szCs w:val="18"/>
          <w:color w:val="000000"/>
        </w:rPr>
        <w:t>shares of Common Stock or shares of Common Stock held in treasury.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3" w:name="page474"/>
    <w:bookmarkEnd w:id="473"/>
    <w:p>
      <w:pPr>
        <w:jc w:val="center"/>
        <w:spacing w:after="0"/>
        <w:rPr>
          <w:sz w:val="20"/>
          <w:szCs w:val="20"/>
          <w:color w:val="auto"/>
        </w:rPr>
      </w:pPr>
      <w:r>
        <w:rPr>
          <w:rFonts w:ascii="Arial" w:cs="Arial" w:eastAsia="Arial" w:hAnsi="Arial"/>
          <w:sz w:val="18"/>
          <w:szCs w:val="18"/>
          <w:b w:val="1"/>
          <w:bCs w:val="1"/>
          <w:color w:val="010000"/>
        </w:rPr>
        <w:t>ARTICLE 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AWARDS</w:t>
      </w:r>
    </w:p>
    <w:p>
      <w:pPr>
        <w:spacing w:after="0" w:line="22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3.1.</w:t>
      </w:r>
      <w:r>
        <w:rPr>
          <w:sz w:val="20"/>
          <w:szCs w:val="20"/>
          <w:color w:val="auto"/>
        </w:rPr>
        <w:tab/>
      </w:r>
      <w:r>
        <w:rPr>
          <w:rFonts w:ascii="Arial" w:cs="Arial" w:eastAsia="Arial" w:hAnsi="Arial"/>
          <w:sz w:val="16"/>
          <w:szCs w:val="16"/>
          <w:u w:val="single" w:color="auto"/>
          <w:color w:val="auto"/>
        </w:rPr>
        <w:t>Award Agreement</w:t>
      </w:r>
      <w:r>
        <w:rPr>
          <w:rFonts w:ascii="Arial" w:cs="Arial" w:eastAsia="Arial" w:hAnsi="Arial"/>
          <w:sz w:val="16"/>
          <w:szCs w:val="16"/>
          <w:color w:val="auto"/>
        </w:rPr>
        <w:t>. Each Award shall be evidenced by an Award Agreement.</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010000"/>
        </w:rPr>
        <w:t xml:space="preserve">3.2. </w:t>
      </w:r>
      <w:r>
        <w:rPr>
          <w:rFonts w:ascii="Arial" w:cs="Arial" w:eastAsia="Arial" w:hAnsi="Arial"/>
          <w:sz w:val="18"/>
          <w:szCs w:val="18"/>
          <w:u w:val="single" w:color="auto"/>
          <w:color w:val="000000"/>
        </w:rPr>
        <w:t>Limitations Applicable to Section 16 Persons</w:t>
      </w:r>
      <w:r>
        <w:rPr>
          <w:rFonts w:ascii="Arial" w:cs="Arial" w:eastAsia="Arial" w:hAnsi="Arial"/>
          <w:sz w:val="18"/>
          <w:szCs w:val="18"/>
          <w:color w:val="000000"/>
        </w:rPr>
        <w:t>. Notwithstanding any other provision of the Plan, the Plan and any Award granted or awarded</w:t>
      </w:r>
      <w:r>
        <w:rPr>
          <w:rFonts w:ascii="Arial" w:cs="Arial" w:eastAsia="Arial" w:hAnsi="Arial"/>
          <w:sz w:val="18"/>
          <w:szCs w:val="18"/>
          <w:color w:val="010000"/>
        </w:rPr>
        <w:t xml:space="preserve"> </w:t>
      </w:r>
      <w:r>
        <w:rPr>
          <w:rFonts w:ascii="Arial" w:cs="Arial" w:eastAsia="Arial" w:hAnsi="Arial"/>
          <w:sz w:val="18"/>
          <w:szCs w:val="18"/>
          <w:color w:val="000000"/>
        </w:rPr>
        <w:t>to any individual who is then subject to Section 16 of the Exchange Act shall be subject to any additional limitations set forth in any applicable exemptive rule under Section 16 of the Exchange Act (including Rule 16b-3)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91"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010000"/>
        </w:rPr>
        <w:t xml:space="preserve">3.3. </w:t>
      </w:r>
      <w:r>
        <w:rPr>
          <w:rFonts w:ascii="Arial" w:cs="Arial" w:eastAsia="Arial" w:hAnsi="Arial"/>
          <w:sz w:val="16"/>
          <w:szCs w:val="16"/>
          <w:u w:val="single" w:color="auto"/>
          <w:color w:val="000000"/>
        </w:rPr>
        <w:t>At-Will Employment</w:t>
      </w:r>
      <w:r>
        <w:rPr>
          <w:rFonts w:ascii="Arial" w:cs="Arial" w:eastAsia="Arial" w:hAnsi="Arial"/>
          <w:sz w:val="16"/>
          <w:szCs w:val="16"/>
          <w:color w:val="000000"/>
        </w:rPr>
        <w:t>. Nothing in the Plan or in any Award Agreement hereunder shall confer upon any Participant any right to continue in</w:t>
      </w:r>
      <w:r>
        <w:rPr>
          <w:rFonts w:ascii="Arial" w:cs="Arial" w:eastAsia="Arial" w:hAnsi="Arial"/>
          <w:sz w:val="16"/>
          <w:szCs w:val="16"/>
          <w:color w:val="010000"/>
        </w:rPr>
        <w:t xml:space="preserve"> </w:t>
      </w:r>
      <w:r>
        <w:rPr>
          <w:rFonts w:ascii="Arial" w:cs="Arial" w:eastAsia="Arial" w:hAnsi="Arial"/>
          <w:sz w:val="16"/>
          <w:szCs w:val="16"/>
          <w:color w:val="000000"/>
        </w:rPr>
        <w:t>the employ of, or as a Consultant for, the Company or any of its Subsidiaries, or as a Director, or shall interfere with or restrict in any way the rights of the Company and any of its Subsidiaries, which rights are hereby expressly reserved, to discharge any Participant at any time for any reason whatsoever, with or without cause, except to the extent expressly provided otherwise in a written agreement between the Participant and the Company and any of its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STOCK, STOCK PAYMENTS, RESTRICTED STOCK UNITS</w:t>
      </w:r>
    </w:p>
    <w:p>
      <w:pPr>
        <w:spacing w:after="0" w:line="22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4.1. </w:t>
      </w:r>
      <w:r>
        <w:rPr>
          <w:rFonts w:ascii="Arial" w:cs="Arial" w:eastAsia="Arial" w:hAnsi="Arial"/>
          <w:sz w:val="18"/>
          <w:szCs w:val="18"/>
          <w:u w:val="single" w:color="auto"/>
          <w:color w:val="000000"/>
        </w:rPr>
        <w:t>Eligibility</w:t>
      </w:r>
      <w:r>
        <w:rPr>
          <w:rFonts w:ascii="Arial" w:cs="Arial" w:eastAsia="Arial" w:hAnsi="Arial"/>
          <w:sz w:val="18"/>
          <w:szCs w:val="18"/>
          <w:color w:val="000000"/>
        </w:rPr>
        <w:t>. Subject to Section 2.1, one or more Stock Payment Awards, Deferred Stock Awards and/or Restricted Stock Unit Awards may</w:t>
      </w:r>
      <w:r>
        <w:rPr>
          <w:rFonts w:ascii="Arial" w:cs="Arial" w:eastAsia="Arial" w:hAnsi="Arial"/>
          <w:sz w:val="18"/>
          <w:szCs w:val="18"/>
          <w:color w:val="010000"/>
        </w:rPr>
        <w:t xml:space="preserve"> </w:t>
      </w:r>
      <w:r>
        <w:rPr>
          <w:rFonts w:ascii="Arial" w:cs="Arial" w:eastAsia="Arial" w:hAnsi="Arial"/>
          <w:sz w:val="18"/>
          <w:szCs w:val="18"/>
          <w:color w:val="000000"/>
        </w:rPr>
        <w:t>be granted to any Eligible Person whom the Committee determines should receive such an Award.</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4.2. </w:t>
      </w:r>
      <w:r>
        <w:rPr>
          <w:rFonts w:ascii="Arial" w:cs="Arial" w:eastAsia="Arial" w:hAnsi="Arial"/>
          <w:sz w:val="18"/>
          <w:szCs w:val="18"/>
          <w:u w:val="single" w:color="auto"/>
          <w:color w:val="000000"/>
        </w:rPr>
        <w:t>Stock Payments</w:t>
      </w:r>
      <w:r>
        <w:rPr>
          <w:rFonts w:ascii="Arial" w:cs="Arial" w:eastAsia="Arial" w:hAnsi="Arial"/>
          <w:sz w:val="18"/>
          <w:szCs w:val="18"/>
          <w:color w:val="000000"/>
        </w:rPr>
        <w:t>. Each Eligible Person selected by the Committee may receive Stock Payments in the manner determined from time to time</w:t>
      </w:r>
      <w:r>
        <w:rPr>
          <w:rFonts w:ascii="Arial" w:cs="Arial" w:eastAsia="Arial" w:hAnsi="Arial"/>
          <w:sz w:val="18"/>
          <w:szCs w:val="18"/>
          <w:color w:val="010000"/>
        </w:rPr>
        <w:t xml:space="preserve"> </w:t>
      </w:r>
      <w:r>
        <w:rPr>
          <w:rFonts w:ascii="Arial" w:cs="Arial" w:eastAsia="Arial" w:hAnsi="Arial"/>
          <w:sz w:val="18"/>
          <w:szCs w:val="18"/>
          <w:color w:val="000000"/>
        </w:rPr>
        <w:t>by the Committee. The Stock Payment shall consist of that number of shares of Common Stock as determined by the Committee and may be based on any specific criteria determined appropriate by the Committee.</w:t>
      </w:r>
    </w:p>
    <w:p>
      <w:pPr>
        <w:spacing w:after="0" w:line="182"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010000"/>
        </w:rPr>
        <w:t xml:space="preserve">4.3. </w:t>
      </w:r>
      <w:r>
        <w:rPr>
          <w:rFonts w:ascii="Arial" w:cs="Arial" w:eastAsia="Arial" w:hAnsi="Arial"/>
          <w:sz w:val="17"/>
          <w:szCs w:val="17"/>
          <w:u w:val="single" w:color="auto"/>
          <w:color w:val="000000"/>
        </w:rPr>
        <w:t>Deferred Stock</w:t>
      </w:r>
      <w:r>
        <w:rPr>
          <w:rFonts w:ascii="Arial" w:cs="Arial" w:eastAsia="Arial" w:hAnsi="Arial"/>
          <w:sz w:val="17"/>
          <w:szCs w:val="17"/>
          <w:color w:val="000000"/>
        </w:rPr>
        <w:t>. Any Eligible Person selected by the Committee may be granted an award of Deferred Stock in the manner determined from</w:t>
      </w:r>
      <w:r>
        <w:rPr>
          <w:rFonts w:ascii="Arial" w:cs="Arial" w:eastAsia="Arial" w:hAnsi="Arial"/>
          <w:sz w:val="17"/>
          <w:szCs w:val="17"/>
          <w:color w:val="010000"/>
        </w:rPr>
        <w:t xml:space="preserve"> </w:t>
      </w:r>
      <w:r>
        <w:rPr>
          <w:rFonts w:ascii="Arial" w:cs="Arial" w:eastAsia="Arial" w:hAnsi="Arial"/>
          <w:sz w:val="17"/>
          <w:szCs w:val="17"/>
          <w:color w:val="000000"/>
        </w:rPr>
        <w:t>time to time by the Committee. The number of shares of Deferred Stock shall be determined by the Committee and may be linked to the satisfaction of one or more specific performance goals as the Committee determines to be appropriate at the time of grant, in each case on a specified date or dates or over any period or periods determined by the Committee. Common Stock underlying a Deferred Stock Award will not be issued until the Deferred Stock Award has vested, pursuant to a vesting schedule or the achievement of the applicable Performance Goals or other specific performance goals set by the Committee. Unless otherwise provided by the Committee, a Participant shall have no rights as a Company stockholder with respect to Deferred Stock until such time as the Award has vested and the Common Stock underlying the Award has been issued.</w:t>
      </w:r>
    </w:p>
    <w:p>
      <w:pPr>
        <w:spacing w:after="0" w:line="176"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010000"/>
        </w:rPr>
        <w:t xml:space="preserve">4.4. </w:t>
      </w:r>
      <w:r>
        <w:rPr>
          <w:rFonts w:ascii="Arial" w:cs="Arial" w:eastAsia="Arial" w:hAnsi="Arial"/>
          <w:sz w:val="17"/>
          <w:szCs w:val="17"/>
          <w:u w:val="single" w:color="auto"/>
          <w:color w:val="000000"/>
        </w:rPr>
        <w:t>Restricted Stock Units</w:t>
      </w:r>
      <w:r>
        <w:rPr>
          <w:rFonts w:ascii="Arial" w:cs="Arial" w:eastAsia="Arial" w:hAnsi="Arial"/>
          <w:sz w:val="17"/>
          <w:szCs w:val="17"/>
          <w:color w:val="000000"/>
        </w:rPr>
        <w:t>. Any Eligible Person selected by the Committee may be granted an award of Restricted Stock Units in the manner</w:t>
      </w:r>
      <w:r>
        <w:rPr>
          <w:rFonts w:ascii="Arial" w:cs="Arial" w:eastAsia="Arial" w:hAnsi="Arial"/>
          <w:sz w:val="17"/>
          <w:szCs w:val="17"/>
          <w:color w:val="010000"/>
        </w:rPr>
        <w:t xml:space="preserve"> </w:t>
      </w:r>
      <w:r>
        <w:rPr>
          <w:rFonts w:ascii="Arial" w:cs="Arial" w:eastAsia="Arial" w:hAnsi="Arial"/>
          <w:sz w:val="17"/>
          <w:szCs w:val="17"/>
          <w:color w:val="000000"/>
        </w:rPr>
        <w:t>determined from time to time by the Committee. The Committee is authorized to make awards of Restricted Stock Units in such amounts and subject to such terms and conditions as determined by the Committee at grant. The Committee shall specify the date or dates on which the Restricted Stock Units shall become fully vested and nonforfeitable, and may specify such conditions to vesting as it deems appropriate, and may specify that such Restricted Stock Units become fully vested and nonforfeitable pursuant to the satisfaction of one or more specific performance goals as the Committee determines to be appropriate at the time of the grant, in each case on a specified date or dates or over any period or periods determined by the Committee. The Committee shall specify the payment dates applicable to each Award of Restricted Stock Units which shall be no earlier than the vesting dates and may be determined at the election of the Eligible Person, subject to compliance with Section 409A of the Code. On the distribution dates, the Company shall issue to the Participant one unrestricted, fully transferable share of Common Stock for each Restricted Stock Unit.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74" w:name="page475"/>
    <w:bookmarkEnd w:id="474"/>
    <w:p>
      <w:pPr>
        <w:jc w:val="both"/>
        <w:ind w:firstLine="645"/>
        <w:spacing w:after="0" w:line="275" w:lineRule="auto"/>
        <w:rPr>
          <w:sz w:val="20"/>
          <w:szCs w:val="20"/>
          <w:color w:val="auto"/>
        </w:rPr>
      </w:pPr>
      <w:r>
        <w:rPr>
          <w:rFonts w:ascii="Arial" w:cs="Arial" w:eastAsia="Arial" w:hAnsi="Arial"/>
          <w:sz w:val="18"/>
          <w:szCs w:val="18"/>
          <w:color w:val="010000"/>
        </w:rPr>
        <w:t xml:space="preserve">4.5. </w:t>
      </w:r>
      <w:r>
        <w:rPr>
          <w:rFonts w:ascii="Arial" w:cs="Arial" w:eastAsia="Arial" w:hAnsi="Arial"/>
          <w:sz w:val="18"/>
          <w:szCs w:val="18"/>
          <w:u w:val="single" w:color="auto"/>
          <w:color w:val="000000"/>
        </w:rPr>
        <w:t>Term</w:t>
      </w:r>
      <w:r>
        <w:rPr>
          <w:rFonts w:ascii="Arial" w:cs="Arial" w:eastAsia="Arial" w:hAnsi="Arial"/>
          <w:sz w:val="18"/>
          <w:szCs w:val="18"/>
          <w:color w:val="000000"/>
        </w:rPr>
        <w:t>. The term of a Deferred Stock Award, Stock Payment Award and/or Restricted Stock Unit Award shall be set by the Committee in its</w:t>
      </w:r>
      <w:r>
        <w:rPr>
          <w:rFonts w:ascii="Arial" w:cs="Arial" w:eastAsia="Arial" w:hAnsi="Arial"/>
          <w:sz w:val="18"/>
          <w:szCs w:val="18"/>
          <w:color w:val="010000"/>
        </w:rPr>
        <w:t xml:space="preserve"> </w:t>
      </w:r>
      <w:r>
        <w:rPr>
          <w:rFonts w:ascii="Arial" w:cs="Arial" w:eastAsia="Arial" w:hAnsi="Arial"/>
          <w:sz w:val="18"/>
          <w:szCs w:val="18"/>
          <w:color w:val="000000"/>
        </w:rPr>
        <w:t>discretion.</w:t>
      </w:r>
    </w:p>
    <w:p>
      <w:pPr>
        <w:spacing w:after="0" w:line="17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4.6.</w:t>
      </w:r>
      <w:r>
        <w:rPr>
          <w:sz w:val="20"/>
          <w:szCs w:val="20"/>
          <w:color w:val="auto"/>
        </w:rPr>
        <w:tab/>
      </w:r>
      <w:r>
        <w:rPr>
          <w:rFonts w:ascii="Arial" w:cs="Arial" w:eastAsia="Arial" w:hAnsi="Arial"/>
          <w:sz w:val="16"/>
          <w:szCs w:val="16"/>
          <w:u w:val="single" w:color="auto"/>
          <w:color w:val="auto"/>
        </w:rPr>
        <w:t>Form of Payment</w:t>
      </w:r>
      <w:r>
        <w:rPr>
          <w:rFonts w:ascii="Arial" w:cs="Arial" w:eastAsia="Arial" w:hAnsi="Arial"/>
          <w:sz w:val="16"/>
          <w:szCs w:val="16"/>
          <w:color w:val="auto"/>
        </w:rPr>
        <w:t>. Payment in respect of an Award shall be in Common Stock.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27"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010000"/>
        </w:rPr>
        <w:t xml:space="preserve">5.1. </w:t>
      </w:r>
      <w:r>
        <w:rPr>
          <w:rFonts w:ascii="Arial" w:cs="Arial" w:eastAsia="Arial" w:hAnsi="Arial"/>
          <w:sz w:val="16"/>
          <w:szCs w:val="16"/>
          <w:u w:val="single" w:color="auto"/>
          <w:color w:val="000000"/>
        </w:rPr>
        <w:t>Committee</w:t>
      </w:r>
      <w:r>
        <w:rPr>
          <w:rFonts w:ascii="Arial" w:cs="Arial" w:eastAsia="Arial" w:hAnsi="Arial"/>
          <w:sz w:val="16"/>
          <w:szCs w:val="16"/>
          <w:color w:val="000000"/>
        </w:rPr>
        <w:t>. The members of the Committee shall be appointed by, and shall serve on the Committee at the pleasure of, the Board. As of the</w:t>
      </w:r>
      <w:r>
        <w:rPr>
          <w:rFonts w:ascii="Arial" w:cs="Arial" w:eastAsia="Arial" w:hAnsi="Arial"/>
          <w:sz w:val="16"/>
          <w:szCs w:val="16"/>
          <w:color w:val="010000"/>
        </w:rPr>
        <w:t xml:space="preserve"> </w:t>
      </w:r>
      <w:r>
        <w:rPr>
          <w:rFonts w:ascii="Arial" w:cs="Arial" w:eastAsia="Arial" w:hAnsi="Arial"/>
          <w:sz w:val="16"/>
          <w:szCs w:val="16"/>
          <w:color w:val="000000"/>
        </w:rPr>
        <w:t>Effective Date, the Committee shall consist of Thomas C. Priore. Appointment of Committee members shall be effective upon acceptance of appointment. Committee members may resign at any time by delivering written notice to the Board. Vacancies in the Committee may be filled by the Board.</w:t>
      </w:r>
    </w:p>
    <w:p>
      <w:pPr>
        <w:spacing w:after="0" w:line="147"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010000"/>
        </w:rPr>
        <w:t xml:space="preserve">5.2. </w:t>
      </w:r>
      <w:r>
        <w:rPr>
          <w:rFonts w:ascii="Arial" w:cs="Arial" w:eastAsia="Arial" w:hAnsi="Arial"/>
          <w:sz w:val="17"/>
          <w:szCs w:val="17"/>
          <w:u w:val="single" w:color="auto"/>
          <w:color w:val="000000"/>
        </w:rPr>
        <w:t>Duties and Powers of Committee</w:t>
      </w:r>
      <w:r>
        <w:rPr>
          <w:rFonts w:ascii="Arial" w:cs="Arial" w:eastAsia="Arial" w:hAnsi="Arial"/>
          <w:sz w:val="17"/>
          <w:szCs w:val="17"/>
          <w:color w:val="000000"/>
        </w:rPr>
        <w:t>. It shall be the duty of the Committee to conduct the general administration of the Plan in accordance with</w:t>
      </w:r>
      <w:r>
        <w:rPr>
          <w:rFonts w:ascii="Arial" w:cs="Arial" w:eastAsia="Arial" w:hAnsi="Arial"/>
          <w:sz w:val="17"/>
          <w:szCs w:val="17"/>
          <w:color w:val="010000"/>
        </w:rPr>
        <w:t xml:space="preserve"> </w:t>
      </w:r>
      <w:r>
        <w:rPr>
          <w:rFonts w:ascii="Arial" w:cs="Arial" w:eastAsia="Arial" w:hAnsi="Arial"/>
          <w:sz w:val="17"/>
          <w:szCs w:val="17"/>
          <w:color w:val="000000"/>
        </w:rPr>
        <w:t>its provisions. The Committee shall have the power to interpret the Plan and the Award Agreements, and to adopt such rules for the administration, interpretation and application of the Plan as are consistent therewith, to interpret, amend or revoke any such rules, to delegate authority in accordance with Section 5.5 and to amend any Award Agreement provided that the rights or obligations of the Participant of the Award that is the subject of any such Award Agreement are not affected adversely. Any such grant or award under the Plan need not be the same with respect to each Participant. The Committee may, in its sole discretion, adopt special guidelines and provisions for persons who are residing in or employed in, or subject to, the taxes of, any domestic or foreign jurisdictions to comply with applicable tax and securities laws of such domestic or foreign jurisdictions.</w:t>
      </w:r>
    </w:p>
    <w:p>
      <w:pPr>
        <w:spacing w:after="0" w:line="17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5.3. </w:t>
      </w:r>
      <w:r>
        <w:rPr>
          <w:rFonts w:ascii="Arial" w:cs="Arial" w:eastAsia="Arial" w:hAnsi="Arial"/>
          <w:sz w:val="18"/>
          <w:szCs w:val="18"/>
          <w:u w:val="single" w:color="auto"/>
          <w:color w:val="000000"/>
        </w:rPr>
        <w:t>Majority Rule; Unanimous Written Consent</w:t>
      </w:r>
      <w:r>
        <w:rPr>
          <w:rFonts w:ascii="Arial" w:cs="Arial" w:eastAsia="Arial" w:hAnsi="Arial"/>
          <w:sz w:val="18"/>
          <w:szCs w:val="18"/>
          <w:color w:val="000000"/>
        </w:rPr>
        <w:t>. The Committee shall act by a majority of its members in attendance at a meeting at which a</w:t>
      </w:r>
      <w:r>
        <w:rPr>
          <w:rFonts w:ascii="Arial" w:cs="Arial" w:eastAsia="Arial" w:hAnsi="Arial"/>
          <w:sz w:val="18"/>
          <w:szCs w:val="18"/>
          <w:color w:val="010000"/>
        </w:rPr>
        <w:t xml:space="preserve"> </w:t>
      </w:r>
      <w:r>
        <w:rPr>
          <w:rFonts w:ascii="Arial" w:cs="Arial" w:eastAsia="Arial" w:hAnsi="Arial"/>
          <w:sz w:val="18"/>
          <w:szCs w:val="18"/>
          <w:color w:val="000000"/>
        </w:rPr>
        <w:t>quorum is present or by a memorandum or other written instrument signed by all members of the Committee.</w:t>
      </w:r>
    </w:p>
    <w:p>
      <w:pPr>
        <w:spacing w:after="0" w:line="171"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010000"/>
        </w:rPr>
        <w:t xml:space="preserve">5.4. </w:t>
      </w:r>
      <w:r>
        <w:rPr>
          <w:rFonts w:ascii="Arial" w:cs="Arial" w:eastAsia="Arial" w:hAnsi="Arial"/>
          <w:sz w:val="17"/>
          <w:szCs w:val="17"/>
          <w:u w:val="single" w:color="auto"/>
          <w:color w:val="000000"/>
        </w:rPr>
        <w:t>Compensation; Professional Assistance; Good Faith Actions</w:t>
      </w:r>
      <w:r>
        <w:rPr>
          <w:rFonts w:ascii="Arial" w:cs="Arial" w:eastAsia="Arial" w:hAnsi="Arial"/>
          <w:sz w:val="17"/>
          <w:szCs w:val="17"/>
          <w:color w:val="000000"/>
        </w:rPr>
        <w:t>. Members of the Committee shall receive such compensation, if any, for their</w:t>
      </w:r>
      <w:r>
        <w:rPr>
          <w:rFonts w:ascii="Arial" w:cs="Arial" w:eastAsia="Arial" w:hAnsi="Arial"/>
          <w:sz w:val="17"/>
          <w:szCs w:val="17"/>
          <w:color w:val="010000"/>
        </w:rPr>
        <w:t xml:space="preserve"> </w:t>
      </w:r>
      <w:r>
        <w:rPr>
          <w:rFonts w:ascii="Arial" w:cs="Arial" w:eastAsia="Arial" w:hAnsi="Arial"/>
          <w:sz w:val="17"/>
          <w:szCs w:val="17"/>
          <w:color w:val="000000"/>
        </w:rPr>
        <w:t xml:space="preserve">services as members as may be determined by the Board;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that, the member of the Committee as of the Effective Date shall receive no compensation for such services. All expenses and liabilities which members of the Committee incur in connection with the administration of the Plan shall be borne by the Company. The Committee may employ attorneys, consultants, accountants, appraisers, brokers or other persons as it may deem desirable for the administration of the Plan.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Participants, the Company and all other interested persons. No members of the Committee or Board shall be personally liable for any action, determination or interpretation made in good faith with respect to the Plan or Awards, and all members of the Committee and the Board shall be fully protected by the Company in respect of any such action, determination or interpretation.</w:t>
      </w:r>
    </w:p>
    <w:p>
      <w:pPr>
        <w:spacing w:after="0" w:line="17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010000"/>
        </w:rPr>
        <w:t xml:space="preserve">5.5. </w:t>
      </w:r>
      <w:r>
        <w:rPr>
          <w:rFonts w:ascii="Arial" w:cs="Arial" w:eastAsia="Arial" w:hAnsi="Arial"/>
          <w:sz w:val="16"/>
          <w:szCs w:val="16"/>
          <w:u w:val="single" w:color="auto"/>
          <w:color w:val="000000"/>
        </w:rPr>
        <w:t>Delegation of Authority</w:t>
      </w:r>
      <w:r>
        <w:rPr>
          <w:rFonts w:ascii="Arial" w:cs="Arial" w:eastAsia="Arial" w:hAnsi="Arial"/>
          <w:sz w:val="16"/>
          <w:szCs w:val="16"/>
          <w:color w:val="000000"/>
        </w:rPr>
        <w:t>. The Committee may, in its sole discretion, designate employees of the Company and professional advisors to</w:t>
      </w:r>
      <w:r>
        <w:rPr>
          <w:rFonts w:ascii="Arial" w:cs="Arial" w:eastAsia="Arial" w:hAnsi="Arial"/>
          <w:sz w:val="16"/>
          <w:szCs w:val="16"/>
          <w:color w:val="010000"/>
        </w:rPr>
        <w:t xml:space="preserve"> </w:t>
      </w:r>
      <w:r>
        <w:rPr>
          <w:rFonts w:ascii="Arial" w:cs="Arial" w:eastAsia="Arial" w:hAnsi="Arial"/>
          <w:sz w:val="16"/>
          <w:szCs w:val="16"/>
          <w:color w:val="000000"/>
        </w:rPr>
        <w:t>assist the Committee in the administration of the Plan, including with respect to the execution of Award Agreements or other documents, and, to the extent permitted by applicable law, delegate from time to time some or all of its authority to grant Awards under the Plan to a committee or committees consisting of one or more members of the Board and/or one or more officers of the Company. The authority to grant awards, however, may not be delegated to:</w:t>
      </w:r>
    </w:p>
    <w:p>
      <w:pPr>
        <w:spacing w:after="0" w:line="1" w:lineRule="exact"/>
        <w:rPr>
          <w:sz w:val="20"/>
          <w:szCs w:val="20"/>
          <w:color w:val="auto"/>
        </w:rPr>
      </w:pPr>
    </w:p>
    <w:p>
      <w:pPr>
        <w:jc w:val="both"/>
        <w:ind w:firstLine="8"/>
        <w:spacing w:after="0" w:line="252" w:lineRule="auto"/>
        <w:tabs>
          <w:tab w:leader="none" w:pos="25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individuals who are subject to the reporting rules under Section 16(a) of the Exchange Act and (b) individuals who are officers of the Company who are delegated authority by the Committee hereunder to grant Awards to himself or herself. Any delegation hereunder shall be subject to the restrictions and limits that the Committee specifies at the time of such delegation of authority and may be rescinded at any time by the Committee. At all times, any committee appointed under this Section 5.5 shall serve in such capacity at the pleasure of the Committee.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8"/>
          <w:szCs w:val="18"/>
          <w:b w:val="1"/>
          <w:bCs w:val="1"/>
          <w:color w:val="010000"/>
        </w:rPr>
        <w:t>ARTICLE VI.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27"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010000"/>
        </w:rPr>
        <w:t xml:space="preserve">6.1. </w:t>
      </w:r>
      <w:r>
        <w:rPr>
          <w:rFonts w:ascii="Arial" w:cs="Arial" w:eastAsia="Arial" w:hAnsi="Arial"/>
          <w:sz w:val="17"/>
          <w:szCs w:val="17"/>
          <w:u w:val="single" w:color="auto"/>
          <w:color w:val="000000"/>
        </w:rPr>
        <w:t>Transferability of Awards</w:t>
      </w:r>
      <w:r>
        <w:rPr>
          <w:rFonts w:ascii="Arial" w:cs="Arial" w:eastAsia="Arial" w:hAnsi="Arial"/>
          <w:sz w:val="17"/>
          <w:szCs w:val="17"/>
          <w:color w:val="000000"/>
        </w:rPr>
        <w:t>. No Award under the Plan may be sold, pledged, assigned or transferred in any manner other than by will or the</w:t>
      </w:r>
      <w:r>
        <w:rPr>
          <w:rFonts w:ascii="Arial" w:cs="Arial" w:eastAsia="Arial" w:hAnsi="Arial"/>
          <w:sz w:val="17"/>
          <w:szCs w:val="17"/>
          <w:color w:val="010000"/>
        </w:rPr>
        <w:t xml:space="preserve"> </w:t>
      </w:r>
      <w:r>
        <w:rPr>
          <w:rFonts w:ascii="Arial" w:cs="Arial" w:eastAsia="Arial" w:hAnsi="Arial"/>
          <w:sz w:val="17"/>
          <w:szCs w:val="17"/>
          <w:color w:val="000000"/>
        </w:rPr>
        <w:t>laws of descent and distribution or, subject to the consent of the Committee, pursuant to a DRO, unless and until the shares underlying such Award have been issued, and all restrictions applicable to such shares have lapsed. No Award or interest or right therein shall be liable for the debts, contracts or engagements of the Participant or his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76" w:lineRule="exact"/>
        <w:rPr>
          <w:sz w:val="20"/>
          <w:szCs w:val="20"/>
          <w:color w:val="auto"/>
        </w:rPr>
      </w:pPr>
    </w:p>
    <w:p>
      <w:pPr>
        <w:jc w:val="both"/>
        <w:ind w:firstLine="645"/>
        <w:spacing w:after="0" w:line="289" w:lineRule="auto"/>
        <w:rPr>
          <w:sz w:val="20"/>
          <w:szCs w:val="20"/>
          <w:color w:val="auto"/>
        </w:rPr>
      </w:pPr>
      <w:r>
        <w:rPr>
          <w:rFonts w:ascii="Arial" w:cs="Arial" w:eastAsia="Arial" w:hAnsi="Arial"/>
          <w:sz w:val="16"/>
          <w:szCs w:val="16"/>
          <w:color w:val="010000"/>
        </w:rPr>
        <w:t xml:space="preserve">6.2. </w:t>
      </w:r>
      <w:r>
        <w:rPr>
          <w:rFonts w:ascii="Arial" w:cs="Arial" w:eastAsia="Arial" w:hAnsi="Arial"/>
          <w:sz w:val="16"/>
          <w:szCs w:val="16"/>
          <w:u w:val="single" w:color="auto"/>
          <w:color w:val="000000"/>
        </w:rPr>
        <w:t>Amendment, Suspension or Termination of the Plan and Awards</w:t>
      </w:r>
      <w:r>
        <w:rPr>
          <w:rFonts w:ascii="Arial" w:cs="Arial" w:eastAsia="Arial" w:hAnsi="Arial"/>
          <w:sz w:val="16"/>
          <w:szCs w:val="16"/>
          <w:color w:val="000000"/>
        </w:rPr>
        <w:t>. The Plan may be wholly or partially amended or otherwise modified,</w:t>
      </w:r>
      <w:r>
        <w:rPr>
          <w:rFonts w:ascii="Arial" w:cs="Arial" w:eastAsia="Arial" w:hAnsi="Arial"/>
          <w:sz w:val="16"/>
          <w:szCs w:val="16"/>
          <w:color w:val="010000"/>
        </w:rPr>
        <w:t xml:space="preserve"> </w:t>
      </w:r>
      <w:r>
        <w:rPr>
          <w:rFonts w:ascii="Arial" w:cs="Arial" w:eastAsia="Arial" w:hAnsi="Arial"/>
          <w:sz w:val="16"/>
          <w:szCs w:val="16"/>
          <w:color w:val="000000"/>
        </w:rPr>
        <w:t>suspended or terminated at any time or from time to time by the Board or the Committee, retroactively or otherwise. However, neither the Board or the Committee may not take any action under this Section 6.2 without stockholder approval that, except as otherwise provided in the Plan, would require stockholder approval in accordance with applicable law or applicable stock exchange rule. The Board or the Committee may amend the terms of any Award theretofore granted, prospectively or retroactively, however, except as otherwise provided in the Plan, no such amendment shall, without the consent of the Participant, alter or impair any rights of the Participant under such Award without the consent of the Participant unless the Award itself otherwise expressly so provides. Except as otherwise provided in the Plan or required by law, no amendment, suspension or termination of the Plan shall, without the consent of the Participant, alter or impair any rights or obligations under any Award theretofore granted or awarded, unless the Award itself otherwise expressly so provides.</w:t>
      </w:r>
    </w:p>
    <w:p>
      <w:pPr>
        <w:spacing w:after="0" w:line="16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6.3.</w:t>
      </w:r>
      <w:r>
        <w:rPr>
          <w:sz w:val="20"/>
          <w:szCs w:val="20"/>
          <w:color w:val="auto"/>
        </w:rPr>
        <w:tab/>
      </w:r>
      <w:r>
        <w:rPr>
          <w:rFonts w:ascii="Arial" w:cs="Arial" w:eastAsia="Arial" w:hAnsi="Arial"/>
          <w:sz w:val="16"/>
          <w:szCs w:val="16"/>
          <w:u w:val="single" w:color="auto"/>
          <w:color w:val="auto"/>
        </w:rPr>
        <w:t>Changes in Common Stock or Assets of the Company, Acquisition or Liquidation of the Company and Other Corporate Events</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92" w:lineRule="auto"/>
        <w:tabs>
          <w:tab w:leader="none" w:pos="2018" w:val="left"/>
        </w:tabs>
        <w:numPr>
          <w:ilvl w:val="0"/>
          <w:numId w:val="422"/>
        </w:numPr>
        <w:rPr>
          <w:rFonts w:ascii="Arial" w:cs="Arial" w:eastAsia="Arial" w:hAnsi="Arial"/>
          <w:sz w:val="16"/>
          <w:szCs w:val="16"/>
          <w:color w:val="010000"/>
        </w:rPr>
      </w:pPr>
      <w:r>
        <w:rPr>
          <w:rFonts w:ascii="Arial" w:cs="Arial" w:eastAsia="Arial" w:hAnsi="Arial"/>
          <w:sz w:val="16"/>
          <w:szCs w:val="16"/>
          <w:color w:val="auto"/>
        </w:rPr>
        <w:t>Subject to Section 6.3(d), in the event of any dividend or other extraordinary distribution (whether in the form of cash, Common Stock, other securities or other property), recapitalization, reclassification, stock split, reverse stock split, reorganization, merger, consolidation, split-up, spin-off, combination, repurchase, liquidation, dissolution, or sale, transfer, exchange or other disposition of all or substantially all of the assets of the Company, or exchange of Common Stock or other securities of the Company, issuance of warrants or other rights to purchase Common Stock or other securities of the Company, or other similar corporate transaction or event that affects the Common Stock, then the Committee shall equitably adjust any or all of the following in order to prevent dilution or enlargement of the benefits or potential benefits intended to be made available under the Plan or with respect to an Award:</w:t>
      </w:r>
    </w:p>
    <w:p>
      <w:pPr>
        <w:spacing w:after="0" w:line="162" w:lineRule="exact"/>
        <w:rPr>
          <w:rFonts w:ascii="Arial" w:cs="Arial" w:eastAsia="Arial" w:hAnsi="Arial"/>
          <w:sz w:val="16"/>
          <w:szCs w:val="16"/>
          <w:color w:val="010000"/>
        </w:rPr>
      </w:pPr>
    </w:p>
    <w:p>
      <w:pPr>
        <w:ind w:firstLine="1943"/>
        <w:spacing w:after="0" w:line="275" w:lineRule="auto"/>
        <w:tabs>
          <w:tab w:leader="none" w:pos="2700" w:val="left"/>
        </w:tabs>
        <w:numPr>
          <w:ilvl w:val="1"/>
          <w:numId w:val="422"/>
        </w:numPr>
        <w:rPr>
          <w:rFonts w:ascii="Arial" w:cs="Arial" w:eastAsia="Arial" w:hAnsi="Arial"/>
          <w:sz w:val="18"/>
          <w:szCs w:val="18"/>
          <w:color w:val="010000"/>
        </w:rPr>
      </w:pPr>
      <w:r>
        <w:rPr>
          <w:rFonts w:ascii="Arial" w:cs="Arial" w:eastAsia="Arial" w:hAnsi="Arial"/>
          <w:sz w:val="18"/>
          <w:szCs w:val="18"/>
          <w:color w:val="auto"/>
        </w:rPr>
        <w:t>the number of shares of Common Stock with respect to which Awards may be granted or awarded (including, without limitation, adjustments to the Share Limit and kind of shares which may be issued under the Plan); and</w:t>
      </w:r>
    </w:p>
    <w:p>
      <w:pPr>
        <w:spacing w:after="0" w:line="170" w:lineRule="exact"/>
        <w:rPr>
          <w:rFonts w:ascii="Arial" w:cs="Arial" w:eastAsia="Arial" w:hAnsi="Arial"/>
          <w:sz w:val="18"/>
          <w:szCs w:val="18"/>
          <w:color w:val="010000"/>
        </w:rPr>
      </w:pPr>
    </w:p>
    <w:p>
      <w:pPr>
        <w:ind w:left="2560" w:hanging="617"/>
        <w:spacing w:after="0"/>
        <w:tabs>
          <w:tab w:leader="none" w:pos="2560" w:val="left"/>
        </w:tabs>
        <w:numPr>
          <w:ilvl w:val="1"/>
          <w:numId w:val="422"/>
        </w:numPr>
        <w:rPr>
          <w:rFonts w:ascii="Arial" w:cs="Arial" w:eastAsia="Arial" w:hAnsi="Arial"/>
          <w:sz w:val="18"/>
          <w:szCs w:val="18"/>
          <w:color w:val="010000"/>
        </w:rPr>
      </w:pPr>
      <w:r>
        <w:rPr>
          <w:rFonts w:ascii="Arial" w:cs="Arial" w:eastAsia="Arial" w:hAnsi="Arial"/>
          <w:sz w:val="18"/>
          <w:szCs w:val="18"/>
          <w:color w:val="auto"/>
        </w:rPr>
        <w:t>the number of shares of Common Stock (or other securities or property) subject to outstanding Awards.</w:t>
      </w:r>
    </w:p>
    <w:p>
      <w:pPr>
        <w:spacing w:after="0" w:line="223" w:lineRule="exact"/>
        <w:rPr>
          <w:rFonts w:ascii="Arial" w:cs="Arial" w:eastAsia="Arial" w:hAnsi="Arial"/>
          <w:sz w:val="18"/>
          <w:szCs w:val="18"/>
          <w:color w:val="010000"/>
        </w:rPr>
      </w:pPr>
    </w:p>
    <w:p>
      <w:pPr>
        <w:jc w:val="both"/>
        <w:ind w:firstLine="1298"/>
        <w:spacing w:after="0" w:line="271" w:lineRule="auto"/>
        <w:tabs>
          <w:tab w:leader="none" w:pos="2135" w:val="left"/>
        </w:tabs>
        <w:numPr>
          <w:ilvl w:val="0"/>
          <w:numId w:val="422"/>
        </w:numPr>
        <w:rPr>
          <w:rFonts w:ascii="Arial" w:cs="Arial" w:eastAsia="Arial" w:hAnsi="Arial"/>
          <w:sz w:val="17"/>
          <w:szCs w:val="17"/>
          <w:color w:val="010000"/>
        </w:rPr>
      </w:pPr>
      <w:r>
        <w:rPr>
          <w:rFonts w:ascii="Arial" w:cs="Arial" w:eastAsia="Arial" w:hAnsi="Arial"/>
          <w:sz w:val="17"/>
          <w:szCs w:val="17"/>
          <w:color w:val="auto"/>
        </w:rPr>
        <w:t>Subject to Section 6.3(d), in the event of any transaction or event described in Section 6.3(a) or any unusual or nonrecurring transactions or events affecting the Company, any of its Subsidiaries, or the financial statements of the Company or any of its Subsidiaries, or of changes in applicable laws, regulations or accounting principles, the Committee, in its discretion, and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76" w:name="page477"/>
    <w:bookmarkEnd w:id="476"/>
    <w:p>
      <w:pPr>
        <w:jc w:val="both"/>
        <w:ind w:firstLine="1943"/>
        <w:spacing w:after="0" w:line="285" w:lineRule="auto"/>
        <w:tabs>
          <w:tab w:leader="none" w:pos="2647" w:val="left"/>
        </w:tabs>
        <w:numPr>
          <w:ilvl w:val="1"/>
          <w:numId w:val="423"/>
        </w:numPr>
        <w:rPr>
          <w:rFonts w:ascii="Arial" w:cs="Arial" w:eastAsia="Arial" w:hAnsi="Arial"/>
          <w:sz w:val="17"/>
          <w:szCs w:val="17"/>
          <w:color w:val="010000"/>
        </w:rPr>
      </w:pPr>
      <w:r>
        <w:rPr>
          <w:rFonts w:ascii="Arial" w:cs="Arial" w:eastAsia="Arial" w:hAnsi="Arial"/>
          <w:sz w:val="17"/>
          <w:szCs w:val="17"/>
          <w:color w:val="auto"/>
        </w:rPr>
        <w:t>to provide for the purchase of any such Award for an amount of cash equal to the amount that could have been attained upon the realization of the Participant’s rights had such Award been currently payable or fully vested, or for the cancellation of such Award if no amount could have been attained upon the realization of the Participant’s rights had such Award been currently payable or fully vested;</w:t>
      </w:r>
    </w:p>
    <w:p>
      <w:pPr>
        <w:spacing w:after="0" w:line="163" w:lineRule="exact"/>
        <w:rPr>
          <w:rFonts w:ascii="Arial" w:cs="Arial" w:eastAsia="Arial" w:hAnsi="Arial"/>
          <w:sz w:val="17"/>
          <w:szCs w:val="17"/>
          <w:color w:val="010000"/>
        </w:rPr>
      </w:pPr>
    </w:p>
    <w:p>
      <w:pPr>
        <w:jc w:val="both"/>
        <w:ind w:firstLine="1943"/>
        <w:spacing w:after="0" w:line="262" w:lineRule="auto"/>
        <w:tabs>
          <w:tab w:leader="none" w:pos="2692" w:val="left"/>
        </w:tabs>
        <w:numPr>
          <w:ilvl w:val="1"/>
          <w:numId w:val="423"/>
        </w:numPr>
        <w:rPr>
          <w:rFonts w:ascii="Arial" w:cs="Arial" w:eastAsia="Arial" w:hAnsi="Arial"/>
          <w:sz w:val="18"/>
          <w:szCs w:val="18"/>
          <w:color w:val="010000"/>
        </w:rPr>
      </w:pPr>
      <w:r>
        <w:rPr>
          <w:rFonts w:ascii="Arial" w:cs="Arial" w:eastAsia="Arial" w:hAnsi="Arial"/>
          <w:sz w:val="18"/>
          <w:szCs w:val="18"/>
          <w:color w:val="auto"/>
        </w:rPr>
        <w:t>to provide for the replacement of such Award with other rights or property selected by the Committee in its discretion having an aggregate value not exceeding the amount that could have been attained upon the realization of the Participant’s rights had such Award been currently payable or fully vested;</w:t>
      </w:r>
    </w:p>
    <w:p>
      <w:pPr>
        <w:spacing w:after="0" w:line="182" w:lineRule="exact"/>
        <w:rPr>
          <w:rFonts w:ascii="Arial" w:cs="Arial" w:eastAsia="Arial" w:hAnsi="Arial"/>
          <w:sz w:val="18"/>
          <w:szCs w:val="18"/>
          <w:color w:val="010000"/>
        </w:rPr>
      </w:pPr>
    </w:p>
    <w:p>
      <w:pPr>
        <w:ind w:left="2580" w:hanging="637"/>
        <w:spacing w:after="0"/>
        <w:tabs>
          <w:tab w:leader="none" w:pos="2580" w:val="left"/>
        </w:tabs>
        <w:numPr>
          <w:ilvl w:val="1"/>
          <w:numId w:val="423"/>
        </w:numPr>
        <w:rPr>
          <w:rFonts w:ascii="Arial" w:cs="Arial" w:eastAsia="Arial" w:hAnsi="Arial"/>
          <w:sz w:val="18"/>
          <w:szCs w:val="18"/>
          <w:color w:val="010000"/>
        </w:rPr>
      </w:pPr>
      <w:r>
        <w:rPr>
          <w:rFonts w:ascii="Arial" w:cs="Arial" w:eastAsia="Arial" w:hAnsi="Arial"/>
          <w:sz w:val="18"/>
          <w:szCs w:val="18"/>
          <w:color w:val="auto"/>
        </w:rPr>
        <w:t>to provide that the Award cannot vest or become payable after such event;</w:t>
      </w:r>
    </w:p>
    <w:p>
      <w:pPr>
        <w:spacing w:after="0" w:line="223" w:lineRule="exact"/>
        <w:rPr>
          <w:rFonts w:ascii="Arial" w:cs="Arial" w:eastAsia="Arial" w:hAnsi="Arial"/>
          <w:sz w:val="18"/>
          <w:szCs w:val="18"/>
          <w:color w:val="010000"/>
        </w:rPr>
      </w:pPr>
    </w:p>
    <w:p>
      <w:pPr>
        <w:jc w:val="both"/>
        <w:ind w:firstLine="1943"/>
        <w:spacing w:after="0" w:line="262" w:lineRule="auto"/>
        <w:tabs>
          <w:tab w:leader="none" w:pos="2579" w:val="left"/>
        </w:tabs>
        <w:numPr>
          <w:ilvl w:val="1"/>
          <w:numId w:val="423"/>
        </w:numPr>
        <w:rPr>
          <w:rFonts w:ascii="Arial" w:cs="Arial" w:eastAsia="Arial" w:hAnsi="Arial"/>
          <w:sz w:val="18"/>
          <w:szCs w:val="18"/>
          <w:color w:val="010000"/>
        </w:rPr>
      </w:pPr>
      <w:r>
        <w:rPr>
          <w:rFonts w:ascii="Arial" w:cs="Arial" w:eastAsia="Arial" w:hAnsi="Arial"/>
          <w:sz w:val="18"/>
          <w:szCs w:val="18"/>
          <w:color w:val="auto"/>
        </w:rPr>
        <w:t>to provide that such Award be assumed by the successor or survivor corporation, or a parent or subsidiary thereof, or shall be substituted for by similar rights or awards covering the stock of the successor or survivor corporation, or a parent or subsidiary thereof, with appropriate adjustments as to the number and kind of shares and prices;</w:t>
      </w:r>
    </w:p>
    <w:p>
      <w:pPr>
        <w:spacing w:after="0" w:line="182" w:lineRule="exact"/>
        <w:rPr>
          <w:rFonts w:ascii="Arial" w:cs="Arial" w:eastAsia="Arial" w:hAnsi="Arial"/>
          <w:sz w:val="18"/>
          <w:szCs w:val="18"/>
          <w:color w:val="010000"/>
        </w:rPr>
      </w:pPr>
    </w:p>
    <w:p>
      <w:pPr>
        <w:jc w:val="both"/>
        <w:ind w:firstLine="1943"/>
        <w:spacing w:after="0" w:line="262" w:lineRule="auto"/>
        <w:tabs>
          <w:tab w:leader="none" w:pos="2548" w:val="left"/>
        </w:tabs>
        <w:numPr>
          <w:ilvl w:val="1"/>
          <w:numId w:val="423"/>
        </w:numPr>
        <w:rPr>
          <w:rFonts w:ascii="Arial" w:cs="Arial" w:eastAsia="Arial" w:hAnsi="Arial"/>
          <w:sz w:val="18"/>
          <w:szCs w:val="18"/>
          <w:color w:val="010000"/>
        </w:rPr>
      </w:pPr>
      <w:r>
        <w:rPr>
          <w:rFonts w:ascii="Arial" w:cs="Arial" w:eastAsia="Arial" w:hAnsi="Arial"/>
          <w:sz w:val="18"/>
          <w:szCs w:val="18"/>
          <w:color w:val="auto"/>
        </w:rPr>
        <w:t>to make adjustments in the number and type of shares of Common Stock subject to outstanding Awards, and/or in the terms and conditions of (including the grant or purchase price), and the criteria included in, outstanding rights and awards and rights and awards which may be granted in the future; and/or</w:t>
      </w:r>
    </w:p>
    <w:p>
      <w:pPr>
        <w:spacing w:after="0" w:line="182" w:lineRule="exact"/>
        <w:rPr>
          <w:rFonts w:ascii="Arial" w:cs="Arial" w:eastAsia="Arial" w:hAnsi="Arial"/>
          <w:sz w:val="18"/>
          <w:szCs w:val="18"/>
          <w:color w:val="010000"/>
        </w:rPr>
      </w:pPr>
    </w:p>
    <w:p>
      <w:pPr>
        <w:ind w:firstLine="1943"/>
        <w:spacing w:after="0" w:line="275" w:lineRule="auto"/>
        <w:tabs>
          <w:tab w:leader="none" w:pos="2553" w:val="left"/>
        </w:tabs>
        <w:numPr>
          <w:ilvl w:val="1"/>
          <w:numId w:val="423"/>
        </w:numPr>
        <w:rPr>
          <w:rFonts w:ascii="Arial" w:cs="Arial" w:eastAsia="Arial" w:hAnsi="Arial"/>
          <w:sz w:val="18"/>
          <w:szCs w:val="18"/>
          <w:color w:val="010000"/>
        </w:rPr>
      </w:pPr>
      <w:r>
        <w:rPr>
          <w:rFonts w:ascii="Arial" w:cs="Arial" w:eastAsia="Arial" w:hAnsi="Arial"/>
          <w:sz w:val="18"/>
          <w:szCs w:val="18"/>
          <w:color w:val="auto"/>
        </w:rPr>
        <w:t>to provide that, for a specified period of time prior to such event, the restrictions imposed under an Award Agreement upon some or all shares of Restricted Stock Units or Deferred Stock may be terminated.</w:t>
      </w:r>
    </w:p>
    <w:p>
      <w:pPr>
        <w:spacing w:after="0" w:line="170" w:lineRule="exact"/>
        <w:rPr>
          <w:rFonts w:ascii="Arial" w:cs="Arial" w:eastAsia="Arial" w:hAnsi="Arial"/>
          <w:sz w:val="18"/>
          <w:szCs w:val="18"/>
          <w:color w:val="010000"/>
        </w:rPr>
      </w:pPr>
    </w:p>
    <w:p>
      <w:pPr>
        <w:ind w:firstLine="1298"/>
        <w:spacing w:after="0" w:line="275" w:lineRule="auto"/>
        <w:tabs>
          <w:tab w:leader="none" w:pos="2085" w:val="left"/>
        </w:tabs>
        <w:numPr>
          <w:ilvl w:val="0"/>
          <w:numId w:val="424"/>
        </w:numPr>
        <w:rPr>
          <w:rFonts w:ascii="Arial" w:cs="Arial" w:eastAsia="Arial" w:hAnsi="Arial"/>
          <w:sz w:val="18"/>
          <w:szCs w:val="18"/>
          <w:color w:val="010000"/>
        </w:rPr>
      </w:pPr>
      <w:r>
        <w:rPr>
          <w:rFonts w:ascii="Arial" w:cs="Arial" w:eastAsia="Arial" w:hAnsi="Arial"/>
          <w:sz w:val="18"/>
          <w:szCs w:val="18"/>
          <w:color w:val="auto"/>
        </w:rPr>
        <w:t>Subject to Sections 6.3(d) and 3.2, the Committee may, in its discretion, include such further provisions and limitations in any Award, agreement or certificate, as it may deem equitable and in the best interests of the Company.</w:t>
      </w:r>
    </w:p>
    <w:p>
      <w:pPr>
        <w:spacing w:after="0" w:line="170" w:lineRule="exact"/>
        <w:rPr>
          <w:rFonts w:ascii="Arial" w:cs="Arial" w:eastAsia="Arial" w:hAnsi="Arial"/>
          <w:sz w:val="18"/>
          <w:szCs w:val="18"/>
          <w:color w:val="010000"/>
        </w:rPr>
      </w:pPr>
    </w:p>
    <w:p>
      <w:pPr>
        <w:jc w:val="both"/>
        <w:ind w:firstLine="1298"/>
        <w:spacing w:after="0" w:line="285" w:lineRule="auto"/>
        <w:tabs>
          <w:tab w:leader="none" w:pos="2082" w:val="left"/>
        </w:tabs>
        <w:numPr>
          <w:ilvl w:val="0"/>
          <w:numId w:val="424"/>
        </w:numPr>
        <w:rPr>
          <w:rFonts w:ascii="Arial" w:cs="Arial" w:eastAsia="Arial" w:hAnsi="Arial"/>
          <w:sz w:val="17"/>
          <w:szCs w:val="17"/>
          <w:color w:val="010000"/>
        </w:rPr>
      </w:pPr>
      <w:r>
        <w:rPr>
          <w:rFonts w:ascii="Arial" w:cs="Arial" w:eastAsia="Arial" w:hAnsi="Arial"/>
          <w:sz w:val="17"/>
          <w:szCs w:val="17"/>
          <w:color w:val="auto"/>
        </w:rPr>
        <w:t>No adjustment or action shall be authorized to the extent such adjustment or action would result in short-swing profits liability under Section 16 or violate the exemptive conditions of Rule 16b-3 unless the Committee determines that the Award is not to comply with such exemptive conditions. The number of shares of Common Stock subject to any Award shall always be rounded down to the next whole number.</w:t>
      </w:r>
    </w:p>
    <w:p>
      <w:pPr>
        <w:spacing w:after="0" w:line="163" w:lineRule="exact"/>
        <w:rPr>
          <w:rFonts w:ascii="Arial" w:cs="Arial" w:eastAsia="Arial" w:hAnsi="Arial"/>
          <w:sz w:val="17"/>
          <w:szCs w:val="17"/>
          <w:color w:val="010000"/>
        </w:rPr>
      </w:pPr>
    </w:p>
    <w:p>
      <w:pPr>
        <w:jc w:val="both"/>
        <w:ind w:firstLine="1298"/>
        <w:spacing w:after="0" w:line="272" w:lineRule="auto"/>
        <w:tabs>
          <w:tab w:leader="none" w:pos="1991" w:val="left"/>
        </w:tabs>
        <w:numPr>
          <w:ilvl w:val="0"/>
          <w:numId w:val="424"/>
        </w:numPr>
        <w:rPr>
          <w:rFonts w:ascii="Arial" w:cs="Arial" w:eastAsia="Arial" w:hAnsi="Arial"/>
          <w:sz w:val="17"/>
          <w:szCs w:val="17"/>
          <w:color w:val="010000"/>
        </w:rPr>
      </w:pPr>
      <w:r>
        <w:rPr>
          <w:rFonts w:ascii="Arial" w:cs="Arial" w:eastAsia="Arial" w:hAnsi="Arial"/>
          <w:sz w:val="17"/>
          <w:szCs w:val="17"/>
          <w:color w:val="auto"/>
        </w:rPr>
        <w:t>The existence of the Plan,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6" w:lineRule="exact"/>
        <w:rPr>
          <w:rFonts w:ascii="Arial" w:cs="Arial" w:eastAsia="Arial" w:hAnsi="Arial"/>
          <w:sz w:val="17"/>
          <w:szCs w:val="17"/>
          <w:color w:val="010000"/>
        </w:rPr>
      </w:pPr>
    </w:p>
    <w:p>
      <w:pPr>
        <w:ind w:left="1960" w:hanging="662"/>
        <w:spacing w:after="0"/>
        <w:tabs>
          <w:tab w:leader="none" w:pos="1960" w:val="left"/>
        </w:tabs>
        <w:numPr>
          <w:ilvl w:val="0"/>
          <w:numId w:val="424"/>
        </w:numPr>
        <w:rPr>
          <w:rFonts w:ascii="Arial" w:cs="Arial" w:eastAsia="Arial" w:hAnsi="Arial"/>
          <w:sz w:val="16"/>
          <w:szCs w:val="16"/>
          <w:color w:val="010000"/>
        </w:rPr>
      </w:pPr>
      <w:r>
        <w:rPr>
          <w:rFonts w:ascii="Arial" w:cs="Arial" w:eastAsia="Arial" w:hAnsi="Arial"/>
          <w:sz w:val="16"/>
          <w:szCs w:val="16"/>
          <w:color w:val="auto"/>
        </w:rPr>
        <w:t>In connection with the occurrence of any Equity Restructuring, and notwithstanding anything to the contrary in Sections 6.3(a) and</w:t>
      </w:r>
    </w:p>
    <w:p>
      <w:pPr>
        <w:spacing w:after="0" w:line="45"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6.3(b):</w:t>
      </w:r>
    </w:p>
    <w:p>
      <w:pPr>
        <w:spacing w:after="0" w:line="208" w:lineRule="exact"/>
        <w:rPr>
          <w:rFonts w:ascii="Arial" w:cs="Arial" w:eastAsia="Arial" w:hAnsi="Arial"/>
          <w:sz w:val="16"/>
          <w:szCs w:val="16"/>
          <w:color w:val="010000"/>
        </w:rPr>
      </w:pPr>
    </w:p>
    <w:p>
      <w:pPr>
        <w:ind w:firstLine="1943"/>
        <w:spacing w:after="0" w:line="275" w:lineRule="auto"/>
        <w:tabs>
          <w:tab w:leader="none" w:pos="2754" w:val="left"/>
        </w:tabs>
        <w:numPr>
          <w:ilvl w:val="1"/>
          <w:numId w:val="424"/>
        </w:numPr>
        <w:rPr>
          <w:rFonts w:ascii="Arial" w:cs="Arial" w:eastAsia="Arial" w:hAnsi="Arial"/>
          <w:sz w:val="18"/>
          <w:szCs w:val="18"/>
          <w:color w:val="010000"/>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and/or</w:t>
      </w:r>
    </w:p>
    <w:p>
      <w:pPr>
        <w:spacing w:after="0" w:line="170" w:lineRule="exact"/>
        <w:rPr>
          <w:rFonts w:ascii="Arial" w:cs="Arial" w:eastAsia="Arial" w:hAnsi="Arial"/>
          <w:sz w:val="18"/>
          <w:szCs w:val="18"/>
          <w:color w:val="010000"/>
        </w:rPr>
      </w:pPr>
    </w:p>
    <w:p>
      <w:pPr>
        <w:jc w:val="both"/>
        <w:ind w:firstLine="1943"/>
        <w:spacing w:after="0" w:line="255" w:lineRule="auto"/>
        <w:tabs>
          <w:tab w:leader="none" w:pos="2611" w:val="left"/>
        </w:tabs>
        <w:numPr>
          <w:ilvl w:val="1"/>
          <w:numId w:val="424"/>
        </w:numPr>
        <w:rPr>
          <w:rFonts w:ascii="Arial" w:cs="Arial" w:eastAsia="Arial" w:hAnsi="Arial"/>
          <w:sz w:val="18"/>
          <w:szCs w:val="18"/>
          <w:color w:val="010000"/>
        </w:rPr>
      </w:pPr>
      <w:r>
        <w:rPr>
          <w:rFonts w:ascii="Arial" w:cs="Arial" w:eastAsia="Arial" w:hAnsi="Arial"/>
          <w:sz w:val="18"/>
          <w:szCs w:val="18"/>
          <w:color w:val="auto"/>
        </w:rPr>
        <w:t>the Committee shall make such equitable adjustments, if any, as the Committee in its discretion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and adjustments of the Award Limit). The adjustments provided under this Section 6.3(f) shall be nondiscretionary and shall be final and binding on the affected Participant and the Company.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7" w:name="page478"/>
    <w:bookmarkEnd w:id="477"/>
    <w:p>
      <w:pPr>
        <w:jc w:val="both"/>
        <w:ind w:firstLine="645"/>
        <w:spacing w:after="0" w:line="287"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u w:val="single" w:color="auto"/>
          <w:color w:val="000000"/>
        </w:rPr>
        <w:t>Tax Withholding</w:t>
      </w:r>
      <w:r>
        <w:rPr>
          <w:rFonts w:ascii="Arial" w:cs="Arial" w:eastAsia="Arial" w:hAnsi="Arial"/>
          <w:sz w:val="16"/>
          <w:szCs w:val="16"/>
          <w:color w:val="000000"/>
        </w:rPr>
        <w:t>. The Company or any of its Subsidiaries shall have the authority and the right to deduct or withhold, or require a</w:t>
      </w:r>
      <w:r>
        <w:rPr>
          <w:rFonts w:ascii="Arial" w:cs="Arial" w:eastAsia="Arial" w:hAnsi="Arial"/>
          <w:sz w:val="16"/>
          <w:szCs w:val="16"/>
          <w:color w:val="010000"/>
        </w:rPr>
        <w:t xml:space="preserve"> </w:t>
      </w:r>
      <w:r>
        <w:rPr>
          <w:rFonts w:ascii="Arial" w:cs="Arial" w:eastAsia="Arial" w:hAnsi="Arial"/>
          <w:sz w:val="16"/>
          <w:szCs w:val="16"/>
          <w:color w:val="000000"/>
        </w:rPr>
        <w:t>Participant to remit to the Company, an amount sufficient to satisfy federal, state, local and foreign taxes (including the Participant’s Federal Insurance Contributions Act obligation) required by law to be withheld with respect to any taxable event concerning a Participant arising as a result of this Plan. The Committee may in its discretion and in satisfaction of the foregoing requirement allow a Participant to elect to have the Company withhold shares of Common Stock otherwise issuable under an Award (or allow the return of shares of Common Stock) having a Fair Market Value equal to the sums required to be withheld. Notwithstanding any other provision of the Plan, the number of shares of Common Stock which may be withheld with respect to the issuance, vesting or payment of any Award (or which may be repurchased from the Participant of such Award) in order to satisfy the Participant’s federal, state, local and foreign income and payroll tax liabilities with respect to the issuance, vesting or payment of the Award shall be limited to the number of shares which have a Fair Market Value on the date of withholding or repurchase equal to the aggregate amount of such tax liabilities based on the minimum statutory withholding rates for federal, state, local and foreign income tax and payroll tax purposes that are applicable to such supplemental taxable income.</w:t>
      </w:r>
    </w:p>
    <w:p>
      <w:pPr>
        <w:spacing w:after="0" w:line="166"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6.5. </w:t>
      </w:r>
      <w:r>
        <w:rPr>
          <w:rFonts w:ascii="Arial" w:cs="Arial" w:eastAsia="Arial" w:hAnsi="Arial"/>
          <w:sz w:val="18"/>
          <w:szCs w:val="18"/>
          <w:u w:val="single" w:color="auto"/>
          <w:color w:val="000000"/>
        </w:rPr>
        <w:t>Forfeiture and Claw-Back Provisions</w:t>
      </w:r>
      <w:r>
        <w:rPr>
          <w:rFonts w:ascii="Arial" w:cs="Arial" w:eastAsia="Arial" w:hAnsi="Arial"/>
          <w:sz w:val="18"/>
          <w:szCs w:val="18"/>
          <w:color w:val="000000"/>
        </w:rPr>
        <w:t>. Pursuant to its general authority to determine the terms and conditions applicable to Awards under</w:t>
      </w:r>
      <w:r>
        <w:rPr>
          <w:rFonts w:ascii="Arial" w:cs="Arial" w:eastAsia="Arial" w:hAnsi="Arial"/>
          <w:sz w:val="18"/>
          <w:szCs w:val="18"/>
          <w:color w:val="010000"/>
        </w:rPr>
        <w:t xml:space="preserve"> </w:t>
      </w:r>
      <w:r>
        <w:rPr>
          <w:rFonts w:ascii="Arial" w:cs="Arial" w:eastAsia="Arial" w:hAnsi="Arial"/>
          <w:sz w:val="18"/>
          <w:szCs w:val="18"/>
          <w:color w:val="000000"/>
        </w:rPr>
        <w:t>the Plan, the Committee shall have the right to provide, in an Award Agreement or otherwise, or to require a Participant to agree by separate written or electronic instrument, that:</w:t>
      </w:r>
    </w:p>
    <w:p>
      <w:pPr>
        <w:spacing w:after="0" w:line="182" w:lineRule="exact"/>
        <w:rPr>
          <w:sz w:val="20"/>
          <w:szCs w:val="20"/>
          <w:color w:val="auto"/>
        </w:rPr>
      </w:pPr>
    </w:p>
    <w:p>
      <w:pPr>
        <w:jc w:val="both"/>
        <w:ind w:firstLine="1298"/>
        <w:spacing w:after="0" w:line="272" w:lineRule="auto"/>
        <w:tabs>
          <w:tab w:leader="none" w:pos="2085" w:val="left"/>
        </w:tabs>
        <w:numPr>
          <w:ilvl w:val="0"/>
          <w:numId w:val="425"/>
        </w:numPr>
        <w:rPr>
          <w:rFonts w:ascii="Arial" w:cs="Arial" w:eastAsia="Arial" w:hAnsi="Arial"/>
          <w:sz w:val="17"/>
          <w:szCs w:val="17"/>
          <w:color w:val="010000"/>
        </w:rPr>
      </w:pPr>
      <w:r>
        <w:rPr>
          <w:rFonts w:ascii="Arial" w:cs="Arial" w:eastAsia="Arial" w:hAnsi="Arial"/>
          <w:sz w:val="17"/>
          <w:szCs w:val="17"/>
          <w:color w:val="auto"/>
        </w:rPr>
        <w:t>(i) any proceeds, gains or other economic benefit actually or constructively received by the Participant upon any receipt of the Award, or upon the receipt or resale of any shares underlying the Award, must be paid to the Company, and (ii) the Award shall terminate, if (x) a Termination occurs prior to a specified date, or within a specified time period following receipt of the Award, or (y) the Participant at any time, or during a specified time period, engages in any activity in competition with the Company, or which is inimical, contrary or harmful to the interests of the Company, as further defined by the Committee or (z) the Participant incurs a Termination for “cause” (as such term is defined in the sole discretion of the Committee, or as set forth in a written agreement relating to such Award between the Company and the Participant); and</w:t>
      </w:r>
    </w:p>
    <w:p>
      <w:pPr>
        <w:spacing w:after="0" w:line="176" w:lineRule="exact"/>
        <w:rPr>
          <w:rFonts w:ascii="Arial" w:cs="Arial" w:eastAsia="Arial" w:hAnsi="Arial"/>
          <w:sz w:val="17"/>
          <w:szCs w:val="17"/>
          <w:color w:val="010000"/>
        </w:rPr>
      </w:pPr>
    </w:p>
    <w:p>
      <w:pPr>
        <w:jc w:val="both"/>
        <w:ind w:firstLine="1298"/>
        <w:spacing w:after="0" w:line="255" w:lineRule="auto"/>
        <w:tabs>
          <w:tab w:leader="none" w:pos="1961" w:val="left"/>
        </w:tabs>
        <w:numPr>
          <w:ilvl w:val="0"/>
          <w:numId w:val="425"/>
        </w:numPr>
        <w:rPr>
          <w:rFonts w:ascii="Arial" w:cs="Arial" w:eastAsia="Arial" w:hAnsi="Arial"/>
          <w:sz w:val="18"/>
          <w:szCs w:val="18"/>
          <w:color w:val="010000"/>
        </w:rPr>
      </w:pPr>
      <w:r>
        <w:rPr>
          <w:rFonts w:ascii="Arial" w:cs="Arial" w:eastAsia="Arial" w:hAnsi="Arial"/>
          <w:sz w:val="18"/>
          <w:szCs w:val="18"/>
          <w:color w:val="auto"/>
        </w:rPr>
        <w:t>all Awards (including any proceeds, gains or other economic benefit actually or constructively received by the Participant upon any receipt of any Award or upon the receipt or resale of any shares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19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010000"/>
        </w:rPr>
        <w:t xml:space="preserve">6.6. </w:t>
      </w:r>
      <w:r>
        <w:rPr>
          <w:rFonts w:ascii="Arial" w:cs="Arial" w:eastAsia="Arial" w:hAnsi="Arial"/>
          <w:sz w:val="18"/>
          <w:szCs w:val="18"/>
          <w:u w:val="single" w:color="auto"/>
          <w:color w:val="000000"/>
        </w:rPr>
        <w:t>Effect of Plan upon Other Compensation Plans</w:t>
      </w:r>
      <w:r>
        <w:rPr>
          <w:rFonts w:ascii="Arial" w:cs="Arial" w:eastAsia="Arial" w:hAnsi="Arial"/>
          <w:sz w:val="18"/>
          <w:szCs w:val="18"/>
          <w:color w:val="000000"/>
        </w:rPr>
        <w:t>. The adoption of the Plan shall not affect any other compensation or incentive plans in effect</w:t>
      </w:r>
      <w:r>
        <w:rPr>
          <w:rFonts w:ascii="Arial" w:cs="Arial" w:eastAsia="Arial" w:hAnsi="Arial"/>
          <w:sz w:val="18"/>
          <w:szCs w:val="18"/>
          <w:color w:val="010000"/>
        </w:rPr>
        <w:t xml:space="preserve"> </w:t>
      </w:r>
      <w:r>
        <w:rPr>
          <w:rFonts w:ascii="Arial" w:cs="Arial" w:eastAsia="Arial" w:hAnsi="Arial"/>
          <w:sz w:val="18"/>
          <w:szCs w:val="18"/>
          <w:color w:val="000000"/>
        </w:rPr>
        <w:t>for the Company or any of its Subsidiaries. Nothing in the Plan shall be construed to limit the right of the Company or any of its Subsidiaries: (a) to establish any other forms of incentives or compensation for Eligible Persons or any other Person, or (b) to grant or assume rights or awards otherwise than under the Plan in connection with any proper corporate purpose.</w:t>
      </w:r>
    </w:p>
    <w:p>
      <w:pPr>
        <w:spacing w:after="0" w:line="185"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010000"/>
        </w:rPr>
        <w:t xml:space="preserve">6.7. </w:t>
      </w:r>
      <w:r>
        <w:rPr>
          <w:rFonts w:ascii="Arial" w:cs="Arial" w:eastAsia="Arial" w:hAnsi="Arial"/>
          <w:sz w:val="17"/>
          <w:szCs w:val="17"/>
          <w:u w:val="single" w:color="auto"/>
          <w:color w:val="000000"/>
        </w:rPr>
        <w:t>Compliance with Laws</w:t>
      </w:r>
      <w:r>
        <w:rPr>
          <w:rFonts w:ascii="Arial" w:cs="Arial" w:eastAsia="Arial" w:hAnsi="Arial"/>
          <w:sz w:val="17"/>
          <w:szCs w:val="17"/>
          <w:color w:val="000000"/>
        </w:rPr>
        <w:t>. The Plan, the granting and vesting of Awards under the Plan and the issuance and delivery of shares of Common</w:t>
      </w:r>
      <w:r>
        <w:rPr>
          <w:rFonts w:ascii="Arial" w:cs="Arial" w:eastAsia="Arial" w:hAnsi="Arial"/>
          <w:sz w:val="17"/>
          <w:szCs w:val="17"/>
          <w:color w:val="010000"/>
        </w:rPr>
        <w:t xml:space="preserve"> </w:t>
      </w:r>
      <w:r>
        <w:rPr>
          <w:rFonts w:ascii="Arial" w:cs="Arial" w:eastAsia="Arial" w:hAnsi="Arial"/>
          <w:sz w:val="17"/>
          <w:szCs w:val="17"/>
          <w:color w:val="000000"/>
        </w:rPr>
        <w:t>Stock and the payment of money under the Plan or under Awards granted or awarded hereunder are subject to compliance with all applicable federal, state, local and foreign laws, rules and regulations (including but not limited to federal, state and foreign securities law and margin requirements) and to such approvals by any listing, regulatory or governmental authority as may, in the advice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and Awards granted or awarded hereunder shall be deemed amended to the extent necessary to conform to such laws, rules and regulations.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8" w:name="page479"/>
    <w:bookmarkEnd w:id="478"/>
    <w:p>
      <w:pPr>
        <w:ind w:left="660"/>
        <w:spacing w:after="0"/>
        <w:tabs>
          <w:tab w:leader="none" w:pos="1340" w:val="left"/>
        </w:tabs>
        <w:rPr>
          <w:sz w:val="20"/>
          <w:szCs w:val="20"/>
          <w:color w:val="auto"/>
        </w:rPr>
      </w:pPr>
      <w:r>
        <w:rPr>
          <w:rFonts w:ascii="Arial" w:cs="Arial" w:eastAsia="Arial" w:hAnsi="Arial"/>
          <w:sz w:val="18"/>
          <w:szCs w:val="18"/>
          <w:color w:val="010000"/>
        </w:rPr>
        <w:t>6.8.</w:t>
      </w:r>
      <w:r>
        <w:rPr>
          <w:sz w:val="20"/>
          <w:szCs w:val="20"/>
          <w:color w:val="auto"/>
        </w:rPr>
        <w:tab/>
      </w:r>
      <w:r>
        <w:rPr>
          <w:rFonts w:ascii="Arial" w:cs="Arial" w:eastAsia="Arial" w:hAnsi="Arial"/>
          <w:sz w:val="16"/>
          <w:szCs w:val="16"/>
          <w:u w:val="single" w:color="auto"/>
          <w:color w:val="auto"/>
        </w:rPr>
        <w:t>Titles</w:t>
      </w:r>
      <w:r>
        <w:rPr>
          <w:rFonts w:ascii="Arial" w:cs="Arial" w:eastAsia="Arial" w:hAnsi="Arial"/>
          <w:sz w:val="16"/>
          <w:szCs w:val="16"/>
          <w:color w:val="auto"/>
        </w:rPr>
        <w:t>. Titles are provided herein for convenience only and are not to serve as a basis for interpretation or construction of the Plan.</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010000"/>
        </w:rPr>
        <w:t xml:space="preserve">6.9.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The Plan and any agreements hereunder shall be administered, interpreted and enforced under the internal laws of the State</w:t>
      </w:r>
      <w:r>
        <w:rPr>
          <w:rFonts w:ascii="Arial" w:cs="Arial" w:eastAsia="Arial" w:hAnsi="Arial"/>
          <w:sz w:val="18"/>
          <w:szCs w:val="18"/>
          <w:color w:val="010000"/>
        </w:rPr>
        <w:t xml:space="preserve"> </w:t>
      </w:r>
      <w:r>
        <w:rPr>
          <w:rFonts w:ascii="Arial" w:cs="Arial" w:eastAsia="Arial" w:hAnsi="Arial"/>
          <w:sz w:val="18"/>
          <w:szCs w:val="18"/>
          <w:color w:val="000000"/>
        </w:rPr>
        <w:t>of Delaware without regard to conflicts of laws thereof.</w:t>
      </w:r>
    </w:p>
    <w:p>
      <w:pPr>
        <w:spacing w:after="0" w:line="171"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010000"/>
        </w:rPr>
        <w:t xml:space="preserve">6.10. </w:t>
      </w:r>
      <w:r>
        <w:rPr>
          <w:rFonts w:ascii="Arial" w:cs="Arial" w:eastAsia="Arial" w:hAnsi="Arial"/>
          <w:sz w:val="18"/>
          <w:szCs w:val="18"/>
          <w:u w:val="single" w:color="auto"/>
          <w:color w:val="000000"/>
        </w:rPr>
        <w:t>Section 409A</w:t>
      </w:r>
      <w:r>
        <w:rPr>
          <w:rFonts w:ascii="Arial" w:cs="Arial" w:eastAsia="Arial" w:hAnsi="Arial"/>
          <w:sz w:val="18"/>
          <w:szCs w:val="18"/>
          <w:color w:val="000000"/>
        </w:rPr>
        <w:t>. To the extent an Award is a Section 409A Covered Award, the Award is intended to comply with Section 409A of the Code</w:t>
      </w:r>
      <w:r>
        <w:rPr>
          <w:rFonts w:ascii="Arial" w:cs="Arial" w:eastAsia="Arial" w:hAnsi="Arial"/>
          <w:sz w:val="18"/>
          <w:szCs w:val="18"/>
          <w:color w:val="010000"/>
        </w:rPr>
        <w:t xml:space="preserve"> </w:t>
      </w:r>
      <w:r>
        <w:rPr>
          <w:rFonts w:ascii="Arial" w:cs="Arial" w:eastAsia="Arial" w:hAnsi="Arial"/>
          <w:sz w:val="18"/>
          <w:szCs w:val="18"/>
          <w:color w:val="000000"/>
        </w:rPr>
        <w:t>and, to the extent applicable, the Plan and Award Agreements shall be limited, construed and interpreted in accordance with Section 409A of the Code. Neither the Company, nor any of its Subsidiaries, shall be liable for any additional tax, interest or penalties that may be imposed on a Participant by Section 409A of the Code or any damages for failing to comply with Section 409A of the Code or this Section 6.10. Notwithstanding anything in the Plan or in an Award to the contrary, the following provisions shall apply to Section 409A Covered Awards:</w:t>
      </w:r>
    </w:p>
    <w:p>
      <w:pPr>
        <w:spacing w:after="0" w:line="191" w:lineRule="exact"/>
        <w:rPr>
          <w:sz w:val="20"/>
          <w:szCs w:val="20"/>
          <w:color w:val="auto"/>
        </w:rPr>
      </w:pPr>
    </w:p>
    <w:p>
      <w:pPr>
        <w:jc w:val="both"/>
        <w:ind w:firstLine="1298"/>
        <w:spacing w:after="0" w:line="287" w:lineRule="auto"/>
        <w:tabs>
          <w:tab w:leader="none" w:pos="1951" w:val="left"/>
        </w:tabs>
        <w:numPr>
          <w:ilvl w:val="0"/>
          <w:numId w:val="426"/>
        </w:numPr>
        <w:rPr>
          <w:rFonts w:ascii="Arial" w:cs="Arial" w:eastAsia="Arial" w:hAnsi="Arial"/>
          <w:sz w:val="16"/>
          <w:szCs w:val="16"/>
          <w:color w:val="010000"/>
        </w:rPr>
      </w:pPr>
      <w:r>
        <w:rPr>
          <w:rFonts w:ascii="Arial" w:cs="Arial" w:eastAsia="Arial" w:hAnsi="Arial"/>
          <w:sz w:val="16"/>
          <w:szCs w:val="16"/>
          <w:color w:val="auto"/>
        </w:rPr>
        <w:t>A Termination shall not be deemed to have occurred for purposes of any provision of a Section 409A Covered Award providing for payment upon or following a Participant’s Termination unless such Termination is also a “Separation from Service” within the meaning of Code Section 409A and, for purposes of any such provision of Section 409A Covered Award, references to a “termination,” “termination of employment” or like terms shall mean Separation from Service. Notwithstanding any provision to the contrary in the Plan or the Award, if the Participant is deemed on the date of the Participant’s Termination to be a “specified employee” within the meaning of that term under Code Section 409A(a)(2)(B) and using the identification methodology selected by the Company from time to time, or if none, the default methodology set forth in Code Section 409A, then with regard to any such payment under a Section 409A Covered Award, to the extent required to be delayed in compliance with Code Section 409A(a)(2)(B), such payment shall not be made prior to the earlier of (i) the expiration of the six (6)-month period measured from the date of the Participant’s Separation from Service, and (ii) the date of the Participant’s death. All payments delayed pursuant to this Section 6.10(a) shall be paid to the Participant on the first day of the seventh month following the date of the Participant’s Separation from Service or, if earlier, on the date of the Participant’s death.</w:t>
      </w:r>
    </w:p>
    <w:p>
      <w:pPr>
        <w:spacing w:after="0" w:line="165" w:lineRule="exact"/>
        <w:rPr>
          <w:rFonts w:ascii="Arial" w:cs="Arial" w:eastAsia="Arial" w:hAnsi="Arial"/>
          <w:sz w:val="16"/>
          <w:szCs w:val="16"/>
          <w:color w:val="010000"/>
        </w:rPr>
      </w:pPr>
    </w:p>
    <w:p>
      <w:pPr>
        <w:ind w:firstLine="1298"/>
        <w:spacing w:after="0" w:line="275" w:lineRule="auto"/>
        <w:tabs>
          <w:tab w:leader="none" w:pos="2068" w:val="left"/>
        </w:tabs>
        <w:numPr>
          <w:ilvl w:val="0"/>
          <w:numId w:val="426"/>
        </w:numPr>
        <w:rPr>
          <w:rFonts w:ascii="Arial" w:cs="Arial" w:eastAsia="Arial" w:hAnsi="Arial"/>
          <w:sz w:val="18"/>
          <w:szCs w:val="18"/>
          <w:color w:val="010000"/>
        </w:rPr>
      </w:pPr>
      <w:r>
        <w:rPr>
          <w:rFonts w:ascii="Arial" w:cs="Arial" w:eastAsia="Arial" w:hAnsi="Arial"/>
          <w:sz w:val="18"/>
          <w:szCs w:val="18"/>
          <w:color w:val="auto"/>
        </w:rPr>
        <w:t>Whenever a payment under a Section 409A Covered Award specifies a payment period with reference to a number of days, the actual date of payment within the specified period shall be within the sole discretion of the Company.</w:t>
      </w:r>
    </w:p>
    <w:p>
      <w:pPr>
        <w:spacing w:after="0" w:line="170" w:lineRule="exact"/>
        <w:rPr>
          <w:rFonts w:ascii="Arial" w:cs="Arial" w:eastAsia="Arial" w:hAnsi="Arial"/>
          <w:sz w:val="18"/>
          <w:szCs w:val="18"/>
          <w:color w:val="010000"/>
        </w:rPr>
      </w:pPr>
    </w:p>
    <w:p>
      <w:pPr>
        <w:ind w:right="20" w:firstLine="1298"/>
        <w:spacing w:after="0" w:line="275" w:lineRule="auto"/>
        <w:tabs>
          <w:tab w:leader="none" w:pos="1951" w:val="left"/>
        </w:tabs>
        <w:numPr>
          <w:ilvl w:val="0"/>
          <w:numId w:val="426"/>
        </w:numPr>
        <w:rPr>
          <w:rFonts w:ascii="Arial" w:cs="Arial" w:eastAsia="Arial" w:hAnsi="Arial"/>
          <w:sz w:val="18"/>
          <w:szCs w:val="18"/>
          <w:color w:val="010000"/>
        </w:rPr>
      </w:pPr>
      <w:r>
        <w:rPr>
          <w:rFonts w:ascii="Arial" w:cs="Arial" w:eastAsia="Arial" w:hAnsi="Arial"/>
          <w:sz w:val="18"/>
          <w:szCs w:val="18"/>
          <w:color w:val="auto"/>
        </w:rPr>
        <w:t>If under the Section 409A Covered Award an amount is to be paid in two or more installments, for purposes of Code Section 409A, each installment shall be treated as a separate payment.</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Notwithstanding any provision of the Plan to the contrary, the Committee may adopt such amendments to the Plan and outstanding Award Agreements or adopt other policies and procedures (including amendments, policies and procedures with retroactive effect), or take any other actions, that the Committee determines are necessary or appropriate to (x) exempt an Award from Section 409A of the Code and/or preserve the intended tax treatment of the benefits provided with respect to the Award, or (y) comply with the requirements of Section 409A of the Code.</w:t>
      </w:r>
    </w:p>
    <w:p>
      <w:pPr>
        <w:spacing w:after="0" w:line="18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6.11. </w:t>
      </w:r>
      <w:r>
        <w:rPr>
          <w:rFonts w:ascii="Arial" w:cs="Arial" w:eastAsia="Arial" w:hAnsi="Arial"/>
          <w:sz w:val="18"/>
          <w:szCs w:val="18"/>
          <w:u w:val="single" w:color="auto"/>
          <w:color w:val="000000"/>
        </w:rPr>
        <w:t>Paperless Administration</w:t>
      </w:r>
      <w:r>
        <w:rPr>
          <w:rFonts w:ascii="Arial" w:cs="Arial" w:eastAsia="Arial" w:hAnsi="Arial"/>
          <w:sz w:val="18"/>
          <w:szCs w:val="18"/>
          <w:color w:val="000000"/>
        </w:rPr>
        <w:t>. In the event that the Company establishes, for itself or using the services of a third party, an automated system</w:t>
      </w:r>
      <w:r>
        <w:rPr>
          <w:rFonts w:ascii="Arial" w:cs="Arial" w:eastAsia="Arial" w:hAnsi="Arial"/>
          <w:sz w:val="18"/>
          <w:szCs w:val="18"/>
          <w:color w:val="010000"/>
        </w:rPr>
        <w:t xml:space="preserve"> </w:t>
      </w:r>
      <w:r>
        <w:rPr>
          <w:rFonts w:ascii="Arial" w:cs="Arial" w:eastAsia="Arial" w:hAnsi="Arial"/>
          <w:sz w:val="18"/>
          <w:szCs w:val="18"/>
          <w:color w:val="000000"/>
        </w:rPr>
        <w:t>for the documentation, granting of Awards, such as a system using an internet website or interactive voice response, then the paperless documentation, granting of Awards by a Participant may be permitted through the use of such an automated system.</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6.12. </w:t>
      </w:r>
      <w:r>
        <w:rPr>
          <w:rFonts w:ascii="Arial" w:cs="Arial" w:eastAsia="Arial" w:hAnsi="Arial"/>
          <w:sz w:val="18"/>
          <w:szCs w:val="18"/>
          <w:u w:val="single" w:color="auto"/>
          <w:color w:val="000000"/>
        </w:rPr>
        <w:t>No Rights to Awards</w:t>
      </w:r>
      <w:r>
        <w:rPr>
          <w:rFonts w:ascii="Arial" w:cs="Arial" w:eastAsia="Arial" w:hAnsi="Arial"/>
          <w:sz w:val="18"/>
          <w:szCs w:val="18"/>
          <w:color w:val="000000"/>
        </w:rPr>
        <w:t>. No Participant or other Person shall have any claim to be granted any Award pursuant to the Plan, and neither the</w:t>
      </w:r>
      <w:r>
        <w:rPr>
          <w:rFonts w:ascii="Arial" w:cs="Arial" w:eastAsia="Arial" w:hAnsi="Arial"/>
          <w:sz w:val="18"/>
          <w:szCs w:val="18"/>
          <w:color w:val="010000"/>
        </w:rPr>
        <w:t xml:space="preserve"> </w:t>
      </w:r>
      <w:r>
        <w:rPr>
          <w:rFonts w:ascii="Arial" w:cs="Arial" w:eastAsia="Arial" w:hAnsi="Arial"/>
          <w:sz w:val="18"/>
          <w:szCs w:val="18"/>
          <w:color w:val="000000"/>
        </w:rPr>
        <w:t>Company nor the Committee is obligated to treat Participants or any other Persons uniformly.</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6.13. </w:t>
      </w:r>
      <w:r>
        <w:rPr>
          <w:rFonts w:ascii="Arial" w:cs="Arial" w:eastAsia="Arial" w:hAnsi="Arial"/>
          <w:sz w:val="18"/>
          <w:szCs w:val="18"/>
          <w:u w:val="single" w:color="auto"/>
          <w:color w:val="000000"/>
        </w:rPr>
        <w:t>Unfunded Status of Awards</w:t>
      </w:r>
      <w:r>
        <w:rPr>
          <w:rFonts w:ascii="Arial" w:cs="Arial" w:eastAsia="Arial" w:hAnsi="Arial"/>
          <w:sz w:val="18"/>
          <w:szCs w:val="18"/>
          <w:color w:val="000000"/>
        </w:rPr>
        <w:t>. The Plan is intended to be an “unfunded” plan for incentive compensation. With respect to any payments not</w:t>
      </w:r>
      <w:r>
        <w:rPr>
          <w:rFonts w:ascii="Arial" w:cs="Arial" w:eastAsia="Arial" w:hAnsi="Arial"/>
          <w:sz w:val="18"/>
          <w:szCs w:val="18"/>
          <w:color w:val="010000"/>
        </w:rPr>
        <w:t xml:space="preserve"> </w:t>
      </w:r>
      <w:r>
        <w:rPr>
          <w:rFonts w:ascii="Arial" w:cs="Arial" w:eastAsia="Arial" w:hAnsi="Arial"/>
          <w:sz w:val="18"/>
          <w:szCs w:val="18"/>
          <w:color w:val="000000"/>
        </w:rPr>
        <w:t>yet made to a Participant pursuant to an Award, nothing contained in the Plan or any program or Award Agreement shall give the Participant any rights that are greater than those of a general creditor of the Company or any of its Subsidiaries.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79" w:name="page480"/>
    <w:bookmarkEnd w:id="479"/>
    <w:p>
      <w:pPr>
        <w:jc w:val="both"/>
        <w:ind w:firstLine="645"/>
        <w:spacing w:after="0" w:line="262" w:lineRule="auto"/>
        <w:rPr>
          <w:sz w:val="20"/>
          <w:szCs w:val="20"/>
          <w:color w:val="auto"/>
        </w:rPr>
      </w:pPr>
      <w:r>
        <w:rPr>
          <w:rFonts w:ascii="Arial" w:cs="Arial" w:eastAsia="Arial" w:hAnsi="Arial"/>
          <w:sz w:val="18"/>
          <w:szCs w:val="18"/>
          <w:color w:val="010000"/>
        </w:rPr>
        <w:t xml:space="preserve">6.14. </w:t>
      </w:r>
      <w:r>
        <w:rPr>
          <w:rFonts w:ascii="Arial" w:cs="Arial" w:eastAsia="Arial" w:hAnsi="Arial"/>
          <w:sz w:val="18"/>
          <w:szCs w:val="18"/>
          <w:u w:val="single" w:color="auto"/>
          <w:color w:val="000000"/>
        </w:rPr>
        <w:t>Relationship to other Benefits</w:t>
      </w:r>
      <w:r>
        <w:rPr>
          <w:rFonts w:ascii="Arial" w:cs="Arial" w:eastAsia="Arial" w:hAnsi="Arial"/>
          <w:sz w:val="18"/>
          <w:szCs w:val="18"/>
          <w:color w:val="000000"/>
        </w:rPr>
        <w:t>. No payment pursuant to the Plan shall be taken into account in determining any benefits under any pension,</w:t>
      </w:r>
      <w:r>
        <w:rPr>
          <w:rFonts w:ascii="Arial" w:cs="Arial" w:eastAsia="Arial" w:hAnsi="Arial"/>
          <w:sz w:val="18"/>
          <w:szCs w:val="18"/>
          <w:color w:val="010000"/>
        </w:rPr>
        <w:t xml:space="preserve"> </w:t>
      </w:r>
      <w:r>
        <w:rPr>
          <w:rFonts w:ascii="Arial" w:cs="Arial" w:eastAsia="Arial" w:hAnsi="Arial"/>
          <w:sz w:val="18"/>
          <w:szCs w:val="18"/>
          <w:color w:val="000000"/>
        </w:rPr>
        <w:t>retirement, savings, profit sharing, group insurance, welfare or other benefit plan of the Company or any of its Subsidiaries except to the extent otherwise expressly provided in writing in such other plan or an agreement thereunder.</w:t>
      </w:r>
    </w:p>
    <w:p>
      <w:pPr>
        <w:spacing w:after="0" w:line="18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6.15.</w:t>
      </w:r>
      <w:r>
        <w:rPr>
          <w:sz w:val="20"/>
          <w:szCs w:val="20"/>
          <w:color w:val="auto"/>
        </w:rPr>
        <w:tab/>
      </w:r>
      <w:r>
        <w:rPr>
          <w:rFonts w:ascii="Arial" w:cs="Arial" w:eastAsia="Arial" w:hAnsi="Arial"/>
          <w:sz w:val="15"/>
          <w:szCs w:val="15"/>
          <w:u w:val="single" w:color="auto"/>
          <w:color w:val="auto"/>
        </w:rPr>
        <w:t>Expenses</w:t>
      </w:r>
      <w:r>
        <w:rPr>
          <w:rFonts w:ascii="Arial" w:cs="Arial" w:eastAsia="Arial" w:hAnsi="Arial"/>
          <w:sz w:val="15"/>
          <w:szCs w:val="15"/>
          <w:color w:val="auto"/>
        </w:rPr>
        <w:t>. The expenses of administering the Plan shall be borne by the Company.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6.16. </w:t>
      </w:r>
      <w:r>
        <w:rPr>
          <w:rFonts w:ascii="Arial" w:cs="Arial" w:eastAsia="Arial" w:hAnsi="Arial"/>
          <w:sz w:val="18"/>
          <w:szCs w:val="18"/>
          <w:u w:val="single" w:color="auto"/>
          <w:color w:val="000000"/>
        </w:rPr>
        <w:t>Severability of Provisions</w:t>
      </w:r>
      <w:r>
        <w:rPr>
          <w:rFonts w:ascii="Arial" w:cs="Arial" w:eastAsia="Arial" w:hAnsi="Arial"/>
          <w:sz w:val="18"/>
          <w:szCs w:val="18"/>
          <w:color w:val="000000"/>
        </w:rPr>
        <w:t>. If any provision of the Plan shall be held invalid or unenforceable, such invalidity or unenforceability shall not</w:t>
      </w:r>
      <w:r>
        <w:rPr>
          <w:rFonts w:ascii="Arial" w:cs="Arial" w:eastAsia="Arial" w:hAnsi="Arial"/>
          <w:sz w:val="18"/>
          <w:szCs w:val="18"/>
          <w:color w:val="010000"/>
        </w:rPr>
        <w:t xml:space="preserve"> </w:t>
      </w:r>
      <w:r>
        <w:rPr>
          <w:rFonts w:ascii="Arial" w:cs="Arial" w:eastAsia="Arial" w:hAnsi="Arial"/>
          <w:sz w:val="18"/>
          <w:szCs w:val="18"/>
          <w:color w:val="000000"/>
        </w:rPr>
        <w:t>affect any other provisions hereof, and the Plan shall be construed and enforced as if such provisions had not been included.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0" w:name="page481"/>
    <w:bookmarkEnd w:id="480"/>
    <w:p>
      <w:pPr>
        <w:jc w:val="center"/>
        <w:ind w:right="-19"/>
        <w:spacing w:after="0"/>
        <w:rPr>
          <w:sz w:val="20"/>
          <w:szCs w:val="20"/>
          <w:color w:val="auto"/>
        </w:rPr>
      </w:pPr>
      <w:r>
        <w:rPr>
          <w:rFonts w:ascii="Arial" w:cs="Arial" w:eastAsia="Arial" w:hAnsi="Arial"/>
          <w:sz w:val="22"/>
          <w:szCs w:val="22"/>
          <w:b w:val="1"/>
          <w:bCs w:val="1"/>
          <w:color w:val="auto"/>
        </w:rPr>
        <w:t>FOR THE SPECIAL MEETING OF STOCKHOLDERS OF</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 I ACQUISITIONS,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7" w:lineRule="exact"/>
        <w:rPr>
          <w:sz w:val="20"/>
          <w:szCs w:val="20"/>
          <w:color w:val="auto"/>
        </w:rPr>
      </w:pPr>
    </w:p>
    <w:p>
      <w:pPr>
        <w:spacing w:after="0"/>
        <w:tabs>
          <w:tab w:leader="none" w:pos="3020" w:val="left"/>
          <w:tab w:leader="none" w:pos="4020" w:val="left"/>
        </w:tabs>
        <w:rPr>
          <w:sz w:val="20"/>
          <w:szCs w:val="20"/>
          <w:color w:val="auto"/>
        </w:rPr>
      </w:pPr>
      <w:r>
        <w:rPr>
          <w:rFonts w:ascii="Arial" w:cs="Arial" w:eastAsia="Arial" w:hAnsi="Arial"/>
          <w:sz w:val="18"/>
          <w:szCs w:val="18"/>
          <w:color w:val="auto"/>
        </w:rPr>
        <w:t>The undersigned hereby appoints [</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(each a “Proxy” and collectively, the “Proxies”), and each of them independently, with full power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substitution as proxies to vote the shares of common stock of M I Acquisitions, Inc. (“</w:t>
      </w:r>
      <w:r>
        <w:rPr>
          <w:rFonts w:ascii="Arial" w:cs="Arial" w:eastAsia="Arial" w:hAnsi="Arial"/>
          <w:sz w:val="16"/>
          <w:szCs w:val="16"/>
          <w:u w:val="single" w:color="auto"/>
          <w:color w:val="auto"/>
        </w:rPr>
        <w:t>M I Acquisitions</w:t>
      </w:r>
      <w:r>
        <w:rPr>
          <w:rFonts w:ascii="Arial" w:cs="Arial" w:eastAsia="Arial" w:hAnsi="Arial"/>
          <w:sz w:val="16"/>
          <w:szCs w:val="16"/>
          <w:color w:val="auto"/>
        </w:rPr>
        <w:t>”) that the undersigned is entitled to vote (the “Shares”)</w:t>
      </w:r>
    </w:p>
    <w:p>
      <w:pPr>
        <w:spacing w:after="0" w:line="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at the Special Meeting of Stockholders (the “Special Meeting”) of M I Acquisitions to be held on [ ] at [ ] at [ ], and at any adjournments and/or postponements thereof. Such Shares shall be voted as indicated with respect to the proposals listed on the reverse side hereof and, unless such authority is withheld on the reverse side hereof, in the Proxies’ discretion on such other matters as may properly come before the Special Meeting or any adjournment or postponement thereof.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acknowledges receipt of the enclosed proxy statement and revokes all prior proxies for said meeting.</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THE SHARES REPRESENTED BY THIS PROXY WHEN PROPERLY EXECUTED WILL BE VOTED IN THE MANNER DIRECTED HEREIN BY THE UNDERSIGNED STOCKHOLDER. IF NO SPECIFIC DIRECTION IS GIVEN AS TO THE PROPOSALS ON THE REVERSE SIDE, THIS PROXY WILL BE VOTED “FOR” PROPOSAL NOS. 1, 2, 3, 4, 5, 6, 7, 8, 9 and 10. PLEASE MARK, SIGN, DATE AND RETURN THE PROXY CARD PROMPTLY.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and to be marked, dated and signed on reverse side)</w:t>
      </w:r>
    </w:p>
    <w:p>
      <w:pPr>
        <w:spacing w:after="0" w:line="195"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PLEASE DETACH ALONG PERFORATED LINE AND MAIL IN THE ENVELOPE PROVIDED. </w:t>
      </w:r>
      <w:r>
        <w:rPr>
          <w:rFonts w:ascii="MS PGothic" w:cs="MS PGothic" w:eastAsia="MS PGothic" w:hAnsi="MS PGothic"/>
          <w:sz w:val="18"/>
          <w:szCs w:val="18"/>
          <w:color w:val="auto"/>
        </w:rPr>
        <w:t>☐</w:t>
      </w:r>
    </w:p>
    <w:p>
      <w:pPr>
        <w:sectPr>
          <w:pgSz w:w="11900" w:h="16838" w:orient="portrait"/>
          <w:cols w:equalWidth="0" w:num="1">
            <w:col w:w="11420"/>
          </w:cols>
          <w:pgMar w:left="240" w:top="677" w:right="239" w:bottom="1440" w:gutter="0" w:footer="0" w:header="0"/>
        </w:sectPr>
      </w:pPr>
    </w:p>
    <w:p>
      <w:pPr>
        <w:spacing w:after="0" w:line="252" w:lineRule="exact"/>
        <w:rPr>
          <w:sz w:val="20"/>
          <w:szCs w:val="20"/>
          <w:color w:val="auto"/>
        </w:rPr>
      </w:pPr>
    </w:p>
    <w:p>
      <w:pPr>
        <w:jc w:val="both"/>
        <w:ind w:left="420" w:right="2000"/>
        <w:spacing w:after="0" w:line="287" w:lineRule="auto"/>
        <w:rPr>
          <w:sz w:val="20"/>
          <w:szCs w:val="20"/>
          <w:color w:val="auto"/>
        </w:rPr>
      </w:pPr>
      <w:r>
        <w:rPr>
          <w:rFonts w:ascii="Arial" w:cs="Arial" w:eastAsia="Arial" w:hAnsi="Arial"/>
          <w:sz w:val="17"/>
          <w:szCs w:val="17"/>
          <w:b w:val="1"/>
          <w:bCs w:val="1"/>
          <w:color w:val="auto"/>
        </w:rPr>
        <w:t>M I ACQUISITIONS, INC. — THE BOARD OF DIRECTORS RECOMMENDS A VOTE “FOR” PROPOSAL NOS. 1, 2, 3, 4, 5, 6, 7, 8, 9 and 10.</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07" w:lineRule="exact"/>
        <w:tabs>
          <w:tab w:leader="none" w:pos="3260" w:val="left"/>
        </w:tabs>
        <w:rPr>
          <w:sz w:val="20"/>
          <w:szCs w:val="20"/>
          <w:color w:val="auto"/>
        </w:rPr>
      </w:pPr>
      <w:r>
        <w:rPr>
          <w:rFonts w:ascii="Arial" w:cs="Arial" w:eastAsia="Arial" w:hAnsi="Arial"/>
          <w:sz w:val="18"/>
          <w:szCs w:val="18"/>
          <w:color w:val="auto"/>
        </w:rPr>
        <w:t>Please mark votes as indicated in this</w:t>
      </w:r>
      <w:r>
        <w:rPr>
          <w:sz w:val="20"/>
          <w:szCs w:val="20"/>
          <w:color w:val="auto"/>
        </w:rPr>
        <w:tab/>
      </w:r>
      <w:r>
        <w:rPr>
          <w:rFonts w:ascii="MS PGothic" w:cs="MS PGothic" w:eastAsia="MS PGothic" w:hAnsi="MS PGothic"/>
          <w:sz w:val="16"/>
          <w:szCs w:val="16"/>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example</w:t>
      </w:r>
    </w:p>
    <w:p>
      <w:pPr>
        <w:spacing w:after="0" w:line="389" w:lineRule="exact"/>
        <w:rPr>
          <w:sz w:val="20"/>
          <w:szCs w:val="20"/>
          <w:color w:val="auto"/>
        </w:rPr>
      </w:pPr>
    </w:p>
    <w:p>
      <w:pPr>
        <w:sectPr>
          <w:pgSz w:w="11900" w:h="16838" w:orient="portrait"/>
          <w:cols w:equalWidth="0" w:num="2">
            <w:col w:w="6180" w:space="720"/>
            <w:col w:w="4520"/>
          </w:cols>
          <w:pgMar w:left="240" w:top="677"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4600" w:type="dxa"/>
            <w:vAlign w:val="bottom"/>
          </w:tcPr>
          <w:p>
            <w:pPr>
              <w:ind w:left="420"/>
              <w:spacing w:after="0"/>
              <w:rPr>
                <w:sz w:val="20"/>
                <w:szCs w:val="20"/>
                <w:color w:val="auto"/>
              </w:rPr>
            </w:pPr>
            <w:r>
              <w:rPr>
                <w:rFonts w:ascii="Arial" w:cs="Arial" w:eastAsia="Arial" w:hAnsi="Arial"/>
                <w:sz w:val="18"/>
                <w:szCs w:val="18"/>
                <w:b w:val="1"/>
                <w:bCs w:val="1"/>
                <w:color w:val="auto"/>
                <w:w w:val="91"/>
              </w:rPr>
              <w:t xml:space="preserve">Proposal No. 1 </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Business Combination Proposal </w:t>
            </w:r>
            <w:r>
              <w:rPr>
                <w:rFonts w:ascii="Arial" w:cs="Arial" w:eastAsia="Arial" w:hAnsi="Arial"/>
                <w:sz w:val="18"/>
                <w:szCs w:val="18"/>
                <w:color w:val="auto"/>
                <w:w w:val="91"/>
              </w:rPr>
              <w:t>—</w:t>
            </w: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FOR</w:t>
            </w:r>
          </w:p>
        </w:tc>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AGAINST</w:t>
            </w:r>
          </w:p>
        </w:tc>
        <w:tc>
          <w:tcPr>
            <w:tcW w:w="1140" w:type="dxa"/>
            <w:vAlign w:val="bottom"/>
          </w:tcPr>
          <w:p>
            <w:pPr>
              <w:ind w:left="180"/>
              <w:spacing w:after="0"/>
              <w:rPr>
                <w:sz w:val="20"/>
                <w:szCs w:val="20"/>
                <w:color w:val="auto"/>
              </w:rPr>
            </w:pPr>
            <w:r>
              <w:rPr>
                <w:rFonts w:ascii="Arial" w:cs="Arial" w:eastAsia="Arial" w:hAnsi="Arial"/>
                <w:sz w:val="18"/>
                <w:szCs w:val="18"/>
                <w:b w:val="1"/>
                <w:bCs w:val="1"/>
                <w:color w:val="auto"/>
              </w:rPr>
              <w:t>ABSTAIN</w:t>
            </w:r>
          </w:p>
        </w:tc>
        <w:tc>
          <w:tcPr>
            <w:tcW w:w="34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Intention to Exercise Redemption</w:t>
            </w:r>
          </w:p>
        </w:tc>
      </w:tr>
      <w:tr>
        <w:trPr>
          <w:trHeight w:val="248"/>
        </w:trPr>
        <w:tc>
          <w:tcPr>
            <w:tcW w:w="4600" w:type="dxa"/>
            <w:vAlign w:val="bottom"/>
          </w:tcPr>
          <w:p>
            <w:pPr>
              <w:ind w:left="420"/>
              <w:spacing w:after="0"/>
              <w:rPr>
                <w:sz w:val="20"/>
                <w:szCs w:val="20"/>
                <w:color w:val="auto"/>
              </w:rPr>
            </w:pPr>
            <w:r>
              <w:rPr>
                <w:rFonts w:ascii="Arial" w:cs="Arial" w:eastAsia="Arial" w:hAnsi="Arial"/>
                <w:sz w:val="18"/>
                <w:szCs w:val="18"/>
                <w:color w:val="auto"/>
                <w:w w:val="94"/>
              </w:rPr>
              <w:t>To approve the authorization for M I Acquisitions' board</w:t>
            </w:r>
          </w:p>
        </w:tc>
        <w:tc>
          <w:tcPr>
            <w:tcW w:w="8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200"/>
              <w:spacing w:after="0"/>
              <w:rPr>
                <w:sz w:val="20"/>
                <w:szCs w:val="20"/>
                <w:color w:val="auto"/>
              </w:rPr>
            </w:pPr>
            <w:r>
              <w:rPr>
                <w:rFonts w:ascii="Arial" w:cs="Arial" w:eastAsia="Arial" w:hAnsi="Arial"/>
                <w:sz w:val="18"/>
                <w:szCs w:val="18"/>
                <w:b w:val="1"/>
                <w:bCs w:val="1"/>
                <w:color w:val="auto"/>
              </w:rPr>
              <w:t>Rights</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5"/>
              </w:rPr>
              <w:t>of directors to acquire all of the issued and outstanding</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5"/>
              </w:rPr>
              <w:t>equity interests of Priority Holdings, LLC (“Priority”), as</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If you intend to exercise your</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6"/>
              </w:rPr>
              <w:t>provided for in the contribution agreement, dated as of</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redemption rights, please check this</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4"/>
              </w:rPr>
              <w:t>February 26, 2018, as amended and restated on March</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box. Checking this box, however, is not</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rPr>
              <w:t>26, 2018 and April 17, 2018, (the “Purchase</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sufficient to exercise your redemption</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9"/>
              </w:rPr>
              <w:t>Agreement”) by and among M I Acquisitions, Priority</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rights. You must comply with the</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5"/>
              </w:rPr>
              <w:t>Investment Holdings, LLC and Priority Incentive Equity</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procedures set forth in the definitive</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5"/>
              </w:rPr>
              <w:t>Holdings, LLC (collectively, the “Sellers”), including the</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proxy statement under the section</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4"/>
              </w:rPr>
              <w:t>initial consideration paid to the Sellers and the earn-out</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entitled “</w:t>
            </w:r>
            <w:r>
              <w:rPr>
                <w:rFonts w:ascii="Arial" w:cs="Arial" w:eastAsia="Arial" w:hAnsi="Arial"/>
                <w:sz w:val="18"/>
                <w:szCs w:val="18"/>
                <w:i w:val="1"/>
                <w:iCs w:val="1"/>
                <w:color w:val="auto"/>
              </w:rPr>
              <w:t>Special Meeting of M I</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rPr>
              <w:t>consideration (the “Business Combination”).</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i w:val="1"/>
                <w:iCs w:val="1"/>
                <w:color w:val="auto"/>
              </w:rPr>
              <w:t>Acquisitions' Stockholders —</w:t>
            </w:r>
          </w:p>
        </w:tc>
      </w:tr>
      <w:tr>
        <w:trPr>
          <w:trHeight w:val="230"/>
        </w:trPr>
        <w:tc>
          <w:tcPr>
            <w:tcW w:w="4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60" w:type="dxa"/>
            <w:vAlign w:val="bottom"/>
          </w:tcPr>
          <w:p>
            <w:pPr>
              <w:ind w:left="200"/>
              <w:spacing w:after="0"/>
              <w:rPr>
                <w:sz w:val="20"/>
                <w:szCs w:val="20"/>
                <w:color w:val="auto"/>
              </w:rPr>
            </w:pPr>
            <w:r>
              <w:rPr>
                <w:rFonts w:ascii="Arial" w:cs="Arial" w:eastAsia="Arial" w:hAnsi="Arial"/>
                <w:sz w:val="18"/>
                <w:szCs w:val="18"/>
                <w:i w:val="1"/>
                <w:iCs w:val="1"/>
                <w:color w:val="auto"/>
              </w:rPr>
              <w:t>Redemption Rights</w:t>
            </w:r>
            <w:r>
              <w:rPr>
                <w:rFonts w:ascii="Arial" w:cs="Arial" w:eastAsia="Arial" w:hAnsi="Arial"/>
                <w:sz w:val="18"/>
                <w:szCs w:val="18"/>
                <w:color w:val="auto"/>
              </w:rPr>
              <w:t>.”</w:t>
            </w:r>
          </w:p>
        </w:tc>
      </w:tr>
      <w:tr>
        <w:trPr>
          <w:trHeight w:val="672"/>
        </w:trPr>
        <w:tc>
          <w:tcPr>
            <w:tcW w:w="4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7" w:right="239" w:bottom="1440" w:gutter="0" w:footer="0" w:header="0"/>
          <w:type w:val="continuous"/>
        </w:sectPr>
      </w:pPr>
    </w:p>
    <w:bookmarkStart w:id="481" w:name="page482"/>
    <w:bookmarkEnd w:id="4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20"/>
                <w:szCs w:val="20"/>
                <w:color w:val="auto"/>
              </w:rPr>
            </w:pPr>
            <w:r>
              <w:rPr>
                <w:rFonts w:ascii="Arial" w:cs="Arial" w:eastAsia="Arial" w:hAnsi="Arial"/>
                <w:sz w:val="18"/>
                <w:szCs w:val="18"/>
                <w:b w:val="1"/>
                <w:bCs w:val="1"/>
                <w:color w:val="auto"/>
              </w:rPr>
              <w:t xml:space="preserve">Proposal No. 2 </w:t>
            </w:r>
            <w:r>
              <w:rPr>
                <w:rFonts w:ascii="Arial" w:cs="Arial" w:eastAsia="Arial" w:hAnsi="Arial"/>
                <w:sz w:val="18"/>
                <w:szCs w:val="18"/>
                <w:color w:val="auto"/>
              </w:rPr>
              <w:t>—</w:t>
            </w:r>
            <w:r>
              <w:rPr>
                <w:rFonts w:ascii="Arial" w:cs="Arial" w:eastAsia="Arial" w:hAnsi="Arial"/>
                <w:sz w:val="18"/>
                <w:szCs w:val="18"/>
                <w:b w:val="1"/>
                <w:bCs w:val="1"/>
                <w:color w:val="auto"/>
              </w:rPr>
              <w:t xml:space="preserve"> Authorized Share Increase</w:t>
            </w: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FOR</w:t>
            </w:r>
          </w:p>
        </w:tc>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AGAINST</w:t>
            </w:r>
          </w:p>
        </w:tc>
        <w:tc>
          <w:tcPr>
            <w:tcW w:w="1140" w:type="dxa"/>
            <w:vAlign w:val="bottom"/>
          </w:tcPr>
          <w:p>
            <w:pPr>
              <w:ind w:left="180"/>
              <w:spacing w:after="0"/>
              <w:rPr>
                <w:sz w:val="20"/>
                <w:szCs w:val="20"/>
                <w:color w:val="auto"/>
              </w:rPr>
            </w:pPr>
            <w:r>
              <w:rPr>
                <w:rFonts w:ascii="Arial" w:cs="Arial" w:eastAsia="Arial" w:hAnsi="Arial"/>
                <w:sz w:val="18"/>
                <w:szCs w:val="18"/>
                <w:b w:val="1"/>
                <w:bCs w:val="1"/>
                <w:color w:val="auto"/>
              </w:rPr>
              <w:t>ABSTAIN</w:t>
            </w:r>
          </w:p>
        </w:tc>
        <w:tc>
          <w:tcPr>
            <w:tcW w:w="30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b w:val="1"/>
                <w:bCs w:val="1"/>
                <w:color w:val="auto"/>
                <w:w w:val="91"/>
              </w:rPr>
              <w:t xml:space="preserve"> Stockholder Certification </w:t>
            </w:r>
            <w:r>
              <w:rPr>
                <w:rFonts w:ascii="Arial" w:cs="Arial" w:eastAsia="Arial" w:hAnsi="Arial"/>
                <w:sz w:val="18"/>
                <w:szCs w:val="18"/>
                <w:color w:val="auto"/>
                <w:w w:val="91"/>
              </w:rPr>
              <w:t>I hereby</w:t>
            </w:r>
          </w:p>
        </w:tc>
      </w:tr>
      <w:tr>
        <w:trPr>
          <w:trHeight w:val="248"/>
        </w:trPr>
        <w:tc>
          <w:tcPr>
            <w:tcW w:w="4180" w:type="dxa"/>
            <w:vAlign w:val="bottom"/>
          </w:tcPr>
          <w:p>
            <w:pPr>
              <w:spacing w:after="0"/>
              <w:rPr>
                <w:sz w:val="20"/>
                <w:szCs w:val="20"/>
                <w:color w:val="auto"/>
              </w:rPr>
            </w:pPr>
            <w:r>
              <w:rPr>
                <w:rFonts w:ascii="Arial" w:cs="Arial" w:eastAsia="Arial" w:hAnsi="Arial"/>
                <w:sz w:val="18"/>
                <w:szCs w:val="18"/>
                <w:b w:val="1"/>
                <w:bCs w:val="1"/>
                <w:color w:val="auto"/>
                <w:w w:val="90"/>
              </w:rPr>
              <w:t xml:space="preserve">Proposal </w:t>
            </w:r>
            <w:r>
              <w:rPr>
                <w:rFonts w:ascii="Arial" w:cs="Arial" w:eastAsia="Arial" w:hAnsi="Arial"/>
                <w:sz w:val="18"/>
                <w:szCs w:val="18"/>
                <w:color w:val="auto"/>
                <w:w w:val="90"/>
              </w:rPr>
              <w:t>— To approve the amendment of the certificate</w:t>
            </w:r>
          </w:p>
        </w:tc>
        <w:tc>
          <w:tcPr>
            <w:tcW w:w="8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200"/>
              <w:spacing w:after="0"/>
              <w:rPr>
                <w:sz w:val="20"/>
                <w:szCs w:val="20"/>
                <w:color w:val="auto"/>
              </w:rPr>
            </w:pPr>
            <w:r>
              <w:rPr>
                <w:rFonts w:ascii="Arial" w:cs="Arial" w:eastAsia="Arial" w:hAnsi="Arial"/>
                <w:sz w:val="18"/>
                <w:szCs w:val="18"/>
                <w:color w:val="auto"/>
                <w:w w:val="95"/>
              </w:rPr>
              <w:t>certify that I am not acting in concert,</w:t>
            </w:r>
          </w:p>
        </w:tc>
      </w:tr>
      <w:tr>
        <w:trPr>
          <w:trHeight w:val="215"/>
        </w:trPr>
        <w:tc>
          <w:tcPr>
            <w:tcW w:w="4180" w:type="dxa"/>
            <w:vAlign w:val="bottom"/>
          </w:tcPr>
          <w:p>
            <w:pPr>
              <w:spacing w:after="0"/>
              <w:rPr>
                <w:sz w:val="20"/>
                <w:szCs w:val="20"/>
                <w:color w:val="auto"/>
              </w:rPr>
            </w:pPr>
            <w:r>
              <w:rPr>
                <w:rFonts w:ascii="Arial" w:cs="Arial" w:eastAsia="Arial" w:hAnsi="Arial"/>
                <w:sz w:val="18"/>
                <w:szCs w:val="18"/>
                <w:color w:val="auto"/>
              </w:rPr>
              <w:t>of incorporation of M I Acquisitions (the “Current</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or as a “group” (as defined in</w:t>
            </w:r>
          </w:p>
        </w:tc>
      </w:tr>
      <w:tr>
        <w:trPr>
          <w:trHeight w:val="215"/>
        </w:trPr>
        <w:tc>
          <w:tcPr>
            <w:tcW w:w="4180" w:type="dxa"/>
            <w:vAlign w:val="bottom"/>
          </w:tcPr>
          <w:p>
            <w:pPr>
              <w:spacing w:after="0"/>
              <w:rPr>
                <w:sz w:val="20"/>
                <w:szCs w:val="20"/>
                <w:color w:val="auto"/>
              </w:rPr>
            </w:pPr>
            <w:r>
              <w:rPr>
                <w:rFonts w:ascii="Arial" w:cs="Arial" w:eastAsia="Arial" w:hAnsi="Arial"/>
                <w:sz w:val="18"/>
                <w:szCs w:val="18"/>
                <w:color w:val="auto"/>
                <w:w w:val="96"/>
              </w:rPr>
              <w:t>Certificate of Incorporation”) to increase the number of</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Section 13(d)(3) of the Securities</w:t>
            </w:r>
          </w:p>
        </w:tc>
      </w:tr>
      <w:tr>
        <w:trPr>
          <w:trHeight w:val="215"/>
        </w:trPr>
        <w:tc>
          <w:tcPr>
            <w:tcW w:w="4180" w:type="dxa"/>
            <w:vAlign w:val="bottom"/>
          </w:tcPr>
          <w:p>
            <w:pPr>
              <w:spacing w:after="0"/>
              <w:rPr>
                <w:sz w:val="20"/>
                <w:szCs w:val="20"/>
                <w:color w:val="auto"/>
              </w:rPr>
            </w:pPr>
            <w:r>
              <w:rPr>
                <w:rFonts w:ascii="Arial" w:cs="Arial" w:eastAsia="Arial" w:hAnsi="Arial"/>
                <w:sz w:val="18"/>
                <w:szCs w:val="18"/>
                <w:color w:val="auto"/>
                <w:w w:val="92"/>
              </w:rPr>
              <w:t>authorized shares of common stock and preferred stock.</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w w:val="94"/>
              </w:rPr>
              <w:t>Exchange Act of 1934, as amended),</w:t>
            </w:r>
          </w:p>
        </w:tc>
      </w:tr>
      <w:tr>
        <w:trPr>
          <w:trHeight w:val="215"/>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w w:val="90"/>
              </w:rPr>
              <w:t>with any other stockholder with respect</w:t>
            </w:r>
          </w:p>
        </w:tc>
      </w:tr>
      <w:tr>
        <w:trPr>
          <w:trHeight w:val="215"/>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w w:val="94"/>
              </w:rPr>
              <w:t>to the shares of common stock of M I</w:t>
            </w:r>
          </w:p>
        </w:tc>
      </w:tr>
      <w:tr>
        <w:trPr>
          <w:trHeight w:val="215"/>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Acquisitions, par value $0.001 per</w:t>
            </w:r>
          </w:p>
        </w:tc>
      </w:tr>
      <w:tr>
        <w:trPr>
          <w:trHeight w:val="215"/>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w w:val="90"/>
              </w:rPr>
              <w:t>share, owned by me in connection with</w:t>
            </w:r>
          </w:p>
        </w:tc>
      </w:tr>
      <w:tr>
        <w:trPr>
          <w:trHeight w:val="215"/>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w w:val="96"/>
              </w:rPr>
              <w:t>the proposed Business Combination</w:t>
            </w:r>
          </w:p>
        </w:tc>
      </w:tr>
      <w:tr>
        <w:trPr>
          <w:trHeight w:val="230"/>
        </w:trPr>
        <w:tc>
          <w:tcPr>
            <w:tcW w:w="4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w w:val="93"/>
              </w:rPr>
              <w:t>between M I Acquisitions and Priority.</w:t>
            </w: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20"/>
                <w:szCs w:val="20"/>
                <w:color w:val="auto"/>
              </w:rPr>
            </w:pPr>
            <w:r>
              <w:rPr>
                <w:rFonts w:ascii="Arial" w:cs="Arial" w:eastAsia="Arial" w:hAnsi="Arial"/>
                <w:sz w:val="18"/>
                <w:szCs w:val="18"/>
                <w:b w:val="1"/>
                <w:bCs w:val="1"/>
                <w:color w:val="auto"/>
                <w:w w:val="91"/>
              </w:rPr>
              <w:t xml:space="preserve">Proposal No. 3 </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Board Declassification Proposal </w:t>
            </w:r>
            <w:r>
              <w:rPr>
                <w:rFonts w:ascii="Arial" w:cs="Arial" w:eastAsia="Arial" w:hAnsi="Arial"/>
                <w:sz w:val="18"/>
                <w:szCs w:val="18"/>
                <w:color w:val="auto"/>
                <w:w w:val="91"/>
              </w:rPr>
              <w:t>—</w:t>
            </w: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FOR</w:t>
            </w:r>
          </w:p>
        </w:tc>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AGAINST</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w w:val="94"/>
              </w:rPr>
              <w:t>ABSTAIN</w:t>
            </w:r>
          </w:p>
        </w:tc>
      </w:tr>
      <w:tr>
        <w:trPr>
          <w:trHeight w:val="248"/>
        </w:trPr>
        <w:tc>
          <w:tcPr>
            <w:tcW w:w="4160" w:type="dxa"/>
            <w:vAlign w:val="bottom"/>
          </w:tcPr>
          <w:p>
            <w:pPr>
              <w:spacing w:after="0"/>
              <w:rPr>
                <w:sz w:val="20"/>
                <w:szCs w:val="20"/>
                <w:color w:val="auto"/>
              </w:rPr>
            </w:pPr>
            <w:r>
              <w:rPr>
                <w:rFonts w:ascii="Arial" w:cs="Arial" w:eastAsia="Arial" w:hAnsi="Arial"/>
                <w:sz w:val="18"/>
                <w:szCs w:val="18"/>
                <w:color w:val="auto"/>
                <w:w w:val="93"/>
              </w:rPr>
              <w:t>To approve the amendment of the Current Certificate of</w:t>
            </w:r>
          </w:p>
        </w:tc>
        <w:tc>
          <w:tcPr>
            <w:tcW w:w="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w w:val="93"/>
              </w:rPr>
              <w:t>Incorporation to provide for declassification of the board</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of directors into one class.</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83"/>
        </w:trPr>
        <w:tc>
          <w:tcPr>
            <w:tcW w:w="4160" w:type="dxa"/>
            <w:vAlign w:val="bottom"/>
          </w:tcPr>
          <w:p>
            <w:pPr>
              <w:spacing w:after="0"/>
              <w:rPr>
                <w:sz w:val="20"/>
                <w:szCs w:val="20"/>
                <w:color w:val="auto"/>
              </w:rPr>
            </w:pPr>
            <w:r>
              <w:rPr>
                <w:rFonts w:ascii="Arial" w:cs="Arial" w:eastAsia="Arial" w:hAnsi="Arial"/>
                <w:sz w:val="18"/>
                <w:szCs w:val="18"/>
                <w:b w:val="1"/>
                <w:bCs w:val="1"/>
                <w:color w:val="auto"/>
                <w:w w:val="95"/>
              </w:rPr>
              <w:t xml:space="preserve">Proposal No. 4 </w:t>
            </w:r>
            <w:r>
              <w:rPr>
                <w:rFonts w:ascii="Arial" w:cs="Arial" w:eastAsia="Arial" w:hAnsi="Arial"/>
                <w:sz w:val="18"/>
                <w:szCs w:val="18"/>
                <w:color w:val="auto"/>
                <w:w w:val="95"/>
              </w:rPr>
              <w:t>—</w:t>
            </w:r>
            <w:r>
              <w:rPr>
                <w:rFonts w:ascii="Arial" w:cs="Arial" w:eastAsia="Arial" w:hAnsi="Arial"/>
                <w:sz w:val="18"/>
                <w:szCs w:val="18"/>
                <w:b w:val="1"/>
                <w:bCs w:val="1"/>
                <w:color w:val="auto"/>
                <w:w w:val="95"/>
              </w:rPr>
              <w:t xml:space="preserve"> Voting Threshold Proposal </w:t>
            </w:r>
            <w:r>
              <w:rPr>
                <w:rFonts w:ascii="Arial" w:cs="Arial" w:eastAsia="Arial" w:hAnsi="Arial"/>
                <w:sz w:val="18"/>
                <w:szCs w:val="18"/>
                <w:color w:val="auto"/>
                <w:w w:val="95"/>
              </w:rPr>
              <w:t>— To</w:t>
            </w: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FOR</w:t>
            </w:r>
          </w:p>
        </w:tc>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AGAINST</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w w:val="94"/>
              </w:rPr>
              <w:t>ABSTAIN</w:t>
            </w:r>
          </w:p>
        </w:tc>
      </w:tr>
      <w:tr>
        <w:trPr>
          <w:trHeight w:val="248"/>
        </w:trPr>
        <w:tc>
          <w:tcPr>
            <w:tcW w:w="4160" w:type="dxa"/>
            <w:vAlign w:val="bottom"/>
          </w:tcPr>
          <w:p>
            <w:pPr>
              <w:spacing w:after="0"/>
              <w:rPr>
                <w:sz w:val="20"/>
                <w:szCs w:val="20"/>
                <w:color w:val="auto"/>
              </w:rPr>
            </w:pPr>
            <w:r>
              <w:rPr>
                <w:rFonts w:ascii="Arial" w:cs="Arial" w:eastAsia="Arial" w:hAnsi="Arial"/>
                <w:sz w:val="18"/>
                <w:szCs w:val="18"/>
                <w:color w:val="auto"/>
                <w:w w:val="99"/>
              </w:rPr>
              <w:t>approve the amendment of the Current Certificate of</w:t>
            </w:r>
          </w:p>
        </w:tc>
        <w:tc>
          <w:tcPr>
            <w:tcW w:w="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w w:val="92"/>
              </w:rPr>
              <w:t>Incorporation to change the stockholder vote required to</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approve a further amendment thereof.</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83"/>
        </w:trPr>
        <w:tc>
          <w:tcPr>
            <w:tcW w:w="4160" w:type="dxa"/>
            <w:vAlign w:val="bottom"/>
          </w:tcPr>
          <w:p>
            <w:pPr>
              <w:spacing w:after="0"/>
              <w:rPr>
                <w:sz w:val="20"/>
                <w:szCs w:val="20"/>
                <w:color w:val="auto"/>
              </w:rPr>
            </w:pPr>
            <w:r>
              <w:rPr>
                <w:rFonts w:ascii="Arial" w:cs="Arial" w:eastAsia="Arial" w:hAnsi="Arial"/>
                <w:sz w:val="18"/>
                <w:szCs w:val="18"/>
                <w:b w:val="1"/>
                <w:bCs w:val="1"/>
                <w:color w:val="auto"/>
                <w:w w:val="90"/>
              </w:rPr>
              <w:t xml:space="preserve">Proposal No. 5 </w:t>
            </w:r>
            <w:r>
              <w:rPr>
                <w:rFonts w:ascii="Arial" w:cs="Arial" w:eastAsia="Arial" w:hAnsi="Arial"/>
                <w:sz w:val="18"/>
                <w:szCs w:val="18"/>
                <w:color w:val="auto"/>
                <w:w w:val="90"/>
              </w:rPr>
              <w:t>—</w:t>
            </w:r>
            <w:r>
              <w:rPr>
                <w:rFonts w:ascii="Arial" w:cs="Arial" w:eastAsia="Arial" w:hAnsi="Arial"/>
                <w:sz w:val="18"/>
                <w:szCs w:val="18"/>
                <w:b w:val="1"/>
                <w:bCs w:val="1"/>
                <w:color w:val="auto"/>
                <w:w w:val="90"/>
              </w:rPr>
              <w:t xml:space="preserve"> Section 203 Proposal </w:t>
            </w:r>
            <w:r>
              <w:rPr>
                <w:rFonts w:ascii="Arial" w:cs="Arial" w:eastAsia="Arial" w:hAnsi="Arial"/>
                <w:sz w:val="18"/>
                <w:szCs w:val="18"/>
                <w:color w:val="auto"/>
                <w:w w:val="90"/>
              </w:rPr>
              <w:t>— To approve</w:t>
            </w: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FOR</w:t>
            </w:r>
          </w:p>
        </w:tc>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AGAINST</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w w:val="94"/>
              </w:rPr>
              <w:t>ABSTAIN</w:t>
            </w:r>
          </w:p>
        </w:tc>
      </w:tr>
      <w:tr>
        <w:trPr>
          <w:trHeight w:val="248"/>
        </w:trPr>
        <w:tc>
          <w:tcPr>
            <w:tcW w:w="4160" w:type="dxa"/>
            <w:vAlign w:val="bottom"/>
          </w:tcPr>
          <w:p>
            <w:pPr>
              <w:spacing w:after="0"/>
              <w:rPr>
                <w:sz w:val="20"/>
                <w:szCs w:val="20"/>
                <w:color w:val="auto"/>
              </w:rPr>
            </w:pPr>
            <w:r>
              <w:rPr>
                <w:rFonts w:ascii="Arial" w:cs="Arial" w:eastAsia="Arial" w:hAnsi="Arial"/>
                <w:sz w:val="18"/>
                <w:szCs w:val="18"/>
                <w:color w:val="auto"/>
              </w:rPr>
              <w:t>the amendment of the Current Certificate of</w:t>
            </w:r>
          </w:p>
        </w:tc>
        <w:tc>
          <w:tcPr>
            <w:tcW w:w="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w w:val="92"/>
              </w:rPr>
              <w:t>Incorporation to elect not to be governed by Section 203</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w w:val="93"/>
              </w:rPr>
              <w:t>of the Delaware General Corporation Law (the “DGCL”)</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and, instead, include a provision in our certificate of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incorporation that is substantially similar to Section 203</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of the DGCL, but excludes the Sellers, certain affiliates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and each of their respective transferees from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definition of “interested stockholder,” and to make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certain related changes.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13970</wp:posOffset>
            </wp:positionV>
            <wp:extent cx="7247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560"/>
          </w:cols>
          <w:pgMar w:left="660" w:top="872" w:right="679" w:bottom="1440" w:gutter="0" w:footer="0" w:header="0"/>
        </w:sectPr>
      </w:pPr>
    </w:p>
    <w:bookmarkStart w:id="482" w:name="page483"/>
    <w:bookmarkEnd w:id="482"/>
    <w:p>
      <w:pPr>
        <w:spacing w:after="0"/>
        <w:tabs>
          <w:tab w:leader="none" w:pos="4220" w:val="left"/>
        </w:tabs>
        <w:rPr>
          <w:sz w:val="20"/>
          <w:szCs w:val="20"/>
          <w:color w:val="auto"/>
        </w:rPr>
      </w:pPr>
      <w:r>
        <w:rPr>
          <w:rFonts w:ascii="Arial" w:cs="Arial" w:eastAsia="Arial" w:hAnsi="Arial"/>
          <w:sz w:val="18"/>
          <w:szCs w:val="18"/>
          <w:b w:val="1"/>
          <w:bCs w:val="1"/>
          <w:color w:val="auto"/>
        </w:rPr>
        <w:t xml:space="preserve">Proposal No. 6 </w:t>
      </w:r>
      <w:r>
        <w:rPr>
          <w:rFonts w:ascii="Arial" w:cs="Arial" w:eastAsia="Arial" w:hAnsi="Arial"/>
          <w:sz w:val="18"/>
          <w:szCs w:val="18"/>
          <w:color w:val="auto"/>
        </w:rPr>
        <w:t>—</w:t>
      </w:r>
      <w:r>
        <w:rPr>
          <w:rFonts w:ascii="Arial" w:cs="Arial" w:eastAsia="Arial" w:hAnsi="Arial"/>
          <w:sz w:val="18"/>
          <w:szCs w:val="18"/>
          <w:b w:val="1"/>
          <w:bCs w:val="1"/>
          <w:color w:val="auto"/>
        </w:rPr>
        <w:t xml:space="preserve"> Additional Amendments Proposal</w:t>
        <w:tab/>
        <w:t>FOR</w:t>
      </w:r>
    </w:p>
    <w:p>
      <w:pPr>
        <w:spacing w:after="0" w:line="21" w:lineRule="exact"/>
        <w:rPr>
          <w:sz w:val="20"/>
          <w:szCs w:val="20"/>
          <w:color w:val="auto"/>
        </w:rPr>
      </w:pPr>
    </w:p>
    <w:p>
      <w:pPr>
        <w:spacing w:after="0" w:line="207" w:lineRule="exact"/>
        <w:tabs>
          <w:tab w:leader="none" w:pos="4220" w:val="left"/>
        </w:tabs>
        <w:rPr>
          <w:sz w:val="20"/>
          <w:szCs w:val="20"/>
          <w:color w:val="auto"/>
        </w:rPr>
      </w:pPr>
      <w:r>
        <w:rPr>
          <w:rFonts w:ascii="Arial" w:cs="Arial" w:eastAsia="Arial" w:hAnsi="Arial"/>
          <w:sz w:val="18"/>
          <w:szCs w:val="18"/>
          <w:color w:val="auto"/>
        </w:rPr>
        <w:t>— To approve certain other changes to the Current</w:t>
      </w:r>
      <w:r>
        <w:rPr>
          <w:sz w:val="20"/>
          <w:szCs w:val="20"/>
          <w:color w:val="auto"/>
        </w:rPr>
        <w:tab/>
      </w:r>
      <w:r>
        <w:rPr>
          <w:rFonts w:ascii="MS PGothic" w:cs="MS PGothic" w:eastAsia="MS PGothic" w:hAnsi="MS PGothic"/>
          <w:sz w:val="16"/>
          <w:szCs w:val="16"/>
          <w:color w:val="auto"/>
        </w:rPr>
        <w:t>☐</w:t>
      </w:r>
    </w:p>
    <w:p>
      <w:pPr>
        <w:spacing w:after="0" w:line="15"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Certificate of Incorporation, including eliminating certain provisions specific to our status as a special purpose acquisition company.</w:t>
      </w:r>
    </w:p>
    <w:p>
      <w:pPr>
        <w:spacing w:after="0" w:line="186"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 xml:space="preserve">Proposal No. 7 </w:t>
      </w:r>
      <w:r>
        <w:rPr>
          <w:rFonts w:ascii="Arial" w:cs="Arial" w:eastAsia="Arial" w:hAnsi="Arial"/>
          <w:sz w:val="18"/>
          <w:szCs w:val="18"/>
          <w:color w:val="auto"/>
        </w:rPr>
        <w:t>—</w:t>
      </w:r>
      <w:r>
        <w:rPr>
          <w:rFonts w:ascii="Arial" w:cs="Arial" w:eastAsia="Arial" w:hAnsi="Arial"/>
          <w:sz w:val="18"/>
          <w:szCs w:val="18"/>
          <w:b w:val="1"/>
          <w:bCs w:val="1"/>
          <w:color w:val="auto"/>
        </w:rPr>
        <w:t xml:space="preserve"> 2018 Equity Incentive Plan</w:t>
      </w:r>
      <w:r>
        <w:rPr>
          <w:sz w:val="20"/>
          <w:szCs w:val="20"/>
          <w:color w:val="auto"/>
        </w:rPr>
        <w:tab/>
      </w:r>
      <w:r>
        <w:rPr>
          <w:rFonts w:ascii="Arial" w:cs="Arial" w:eastAsia="Arial" w:hAnsi="Arial"/>
          <w:sz w:val="18"/>
          <w:szCs w:val="18"/>
          <w:b w:val="1"/>
          <w:bCs w:val="1"/>
          <w:color w:val="auto"/>
        </w:rPr>
        <w:t>FOR</w:t>
      </w:r>
    </w:p>
    <w:p>
      <w:pPr>
        <w:spacing w:after="0" w:line="21" w:lineRule="exact"/>
        <w:rPr>
          <w:sz w:val="20"/>
          <w:szCs w:val="20"/>
          <w:color w:val="auto"/>
        </w:rPr>
      </w:pPr>
    </w:p>
    <w:p>
      <w:pPr>
        <w:ind w:right="220"/>
        <w:spacing w:after="0" w:line="217" w:lineRule="exact"/>
        <w:rPr>
          <w:sz w:val="20"/>
          <w:szCs w:val="20"/>
          <w:color w:val="auto"/>
        </w:rPr>
      </w:pPr>
      <w:r>
        <w:rPr>
          <w:rFonts w:ascii="Arial" w:cs="Arial" w:eastAsia="Arial" w:hAnsi="Arial"/>
          <w:sz w:val="18"/>
          <w:szCs w:val="18"/>
          <w:b w:val="1"/>
          <w:bCs w:val="1"/>
          <w:color w:val="auto"/>
        </w:rPr>
        <w:t xml:space="preserve">Proposal — </w:t>
      </w:r>
      <w:r>
        <w:rPr>
          <w:rFonts w:ascii="Arial" w:cs="Arial" w:eastAsia="Arial" w:hAnsi="Arial"/>
          <w:sz w:val="18"/>
          <w:szCs w:val="18"/>
          <w:color w:val="auto"/>
        </w:rPr>
        <w:t>To approve the 2018 Equity Incentive Plan,</w:t>
      </w:r>
      <w:r>
        <w:rPr>
          <w:rFonts w:ascii="Arial" w:cs="Arial" w:eastAsia="Arial" w:hAnsi="Arial"/>
          <w:sz w:val="18"/>
          <w:szCs w:val="18"/>
          <w:b w:val="1"/>
          <w:b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authorization of the initial share reserve under the 2018 Equity Incentive Plan.</w:t>
      </w:r>
    </w:p>
    <w:p>
      <w:pPr>
        <w:spacing w:after="0" w:line="198" w:lineRule="exact"/>
        <w:rPr>
          <w:sz w:val="20"/>
          <w:szCs w:val="20"/>
          <w:color w:val="auto"/>
        </w:rPr>
      </w:pPr>
    </w:p>
    <w:p>
      <w:pPr>
        <w:spacing w:after="0" w:line="220" w:lineRule="exact"/>
        <w:rPr>
          <w:sz w:val="20"/>
          <w:szCs w:val="20"/>
          <w:color w:val="auto"/>
        </w:rPr>
      </w:pPr>
      <w:r>
        <w:rPr>
          <w:rFonts w:ascii="Arial" w:cs="Arial" w:eastAsia="Arial" w:hAnsi="Arial"/>
          <w:sz w:val="18"/>
          <w:szCs w:val="18"/>
          <w:b w:val="1"/>
          <w:bCs w:val="1"/>
          <w:color w:val="auto"/>
        </w:rPr>
        <w:t xml:space="preserve">Proposal No. 8 — Earnout Incentive Plan Proposal FOR </w:t>
      </w:r>
      <w:r>
        <w:rPr>
          <w:rFonts w:ascii="Arial" w:cs="Arial" w:eastAsia="Arial" w:hAnsi="Arial"/>
          <w:sz w:val="18"/>
          <w:szCs w:val="18"/>
          <w:color w:val="auto"/>
        </w:rPr>
        <w:t xml:space="preserve">— To approve the Earnout Incentive Plan, including the </w:t>
      </w:r>
      <w:r>
        <w:rPr>
          <w:rFonts w:ascii="MS PGothic" w:cs="MS PGothic" w:eastAsia="MS PGothic" w:hAnsi="MS PGothic"/>
          <w:sz w:val="18"/>
          <w:szCs w:val="18"/>
          <w:color w:val="auto"/>
        </w:rPr>
        <w:t>☐</w:t>
      </w:r>
      <w:r>
        <w:rPr>
          <w:rFonts w:ascii="Arial" w:cs="Arial" w:eastAsia="Arial" w:hAnsi="Arial"/>
          <w:sz w:val="18"/>
          <w:szCs w:val="18"/>
          <w:color w:val="auto"/>
        </w:rPr>
        <w:t xml:space="preserve"> authorization of the initial share reserve under the Earnout Incentive Plan.</w:t>
      </w:r>
    </w:p>
    <w:p>
      <w:pPr>
        <w:spacing w:after="0" w:line="199" w:lineRule="exact"/>
        <w:rPr>
          <w:sz w:val="20"/>
          <w:szCs w:val="20"/>
          <w:color w:val="auto"/>
        </w:rPr>
      </w:pPr>
    </w:p>
    <w:p>
      <w:pPr>
        <w:spacing w:after="0" w:line="219" w:lineRule="exact"/>
        <w:rPr>
          <w:sz w:val="20"/>
          <w:szCs w:val="20"/>
          <w:color w:val="auto"/>
        </w:rPr>
      </w:pPr>
      <w:r>
        <w:rPr>
          <w:rFonts w:ascii="Arial" w:cs="Arial" w:eastAsia="Arial" w:hAnsi="Arial"/>
          <w:sz w:val="17"/>
          <w:szCs w:val="17"/>
          <w:b w:val="1"/>
          <w:bCs w:val="1"/>
          <w:color w:val="auto"/>
        </w:rPr>
        <w:t xml:space="preserve">Proposal No. 9 — Nasdaq Proposal </w:t>
      </w:r>
      <w:r>
        <w:rPr>
          <w:rFonts w:ascii="Arial" w:cs="Arial" w:eastAsia="Arial" w:hAnsi="Arial"/>
          <w:sz w:val="17"/>
          <w:szCs w:val="17"/>
          <w:color w:val="auto"/>
        </w:rPr>
        <w:t>— To approve the</w:t>
      </w:r>
      <w:r>
        <w:rPr>
          <w:rFonts w:ascii="Arial" w:cs="Arial" w:eastAsia="Arial" w:hAnsi="Arial"/>
          <w:sz w:val="17"/>
          <w:szCs w:val="17"/>
          <w:b w:val="1"/>
          <w:bCs w:val="1"/>
          <w:color w:val="auto"/>
        </w:rPr>
        <w:t xml:space="preserve"> FOR </w:t>
      </w:r>
      <w:r>
        <w:rPr>
          <w:rFonts w:ascii="Arial" w:cs="Arial" w:eastAsia="Arial" w:hAnsi="Arial"/>
          <w:sz w:val="17"/>
          <w:szCs w:val="17"/>
          <w:color w:val="auto"/>
        </w:rPr>
        <w:t xml:space="preserve">issuance of more than 20% of the issued and outstanding </w:t>
      </w:r>
      <w:r>
        <w:rPr>
          <w:rFonts w:ascii="MS PGothic" w:cs="MS PGothic" w:eastAsia="MS PGothic" w:hAnsi="MS PGothic"/>
          <w:sz w:val="17"/>
          <w:szCs w:val="17"/>
          <w:color w:val="auto"/>
        </w:rPr>
        <w:t>☐</w:t>
      </w:r>
      <w:r>
        <w:rPr>
          <w:rFonts w:ascii="Arial" w:cs="Arial" w:eastAsia="Arial" w:hAnsi="Arial"/>
          <w:sz w:val="17"/>
          <w:szCs w:val="17"/>
          <w:color w:val="auto"/>
        </w:rPr>
        <w:t xml:space="preserve"> shares of common stock of M I Acquisitions pursuant to the terms of the Purchase Agreement, as required by Nasdaq Listing Rules 5635(a) and (d).</w:t>
      </w:r>
    </w:p>
    <w:p>
      <w:pPr>
        <w:spacing w:after="0" w:line="199" w:lineRule="exact"/>
        <w:rPr>
          <w:sz w:val="20"/>
          <w:szCs w:val="20"/>
          <w:color w:val="auto"/>
        </w:rPr>
      </w:pPr>
    </w:p>
    <w:p>
      <w:pPr>
        <w:spacing w:after="0" w:line="219" w:lineRule="exact"/>
        <w:rPr>
          <w:sz w:val="20"/>
          <w:szCs w:val="20"/>
          <w:color w:val="auto"/>
        </w:rPr>
      </w:pPr>
      <w:r>
        <w:rPr>
          <w:rFonts w:ascii="Arial" w:cs="Arial" w:eastAsia="Arial" w:hAnsi="Arial"/>
          <w:sz w:val="18"/>
          <w:szCs w:val="18"/>
          <w:b w:val="1"/>
          <w:bCs w:val="1"/>
          <w:color w:val="auto"/>
        </w:rPr>
        <w:t xml:space="preserve">Proposal No. 10— The Adjournment Proposal </w:t>
      </w:r>
      <w:r>
        <w:rPr>
          <w:rFonts w:ascii="Arial" w:cs="Arial" w:eastAsia="Arial" w:hAnsi="Arial"/>
          <w:sz w:val="18"/>
          <w:szCs w:val="18"/>
          <w:color w:val="auto"/>
        </w:rPr>
        <w:t>— To</w:t>
      </w:r>
      <w:r>
        <w:rPr>
          <w:rFonts w:ascii="Arial" w:cs="Arial" w:eastAsia="Arial" w:hAnsi="Arial"/>
          <w:sz w:val="18"/>
          <w:szCs w:val="18"/>
          <w:b w:val="1"/>
          <w:bCs w:val="1"/>
          <w:color w:val="auto"/>
        </w:rPr>
        <w:t xml:space="preserve"> FOR </w:t>
      </w:r>
      <w:r>
        <w:rPr>
          <w:rFonts w:ascii="Arial" w:cs="Arial" w:eastAsia="Arial" w:hAnsi="Arial"/>
          <w:sz w:val="18"/>
          <w:szCs w:val="18"/>
          <w:color w:val="auto"/>
        </w:rPr>
        <w:t xml:space="preserve">approve the adjournment of the special meeting in the </w:t>
      </w:r>
      <w:r>
        <w:rPr>
          <w:rFonts w:ascii="MS PGothic" w:cs="MS PGothic" w:eastAsia="MS PGothic" w:hAnsi="MS PGothic"/>
          <w:sz w:val="18"/>
          <w:szCs w:val="18"/>
          <w:color w:val="auto"/>
        </w:rPr>
        <w:t>☐</w:t>
      </w:r>
      <w:r>
        <w:rPr>
          <w:rFonts w:ascii="Arial" w:cs="Arial" w:eastAsia="Arial" w:hAnsi="Arial"/>
          <w:sz w:val="18"/>
          <w:szCs w:val="18"/>
          <w:color w:val="auto"/>
        </w:rPr>
        <w:t xml:space="preserve"> event M I Acquisitions does not receive the requisite stockholder vote to approve the Business Combination or the other proposals described above.</w:t>
      </w:r>
    </w:p>
    <w:p>
      <w:pPr>
        <w:spacing w:after="0" w:line="20" w:lineRule="exact"/>
        <w:rPr>
          <w:sz w:val="20"/>
          <w:szCs w:val="20"/>
          <w:color w:val="auto"/>
        </w:rPr>
      </w:pPr>
      <w:r>
        <w:rPr>
          <w:sz w:val="20"/>
          <w:szCs w:val="20"/>
          <w:color w:val="auto"/>
        </w:rPr>
        <w:br w:type="column"/>
      </w:r>
    </w:p>
    <w:p>
      <w:pPr>
        <w:ind w:left="140"/>
        <w:spacing w:after="0"/>
        <w:tabs>
          <w:tab w:leader="none" w:pos="130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1" w:lineRule="exact"/>
        <w:rPr>
          <w:sz w:val="20"/>
          <w:szCs w:val="20"/>
          <w:color w:val="auto"/>
        </w:rPr>
      </w:pPr>
    </w:p>
    <w:p>
      <w:pPr>
        <w:ind w:left="140"/>
        <w:spacing w:after="0" w:line="181" w:lineRule="exact"/>
        <w:tabs>
          <w:tab w:leader="none" w:pos="1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1" w:lineRule="exact"/>
        <w:rPr>
          <w:sz w:val="20"/>
          <w:szCs w:val="20"/>
          <w:color w:val="auto"/>
        </w:rPr>
      </w:pPr>
    </w:p>
    <w:p>
      <w:pPr>
        <w:ind w:left="140"/>
        <w:spacing w:after="0" w:line="181" w:lineRule="exact"/>
        <w:tabs>
          <w:tab w:leader="none" w:pos="1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1" w:lineRule="exact"/>
        <w:rPr>
          <w:sz w:val="20"/>
          <w:szCs w:val="20"/>
          <w:color w:val="auto"/>
        </w:rPr>
      </w:pPr>
    </w:p>
    <w:p>
      <w:pPr>
        <w:ind w:left="140"/>
        <w:spacing w:after="0" w:line="181" w:lineRule="exact"/>
        <w:tabs>
          <w:tab w:leader="none" w:pos="1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1" w:lineRule="exact"/>
        <w:rPr>
          <w:sz w:val="20"/>
          <w:szCs w:val="20"/>
          <w:color w:val="auto"/>
        </w:rPr>
      </w:pPr>
    </w:p>
    <w:p>
      <w:pPr>
        <w:ind w:left="140"/>
        <w:spacing w:after="0" w:line="181" w:lineRule="exact"/>
        <w:tabs>
          <w:tab w:leader="none" w:pos="1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1" w:lineRule="exact"/>
        <w:rPr>
          <w:sz w:val="20"/>
          <w:szCs w:val="20"/>
          <w:color w:val="auto"/>
        </w:rPr>
      </w:pPr>
    </w:p>
    <w:p>
      <w:pPr>
        <w:ind w:left="140"/>
        <w:spacing w:after="0" w:line="181" w:lineRule="exact"/>
        <w:tabs>
          <w:tab w:leader="none" w:pos="1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839"/>
        <w:spacing w:after="0"/>
        <w:tabs>
          <w:tab w:leader="none" w:pos="48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6"/>
          <w:szCs w:val="16"/>
          <w:color w:val="auto"/>
        </w:rPr>
        <w:t>], 2018</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13970</wp:posOffset>
            </wp:positionV>
            <wp:extent cx="7247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2">
            <w:col w:w="4620" w:space="640"/>
            <w:col w:w="4539"/>
          </w:cols>
          <w:pgMar w:left="660" w:top="901" w:right="1440" w:bottom="1440" w:gutter="0" w:footer="0" w:header="0"/>
        </w:sectPr>
      </w:pPr>
    </w:p>
    <w:bookmarkStart w:id="483" w:name="page484"/>
    <w:bookmarkEnd w:id="483"/>
    <w:p>
      <w:pPr>
        <w:ind w:left="8160"/>
        <w:spacing w:after="0"/>
        <w:rPr>
          <w:sz w:val="20"/>
          <w:szCs w:val="20"/>
          <w:color w:val="auto"/>
        </w:rPr>
      </w:pPr>
      <w:r>
        <w:rPr>
          <w:rFonts w:ascii="Arial" w:cs="Arial" w:eastAsia="Arial" w:hAnsi="Arial"/>
          <w:sz w:val="18"/>
          <w:szCs w:val="18"/>
          <w:color w:val="auto"/>
        </w:rPr>
        <w:t>Signature</w:t>
      </w:r>
    </w:p>
    <w:p>
      <w:pPr>
        <w:spacing w:after="0" w:line="2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 (if held jointly)</w:t>
      </w:r>
    </w:p>
    <w:p>
      <w:pPr>
        <w:spacing w:after="0" w:line="223"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When shares are held by joint tenants,</w:t>
      </w:r>
    </w:p>
    <w:p>
      <w:pPr>
        <w:spacing w:after="0" w:line="4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both should sign. When signing as</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attorney, executor, administrator,</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trustee or guardian, please give full title</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as such. If a corporation, please sign in</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full corporate name by president or</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other authorized officer. If a partnership</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please sign in partnership name by an</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authorized person.</w:t>
      </w:r>
    </w:p>
    <w:p>
      <w:pPr>
        <w:spacing w:after="0" w:line="209" w:lineRule="exact"/>
        <w:rPr>
          <w:sz w:val="20"/>
          <w:szCs w:val="20"/>
          <w:color w:val="auto"/>
        </w:rPr>
      </w:pPr>
    </w:p>
    <w:p>
      <w:pPr>
        <w:ind w:left="8160"/>
        <w:spacing w:after="0"/>
        <w:rPr>
          <w:sz w:val="20"/>
          <w:szCs w:val="20"/>
          <w:color w:val="auto"/>
        </w:rPr>
      </w:pPr>
      <w:r>
        <w:rPr>
          <w:rFonts w:ascii="Arial" w:cs="Arial" w:eastAsia="Arial" w:hAnsi="Arial"/>
          <w:sz w:val="17"/>
          <w:szCs w:val="17"/>
          <w:color w:val="auto"/>
        </w:rPr>
        <w:t>A vote to abstain will have the same</w:t>
      </w:r>
    </w:p>
    <w:p>
      <w:pPr>
        <w:spacing w:after="0" w:line="34"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 xml:space="preserve">effect as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Proposals</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No. 1, 2, 3, 4, 5, 6, 7, 8, 9 and 10.</w:t>
      </w:r>
    </w:p>
    <w:p>
      <w:pPr>
        <w:spacing w:after="0" w:line="205" w:lineRule="exact"/>
        <w:rPr>
          <w:sz w:val="20"/>
          <w:szCs w:val="20"/>
          <w:color w:val="auto"/>
        </w:rPr>
      </w:pPr>
    </w:p>
    <w:p>
      <w:pPr>
        <w:ind w:left="8160"/>
        <w:spacing w:after="0"/>
        <w:rPr>
          <w:sz w:val="20"/>
          <w:szCs w:val="20"/>
          <w:color w:val="auto"/>
        </w:rPr>
      </w:pPr>
      <w:r>
        <w:rPr>
          <w:rFonts w:ascii="Arial" w:cs="Arial" w:eastAsia="Arial" w:hAnsi="Arial"/>
          <w:sz w:val="15"/>
          <w:szCs w:val="15"/>
          <w:b w:val="1"/>
          <w:bCs w:val="1"/>
          <w:color w:val="auto"/>
        </w:rPr>
        <w:t>The shares represented by this proxy,</w:t>
      </w:r>
    </w:p>
    <w:p>
      <w:pPr>
        <w:spacing w:after="0" w:line="61"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when properly executed, will be</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voted in the manner directed herein</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by the undersigned stockholder(s). If</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no direction is made, this proxy will</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be voted “FOR” each of Proposal</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Nos. 1, 2, 3, 4, 5, 6, 7, 8, 9 and 10.</w:t>
      </w:r>
    </w:p>
    <w:p>
      <w:pPr>
        <w:spacing w:after="0" w:line="20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If any other matters properly come</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before the Special Meeting, unless such</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authority is withheld on this proxy</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card, the Proxies will vote on such</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matters in their discretion.</w:t>
      </w:r>
    </w:p>
    <w:p>
      <w:pPr>
        <w:spacing w:after="0" w:line="17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PLEASE DETACH ALONG PERFORATED LINE AND MAIL IN THE ENVELOPE PROVIDED.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7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sectPr>
      <w:pgSz w:w="11900" w:h="16838" w:orient="portrait"/>
      <w:cols w:equalWidth="0" w:num="1">
        <w:col w:w="11020"/>
      </w:cols>
      <w:pgMar w:left="240" w:top="90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106A57"/>
    <w:multiLevelType w:val="hybridMultilevel"/>
    <w:lvl w:ilvl="0">
      <w:lvlJc w:val="left"/>
      <w:lvlText w:val="☒"/>
      <w:numFmt w:val="bullet"/>
      <w:start w:val="1"/>
    </w:lvl>
  </w:abstractNum>
  <w:abstractNum w:abstractNumId="1">
    <w:nsid w:val="684EED59"/>
    <w:multiLevelType w:val="hybridMultilevel"/>
    <w:lvl w:ilvl="0">
      <w:lvlJc w:val="left"/>
      <w:lvlText w:val="☐"/>
      <w:numFmt w:val="bullet"/>
      <w:start w:val="1"/>
    </w:lvl>
  </w:abstractNum>
  <w:abstractNum w:abstractNumId="2">
    <w:nsid w:val="545EE5D3"/>
    <w:multiLevelType w:val="hybridMultilevel"/>
    <w:lvl w:ilvl="0">
      <w:lvlJc w:val="left"/>
      <w:lvlText w:val="☐"/>
      <w:numFmt w:val="bullet"/>
      <w:start w:val="1"/>
    </w:lvl>
    <w:lvl w:ilvl="1">
      <w:lvlJc w:val="left"/>
      <w:lvlText w:val="(%2)"/>
      <w:numFmt w:val="decimal"/>
      <w:start w:val="1"/>
    </w:lvl>
  </w:abstractNum>
  <w:abstractNum w:abstractNumId="3">
    <w:nsid w:val="4A66051"/>
    <w:multiLevelType w:val="hybridMultilevel"/>
    <w:lvl w:ilvl="0">
      <w:lvlJc w:val="left"/>
      <w:lvlText w:val="☒"/>
      <w:numFmt w:val="bullet"/>
      <w:start w:val="1"/>
    </w:lvl>
  </w:abstractNum>
  <w:abstractNum w:abstractNumId="4">
    <w:nsid w:val="20F4BDAD"/>
    <w:multiLevelType w:val="hybridMultilevel"/>
    <w:lvl w:ilvl="0">
      <w:lvlJc w:val="left"/>
      <w:lvlText w:val="☐"/>
      <w:numFmt w:val="bullet"/>
      <w:start w:val="1"/>
    </w:lvl>
    <w:lvl w:ilvl="1">
      <w:lvlJc w:val="left"/>
      <w:lvlText w:val="(%2)"/>
      <w:numFmt w:val="decimal"/>
      <w:start w:val="1"/>
    </w:lvl>
  </w:abstractNum>
  <w:abstractNum w:abstractNumId="5">
    <w:nsid w:val="639DEFAC"/>
    <w:multiLevelType w:val="hybridMultilevel"/>
    <w:lvl w:ilvl="0">
      <w:lvlJc w:val="left"/>
      <w:lvlText w:val="(%1)"/>
      <w:numFmt w:val="lowerRoman"/>
      <w:start w:val="4"/>
    </w:lvl>
  </w:abstractNum>
  <w:abstractNum w:abstractNumId="6">
    <w:nsid w:val="501F9786"/>
    <w:multiLevelType w:val="hybridMultilevel"/>
    <w:lvl w:ilvl="0">
      <w:lvlJc w:val="left"/>
      <w:lvlText w:val="%1."/>
      <w:numFmt w:val="decimal"/>
      <w:start w:val="1"/>
    </w:lvl>
  </w:abstractNum>
  <w:abstractNum w:abstractNumId="7">
    <w:nsid w:val="6B057295"/>
    <w:multiLevelType w:val="hybridMultilevel"/>
    <w:lvl w:ilvl="0">
      <w:lvlJc w:val="left"/>
      <w:lvlText w:val="%1."/>
      <w:numFmt w:val="decimal"/>
      <w:start w:val="10"/>
    </w:lvl>
  </w:abstractNum>
  <w:abstractNum w:abstractNumId="8">
    <w:nsid w:val="2771AC80"/>
    <w:multiLevelType w:val="hybridMultilevel"/>
    <w:lvl w:ilvl="0">
      <w:lvlJc w:val="left"/>
      <w:lvlText w:val="·"/>
      <w:numFmt w:val="bullet"/>
      <w:start w:val="1"/>
    </w:lvl>
  </w:abstractNum>
  <w:abstractNum w:abstractNumId="9">
    <w:nsid w:val="1C4A08EC"/>
    <w:multiLevelType w:val="hybridMultilevel"/>
    <w:lvl w:ilvl="0">
      <w:lvlJc w:val="left"/>
      <w:lvlText w:val="·"/>
      <w:numFmt w:val="bullet"/>
      <w:start w:val="1"/>
    </w:lvl>
  </w:abstractNum>
  <w:abstractNum w:abstractNumId="10">
    <w:nsid w:val="1958BD17"/>
    <w:multiLevelType w:val="hybridMultilevel"/>
    <w:lvl w:ilvl="0">
      <w:lvlJc w:val="left"/>
      <w:lvlText w:val="%1:"/>
      <w:numFmt w:val="upperLetter"/>
      <w:start w:val="17"/>
    </w:lvl>
  </w:abstractNum>
  <w:abstractNum w:abstractNumId="11">
    <w:nsid w:val="4E647FE4"/>
    <w:multiLevelType w:val="hybridMultilevel"/>
    <w:lvl w:ilvl="0">
      <w:lvlJc w:val="left"/>
      <w:lvlText w:val="%1:"/>
      <w:numFmt w:val="upperLetter"/>
      <w:start w:val="1"/>
    </w:lvl>
  </w:abstractNum>
  <w:abstractNum w:abstractNumId="12">
    <w:nsid w:val="E0BB885"/>
    <w:multiLevelType w:val="hybridMultilevel"/>
    <w:lvl w:ilvl="0">
      <w:lvlJc w:val="left"/>
      <w:lvlText w:val="%1:"/>
      <w:numFmt w:val="upperLetter"/>
      <w:start w:val="17"/>
    </w:lvl>
  </w:abstractNum>
  <w:abstractNum w:abstractNumId="13">
    <w:nsid w:val="565976F1"/>
    <w:multiLevelType w:val="hybridMultilevel"/>
    <w:lvl w:ilvl="0">
      <w:lvlJc w:val="left"/>
      <w:lvlText w:val="%1:"/>
      <w:numFmt w:val="upperLetter"/>
      <w:start w:val="1"/>
    </w:lvl>
  </w:abstractNum>
  <w:abstractNum w:abstractNumId="14">
    <w:nsid w:val="64212B8C"/>
    <w:multiLevelType w:val="hybridMultilevel"/>
    <w:lvl w:ilvl="0">
      <w:lvlJc w:val="left"/>
      <w:lvlText w:val="%1:"/>
      <w:numFmt w:val="upperLetter"/>
      <w:start w:val="17"/>
    </w:lvl>
  </w:abstractNum>
  <w:abstractNum w:abstractNumId="15">
    <w:nsid w:val="5C17530C"/>
    <w:multiLevelType w:val="hybridMultilevel"/>
    <w:lvl w:ilvl="0">
      <w:lvlJc w:val="left"/>
      <w:lvlText w:val="%1:"/>
      <w:numFmt w:val="upperLetter"/>
      <w:start w:val="1"/>
    </w:lvl>
    <w:lvl w:ilvl="1">
      <w:lvlJc w:val="left"/>
      <w:lvlText w:val="%2."/>
      <w:numFmt w:val="decimal"/>
      <w:start w:val="1"/>
    </w:lvl>
  </w:abstractNum>
  <w:abstractNum w:abstractNumId="16">
    <w:nsid w:val="19A52566"/>
    <w:multiLevelType w:val="hybridMultilevel"/>
    <w:lvl w:ilvl="0">
      <w:lvlJc w:val="left"/>
      <w:lvlText w:val="%1"/>
      <w:numFmt w:val="upperLetter"/>
      <w:start w:val="1"/>
    </w:lvl>
    <w:lvl w:ilvl="1">
      <w:lvlJc w:val="left"/>
      <w:lvlText w:val="%2."/>
      <w:numFmt w:val="decimal"/>
      <w:start w:val="2"/>
    </w:lvl>
  </w:abstractNum>
  <w:abstractNum w:abstractNumId="17">
    <w:nsid w:val="335A1DF1"/>
    <w:multiLevelType w:val="hybridMultilevel"/>
    <w:lvl w:ilvl="0">
      <w:lvlJc w:val="left"/>
      <w:lvlText w:val="%1:"/>
      <w:numFmt w:val="upperLetter"/>
      <w:start w:val="17"/>
    </w:lvl>
    <w:lvl w:ilvl="1">
      <w:lvlJc w:val="left"/>
      <w:lvlText w:val="%2"/>
      <w:numFmt w:val="decimal"/>
      <w:start w:val="1"/>
    </w:lvl>
  </w:abstractNum>
  <w:abstractNum w:abstractNumId="18">
    <w:nsid w:val="28677B7C"/>
    <w:multiLevelType w:val="hybridMultilevel"/>
    <w:lvl w:ilvl="0">
      <w:lvlJc w:val="left"/>
      <w:lvlText w:val="%1:"/>
      <w:numFmt w:val="upperLetter"/>
      <w:start w:val="1"/>
    </w:lvl>
  </w:abstractNum>
  <w:abstractNum w:abstractNumId="19">
    <w:nsid w:val="378D97C0"/>
    <w:multiLevelType w:val="hybridMultilevel"/>
    <w:lvl w:ilvl="0">
      <w:lvlJc w:val="left"/>
      <w:lvlText w:val="%1:"/>
      <w:numFmt w:val="upperLetter"/>
      <w:start w:val="17"/>
    </w:lvl>
  </w:abstractNum>
  <w:abstractNum w:abstractNumId="20">
    <w:nsid w:val="1D91467C"/>
    <w:multiLevelType w:val="hybridMultilevel"/>
    <w:lvl w:ilvl="0">
      <w:lvlJc w:val="left"/>
      <w:lvlText w:val="%1:"/>
      <w:numFmt w:val="upperLetter"/>
      <w:start w:val="1"/>
    </w:lvl>
  </w:abstractNum>
  <w:abstractNum w:abstractNumId="21">
    <w:nsid w:val="316032BB"/>
    <w:multiLevelType w:val="hybridMultilevel"/>
    <w:lvl w:ilvl="0">
      <w:lvlJc w:val="left"/>
      <w:lvlText w:val="%1:"/>
      <w:numFmt w:val="upperLetter"/>
      <w:start w:val="17"/>
    </w:lvl>
  </w:abstractNum>
  <w:abstractNum w:abstractNumId="22">
    <w:nsid w:val="44344C22"/>
    <w:multiLevelType w:val="hybridMultilevel"/>
    <w:lvl w:ilvl="0">
      <w:lvlJc w:val="left"/>
      <w:lvlText w:val="%1:"/>
      <w:numFmt w:val="upperLetter"/>
      <w:start w:val="1"/>
    </w:lvl>
  </w:abstractNum>
  <w:abstractNum w:abstractNumId="23">
    <w:nsid w:val="13CDFCFC"/>
    <w:multiLevelType w:val="hybridMultilevel"/>
    <w:lvl w:ilvl="0">
      <w:lvlJc w:val="left"/>
      <w:lvlText w:val="%1:"/>
      <w:numFmt w:val="upperLetter"/>
      <w:start w:val="17"/>
    </w:lvl>
  </w:abstractNum>
  <w:abstractNum w:abstractNumId="24">
    <w:nsid w:val="471745E4"/>
    <w:multiLevelType w:val="hybridMultilevel"/>
    <w:lvl w:ilvl="0">
      <w:lvlJc w:val="left"/>
      <w:lvlText w:val="%1:"/>
      <w:numFmt w:val="upperLetter"/>
      <w:start w:val="1"/>
    </w:lvl>
  </w:abstractNum>
  <w:abstractNum w:abstractNumId="25">
    <w:nsid w:val="1DDBC66"/>
    <w:multiLevelType w:val="hybridMultilevel"/>
    <w:lvl w:ilvl="0">
      <w:lvlJc w:val="left"/>
      <w:lvlText w:val="%1:"/>
      <w:numFmt w:val="upperLetter"/>
      <w:start w:val="17"/>
    </w:lvl>
  </w:abstractNum>
  <w:abstractNum w:abstractNumId="26">
    <w:nsid w:val="30AADFDA"/>
    <w:multiLevelType w:val="hybridMultilevel"/>
    <w:lvl w:ilvl="0">
      <w:lvlJc w:val="left"/>
      <w:lvlText w:val="%1:"/>
      <w:numFmt w:val="upperLetter"/>
      <w:start w:val="1"/>
    </w:lvl>
  </w:abstractNum>
  <w:abstractNum w:abstractNumId="27">
    <w:nsid w:val="30EADA61"/>
    <w:multiLevelType w:val="hybridMultilevel"/>
    <w:lvl w:ilvl="0">
      <w:lvlJc w:val="left"/>
      <w:lvlText w:val="%1:"/>
      <w:numFmt w:val="upperLetter"/>
      <w:start w:val="17"/>
    </w:lvl>
  </w:abstractNum>
  <w:abstractNum w:abstractNumId="28">
    <w:nsid w:val="27179C0B"/>
    <w:multiLevelType w:val="hybridMultilevel"/>
    <w:lvl w:ilvl="0">
      <w:lvlJc w:val="left"/>
      <w:lvlText w:val="%1:"/>
      <w:numFmt w:val="upperLetter"/>
      <w:start w:val="1"/>
    </w:lvl>
  </w:abstractNum>
  <w:abstractNum w:abstractNumId="29">
    <w:nsid w:val="5E636063"/>
    <w:multiLevelType w:val="hybridMultilevel"/>
    <w:lvl w:ilvl="0">
      <w:lvlJc w:val="left"/>
      <w:lvlText w:val="%1:"/>
      <w:numFmt w:val="upperLetter"/>
      <w:start w:val="17"/>
    </w:lvl>
  </w:abstractNum>
  <w:abstractNum w:abstractNumId="30">
    <w:nsid w:val="215641AF"/>
    <w:multiLevelType w:val="hybridMultilevel"/>
    <w:lvl w:ilvl="0">
      <w:lvlJc w:val="left"/>
      <w:lvlText w:val="%1:"/>
      <w:numFmt w:val="upperLetter"/>
      <w:start w:val="1"/>
    </w:lvl>
  </w:abstractNum>
  <w:abstractNum w:abstractNumId="31">
    <w:nsid w:val="53280662"/>
    <w:multiLevelType w:val="hybridMultilevel"/>
    <w:lvl w:ilvl="0">
      <w:lvlJc w:val="left"/>
      <w:lvlText w:val="%1:"/>
      <w:numFmt w:val="upperLetter"/>
      <w:start w:val="17"/>
    </w:lvl>
  </w:abstractNum>
  <w:abstractNum w:abstractNumId="32">
    <w:nsid w:val="46B24DBC"/>
    <w:multiLevelType w:val="hybridMultilevel"/>
    <w:lvl w:ilvl="0">
      <w:lvlJc w:val="left"/>
      <w:lvlText w:val="%1:"/>
      <w:numFmt w:val="upperLetter"/>
      <w:start w:val="1"/>
    </w:lvl>
  </w:abstractNum>
  <w:abstractNum w:abstractNumId="33">
    <w:nsid w:val="75B52783"/>
    <w:multiLevelType w:val="hybridMultilevel"/>
    <w:lvl w:ilvl="0">
      <w:lvlJc w:val="left"/>
      <w:lvlText w:val="%1:"/>
      <w:numFmt w:val="upperLetter"/>
      <w:start w:val="17"/>
    </w:lvl>
  </w:abstractNum>
  <w:abstractNum w:abstractNumId="34">
    <w:nsid w:val="57CE66B4"/>
    <w:multiLevelType w:val="hybridMultilevel"/>
    <w:lvl w:ilvl="0">
      <w:lvlJc w:val="left"/>
      <w:lvlText w:val="%1:"/>
      <w:numFmt w:val="upperLetter"/>
      <w:start w:val="1"/>
    </w:lvl>
  </w:abstractNum>
  <w:abstractNum w:abstractNumId="35">
    <w:nsid w:val="67A70B69"/>
    <w:multiLevelType w:val="hybridMultilevel"/>
    <w:lvl w:ilvl="0">
      <w:lvlJc w:val="left"/>
      <w:lvlText w:val="%1:"/>
      <w:numFmt w:val="upperLetter"/>
      <w:start w:val="17"/>
    </w:lvl>
  </w:abstractNum>
  <w:abstractNum w:abstractNumId="36">
    <w:nsid w:val="5953172F"/>
    <w:multiLevelType w:val="hybridMultilevel"/>
    <w:lvl w:ilvl="0">
      <w:lvlJc w:val="left"/>
      <w:lvlText w:val="%1:"/>
      <w:numFmt w:val="upperLetter"/>
      <w:start w:val="1"/>
    </w:lvl>
  </w:abstractNum>
  <w:abstractNum w:abstractNumId="37">
    <w:nsid w:val="27EDFE3A"/>
    <w:multiLevelType w:val="hybridMultilevel"/>
    <w:lvl w:ilvl="0">
      <w:lvlJc w:val="left"/>
      <w:lvlText w:val="%1:"/>
      <w:numFmt w:val="upperLetter"/>
      <w:start w:val="17"/>
    </w:lvl>
  </w:abstractNum>
  <w:abstractNum w:abstractNumId="38">
    <w:nsid w:val="52AC7DFF"/>
    <w:multiLevelType w:val="hybridMultilevel"/>
    <w:lvl w:ilvl="0">
      <w:lvlJc w:val="left"/>
      <w:lvlText w:val="%1:"/>
      <w:numFmt w:val="upperLetter"/>
      <w:start w:val="1"/>
    </w:lvl>
  </w:abstractNum>
  <w:abstractNum w:abstractNumId="39">
    <w:nsid w:val="C4C3AF"/>
    <w:multiLevelType w:val="hybridMultilevel"/>
    <w:lvl w:ilvl="0">
      <w:lvlJc w:val="left"/>
      <w:lvlText w:val="%1:"/>
      <w:numFmt w:val="upperLetter"/>
      <w:start w:val="17"/>
    </w:lvl>
  </w:abstractNum>
  <w:abstractNum w:abstractNumId="40">
    <w:nsid w:val="44380727"/>
    <w:multiLevelType w:val="hybridMultilevel"/>
    <w:lvl w:ilvl="0">
      <w:lvlJc w:val="left"/>
      <w:lvlText w:val="%1:"/>
      <w:numFmt w:val="upperLetter"/>
      <w:start w:val="1"/>
    </w:lvl>
  </w:abstractNum>
  <w:abstractNum w:abstractNumId="41">
    <w:nsid w:val="6C053B16"/>
    <w:multiLevelType w:val="hybridMultilevel"/>
    <w:lvl w:ilvl="0">
      <w:lvlJc w:val="left"/>
      <w:lvlText w:val="%1:"/>
      <w:numFmt w:val="upperLetter"/>
      <w:start w:val="17"/>
    </w:lvl>
  </w:abstractNum>
  <w:abstractNum w:abstractNumId="42">
    <w:nsid w:val="4F294393"/>
    <w:multiLevelType w:val="hybridMultilevel"/>
    <w:lvl w:ilvl="0">
      <w:lvlJc w:val="left"/>
      <w:lvlText w:val="%1:"/>
      <w:numFmt w:val="upperLetter"/>
      <w:start w:val="1"/>
    </w:lvl>
  </w:abstractNum>
  <w:abstractNum w:abstractNumId="43">
    <w:nsid w:val="5243BFAC"/>
    <w:multiLevelType w:val="hybridMultilevel"/>
    <w:lvl w:ilvl="0">
      <w:lvlJc w:val="left"/>
      <w:lvlText w:val="%1:"/>
      <w:numFmt w:val="upperLetter"/>
      <w:start w:val="17"/>
    </w:lvl>
  </w:abstractNum>
  <w:abstractNum w:abstractNumId="44">
    <w:nsid w:val="425EB207"/>
    <w:multiLevelType w:val="hybridMultilevel"/>
    <w:lvl w:ilvl="0">
      <w:lvlJc w:val="left"/>
      <w:lvlText w:val="%1:"/>
      <w:numFmt w:val="upperLetter"/>
      <w:start w:val="1"/>
    </w:lvl>
  </w:abstractNum>
  <w:abstractNum w:abstractNumId="45">
    <w:nsid w:val="334A6F1F"/>
    <w:multiLevelType w:val="hybridMultilevel"/>
    <w:lvl w:ilvl="0">
      <w:lvlJc w:val="left"/>
      <w:lvlText w:val="%1:"/>
      <w:numFmt w:val="upperLetter"/>
      <w:start w:val="17"/>
    </w:lvl>
  </w:abstractNum>
  <w:abstractNum w:abstractNumId="46">
    <w:nsid w:val="2E5B12B8"/>
    <w:multiLevelType w:val="hybridMultilevel"/>
    <w:lvl w:ilvl="0">
      <w:lvlJc w:val="left"/>
      <w:lvlText w:val="%1:"/>
      <w:numFmt w:val="upperLetter"/>
      <w:start w:val="1"/>
    </w:lvl>
  </w:abstractNum>
  <w:abstractNum w:abstractNumId="47">
    <w:nsid w:val="5C03D76D"/>
    <w:multiLevelType w:val="hybridMultilevel"/>
    <w:lvl w:ilvl="0">
      <w:lvlJc w:val="left"/>
      <w:lvlText w:val="%1:"/>
      <w:numFmt w:val="upperLetter"/>
      <w:start w:val="17"/>
    </w:lvl>
  </w:abstractNum>
  <w:abstractNum w:abstractNumId="48">
    <w:nsid w:val="66A48D11"/>
    <w:multiLevelType w:val="hybridMultilevel"/>
    <w:lvl w:ilvl="0">
      <w:lvlJc w:val="left"/>
      <w:lvlText w:val="%1:"/>
      <w:numFmt w:val="upperLetter"/>
      <w:start w:val="1"/>
    </w:lvl>
  </w:abstractNum>
  <w:abstractNum w:abstractNumId="49">
    <w:nsid w:val="56C28E34"/>
    <w:multiLevelType w:val="hybridMultilevel"/>
    <w:lvl w:ilvl="0">
      <w:lvlJc w:val="left"/>
      <w:lvlText w:val="%1:"/>
      <w:numFmt w:val="upperLetter"/>
      <w:start w:val="17"/>
    </w:lvl>
  </w:abstractNum>
  <w:abstractNum w:abstractNumId="50">
    <w:nsid w:val="13916F2D"/>
    <w:multiLevelType w:val="hybridMultilevel"/>
    <w:lvl w:ilvl="0">
      <w:lvlJc w:val="left"/>
      <w:lvlText w:val="%1:"/>
      <w:numFmt w:val="upperLetter"/>
      <w:start w:val="1"/>
    </w:lvl>
  </w:abstractNum>
  <w:abstractNum w:abstractNumId="51">
    <w:nsid w:val="435D38D"/>
    <w:multiLevelType w:val="hybridMultilevel"/>
    <w:lvl w:ilvl="0">
      <w:lvlJc w:val="left"/>
      <w:lvlText w:val="%1:"/>
      <w:numFmt w:val="upperLetter"/>
      <w:start w:val="17"/>
    </w:lvl>
  </w:abstractNum>
  <w:abstractNum w:abstractNumId="52">
    <w:nsid w:val="822C0EF"/>
    <w:multiLevelType w:val="hybridMultilevel"/>
    <w:lvl w:ilvl="0">
      <w:lvlJc w:val="left"/>
      <w:lvlText w:val="%1:"/>
      <w:numFmt w:val="upperLetter"/>
      <w:start w:val="1"/>
    </w:lvl>
  </w:abstractNum>
  <w:abstractNum w:abstractNumId="53">
    <w:nsid w:val="57C5BB4F"/>
    <w:multiLevelType w:val="hybridMultilevel"/>
    <w:lvl w:ilvl="0">
      <w:lvlJc w:val="left"/>
      <w:lvlText w:val="%1:"/>
      <w:numFmt w:val="upperLetter"/>
      <w:start w:val="17"/>
    </w:lvl>
  </w:abstractNum>
  <w:abstractNum w:abstractNumId="54">
    <w:nsid w:val="1803D089"/>
    <w:multiLevelType w:val="hybridMultilevel"/>
    <w:lvl w:ilvl="0">
      <w:lvlJc w:val="left"/>
      <w:lvlText w:val="%1:"/>
      <w:numFmt w:val="upperLetter"/>
      <w:start w:val="1"/>
    </w:lvl>
  </w:abstractNum>
  <w:abstractNum w:abstractNumId="55">
    <w:nsid w:val="4F3A06D4"/>
    <w:multiLevelType w:val="hybridMultilevel"/>
    <w:lvl w:ilvl="0">
      <w:lvlJc w:val="left"/>
      <w:lvlText w:val="%1:"/>
      <w:numFmt w:val="upperLetter"/>
      <w:start w:val="17"/>
    </w:lvl>
  </w:abstractNum>
  <w:abstractNum w:abstractNumId="56">
    <w:nsid w:val="59A377B6"/>
    <w:multiLevelType w:val="hybridMultilevel"/>
    <w:lvl w:ilvl="0">
      <w:lvlJc w:val="left"/>
      <w:lvlText w:val="%1:"/>
      <w:numFmt w:val="upperLetter"/>
      <w:start w:val="1"/>
    </w:lvl>
  </w:abstractNum>
  <w:abstractNum w:abstractNumId="57">
    <w:nsid w:val="48AEB063"/>
    <w:multiLevelType w:val="hybridMultilevel"/>
    <w:lvl w:ilvl="0">
      <w:lvlJc w:val="left"/>
      <w:lvlText w:val="%1:"/>
      <w:numFmt w:val="upperLetter"/>
      <w:start w:val="17"/>
    </w:lvl>
  </w:abstractNum>
  <w:abstractNum w:abstractNumId="58">
    <w:nsid w:val="24E135"/>
    <w:multiLevelType w:val="hybridMultilevel"/>
    <w:lvl w:ilvl="0">
      <w:lvlJc w:val="left"/>
      <w:lvlText w:val="%1:"/>
      <w:numFmt w:val="upperLetter"/>
      <w:start w:val="1"/>
    </w:lvl>
  </w:abstractNum>
  <w:abstractNum w:abstractNumId="59">
    <w:nsid w:val="BB13C1"/>
    <w:multiLevelType w:val="hybridMultilevel"/>
    <w:lvl w:ilvl="0">
      <w:lvlJc w:val="left"/>
      <w:lvlText w:val="%1:"/>
      <w:numFmt w:val="upperLetter"/>
      <w:start w:val="17"/>
    </w:lvl>
  </w:abstractNum>
  <w:abstractNum w:abstractNumId="60">
    <w:nsid w:val="271210C7"/>
    <w:multiLevelType w:val="hybridMultilevel"/>
    <w:lvl w:ilvl="0">
      <w:lvlJc w:val="left"/>
      <w:lvlText w:val="%1:"/>
      <w:numFmt w:val="upperLetter"/>
      <w:start w:val="1"/>
    </w:lvl>
  </w:abstractNum>
  <w:abstractNum w:abstractNumId="61">
    <w:nsid w:val="217B22E4"/>
    <w:multiLevelType w:val="hybridMultilevel"/>
    <w:lvl w:ilvl="0">
      <w:lvlJc w:val="left"/>
      <w:lvlText w:val="%1:"/>
      <w:numFmt w:val="upperLetter"/>
      <w:start w:val="17"/>
    </w:lvl>
  </w:abstractNum>
  <w:abstractNum w:abstractNumId="62">
    <w:nsid w:val="53E31A24"/>
    <w:multiLevelType w:val="hybridMultilevel"/>
    <w:lvl w:ilvl="0">
      <w:lvlJc w:val="left"/>
      <w:lvlText w:val="%1:"/>
      <w:numFmt w:val="upperLetter"/>
      <w:start w:val="1"/>
    </w:lvl>
  </w:abstractNum>
  <w:abstractNum w:abstractNumId="63">
    <w:nsid w:val="6DC45E83"/>
    <w:multiLevelType w:val="hybridMultilevel"/>
    <w:lvl w:ilvl="0">
      <w:lvlJc w:val="left"/>
      <w:lvlText w:val="%1:"/>
      <w:numFmt w:val="upperLetter"/>
      <w:start w:val="17"/>
    </w:lvl>
  </w:abstractNum>
  <w:abstractNum w:abstractNumId="64">
    <w:nsid w:val="17304A67"/>
    <w:multiLevelType w:val="hybridMultilevel"/>
    <w:lvl w:ilvl="0">
      <w:lvlJc w:val="left"/>
      <w:lvlText w:val="%1:"/>
      <w:numFmt w:val="upperLetter"/>
      <w:start w:val="1"/>
    </w:lvl>
  </w:abstractNum>
  <w:abstractNum w:abstractNumId="65">
    <w:nsid w:val="2BB180D8"/>
    <w:multiLevelType w:val="hybridMultilevel"/>
    <w:lvl w:ilvl="0">
      <w:lvlJc w:val="left"/>
      <w:lvlText w:val="%1:"/>
      <w:numFmt w:val="upperLetter"/>
      <w:start w:val="17"/>
    </w:lvl>
  </w:abstractNum>
  <w:abstractNum w:abstractNumId="66">
    <w:nsid w:val="556B69ED"/>
    <w:multiLevelType w:val="hybridMultilevel"/>
    <w:lvl w:ilvl="0">
      <w:lvlJc w:val="left"/>
      <w:lvlText w:val="%1:"/>
      <w:numFmt w:val="upperLetter"/>
      <w:start w:val="1"/>
    </w:lvl>
  </w:abstractNum>
  <w:abstractNum w:abstractNumId="67">
    <w:nsid w:val="70836196"/>
    <w:multiLevelType w:val="hybridMultilevel"/>
    <w:lvl w:ilvl="0">
      <w:lvlJc w:val="left"/>
      <w:lvlText w:val="%1:"/>
      <w:numFmt w:val="upperLetter"/>
      <w:start w:val="17"/>
    </w:lvl>
  </w:abstractNum>
  <w:abstractNum w:abstractNumId="68">
    <w:nsid w:val="539F7F12"/>
    <w:multiLevelType w:val="hybridMultilevel"/>
    <w:lvl w:ilvl="0">
      <w:lvlJc w:val="left"/>
      <w:lvlText w:val="%1:"/>
      <w:numFmt w:val="upperLetter"/>
      <w:start w:val="1"/>
    </w:lvl>
  </w:abstractNum>
  <w:abstractNum w:abstractNumId="69">
    <w:nsid w:val="2817E7EC"/>
    <w:multiLevelType w:val="hybridMultilevel"/>
    <w:lvl w:ilvl="0">
      <w:lvlJc w:val="left"/>
      <w:lvlText w:val="%1:"/>
      <w:numFmt w:val="upperLetter"/>
      <w:start w:val="17"/>
    </w:lvl>
  </w:abstractNum>
  <w:abstractNum w:abstractNumId="70">
    <w:nsid w:val="71482545"/>
    <w:multiLevelType w:val="hybridMultilevel"/>
    <w:lvl w:ilvl="0">
      <w:lvlJc w:val="left"/>
      <w:lvlText w:val="%1:"/>
      <w:numFmt w:val="upperLetter"/>
      <w:start w:val="1"/>
    </w:lvl>
  </w:abstractNum>
  <w:abstractNum w:abstractNumId="71">
    <w:nsid w:val="17D78639"/>
    <w:multiLevelType w:val="hybridMultilevel"/>
    <w:lvl w:ilvl="0">
      <w:lvlJc w:val="left"/>
      <w:lvlText w:val="%1:"/>
      <w:numFmt w:val="upperLetter"/>
      <w:start w:val="17"/>
    </w:lvl>
  </w:abstractNum>
  <w:abstractNum w:abstractNumId="72">
    <w:nsid w:val="141D2302"/>
    <w:multiLevelType w:val="hybridMultilevel"/>
    <w:lvl w:ilvl="0">
      <w:lvlJc w:val="left"/>
      <w:lvlText w:val="%1:"/>
      <w:numFmt w:val="upperLetter"/>
      <w:start w:val="1"/>
    </w:lvl>
  </w:abstractNum>
  <w:abstractNum w:abstractNumId="73">
    <w:nsid w:val="407168D8"/>
    <w:multiLevelType w:val="hybridMultilevel"/>
    <w:lvl w:ilvl="0">
      <w:lvlJc w:val="left"/>
      <w:lvlText w:val="%1:"/>
      <w:numFmt w:val="upperLetter"/>
      <w:start w:val="16"/>
    </w:lvl>
    <w:lvl w:ilvl="1">
      <w:lvlJc w:val="left"/>
      <w:lvlText w:val="·"/>
      <w:numFmt w:val="bullet"/>
      <w:start w:val="1"/>
    </w:lvl>
  </w:abstractNum>
  <w:abstractNum w:abstractNumId="74">
    <w:nsid w:val="6A1B45E5"/>
    <w:multiLevelType w:val="hybridMultilevel"/>
    <w:lvl w:ilvl="0">
      <w:lvlJc w:val="left"/>
      <w:lvlText w:val="%1:"/>
      <w:numFmt w:val="upperLetter"/>
      <w:start w:val="1"/>
    </w:lvl>
  </w:abstractNum>
  <w:abstractNum w:abstractNumId="75">
    <w:nsid w:val="567BD50A"/>
    <w:multiLevelType w:val="hybridMultilevel"/>
    <w:lvl w:ilvl="0">
      <w:lvlJc w:val="left"/>
      <w:lvlText w:val="(%1)"/>
      <w:numFmt w:val="lowerLetter"/>
      <w:start w:val="1"/>
    </w:lvl>
  </w:abstractNum>
  <w:abstractNum w:abstractNumId="76">
    <w:nsid w:val="73BBD7F8"/>
    <w:multiLevelType w:val="hybridMultilevel"/>
    <w:lvl w:ilvl="0">
      <w:lvlJc w:val="left"/>
      <w:lvlText w:val="·"/>
      <w:numFmt w:val="bullet"/>
      <w:start w:val="1"/>
    </w:lvl>
  </w:abstractNum>
  <w:abstractNum w:abstractNumId="77">
    <w:nsid w:val="1876589D"/>
    <w:multiLevelType w:val="hybridMultilevel"/>
    <w:lvl w:ilvl="0">
      <w:lvlJc w:val="left"/>
      <w:lvlText w:val="·"/>
      <w:numFmt w:val="bullet"/>
      <w:start w:val="1"/>
    </w:lvl>
  </w:abstractNum>
  <w:abstractNum w:abstractNumId="78">
    <w:nsid w:val="327FAC77"/>
    <w:multiLevelType w:val="hybridMultilevel"/>
    <w:lvl w:ilvl="0">
      <w:lvlJc w:val="left"/>
      <w:lvlText w:val="•"/>
      <w:numFmt w:val="bullet"/>
      <w:start w:val="1"/>
    </w:lvl>
  </w:abstractNum>
  <w:abstractNum w:abstractNumId="79">
    <w:nsid w:val="5A606509"/>
    <w:multiLevelType w:val="hybridMultilevel"/>
    <w:lvl w:ilvl="0">
      <w:lvlJc w:val="left"/>
      <w:lvlText w:val="•"/>
      <w:numFmt w:val="bullet"/>
      <w:start w:val="1"/>
    </w:lvl>
  </w:abstractNum>
  <w:abstractNum w:abstractNumId="80">
    <w:nsid w:val="6F38E6D1"/>
    <w:multiLevelType w:val="hybridMultilevel"/>
    <w:lvl w:ilvl="0">
      <w:lvlJc w:val="left"/>
      <w:lvlText w:val="•"/>
      <w:numFmt w:val="bullet"/>
      <w:start w:val="1"/>
    </w:lvl>
  </w:abstractNum>
  <w:abstractNum w:abstractNumId="81">
    <w:nsid w:val="46111BA5"/>
    <w:multiLevelType w:val="hybridMultilevel"/>
    <w:lvl w:ilvl="0">
      <w:lvlJc w:val="left"/>
      <w:lvlText w:val="•"/>
      <w:numFmt w:val="bullet"/>
      <w:start w:val="1"/>
    </w:lvl>
  </w:abstractNum>
  <w:abstractNum w:abstractNumId="82">
    <w:nsid w:val="5E963896"/>
    <w:multiLevelType w:val="hybridMultilevel"/>
    <w:lvl w:ilvl="0">
      <w:lvlJc w:val="left"/>
      <w:lvlText w:val="•"/>
      <w:numFmt w:val="bullet"/>
      <w:start w:val="1"/>
    </w:lvl>
  </w:abstractNum>
  <w:abstractNum w:abstractNumId="83">
    <w:nsid w:val="775BA7C1"/>
    <w:multiLevelType w:val="hybridMultilevel"/>
    <w:lvl w:ilvl="0">
      <w:lvlJc w:val="left"/>
      <w:lvlText w:val="·"/>
      <w:numFmt w:val="bullet"/>
      <w:start w:val="1"/>
    </w:lvl>
  </w:abstractNum>
  <w:abstractNum w:abstractNumId="84">
    <w:nsid w:val="1DD6D6F4"/>
    <w:multiLevelType w:val="hybridMultilevel"/>
    <w:lvl w:ilvl="0">
      <w:lvlJc w:val="left"/>
      <w:lvlText w:val="·"/>
      <w:numFmt w:val="bullet"/>
      <w:start w:val="1"/>
    </w:lvl>
  </w:abstractNum>
  <w:abstractNum w:abstractNumId="85">
    <w:nsid w:val="769A091F"/>
    <w:multiLevelType w:val="hybridMultilevel"/>
    <w:lvl w:ilvl="0">
      <w:lvlJc w:val="left"/>
      <w:lvlText w:val="·"/>
      <w:numFmt w:val="bullet"/>
      <w:start w:val="1"/>
    </w:lvl>
  </w:abstractNum>
  <w:abstractNum w:abstractNumId="86">
    <w:nsid w:val="4695AE95"/>
    <w:multiLevelType w:val="hybridMultilevel"/>
    <w:lvl w:ilvl="0">
      <w:lvlJc w:val="left"/>
      <w:lvlText w:val="·"/>
      <w:numFmt w:val="bullet"/>
      <w:start w:val="1"/>
    </w:lvl>
  </w:abstractNum>
  <w:abstractNum w:abstractNumId="87">
    <w:nsid w:val="777A4EAA"/>
    <w:multiLevelType w:val="hybridMultilevel"/>
    <w:lvl w:ilvl="0">
      <w:lvlJc w:val="left"/>
      <w:lvlText w:val="·"/>
      <w:numFmt w:val="bullet"/>
      <w:start w:val="1"/>
    </w:lvl>
  </w:abstractNum>
  <w:abstractNum w:abstractNumId="88">
    <w:nsid w:val="3F48B982"/>
    <w:multiLevelType w:val="hybridMultilevel"/>
    <w:lvl w:ilvl="0">
      <w:lvlJc w:val="left"/>
      <w:lvlText w:val="*"/>
      <w:numFmt w:val="bullet"/>
      <w:start w:val="1"/>
    </w:lvl>
  </w:abstractNum>
  <w:abstractNum w:abstractNumId="89">
    <w:nsid w:val="46BA8FCA"/>
    <w:multiLevelType w:val="hybridMultilevel"/>
    <w:lvl w:ilvl="0">
      <w:lvlJc w:val="left"/>
      <w:lvlText w:val="**"/>
      <w:numFmt w:val="bullet"/>
      <w:start w:val="1"/>
    </w:lvl>
  </w:abstractNum>
  <w:abstractNum w:abstractNumId="90">
    <w:nsid w:val="7835626C"/>
    <w:multiLevelType w:val="hybridMultilevel"/>
    <w:lvl w:ilvl="0">
      <w:lvlJc w:val="left"/>
      <w:lvlText w:val="·"/>
      <w:numFmt w:val="bullet"/>
      <w:start w:val="1"/>
    </w:lvl>
  </w:abstractNum>
  <w:abstractNum w:abstractNumId="91">
    <w:nsid w:val="665ACA49"/>
    <w:multiLevelType w:val="hybridMultilevel"/>
    <w:lvl w:ilvl="0">
      <w:lvlJc w:val="left"/>
      <w:lvlText w:val="·"/>
      <w:numFmt w:val="bullet"/>
      <w:start w:val="1"/>
    </w:lvl>
  </w:abstractNum>
  <w:abstractNum w:abstractNumId="92">
    <w:nsid w:val="6835B2AE"/>
    <w:multiLevelType w:val="hybridMultilevel"/>
    <w:lvl w:ilvl="0">
      <w:lvlJc w:val="left"/>
      <w:lvlText w:val="·"/>
      <w:numFmt w:val="bullet"/>
      <w:start w:val="1"/>
    </w:lvl>
  </w:abstractNum>
  <w:abstractNum w:abstractNumId="93">
    <w:nsid w:val="4C187C90"/>
    <w:multiLevelType w:val="hybridMultilevel"/>
    <w:lvl w:ilvl="0">
      <w:lvlJc w:val="left"/>
      <w:lvlText w:val="·"/>
      <w:numFmt w:val="bullet"/>
      <w:start w:val="1"/>
    </w:lvl>
  </w:abstractNum>
  <w:abstractNum w:abstractNumId="94">
    <w:nsid w:val="541F28CD"/>
    <w:multiLevelType w:val="hybridMultilevel"/>
    <w:lvl w:ilvl="0">
      <w:lvlJc w:val="left"/>
      <w:lvlText w:val="·"/>
      <w:numFmt w:val="bullet"/>
      <w:start w:val="1"/>
    </w:lvl>
  </w:abstractNum>
  <w:abstractNum w:abstractNumId="95">
    <w:nsid w:val="7F65FD16"/>
    <w:multiLevelType w:val="hybridMultilevel"/>
    <w:lvl w:ilvl="0">
      <w:lvlJc w:val="left"/>
      <w:lvlText w:val="·"/>
      <w:numFmt w:val="bullet"/>
      <w:start w:val="1"/>
    </w:lvl>
  </w:abstractNum>
  <w:abstractNum w:abstractNumId="96">
    <w:nsid w:val="77C9FD68"/>
    <w:multiLevelType w:val="hybridMultilevel"/>
    <w:lvl w:ilvl="0">
      <w:lvlJc w:val="left"/>
      <w:lvlText w:val="·"/>
      <w:numFmt w:val="bullet"/>
      <w:start w:val="1"/>
    </w:lvl>
  </w:abstractNum>
  <w:abstractNum w:abstractNumId="97">
    <w:nsid w:val="298A92BA"/>
    <w:multiLevelType w:val="hybridMultilevel"/>
    <w:lvl w:ilvl="0">
      <w:lvlJc w:val="left"/>
      <w:lvlText w:val="·"/>
      <w:numFmt w:val="bullet"/>
      <w:start w:val="1"/>
    </w:lvl>
  </w:abstractNum>
  <w:abstractNum w:abstractNumId="98">
    <w:nsid w:val="6FE95EAC"/>
    <w:multiLevelType w:val="hybridMultilevel"/>
    <w:lvl w:ilvl="0">
      <w:lvlJc w:val="left"/>
      <w:lvlText w:val="·"/>
      <w:numFmt w:val="bullet"/>
      <w:start w:val="1"/>
    </w:lvl>
  </w:abstractNum>
  <w:abstractNum w:abstractNumId="99">
    <w:nsid w:val="4B697C7A"/>
    <w:multiLevelType w:val="hybridMultilevel"/>
    <w:lvl w:ilvl="0">
      <w:lvlJc w:val="left"/>
      <w:lvlText w:val="·"/>
      <w:numFmt w:val="bullet"/>
      <w:start w:val="1"/>
    </w:lvl>
  </w:abstractNum>
  <w:abstractNum w:abstractNumId="100">
    <w:nsid w:val="51A27AA6"/>
    <w:multiLevelType w:val="hybridMultilevel"/>
    <w:lvl w:ilvl="0">
      <w:lvlJc w:val="left"/>
      <w:lvlText w:val="·"/>
      <w:numFmt w:val="bullet"/>
      <w:start w:val="1"/>
    </w:lvl>
  </w:abstractNum>
  <w:abstractNum w:abstractNumId="101">
    <w:nsid w:val="613183F2"/>
    <w:multiLevelType w:val="hybridMultilevel"/>
    <w:lvl w:ilvl="0">
      <w:lvlJc w:val="left"/>
      <w:lvlText w:val="%1."/>
      <w:numFmt w:val="decimal"/>
      <w:start w:val="1"/>
    </w:lvl>
  </w:abstractNum>
  <w:abstractNum w:abstractNumId="102">
    <w:nsid w:val="634102B4"/>
    <w:multiLevelType w:val="hybridMultilevel"/>
    <w:lvl w:ilvl="0">
      <w:lvlJc w:val="left"/>
      <w:lvlText w:val="·"/>
      <w:numFmt w:val="bullet"/>
      <w:start w:val="1"/>
    </w:lvl>
  </w:abstractNum>
  <w:abstractNum w:abstractNumId="103">
    <w:nsid w:val="65BF9DA8"/>
    <w:multiLevelType w:val="hybridMultilevel"/>
    <w:lvl w:ilvl="0">
      <w:lvlJc w:val="left"/>
      <w:lvlText w:val="·"/>
      <w:numFmt w:val="bullet"/>
      <w:start w:val="1"/>
    </w:lvl>
  </w:abstractNum>
  <w:abstractNum w:abstractNumId="104">
    <w:nsid w:val="21A2ECCA"/>
    <w:multiLevelType w:val="hybridMultilevel"/>
    <w:lvl w:ilvl="0">
      <w:lvlJc w:val="left"/>
      <w:lvlText w:val="·"/>
      <w:numFmt w:val="bullet"/>
      <w:start w:val="1"/>
    </w:lvl>
  </w:abstractNum>
  <w:abstractNum w:abstractNumId="105">
    <w:nsid w:val="4D5C4899"/>
    <w:multiLevelType w:val="hybridMultilevel"/>
    <w:lvl w:ilvl="0">
      <w:lvlJc w:val="left"/>
      <w:lvlText w:val="·"/>
      <w:numFmt w:val="bullet"/>
      <w:start w:val="1"/>
    </w:lvl>
  </w:abstractNum>
  <w:abstractNum w:abstractNumId="106">
    <w:nsid w:val="3C3B72B2"/>
    <w:multiLevelType w:val="hybridMultilevel"/>
    <w:lvl w:ilvl="0">
      <w:lvlJc w:val="left"/>
      <w:lvlText w:val="·"/>
      <w:numFmt w:val="bullet"/>
      <w:start w:val="1"/>
    </w:lvl>
  </w:abstractNum>
  <w:abstractNum w:abstractNumId="107">
    <w:nsid w:val="155EC4C2"/>
    <w:multiLevelType w:val="hybridMultilevel"/>
    <w:lvl w:ilvl="0">
      <w:lvlJc w:val="left"/>
      <w:lvlText w:val="·"/>
      <w:numFmt w:val="bullet"/>
      <w:start w:val="1"/>
    </w:lvl>
    <w:lvl w:ilvl="1">
      <w:lvlJc w:val="left"/>
      <w:lvlText w:val="·"/>
      <w:numFmt w:val="bullet"/>
      <w:start w:val="1"/>
    </w:lvl>
  </w:abstractNum>
  <w:abstractNum w:abstractNumId="108">
    <w:nsid w:val="65D2A137"/>
    <w:multiLevelType w:val="hybridMultilevel"/>
    <w:lvl w:ilvl="0">
      <w:lvlJc w:val="left"/>
      <w:lvlText w:val="·"/>
      <w:numFmt w:val="bullet"/>
      <w:start w:val="1"/>
    </w:lvl>
  </w:abstractNum>
  <w:abstractNum w:abstractNumId="109">
    <w:nsid w:val="6EBB1F2A"/>
    <w:multiLevelType w:val="hybridMultilevel"/>
    <w:lvl w:ilvl="0">
      <w:lvlJc w:val="left"/>
      <w:lvlText w:val="·"/>
      <w:numFmt w:val="bullet"/>
      <w:start w:val="1"/>
    </w:lvl>
  </w:abstractNum>
  <w:abstractNum w:abstractNumId="110">
    <w:nsid w:val="6FBF29CB"/>
    <w:multiLevelType w:val="hybridMultilevel"/>
    <w:lvl w:ilvl="0">
      <w:lvlJc w:val="left"/>
      <w:lvlText w:val="%1."/>
      <w:numFmt w:val="decimal"/>
      <w:start w:val="1"/>
    </w:lvl>
  </w:abstractNum>
  <w:abstractNum w:abstractNumId="111">
    <w:nsid w:val="550B8808"/>
    <w:multiLevelType w:val="hybridMultilevel"/>
    <w:lvl w:ilvl="0">
      <w:lvlJc w:val="left"/>
      <w:lvlText w:val="·"/>
      <w:numFmt w:val="bullet"/>
      <w:start w:val="1"/>
    </w:lvl>
  </w:abstractNum>
  <w:abstractNum w:abstractNumId="112">
    <w:nsid w:val="34CC3ACF"/>
    <w:multiLevelType w:val="hybridMultilevel"/>
    <w:lvl w:ilvl="0">
      <w:lvlJc w:val="left"/>
      <w:lvlText w:val="·"/>
      <w:numFmt w:val="bullet"/>
      <w:start w:val="1"/>
    </w:lvl>
  </w:abstractNum>
  <w:abstractNum w:abstractNumId="113">
    <w:nsid w:val="4E556261"/>
    <w:multiLevelType w:val="hybridMultilevel"/>
    <w:lvl w:ilvl="0">
      <w:lvlJc w:val="left"/>
      <w:lvlText w:val="·"/>
      <w:numFmt w:val="bullet"/>
      <w:start w:val="1"/>
    </w:lvl>
  </w:abstractNum>
  <w:abstractNum w:abstractNumId="114">
    <w:nsid w:val="4C672FC9"/>
    <w:multiLevelType w:val="hybridMultilevel"/>
    <w:lvl w:ilvl="0">
      <w:lvlJc w:val="left"/>
      <w:lvlText w:val="·"/>
      <w:numFmt w:val="bullet"/>
      <w:start w:val="1"/>
    </w:lvl>
  </w:abstractNum>
  <w:abstractNum w:abstractNumId="115">
    <w:nsid w:val="52A311C3"/>
    <w:multiLevelType w:val="hybridMultilevel"/>
    <w:lvl w:ilvl="0">
      <w:lvlJc w:val="left"/>
      <w:lvlText w:val="·"/>
      <w:numFmt w:val="bullet"/>
      <w:start w:val="1"/>
    </w:lvl>
  </w:abstractNum>
  <w:abstractNum w:abstractNumId="116">
    <w:nsid w:val="44EF6B80"/>
    <w:multiLevelType w:val="hybridMultilevel"/>
    <w:lvl w:ilvl="0">
      <w:lvlJc w:val="left"/>
      <w:lvlText w:val="·"/>
      <w:numFmt w:val="bullet"/>
      <w:start w:val="1"/>
    </w:lvl>
  </w:abstractNum>
  <w:abstractNum w:abstractNumId="117">
    <w:nsid w:val="12FCDE5E"/>
    <w:multiLevelType w:val="hybridMultilevel"/>
    <w:lvl w:ilvl="0">
      <w:lvlJc w:val="left"/>
      <w:lvlText w:val="·"/>
      <w:numFmt w:val="bullet"/>
      <w:start w:val="1"/>
    </w:lvl>
  </w:abstractNum>
  <w:abstractNum w:abstractNumId="118">
    <w:nsid w:val="4A1D606E"/>
    <w:multiLevelType w:val="hybridMultilevel"/>
    <w:lvl w:ilvl="0">
      <w:lvlJc w:val="left"/>
      <w:lvlText w:val="·"/>
      <w:numFmt w:val="bullet"/>
      <w:start w:val="1"/>
    </w:lvl>
  </w:abstractNum>
  <w:abstractNum w:abstractNumId="119">
    <w:nsid w:val="4382503"/>
    <w:multiLevelType w:val="hybridMultilevel"/>
    <w:lvl w:ilvl="0">
      <w:lvlJc w:val="left"/>
      <w:lvlText w:val="·"/>
      <w:numFmt w:val="bullet"/>
      <w:start w:val="1"/>
    </w:lvl>
  </w:abstractNum>
  <w:abstractNum w:abstractNumId="120">
    <w:nsid w:val="59B76E28"/>
    <w:multiLevelType w:val="hybridMultilevel"/>
    <w:lvl w:ilvl="0">
      <w:lvlJc w:val="left"/>
      <w:lvlText w:val="·"/>
      <w:numFmt w:val="bullet"/>
      <w:start w:val="1"/>
    </w:lvl>
  </w:abstractNum>
  <w:abstractNum w:abstractNumId="121">
    <w:nsid w:val="4252C2DA"/>
    <w:multiLevelType w:val="hybridMultilevel"/>
    <w:lvl w:ilvl="0">
      <w:lvlJc w:val="left"/>
      <w:lvlText w:val="(%1)"/>
      <w:numFmt w:val="lowerRoman"/>
      <w:start w:val="1"/>
    </w:lvl>
  </w:abstractNum>
  <w:abstractNum w:abstractNumId="122">
    <w:nsid w:val="6A92EF4C"/>
    <w:multiLevelType w:val="hybridMultilevel"/>
    <w:lvl w:ilvl="0">
      <w:lvlJc w:val="left"/>
      <w:lvlText w:val="·"/>
      <w:numFmt w:val="bullet"/>
      <w:start w:val="1"/>
    </w:lvl>
  </w:abstractNum>
  <w:abstractNum w:abstractNumId="123">
    <w:nsid w:val="41ED20D7"/>
    <w:multiLevelType w:val="hybridMultilevel"/>
    <w:lvl w:ilvl="0">
      <w:lvlJc w:val="left"/>
      <w:lvlText w:val="(%1)"/>
      <w:numFmt w:val="lowerRoman"/>
      <w:start w:val="1"/>
    </w:lvl>
  </w:abstractNum>
  <w:abstractNum w:abstractNumId="124">
    <w:nsid w:val="E6B3F6A"/>
    <w:multiLevelType w:val="hybridMultilevel"/>
    <w:lvl w:ilvl="0">
      <w:lvlJc w:val="left"/>
      <w:lvlText w:val="·"/>
      <w:numFmt w:val="bullet"/>
      <w:start w:val="1"/>
    </w:lvl>
  </w:abstractNum>
  <w:abstractNum w:abstractNumId="125">
    <w:nsid w:val="3EB21819"/>
    <w:multiLevelType w:val="hybridMultilevel"/>
    <w:lvl w:ilvl="0">
      <w:lvlJc w:val="left"/>
      <w:lvlText w:val="·"/>
      <w:numFmt w:val="bullet"/>
      <w:start w:val="1"/>
    </w:lvl>
  </w:abstractNum>
  <w:abstractNum w:abstractNumId="126">
    <w:nsid w:val="41531DED"/>
    <w:multiLevelType w:val="hybridMultilevel"/>
    <w:lvl w:ilvl="0">
      <w:lvlJc w:val="left"/>
      <w:lvlText w:val="·"/>
      <w:numFmt w:val="bullet"/>
      <w:start w:val="1"/>
    </w:lvl>
  </w:abstractNum>
  <w:abstractNum w:abstractNumId="127">
    <w:nsid w:val="6353CD2"/>
    <w:multiLevelType w:val="hybridMultilevel"/>
    <w:lvl w:ilvl="0">
      <w:lvlJc w:val="left"/>
      <w:lvlText w:val="·"/>
      <w:numFmt w:val="bullet"/>
      <w:start w:val="1"/>
    </w:lvl>
  </w:abstractNum>
  <w:abstractNum w:abstractNumId="128">
    <w:nsid w:val="683CAAD3"/>
    <w:multiLevelType w:val="hybridMultilevel"/>
    <w:lvl w:ilvl="0">
      <w:lvlJc w:val="left"/>
      <w:lvlText w:val="·"/>
      <w:numFmt w:val="bullet"/>
      <w:start w:val="1"/>
    </w:lvl>
  </w:abstractNum>
  <w:abstractNum w:abstractNumId="129">
    <w:nsid w:val="313C7C99"/>
    <w:multiLevelType w:val="hybridMultilevel"/>
    <w:lvl w:ilvl="0">
      <w:lvlJc w:val="left"/>
      <w:lvlText w:val="(%1)"/>
      <w:numFmt w:val="lowerRoman"/>
      <w:start w:val="1"/>
    </w:lvl>
  </w:abstractNum>
  <w:abstractNum w:abstractNumId="130">
    <w:nsid w:val="519EB94C"/>
    <w:multiLevelType w:val="hybridMultilevel"/>
    <w:lvl w:ilvl="0">
      <w:lvlJc w:val="left"/>
      <w:lvlText w:val="%1."/>
      <w:numFmt w:val="decimal"/>
      <w:start w:val="1"/>
    </w:lvl>
  </w:abstractNum>
  <w:abstractNum w:abstractNumId="131">
    <w:nsid w:val="39DF2579"/>
    <w:multiLevelType w:val="hybridMultilevel"/>
    <w:lvl w:ilvl="0">
      <w:lvlJc w:val="left"/>
      <w:lvlText w:val="%1."/>
      <w:numFmt w:val="decimal"/>
      <w:start w:val="3"/>
    </w:lvl>
  </w:abstractNum>
  <w:abstractNum w:abstractNumId="132">
    <w:nsid w:val="126E008B"/>
    <w:multiLevelType w:val="hybridMultilevel"/>
    <w:lvl w:ilvl="0">
      <w:lvlJc w:val="left"/>
      <w:lvlText w:val="%1."/>
      <w:numFmt w:val="decimal"/>
      <w:start w:val="1"/>
    </w:lvl>
  </w:abstractNum>
  <w:abstractNum w:abstractNumId="133">
    <w:nsid w:val="34DFBC00"/>
    <w:multiLevelType w:val="hybridMultilevel"/>
    <w:lvl w:ilvl="0">
      <w:lvlJc w:val="left"/>
      <w:lvlText w:val="(%1)"/>
      <w:numFmt w:val="lowerRoman"/>
      <w:start w:val="1"/>
    </w:lvl>
  </w:abstractNum>
  <w:abstractNum w:abstractNumId="134">
    <w:nsid w:val="1F9EC322"/>
    <w:multiLevelType w:val="hybridMultilevel"/>
    <w:lvl w:ilvl="0">
      <w:lvlJc w:val="left"/>
      <w:lvlText w:val="(%1)"/>
      <w:numFmt w:val="lowerRoman"/>
      <w:start w:val="4"/>
    </w:lvl>
  </w:abstractNum>
  <w:abstractNum w:abstractNumId="135">
    <w:nsid w:val="3410ED56"/>
    <w:multiLevelType w:val="hybridMultilevel"/>
    <w:lvl w:ilvl="0">
      <w:lvlJc w:val="left"/>
      <w:lvlText w:val="%1."/>
      <w:numFmt w:val="decimal"/>
      <w:start w:val="4"/>
    </w:lvl>
  </w:abstractNum>
  <w:abstractNum w:abstractNumId="136">
    <w:nsid w:val="23C049A"/>
    <w:multiLevelType w:val="hybridMultilevel"/>
    <w:lvl w:ilvl="0">
      <w:lvlJc w:val="left"/>
      <w:lvlText w:val="·"/>
      <w:numFmt w:val="bullet"/>
      <w:start w:val="1"/>
    </w:lvl>
  </w:abstractNum>
  <w:abstractNum w:abstractNumId="137">
    <w:nsid w:val="5BDA35D4"/>
    <w:multiLevelType w:val="hybridMultilevel"/>
    <w:lvl w:ilvl="0">
      <w:lvlJc w:val="left"/>
      <w:lvlText w:val="(%1)"/>
      <w:numFmt w:val="lowerRoman"/>
      <w:start w:val="1"/>
    </w:lvl>
  </w:abstractNum>
  <w:abstractNum w:abstractNumId="138">
    <w:nsid w:val="496FB218"/>
    <w:multiLevelType w:val="hybridMultilevel"/>
    <w:lvl w:ilvl="0">
      <w:lvlJc w:val="left"/>
      <w:lvlText w:val="·"/>
      <w:numFmt w:val="bullet"/>
      <w:start w:val="1"/>
    </w:lvl>
  </w:abstractNum>
  <w:abstractNum w:abstractNumId="139">
    <w:nsid w:val="680EA5D1"/>
    <w:multiLevelType w:val="hybridMultilevel"/>
    <w:lvl w:ilvl="0">
      <w:lvlJc w:val="left"/>
      <w:lvlText w:val="·"/>
      <w:numFmt w:val="bullet"/>
      <w:start w:val="1"/>
    </w:lvl>
  </w:abstractNum>
  <w:abstractNum w:abstractNumId="140">
    <w:nsid w:val="4A9554FE"/>
    <w:multiLevelType w:val="hybridMultilevel"/>
    <w:lvl w:ilvl="0">
      <w:lvlJc w:val="left"/>
      <w:lvlText w:val="·"/>
      <w:numFmt w:val="bullet"/>
      <w:start w:val="1"/>
    </w:lvl>
  </w:abstractNum>
  <w:abstractNum w:abstractNumId="141">
    <w:nsid w:val="392EDBE4"/>
    <w:multiLevelType w:val="hybridMultilevel"/>
    <w:lvl w:ilvl="0">
      <w:lvlJc w:val="left"/>
      <w:lvlText w:val="·"/>
      <w:numFmt w:val="bullet"/>
      <w:start w:val="1"/>
    </w:lvl>
  </w:abstractNum>
  <w:abstractNum w:abstractNumId="142">
    <w:nsid w:val="3D1A2DD9"/>
    <w:multiLevelType w:val="hybridMultilevel"/>
    <w:lvl w:ilvl="0">
      <w:lvlJc w:val="left"/>
      <w:lvlText w:val="(%1)"/>
      <w:numFmt w:val="decimal"/>
      <w:start w:val="1"/>
    </w:lvl>
  </w:abstractNum>
  <w:abstractNum w:abstractNumId="143">
    <w:nsid w:val="7F618FCD"/>
    <w:multiLevelType w:val="hybridMultilevel"/>
    <w:lvl w:ilvl="0">
      <w:lvlJc w:val="left"/>
      <w:lvlText w:val="·"/>
      <w:numFmt w:val="bullet"/>
      <w:start w:val="1"/>
    </w:lvl>
  </w:abstractNum>
  <w:abstractNum w:abstractNumId="144">
    <w:nsid w:val="7843E45"/>
    <w:multiLevelType w:val="hybridMultilevel"/>
    <w:lvl w:ilvl="0">
      <w:lvlJc w:val="left"/>
      <w:lvlText w:val="·"/>
      <w:numFmt w:val="bullet"/>
      <w:start w:val="1"/>
    </w:lvl>
  </w:abstractNum>
  <w:abstractNum w:abstractNumId="145">
    <w:nsid w:val="9815DA3"/>
    <w:multiLevelType w:val="hybridMultilevel"/>
    <w:lvl w:ilvl="0">
      <w:lvlJc w:val="left"/>
      <w:lvlText w:val="(%1)"/>
      <w:numFmt w:val="decimal"/>
      <w:start w:val="1"/>
    </w:lvl>
  </w:abstractNum>
  <w:abstractNum w:abstractNumId="146">
    <w:nsid w:val="5204A191"/>
    <w:multiLevelType w:val="hybridMultilevel"/>
    <w:lvl w:ilvl="0">
      <w:lvlJc w:val="left"/>
      <w:lvlText w:val="·"/>
      <w:numFmt w:val="bullet"/>
      <w:start w:val="1"/>
    </w:lvl>
  </w:abstractNum>
  <w:abstractNum w:abstractNumId="147">
    <w:nsid w:val="4C73A9C6"/>
    <w:multiLevelType w:val="hybridMultilevel"/>
    <w:lvl w:ilvl="0">
      <w:lvlJc w:val="left"/>
      <w:lvlText w:val="(%1)"/>
      <w:numFmt w:val="decimal"/>
      <w:start w:val="1"/>
    </w:lvl>
  </w:abstractNum>
  <w:abstractNum w:abstractNumId="148">
    <w:nsid w:val="1C7E3C01"/>
    <w:multiLevelType w:val="hybridMultilevel"/>
    <w:lvl w:ilvl="0">
      <w:lvlJc w:val="left"/>
      <w:lvlText w:val="%1."/>
      <w:numFmt w:val="decimal"/>
      <w:start w:val="1"/>
    </w:lvl>
  </w:abstractNum>
  <w:abstractNum w:abstractNumId="149">
    <w:nsid w:val="1C2201FF"/>
    <w:multiLevelType w:val="hybridMultilevel"/>
    <w:lvl w:ilvl="0">
      <w:lvlJc w:val="left"/>
      <w:lvlText w:val="·"/>
      <w:numFmt w:val="bullet"/>
      <w:start w:val="1"/>
    </w:lvl>
  </w:abstractNum>
  <w:abstractNum w:abstractNumId="150">
    <w:nsid w:val="50ABCEC9"/>
    <w:multiLevelType w:val="hybridMultilevel"/>
    <w:lvl w:ilvl="0">
      <w:lvlJc w:val="left"/>
      <w:lvlText w:val="·"/>
      <w:numFmt w:val="bullet"/>
      <w:start w:val="1"/>
    </w:lvl>
  </w:abstractNum>
  <w:abstractNum w:abstractNumId="151">
    <w:nsid w:val="7635AA2A"/>
    <w:multiLevelType w:val="hybridMultilevel"/>
    <w:lvl w:ilvl="0">
      <w:lvlJc w:val="left"/>
      <w:lvlText w:val="·"/>
      <w:numFmt w:val="bullet"/>
      <w:start w:val="1"/>
    </w:lvl>
  </w:abstractNum>
  <w:abstractNum w:abstractNumId="152">
    <w:nsid w:val="5E74C4D9"/>
    <w:multiLevelType w:val="hybridMultilevel"/>
    <w:lvl w:ilvl="0">
      <w:lvlJc w:val="left"/>
      <w:lvlText w:val="%1."/>
      <w:numFmt w:val="decimal"/>
      <w:start w:val="2"/>
    </w:lvl>
  </w:abstractNum>
  <w:abstractNum w:abstractNumId="153">
    <w:nsid w:val="3B3EBE15"/>
    <w:multiLevelType w:val="hybridMultilevel"/>
    <w:lvl w:ilvl="0">
      <w:lvlJc w:val="left"/>
      <w:lvlText w:val="%1."/>
      <w:numFmt w:val="decimal"/>
      <w:start w:val="3"/>
    </w:lvl>
  </w:abstractNum>
  <w:abstractNum w:abstractNumId="154">
    <w:nsid w:val="3822CB01"/>
    <w:multiLevelType w:val="hybridMultilevel"/>
    <w:lvl w:ilvl="0">
      <w:lvlJc w:val="left"/>
      <w:lvlText w:val="(%1)"/>
      <w:numFmt w:val="upperLetter"/>
      <w:start w:val="1"/>
    </w:lvl>
  </w:abstractNum>
  <w:abstractNum w:abstractNumId="155">
    <w:nsid w:val="6CE00443"/>
    <w:multiLevelType w:val="hybridMultilevel"/>
    <w:lvl w:ilvl="0">
      <w:lvlJc w:val="left"/>
      <w:lvlText w:val="(%1)"/>
      <w:numFmt w:val="upperLetter"/>
      <w:start w:val="2"/>
    </w:lvl>
  </w:abstractNum>
  <w:abstractNum w:abstractNumId="156">
    <w:nsid w:val="79F0D62F"/>
    <w:multiLevelType w:val="hybridMultilevel"/>
    <w:lvl w:ilvl="0">
      <w:lvlJc w:val="left"/>
      <w:lvlText w:val="(%1)"/>
      <w:numFmt w:val="upperLetter"/>
      <w:start w:val="10"/>
    </w:lvl>
  </w:abstractNum>
  <w:abstractNum w:abstractNumId="157">
    <w:nsid w:val="7975E8EE"/>
    <w:multiLevelType w:val="hybridMultilevel"/>
    <w:lvl w:ilvl="0">
      <w:lvlJc w:val="left"/>
      <w:lvlText w:val="%1"/>
      <w:numFmt w:val="decimal"/>
      <w:start w:val="1"/>
    </w:lvl>
    <w:lvl w:ilvl="1">
      <w:lvlJc w:val="left"/>
      <w:lvlText w:val="(%2)"/>
      <w:numFmt w:val="upperLetter"/>
      <w:start w:val="27"/>
    </w:lvl>
  </w:abstractNum>
  <w:abstractNum w:abstractNumId="158">
    <w:nsid w:val="73154115"/>
    <w:multiLevelType w:val="hybridMultilevel"/>
    <w:lvl w:ilvl="0">
      <w:lvlJc w:val="left"/>
      <w:lvlText w:val="%1."/>
      <w:numFmt w:val="decimal"/>
      <w:start w:val="4"/>
    </w:lvl>
    <w:lvl w:ilvl="1">
      <w:lvlJc w:val="left"/>
      <w:lvlText w:val="%2"/>
      <w:numFmt w:val="upperLetter"/>
      <w:start w:val="1"/>
    </w:lvl>
  </w:abstractNum>
  <w:abstractNum w:abstractNumId="159">
    <w:nsid w:val="622D8102"/>
    <w:multiLevelType w:val="hybridMultilevel"/>
    <w:lvl w:ilvl="0">
      <w:lvlJc w:val="left"/>
      <w:lvlText w:val="·"/>
      <w:numFmt w:val="bullet"/>
      <w:start w:val="1"/>
    </w:lvl>
    <w:lvl w:ilvl="1">
      <w:lvlJc w:val="left"/>
      <w:lvlText w:val="·"/>
      <w:numFmt w:val="bullet"/>
      <w:start w:val="1"/>
    </w:lvl>
  </w:abstractNum>
  <w:abstractNum w:abstractNumId="160">
    <w:nsid w:val="2AB26587"/>
    <w:multiLevelType w:val="hybridMultilevel"/>
    <w:lvl w:ilvl="0">
      <w:lvlJc w:val="left"/>
      <w:lvlText w:val="·"/>
      <w:numFmt w:val="bullet"/>
      <w:start w:val="1"/>
    </w:lvl>
  </w:abstractNum>
  <w:abstractNum w:abstractNumId="161">
    <w:nsid w:val="44B3FA61"/>
    <w:multiLevelType w:val="hybridMultilevel"/>
    <w:lvl w:ilvl="0">
      <w:lvlJc w:val="left"/>
      <w:lvlText w:val="·"/>
      <w:numFmt w:val="bullet"/>
      <w:start w:val="1"/>
    </w:lvl>
  </w:abstractNum>
  <w:abstractNum w:abstractNumId="162">
    <w:nsid w:val="1C0CA67C"/>
    <w:multiLevelType w:val="hybridMultilevel"/>
    <w:lvl w:ilvl="0">
      <w:lvlJc w:val="left"/>
      <w:lvlText w:val="·"/>
      <w:numFmt w:val="bullet"/>
      <w:start w:val="1"/>
    </w:lvl>
  </w:abstractNum>
  <w:abstractNum w:abstractNumId="163">
    <w:nsid w:val="3D206613"/>
    <w:multiLevelType w:val="hybridMultilevel"/>
    <w:lvl w:ilvl="0">
      <w:lvlJc w:val="left"/>
      <w:lvlText w:val="·"/>
      <w:numFmt w:val="bullet"/>
      <w:start w:val="1"/>
    </w:lvl>
  </w:abstractNum>
  <w:abstractNum w:abstractNumId="164">
    <w:nsid w:val="7993B662"/>
    <w:multiLevelType w:val="hybridMultilevel"/>
    <w:lvl w:ilvl="0">
      <w:lvlJc w:val="left"/>
      <w:lvlText w:val="·"/>
      <w:numFmt w:val="bullet"/>
      <w:start w:val="1"/>
    </w:lvl>
  </w:abstractNum>
  <w:abstractNum w:abstractNumId="165">
    <w:nsid w:val="3BAB699E"/>
    <w:multiLevelType w:val="hybridMultilevel"/>
    <w:lvl w:ilvl="0">
      <w:lvlJc w:val="left"/>
      <w:lvlText w:val="·"/>
      <w:numFmt w:val="bullet"/>
      <w:start w:val="1"/>
    </w:lvl>
  </w:abstractNum>
  <w:abstractNum w:abstractNumId="166">
    <w:nsid w:val="71315369"/>
    <w:multiLevelType w:val="hybridMultilevel"/>
    <w:lvl w:ilvl="0">
      <w:lvlJc w:val="left"/>
      <w:lvlText w:val="%1)"/>
      <w:numFmt w:val="decimal"/>
      <w:start w:val="2"/>
    </w:lvl>
    <w:lvl w:ilvl="1">
      <w:lvlJc w:val="left"/>
      <w:lvlText w:val="·"/>
      <w:numFmt w:val="bullet"/>
      <w:start w:val="1"/>
    </w:lvl>
  </w:abstractNum>
  <w:abstractNum w:abstractNumId="167">
    <w:nsid w:val="7BCFBAFC"/>
    <w:multiLevelType w:val="hybridMultilevel"/>
    <w:lvl w:ilvl="0">
      <w:lvlJc w:val="left"/>
      <w:lvlText w:val="·"/>
      <w:numFmt w:val="bullet"/>
      <w:start w:val="1"/>
    </w:lvl>
  </w:abstractNum>
  <w:abstractNum w:abstractNumId="168">
    <w:nsid w:val="17859F72"/>
    <w:multiLevelType w:val="hybridMultilevel"/>
    <w:lvl w:ilvl="0">
      <w:lvlJc w:val="left"/>
      <w:lvlText w:val="·"/>
      <w:numFmt w:val="bullet"/>
      <w:start w:val="1"/>
    </w:lvl>
  </w:abstractNum>
  <w:abstractNum w:abstractNumId="169">
    <w:nsid w:val="3AA10581"/>
    <w:multiLevelType w:val="hybridMultilevel"/>
    <w:lvl w:ilvl="0">
      <w:lvlJc w:val="left"/>
      <w:lvlText w:val="·"/>
      <w:numFmt w:val="bullet"/>
      <w:start w:val="1"/>
    </w:lvl>
  </w:abstractNum>
  <w:abstractNum w:abstractNumId="170">
    <w:nsid w:val="63DE60CD"/>
    <w:multiLevelType w:val="hybridMultilevel"/>
    <w:lvl w:ilvl="0">
      <w:lvlJc w:val="left"/>
      <w:lvlText w:val="(%1)"/>
      <w:numFmt w:val="decimal"/>
      <w:start w:val="1"/>
    </w:lvl>
  </w:abstractNum>
  <w:abstractNum w:abstractNumId="171">
    <w:nsid w:val="621AF471"/>
    <w:multiLevelType w:val="hybridMultilevel"/>
    <w:lvl w:ilvl="0">
      <w:lvlJc w:val="left"/>
      <w:lvlText w:val="·"/>
      <w:numFmt w:val="bullet"/>
      <w:start w:val="1"/>
    </w:lvl>
  </w:abstractNum>
  <w:abstractNum w:abstractNumId="172">
    <w:nsid w:val="73CFE165"/>
    <w:multiLevelType w:val="hybridMultilevel"/>
    <w:lvl w:ilvl="0">
      <w:lvlJc w:val="left"/>
      <w:lvlText w:val="·"/>
      <w:numFmt w:val="bullet"/>
      <w:start w:val="1"/>
    </w:lvl>
  </w:abstractNum>
  <w:abstractNum w:abstractNumId="173">
    <w:nsid w:val="20F88EA6"/>
    <w:multiLevelType w:val="hybridMultilevel"/>
    <w:lvl w:ilvl="0">
      <w:lvlJc w:val="left"/>
      <w:lvlText w:val="·"/>
      <w:numFmt w:val="bullet"/>
      <w:start w:val="1"/>
    </w:lvl>
  </w:abstractNum>
  <w:abstractNum w:abstractNumId="174">
    <w:nsid w:val="617C843E"/>
    <w:multiLevelType w:val="hybridMultilevel"/>
    <w:lvl w:ilvl="0">
      <w:lvlJc w:val="left"/>
      <w:lvlText w:val="·"/>
      <w:numFmt w:val="bullet"/>
      <w:start w:val="1"/>
    </w:lvl>
  </w:abstractNum>
  <w:abstractNum w:abstractNumId="175">
    <w:nsid w:val="7B541FAB"/>
    <w:multiLevelType w:val="hybridMultilevel"/>
    <w:lvl w:ilvl="0">
      <w:lvlJc w:val="left"/>
      <w:lvlText w:val="·"/>
      <w:numFmt w:val="bullet"/>
      <w:start w:val="1"/>
    </w:lvl>
  </w:abstractNum>
  <w:abstractNum w:abstractNumId="176">
    <w:nsid w:val="2A79EC49"/>
    <w:multiLevelType w:val="hybridMultilevel"/>
    <w:lvl w:ilvl="0">
      <w:lvlJc w:val="left"/>
      <w:lvlText w:val="(%1)"/>
      <w:numFmt w:val="decimal"/>
      <w:start w:val="1"/>
    </w:lvl>
  </w:abstractNum>
  <w:abstractNum w:abstractNumId="177">
    <w:nsid w:val="338125CF"/>
    <w:multiLevelType w:val="hybridMultilevel"/>
    <w:lvl w:ilvl="0">
      <w:lvlJc w:val="left"/>
      <w:lvlText w:val="·"/>
      <w:numFmt w:val="bullet"/>
      <w:start w:val="1"/>
    </w:lvl>
  </w:abstractNum>
  <w:abstractNum w:abstractNumId="178">
    <w:nsid w:val="47C7C971"/>
    <w:multiLevelType w:val="hybridMultilevel"/>
    <w:lvl w:ilvl="0">
      <w:lvlJc w:val="left"/>
      <w:lvlText w:val="·"/>
      <w:numFmt w:val="bullet"/>
      <w:start w:val="1"/>
    </w:lvl>
  </w:abstractNum>
  <w:abstractNum w:abstractNumId="179">
    <w:nsid w:val="46F8284B"/>
    <w:multiLevelType w:val="hybridMultilevel"/>
    <w:lvl w:ilvl="0">
      <w:lvlJc w:val="left"/>
      <w:lvlText w:val="(%1)"/>
      <w:numFmt w:val="decimal"/>
      <w:start w:val="1"/>
    </w:lvl>
  </w:abstractNum>
  <w:abstractNum w:abstractNumId="180">
    <w:nsid w:val="4FA327CE"/>
    <w:multiLevelType w:val="hybridMultilevel"/>
    <w:lvl w:ilvl="0">
      <w:lvlJc w:val="left"/>
      <w:lvlText w:val="(%1)"/>
      <w:numFmt w:val="decimal"/>
      <w:start w:val="1"/>
    </w:lvl>
  </w:abstractNum>
  <w:abstractNum w:abstractNumId="181">
    <w:nsid w:val="1873983A"/>
    <w:multiLevelType w:val="hybridMultilevel"/>
    <w:lvl w:ilvl="0">
      <w:lvlJc w:val="left"/>
      <w:lvlText w:val="(%1)"/>
      <w:numFmt w:val="decimal"/>
      <w:start w:val="1"/>
    </w:lvl>
  </w:abstractNum>
  <w:abstractNum w:abstractNumId="182">
    <w:nsid w:val="3D2DD275"/>
    <w:multiLevelType w:val="hybridMultilevel"/>
    <w:lvl w:ilvl="0">
      <w:lvlJc w:val="left"/>
      <w:lvlText w:val="(%1)"/>
      <w:numFmt w:val="decimal"/>
      <w:start w:val="1"/>
    </w:lvl>
  </w:abstractNum>
  <w:abstractNum w:abstractNumId="183">
    <w:nsid w:val="2E17ECA7"/>
    <w:multiLevelType w:val="hybridMultilevel"/>
    <w:lvl w:ilvl="0">
      <w:lvlJc w:val="left"/>
      <w:lvlText w:val="(%1)"/>
      <w:numFmt w:val="lowerLetter"/>
      <w:start w:val="1"/>
    </w:lvl>
  </w:abstractNum>
  <w:abstractNum w:abstractNumId="184">
    <w:nsid w:val="53B2564F"/>
    <w:multiLevelType w:val="hybridMultilevel"/>
    <w:lvl w:ilvl="0">
      <w:lvlJc w:val="left"/>
      <w:lvlText w:val="(%1)"/>
      <w:numFmt w:val="lowerLetter"/>
      <w:start w:val="3"/>
    </w:lvl>
  </w:abstractNum>
  <w:abstractNum w:abstractNumId="185">
    <w:nsid w:val="75509D76"/>
    <w:multiLevelType w:val="hybridMultilevel"/>
    <w:lvl w:ilvl="0">
      <w:lvlJc w:val="left"/>
      <w:lvlText w:val="%1."/>
      <w:numFmt w:val="decimal"/>
      <w:start w:val="4"/>
    </w:lvl>
  </w:abstractNum>
  <w:abstractNum w:abstractNumId="186">
    <w:nsid w:val="1AF7F0EA"/>
    <w:multiLevelType w:val="hybridMultilevel"/>
    <w:lvl w:ilvl="0">
      <w:lvlJc w:val="left"/>
      <w:lvlText w:val="%1."/>
      <w:numFmt w:val="decimal"/>
      <w:start w:val="1"/>
    </w:lvl>
  </w:abstractNum>
  <w:abstractNum w:abstractNumId="187">
    <w:nsid w:val="4DA32C7E"/>
    <w:multiLevelType w:val="hybridMultilevel"/>
    <w:lvl w:ilvl="0">
      <w:lvlJc w:val="left"/>
      <w:lvlText w:val="·"/>
      <w:numFmt w:val="bullet"/>
      <w:start w:val="1"/>
    </w:lvl>
  </w:abstractNum>
  <w:abstractNum w:abstractNumId="188">
    <w:nsid w:val="6EC68664"/>
    <w:multiLevelType w:val="hybridMultilevel"/>
    <w:lvl w:ilvl="0">
      <w:lvlJc w:val="left"/>
      <w:lvlText w:val="·"/>
      <w:numFmt w:val="bullet"/>
      <w:start w:val="1"/>
    </w:lvl>
  </w:abstractNum>
  <w:abstractNum w:abstractNumId="189">
    <w:nsid w:val="E0D31FF"/>
    <w:multiLevelType w:val="hybridMultilevel"/>
    <w:lvl w:ilvl="0">
      <w:lvlJc w:val="left"/>
      <w:lvlText w:val="·"/>
      <w:numFmt w:val="bullet"/>
      <w:start w:val="1"/>
    </w:lvl>
  </w:abstractNum>
  <w:abstractNum w:abstractNumId="190">
    <w:nsid w:val="2FD0AD81"/>
    <w:multiLevelType w:val="hybridMultilevel"/>
    <w:lvl w:ilvl="0">
      <w:lvlJc w:val="left"/>
      <w:lvlText w:val="(%1)"/>
      <w:numFmt w:val="decimal"/>
      <w:start w:val="1"/>
    </w:lvl>
  </w:abstractNum>
  <w:abstractNum w:abstractNumId="191">
    <w:nsid w:val="1978EBEB"/>
    <w:multiLevelType w:val="hybridMultilevel"/>
    <w:lvl w:ilvl="0">
      <w:lvlJc w:val="left"/>
      <w:lvlText w:val="·"/>
      <w:numFmt w:val="bullet"/>
      <w:start w:val="1"/>
    </w:lvl>
  </w:abstractNum>
  <w:abstractNum w:abstractNumId="192">
    <w:nsid w:val="52C12C61"/>
    <w:multiLevelType w:val="hybridMultilevel"/>
    <w:lvl w:ilvl="0">
      <w:lvlJc w:val="left"/>
      <w:lvlText w:val="(%1)"/>
      <w:numFmt w:val="decimal"/>
      <w:start w:val="1"/>
    </w:lvl>
  </w:abstractNum>
  <w:abstractNum w:abstractNumId="193">
    <w:nsid w:val="4BDD53FD"/>
    <w:multiLevelType w:val="hybridMultilevel"/>
    <w:lvl w:ilvl="0">
      <w:lvlJc w:val="left"/>
      <w:lvlText w:val="·"/>
      <w:numFmt w:val="bullet"/>
      <w:start w:val="1"/>
    </w:lvl>
  </w:abstractNum>
  <w:abstractNum w:abstractNumId="194">
    <w:nsid w:val="569951FE"/>
    <w:multiLevelType w:val="hybridMultilevel"/>
    <w:lvl w:ilvl="0">
      <w:lvlJc w:val="left"/>
      <w:lvlText w:val="·"/>
      <w:numFmt w:val="bullet"/>
      <w:start w:val="1"/>
    </w:lvl>
  </w:abstractNum>
  <w:abstractNum w:abstractNumId="195">
    <w:nsid w:val="4C54E2C3"/>
    <w:multiLevelType w:val="hybridMultilevel"/>
    <w:lvl w:ilvl="0">
      <w:lvlJc w:val="left"/>
      <w:lvlText w:val="\emdash "/>
      <w:numFmt w:val="bullet"/>
      <w:start w:val="1"/>
    </w:lvl>
  </w:abstractNum>
  <w:abstractNum w:abstractNumId="196">
    <w:nsid w:val="788BD9B"/>
    <w:multiLevelType w:val="hybridMultilevel"/>
    <w:lvl w:ilvl="0">
      <w:lvlJc w:val="left"/>
      <w:lvlText w:val="·"/>
      <w:numFmt w:val="bullet"/>
      <w:start w:val="1"/>
    </w:lvl>
  </w:abstractNum>
  <w:abstractNum w:abstractNumId="197">
    <w:nsid w:val="47CAA567"/>
    <w:multiLevelType w:val="hybridMultilevel"/>
    <w:lvl w:ilvl="0">
      <w:lvlJc w:val="left"/>
      <w:lvlText w:val="%1."/>
      <w:numFmt w:val="decimal"/>
      <w:start w:val="1"/>
    </w:lvl>
  </w:abstractNum>
  <w:abstractNum w:abstractNumId="198">
    <w:nsid w:val="48249DBF"/>
    <w:multiLevelType w:val="hybridMultilevel"/>
    <w:lvl w:ilvl="0">
      <w:lvlJc w:val="left"/>
      <w:lvlText w:val="%1."/>
      <w:numFmt w:val="decimal"/>
      <w:start w:val="1"/>
    </w:lvl>
  </w:abstractNum>
  <w:abstractNum w:abstractNumId="199">
    <w:nsid w:val="1F0E5D0D"/>
    <w:multiLevelType w:val="hybridMultilevel"/>
    <w:lvl w:ilvl="0">
      <w:lvlJc w:val="left"/>
      <w:lvlText w:val="%1."/>
      <w:numFmt w:val="decimal"/>
      <w:start w:val="2"/>
    </w:lvl>
  </w:abstractNum>
  <w:abstractNum w:abstractNumId="200">
    <w:nsid w:val="26BAAE9"/>
    <w:multiLevelType w:val="hybridMultilevel"/>
    <w:lvl w:ilvl="0">
      <w:lvlJc w:val="left"/>
      <w:lvlText w:val="%1."/>
      <w:numFmt w:val="decimal"/>
      <w:start w:val="4"/>
    </w:lvl>
  </w:abstractNum>
  <w:abstractNum w:abstractNumId="201">
    <w:nsid w:val="2C02FE8C"/>
    <w:multiLevelType w:val="hybridMultilevel"/>
    <w:lvl w:ilvl="0">
      <w:lvlJc w:val="left"/>
      <w:lvlText w:val="%1."/>
      <w:numFmt w:val="decimal"/>
      <w:start w:val="5"/>
    </w:lvl>
  </w:abstractNum>
  <w:abstractNum w:abstractNumId="202">
    <w:nsid w:val="129517E"/>
    <w:multiLevelType w:val="hybridMultilevel"/>
    <w:lvl w:ilvl="0">
      <w:lvlJc w:val="left"/>
      <w:lvlText w:val="%1."/>
      <w:numFmt w:val="decimal"/>
      <w:start w:val="6"/>
    </w:lvl>
  </w:abstractNum>
  <w:abstractNum w:abstractNumId="203">
    <w:nsid w:val="763B8C4E"/>
    <w:multiLevelType w:val="hybridMultilevel"/>
    <w:lvl w:ilvl="0">
      <w:lvlJc w:val="left"/>
      <w:lvlText w:val="%1."/>
      <w:numFmt w:val="decimal"/>
      <w:start w:val="7"/>
    </w:lvl>
  </w:abstractNum>
  <w:abstractNum w:abstractNumId="204">
    <w:nsid w:val="4CFB8D32"/>
    <w:multiLevelType w:val="hybridMultilevel"/>
    <w:lvl w:ilvl="0">
      <w:lvlJc w:val="left"/>
      <w:lvlText w:val="%1."/>
      <w:numFmt w:val="decimal"/>
      <w:start w:val="8"/>
    </w:lvl>
  </w:abstractNum>
  <w:abstractNum w:abstractNumId="205">
    <w:nsid w:val="62A5D5BD"/>
    <w:multiLevelType w:val="hybridMultilevel"/>
    <w:lvl w:ilvl="0">
      <w:lvlJc w:val="left"/>
      <w:lvlText w:val="%1."/>
      <w:numFmt w:val="decimal"/>
      <w:start w:val="9"/>
    </w:lvl>
  </w:abstractNum>
  <w:abstractNum w:abstractNumId="206">
    <w:nsid w:val="718FABF9"/>
    <w:multiLevelType w:val="hybridMultilevel"/>
    <w:lvl w:ilvl="0">
      <w:lvlJc w:val="left"/>
      <w:lvlText w:val="%1."/>
      <w:numFmt w:val="decimal"/>
      <w:start w:val="1"/>
    </w:lvl>
  </w:abstractNum>
  <w:abstractNum w:abstractNumId="207">
    <w:nsid w:val="7775797C"/>
    <w:multiLevelType w:val="hybridMultilevel"/>
    <w:lvl w:ilvl="0">
      <w:lvlJc w:val="left"/>
      <w:lvlText w:val="(%1)"/>
      <w:numFmt w:val="decimal"/>
      <w:start w:val="3"/>
    </w:lvl>
  </w:abstractNum>
  <w:abstractNum w:abstractNumId="208">
    <w:nsid w:val="1626FB8C"/>
    <w:multiLevelType w:val="hybridMultilevel"/>
    <w:lvl w:ilvl="0">
      <w:lvlJc w:val="left"/>
      <w:lvlText w:val="%1."/>
      <w:numFmt w:val="decimal"/>
      <w:start w:val="4"/>
    </w:lvl>
  </w:abstractNum>
  <w:abstractNum w:abstractNumId="209">
    <w:nsid w:val="3957756A"/>
    <w:multiLevelType w:val="hybridMultilevel"/>
    <w:lvl w:ilvl="0">
      <w:lvlJc w:val="left"/>
      <w:lvlText w:val="%1."/>
      <w:numFmt w:val="decimal"/>
      <w:start w:val="1"/>
    </w:lvl>
  </w:abstractNum>
  <w:abstractNum w:abstractNumId="210">
    <w:nsid w:val="3E6DA1C7"/>
    <w:multiLevelType w:val="hybridMultilevel"/>
    <w:lvl w:ilvl="0">
      <w:lvlJc w:val="left"/>
      <w:lvlText w:val="%1."/>
      <w:numFmt w:val="decimal"/>
      <w:start w:val="2"/>
    </w:lvl>
  </w:abstractNum>
  <w:abstractNum w:abstractNumId="211">
    <w:nsid w:val="65CA235B"/>
    <w:multiLevelType w:val="hybridMultilevel"/>
    <w:lvl w:ilvl="0">
      <w:lvlJc w:val="left"/>
      <w:lvlText w:val="%1."/>
      <w:numFmt w:val="decimal"/>
      <w:start w:val="3"/>
    </w:lvl>
  </w:abstractNum>
  <w:abstractNum w:abstractNumId="212">
    <w:nsid w:val="51CB0DA4"/>
    <w:multiLevelType w:val="hybridMultilevel"/>
    <w:lvl w:ilvl="0">
      <w:lvlJc w:val="left"/>
      <w:lvlText w:val="%1."/>
      <w:numFmt w:val="decimal"/>
      <w:start w:val="4"/>
    </w:lvl>
  </w:abstractNum>
  <w:abstractNum w:abstractNumId="213">
    <w:nsid w:val="7B9B743C"/>
    <w:multiLevelType w:val="hybridMultilevel"/>
    <w:lvl w:ilvl="0">
      <w:lvlJc w:val="left"/>
      <w:lvlText w:val="%1."/>
      <w:numFmt w:val="decimal"/>
      <w:start w:val="5"/>
    </w:lvl>
  </w:abstractNum>
  <w:abstractNum w:abstractNumId="214">
    <w:nsid w:val="13E21002"/>
    <w:multiLevelType w:val="hybridMultilevel"/>
    <w:lvl w:ilvl="0">
      <w:lvlJc w:val="left"/>
      <w:lvlText w:val="%1."/>
      <w:numFmt w:val="decimal"/>
      <w:start w:val="7"/>
    </w:lvl>
  </w:abstractNum>
  <w:abstractNum w:abstractNumId="215">
    <w:nsid w:val="257D63F4"/>
    <w:multiLevelType w:val="hybridMultilevel"/>
    <w:lvl w:ilvl="0">
      <w:lvlJc w:val="left"/>
      <w:lvlText w:val="%1."/>
      <w:numFmt w:val="decimal"/>
      <w:start w:val="8"/>
    </w:lvl>
  </w:abstractNum>
  <w:abstractNum w:abstractNumId="216">
    <w:nsid w:val="70EC11B2"/>
    <w:multiLevelType w:val="hybridMultilevel"/>
    <w:lvl w:ilvl="0">
      <w:lvlJc w:val="left"/>
      <w:lvlText w:val="·"/>
      <w:numFmt w:val="bullet"/>
      <w:start w:val="1"/>
    </w:lvl>
  </w:abstractNum>
  <w:abstractNum w:abstractNumId="217">
    <w:nsid w:val="2EDA00ED"/>
    <w:multiLevelType w:val="hybridMultilevel"/>
    <w:lvl w:ilvl="0">
      <w:lvlJc w:val="left"/>
      <w:lvlText w:val="(%1)"/>
      <w:numFmt w:val="lowerLetter"/>
      <w:start w:val="2"/>
    </w:lvl>
  </w:abstractNum>
  <w:abstractNum w:abstractNumId="218">
    <w:nsid w:val="73209072"/>
    <w:multiLevelType w:val="hybridMultilevel"/>
    <w:lvl w:ilvl="0">
      <w:lvlJc w:val="left"/>
      <w:lvlText w:val="(%1)"/>
      <w:numFmt w:val="lowerLetter"/>
      <w:start w:val="4"/>
    </w:lvl>
  </w:abstractNum>
  <w:abstractNum w:abstractNumId="219">
    <w:nsid w:val="5FB29816"/>
    <w:multiLevelType w:val="hybridMultilevel"/>
    <w:lvl w:ilvl="0">
      <w:lvlJc w:val="left"/>
      <w:lvlText w:val="(%1)"/>
      <w:numFmt w:val="lowerLetter"/>
      <w:start w:val="14"/>
    </w:lvl>
  </w:abstractNum>
  <w:abstractNum w:abstractNumId="220">
    <w:nsid w:val="3CE732EC"/>
    <w:multiLevelType w:val="hybridMultilevel"/>
    <w:lvl w:ilvl="0">
      <w:lvlJc w:val="left"/>
      <w:lvlText w:val="(%1)"/>
      <w:numFmt w:val="lowerLetter"/>
      <w:start w:val="1"/>
    </w:lvl>
  </w:abstractNum>
  <w:abstractNum w:abstractNumId="221">
    <w:nsid w:val="22F13DF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22">
    <w:nsid w:val="792B8401"/>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223">
    <w:nsid w:val="FA85F4D"/>
    <w:multiLevelType w:val="hybridMultilevel"/>
    <w:lvl w:ilvl="0">
      <w:lvlJc w:val="left"/>
      <w:lvlText w:val="(%1)"/>
      <w:numFmt w:val="lowerLetter"/>
      <w:start w:val="1"/>
    </w:lvl>
  </w:abstractNum>
  <w:abstractNum w:abstractNumId="224">
    <w:nsid w:val="6ECE91F0"/>
    <w:multiLevelType w:val="hybridMultilevel"/>
    <w:lvl w:ilvl="0">
      <w:lvlJc w:val="left"/>
      <w:lvlText w:val="%1"/>
      <w:numFmt w:val="lowerLetter"/>
      <w:start w:val="1"/>
    </w:lvl>
    <w:lvl w:ilvl="1">
      <w:lvlJc w:val="left"/>
      <w:lvlText w:val="(%2)"/>
      <w:numFmt w:val="lowerLetter"/>
      <w:start w:val="1"/>
    </w:lvl>
  </w:abstractNum>
  <w:abstractNum w:abstractNumId="225">
    <w:nsid w:val="4FC4D600"/>
    <w:multiLevelType w:val="hybridMultilevel"/>
    <w:lvl w:ilvl="0">
      <w:lvlJc w:val="left"/>
      <w:lvlText w:val="(%1)"/>
      <w:numFmt w:val="lowerLetter"/>
      <w:start w:val="3"/>
    </w:lvl>
    <w:lvl w:ilvl="1">
      <w:lvlJc w:val="left"/>
      <w:lvlText w:val="%2"/>
      <w:numFmt w:val="lowerLetter"/>
      <w:start w:val="1"/>
    </w:lvl>
  </w:abstractNum>
  <w:abstractNum w:abstractNumId="226">
    <w:nsid w:val="5BFD4210"/>
    <w:multiLevelType w:val="hybridMultilevel"/>
    <w:lvl w:ilvl="0">
      <w:lvlJc w:val="left"/>
      <w:lvlText w:val="(%1)"/>
      <w:numFmt w:val="lowerLetter"/>
      <w:start w:val="2"/>
    </w:lvl>
  </w:abstractNum>
  <w:abstractNum w:abstractNumId="227">
    <w:nsid w:val="76574F8B"/>
    <w:multiLevelType w:val="hybridMultilevel"/>
    <w:lvl w:ilvl="0">
      <w:lvlJc w:val="left"/>
      <w:lvlText w:val="(%1)"/>
      <w:numFmt w:val="lowerLetter"/>
      <w:start w:val="1"/>
    </w:lvl>
  </w:abstractNum>
  <w:abstractNum w:abstractNumId="228">
    <w:nsid w:val="178F7B67"/>
    <w:multiLevelType w:val="hybridMultilevel"/>
    <w:lvl w:ilvl="0">
      <w:lvlJc w:val="left"/>
      <w:lvlText w:val="(%1)"/>
      <w:numFmt w:val="lowerLetter"/>
      <w:start w:val="2"/>
    </w:lvl>
  </w:abstractNum>
  <w:abstractNum w:abstractNumId="229">
    <w:nsid w:val="2421DFCF"/>
    <w:multiLevelType w:val="hybridMultilevel"/>
    <w:lvl w:ilvl="0">
      <w:lvlJc w:val="left"/>
      <w:lvlText w:val="(%1)"/>
      <w:numFmt w:val="lowerLetter"/>
      <w:start w:val="5"/>
    </w:lvl>
  </w:abstractNum>
  <w:abstractNum w:abstractNumId="230">
    <w:nsid w:val="1565AC99"/>
    <w:multiLevelType w:val="hybridMultilevel"/>
    <w:lvl w:ilvl="0">
      <w:lvlJc w:val="left"/>
      <w:lvlText w:val="(%1)"/>
      <w:numFmt w:val="lowerLetter"/>
      <w:start w:val="2"/>
    </w:lvl>
  </w:abstractNum>
  <w:abstractNum w:abstractNumId="231">
    <w:nsid w:val="19FB2650"/>
    <w:multiLevelType w:val="hybridMultilevel"/>
    <w:lvl w:ilvl="0">
      <w:lvlJc w:val="left"/>
      <w:lvlText w:val="(%1)"/>
      <w:numFmt w:val="lowerLetter"/>
      <w:start w:val="1"/>
    </w:lvl>
  </w:abstractNum>
  <w:abstractNum w:abstractNumId="232">
    <w:nsid w:val="5024DE5B"/>
    <w:multiLevelType w:val="hybridMultilevel"/>
    <w:lvl w:ilvl="0">
      <w:lvlJc w:val="left"/>
      <w:lvlText w:val="(%1)"/>
      <w:numFmt w:val="lowerLetter"/>
      <w:start w:val="4"/>
    </w:lvl>
  </w:abstractNum>
  <w:abstractNum w:abstractNumId="233">
    <w:nsid w:val="168EFE17"/>
    <w:multiLevelType w:val="hybridMultilevel"/>
    <w:lvl w:ilvl="0">
      <w:lvlJc w:val="left"/>
      <w:lvlText w:val="(%1)"/>
      <w:numFmt w:val="lowerLetter"/>
      <w:start w:val="1"/>
    </w:lvl>
    <w:lvl w:ilvl="1">
      <w:lvlJc w:val="left"/>
      <w:lvlText w:val="(%2)"/>
      <w:numFmt w:val="lowerRoman"/>
      <w:start w:val="1"/>
    </w:lvl>
  </w:abstractNum>
  <w:abstractNum w:abstractNumId="234">
    <w:nsid w:val="1036B29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0"/>
    </w:lvl>
  </w:abstractNum>
  <w:abstractNum w:abstractNumId="235">
    <w:nsid w:val="1D206B8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2"/>
    </w:lvl>
  </w:abstractNum>
  <w:abstractNum w:abstractNumId="236">
    <w:nsid w:val="7934D3D4"/>
    <w:multiLevelType w:val="hybridMultilevel"/>
    <w:lvl w:ilvl="0">
      <w:lvlJc w:val="left"/>
      <w:lvlText w:val="(%1)"/>
      <w:numFmt w:val="lowerLetter"/>
      <w:start w:val="1"/>
    </w:lvl>
  </w:abstractNum>
  <w:abstractNum w:abstractNumId="237">
    <w:nsid w:val="1C65E98"/>
    <w:multiLevelType w:val="hybridMultilevel"/>
    <w:lvl w:ilvl="0">
      <w:lvlJc w:val="left"/>
      <w:lvlText w:val="%1"/>
      <w:numFmt w:val="lowerLetter"/>
      <w:start w:val="1"/>
    </w:lvl>
    <w:lvl w:ilvl="1">
      <w:lvlJc w:val="left"/>
      <w:lvlText w:val="(%2)"/>
      <w:numFmt w:val="lowerLetter"/>
      <w:start w:val="2"/>
    </w:lvl>
  </w:abstractNum>
  <w:abstractNum w:abstractNumId="238">
    <w:nsid w:val="1495E50A"/>
    <w:multiLevelType w:val="hybridMultilevel"/>
    <w:lvl w:ilvl="0">
      <w:lvlJc w:val="left"/>
      <w:lvlText w:val="(%1)"/>
      <w:numFmt w:val="lowerLetter"/>
      <w:start w:val="35"/>
    </w:lvl>
    <w:lvl w:ilvl="1">
      <w:lvlJc w:val="left"/>
      <w:lvlText w:val="(%2)"/>
      <w:numFmt w:val="lowerLetter"/>
      <w:start w:val="3"/>
    </w:lvl>
  </w:abstractNum>
  <w:abstractNum w:abstractNumId="239">
    <w:nsid w:val="F5BCF61"/>
    <w:multiLevelType w:val="hybridMultilevel"/>
    <w:lvl w:ilvl="0">
      <w:lvlJc w:val="left"/>
      <w:lvlText w:val="(%1)"/>
      <w:numFmt w:val="lowerLetter"/>
      <w:start w:val="1"/>
    </w:lvl>
  </w:abstractNum>
  <w:abstractNum w:abstractNumId="240">
    <w:nsid w:val="3B1DD403"/>
    <w:multiLevelType w:val="hybridMultilevel"/>
    <w:lvl w:ilvl="0">
      <w:lvlJc w:val="left"/>
      <w:lvlText w:val="(%1)"/>
      <w:numFmt w:val="lowerLetter"/>
      <w:start w:val="2"/>
    </w:lvl>
  </w:abstractNum>
  <w:abstractNum w:abstractNumId="241">
    <w:nsid w:val="530386D1"/>
    <w:multiLevelType w:val="hybridMultilevel"/>
    <w:lvl w:ilvl="0">
      <w:lvlJc w:val="left"/>
      <w:lvlText w:val="(%1)"/>
      <w:numFmt w:val="lowerLetter"/>
      <w:start w:val="1"/>
    </w:lvl>
  </w:abstractNum>
  <w:abstractNum w:abstractNumId="242">
    <w:nsid w:val="7525F2BC"/>
    <w:multiLevelType w:val="hybridMultilevel"/>
    <w:lvl w:ilvl="0">
      <w:lvlJc w:val="left"/>
      <w:lvlText w:val="%1"/>
      <w:numFmt w:val="lowerLetter"/>
      <w:start w:val="1"/>
    </w:lvl>
    <w:lvl w:ilvl="1">
      <w:lvlJc w:val="left"/>
      <w:lvlText w:val="(%2)"/>
      <w:numFmt w:val="lowerLetter"/>
      <w:start w:val="1"/>
    </w:lvl>
  </w:abstractNum>
  <w:abstractNum w:abstractNumId="243">
    <w:nsid w:val="CE8E1A7"/>
    <w:multiLevelType w:val="hybridMultilevel"/>
    <w:lvl w:ilvl="0">
      <w:lvlJc w:val="left"/>
      <w:lvlText w:val="(%1)"/>
      <w:numFmt w:val="lowerLetter"/>
      <w:start w:val="9"/>
    </w:lvl>
    <w:lvl w:ilvl="1">
      <w:lvlJc w:val="left"/>
      <w:lvlText w:val="(%2)"/>
      <w:numFmt w:val="lowerLetter"/>
      <w:start w:val="3"/>
    </w:lvl>
  </w:abstractNum>
  <w:abstractNum w:abstractNumId="244">
    <w:nsid w:val="4E9EFB0D"/>
    <w:multiLevelType w:val="hybridMultilevel"/>
    <w:lvl w:ilvl="0">
      <w:lvlJc w:val="left"/>
      <w:lvlText w:val="(%1)"/>
      <w:numFmt w:val="lowerLetter"/>
      <w:start w:val="4"/>
    </w:lvl>
  </w:abstractNum>
  <w:abstractNum w:abstractNumId="245">
    <w:nsid w:val="90802BE"/>
    <w:multiLevelType w:val="hybridMultilevel"/>
    <w:lvl w:ilvl="0">
      <w:lvlJc w:val="left"/>
      <w:lvlText w:val="(%1)"/>
      <w:numFmt w:val="lowerLetter"/>
      <w:start w:val="1"/>
    </w:lvl>
  </w:abstractNum>
  <w:abstractNum w:abstractNumId="246">
    <w:nsid w:val="3266459B"/>
    <w:multiLevelType w:val="hybridMultilevel"/>
    <w:lvl w:ilvl="0">
      <w:lvlJc w:val="left"/>
      <w:lvlText w:val="(%1)"/>
      <w:numFmt w:val="lowerLetter"/>
      <w:start w:val="1"/>
    </w:lvl>
  </w:abstractNum>
  <w:abstractNum w:abstractNumId="247">
    <w:nsid w:val="3F8B0CBF"/>
    <w:multiLevelType w:val="hybridMultilevel"/>
    <w:lvl w:ilvl="0">
      <w:lvlJc w:val="left"/>
      <w:lvlText w:val="(%1)"/>
      <w:numFmt w:val="lowerLetter"/>
      <w:start w:val="5"/>
    </w:lvl>
  </w:abstractNum>
  <w:abstractNum w:abstractNumId="248">
    <w:nsid w:val="37E203AB"/>
    <w:multiLevelType w:val="hybridMultilevel"/>
    <w:lvl w:ilvl="0">
      <w:lvlJc w:val="left"/>
      <w:lvlText w:val="(%1)"/>
      <w:numFmt w:val="lowerLetter"/>
      <w:start w:val="1"/>
    </w:lvl>
  </w:abstractNum>
  <w:abstractNum w:abstractNumId="249">
    <w:nsid w:val="2586D60E"/>
    <w:multiLevelType w:val="hybridMultilevel"/>
    <w:lvl w:ilvl="0">
      <w:lvlJc w:val="left"/>
      <w:lvlText w:val="(%1)"/>
      <w:numFmt w:val="lowerLetter"/>
      <w:start w:val="1"/>
    </w:lvl>
  </w:abstractNum>
  <w:abstractNum w:abstractNumId="250">
    <w:nsid w:val="1F3DA4D5"/>
    <w:multiLevelType w:val="hybridMultilevel"/>
    <w:lvl w:ilvl="0">
      <w:lvlJc w:val="left"/>
      <w:lvlText w:val="(%1)"/>
      <w:numFmt w:val="lowerLetter"/>
      <w:start w:val="2"/>
    </w:lvl>
  </w:abstractNum>
  <w:abstractNum w:abstractNumId="251">
    <w:nsid w:val="74C93698"/>
    <w:multiLevelType w:val="hybridMultilevel"/>
    <w:lvl w:ilvl="0">
      <w:lvlJc w:val="left"/>
      <w:lvlText w:val="(%1)"/>
      <w:numFmt w:val="lowerLetter"/>
      <w:start w:val="1"/>
    </w:lvl>
  </w:abstractNum>
  <w:abstractNum w:abstractNumId="252">
    <w:nsid w:val="48781401"/>
    <w:multiLevelType w:val="hybridMultilevel"/>
    <w:lvl w:ilvl="0">
      <w:lvlJc w:val="left"/>
      <w:lvlText w:val="(%1)"/>
      <w:numFmt w:val="lowerLetter"/>
      <w:start w:val="5"/>
    </w:lvl>
  </w:abstractNum>
  <w:abstractNum w:abstractNumId="253">
    <w:nsid w:val="186928D6"/>
    <w:multiLevelType w:val="hybridMultilevel"/>
    <w:lvl w:ilvl="0">
      <w:lvlJc w:val="left"/>
      <w:lvlText w:val="(%1)"/>
      <w:numFmt w:val="lowerLetter"/>
      <w:start w:val="1"/>
    </w:lvl>
  </w:abstractNum>
  <w:abstractNum w:abstractNumId="254">
    <w:nsid w:val="47195E5"/>
    <w:multiLevelType w:val="hybridMultilevel"/>
    <w:lvl w:ilvl="0">
      <w:lvlJc w:val="left"/>
      <w:lvlText w:val="%1"/>
      <w:numFmt w:val="lowerLetter"/>
      <w:start w:val="1"/>
    </w:lvl>
    <w:lvl w:ilvl="1">
      <w:lvlJc w:val="left"/>
      <w:lvlText w:val="(%2)"/>
      <w:numFmt w:val="lowerLetter"/>
      <w:start w:val="1"/>
    </w:lvl>
  </w:abstractNum>
  <w:abstractNum w:abstractNumId="255">
    <w:nsid w:val="3746A5F2"/>
    <w:multiLevelType w:val="hybridMultilevel"/>
    <w:lvl w:ilvl="0">
      <w:lvlJc w:val="left"/>
      <w:lvlText w:val="(%1)"/>
      <w:numFmt w:val="lowerLetter"/>
      <w:start w:val="61"/>
    </w:lvl>
    <w:lvl w:ilvl="1">
      <w:lvlJc w:val="left"/>
      <w:lvlText w:val="(%2)"/>
      <w:numFmt w:val="lowerLetter"/>
      <w:start w:val="2"/>
    </w:lvl>
  </w:abstractNum>
  <w:abstractNum w:abstractNumId="256">
    <w:nsid w:val="682DFED6"/>
    <w:multiLevelType w:val="hybridMultilevel"/>
    <w:lvl w:ilvl="0">
      <w:lvlJc w:val="left"/>
      <w:lvlText w:val="(%1)"/>
      <w:numFmt w:val="lowerLetter"/>
      <w:start w:val="1"/>
    </w:lvl>
  </w:abstractNum>
  <w:abstractNum w:abstractNumId="257">
    <w:nsid w:val="606ED7F6"/>
    <w:multiLevelType w:val="hybridMultilevel"/>
    <w:lvl w:ilvl="0">
      <w:lvlJc w:val="left"/>
      <w:lvlText w:val="(%1)"/>
      <w:numFmt w:val="lowerLetter"/>
      <w:start w:val="5"/>
    </w:lvl>
  </w:abstractNum>
  <w:abstractNum w:abstractNumId="258">
    <w:nsid w:val="2D9DF57D"/>
    <w:multiLevelType w:val="hybridMultilevel"/>
    <w:lvl w:ilvl="0">
      <w:lvlJc w:val="left"/>
      <w:lvlText w:val="(%1)"/>
      <w:numFmt w:val="lowerLetter"/>
      <w:start w:val="1"/>
    </w:lvl>
  </w:abstractNum>
  <w:abstractNum w:abstractNumId="259">
    <w:nsid w:val="7FBD7A3E"/>
    <w:multiLevelType w:val="hybridMultilevel"/>
    <w:lvl w:ilvl="0">
      <w:lvlJc w:val="left"/>
      <w:lvlText w:val="(%1)"/>
      <w:numFmt w:val="lowerRoman"/>
      <w:start w:val="1"/>
    </w:lvl>
  </w:abstractNum>
  <w:abstractNum w:abstractNumId="260">
    <w:nsid w:val="490B7C5"/>
    <w:multiLevelType w:val="hybridMultilevel"/>
    <w:lvl w:ilvl="0">
      <w:lvlJc w:val="left"/>
      <w:lvlText w:val="%1"/>
      <w:numFmt w:val="lowerRoman"/>
      <w:start w:val="1"/>
    </w:lvl>
    <w:lvl w:ilvl="1">
      <w:lvlJc w:val="left"/>
      <w:lvlText w:val="(%2)"/>
      <w:numFmt w:val="lowerRoman"/>
      <w:start w:val="10"/>
    </w:lvl>
  </w:abstractNum>
  <w:abstractNum w:abstractNumId="261">
    <w:nsid w:val="4303A216"/>
    <w:multiLevelType w:val="hybridMultilevel"/>
    <w:lvl w:ilvl="0">
      <w:lvlJc w:val="left"/>
      <w:lvlText w:val="(%1)"/>
      <w:numFmt w:val="lowerRoman"/>
      <w:start w:val="1"/>
    </w:lvl>
    <w:lvl w:ilvl="1">
      <w:lvlJc w:val="left"/>
      <w:lvlText w:val="(%2)"/>
      <w:numFmt w:val="lowerRoman"/>
      <w:start w:val="12"/>
    </w:lvl>
  </w:abstractNum>
  <w:abstractNum w:abstractNumId="262">
    <w:nsid w:val="19B8A08E"/>
    <w:multiLevelType w:val="hybridMultilevel"/>
    <w:lvl w:ilvl="0">
      <w:lvlJc w:val="left"/>
      <w:lvlText w:val="(%1)"/>
      <w:numFmt w:val="lowerRoman"/>
      <w:start w:val="1"/>
    </w:lvl>
  </w:abstractNum>
  <w:abstractNum w:abstractNumId="263">
    <w:nsid w:val="54B59621"/>
    <w:multiLevelType w:val="hybridMultilevel"/>
    <w:lvl w:ilvl="0">
      <w:lvlJc w:val="left"/>
      <w:lvlText w:val="(%1)"/>
      <w:numFmt w:val="lowerRoman"/>
      <w:start w:val="4"/>
    </w:lvl>
  </w:abstractNum>
  <w:abstractNum w:abstractNumId="264">
    <w:nsid w:val="5992A02E"/>
    <w:multiLevelType w:val="hybridMultilevel"/>
    <w:lvl w:ilvl="0">
      <w:lvlJc w:val="left"/>
      <w:lvlText w:val="(%1)"/>
      <w:numFmt w:val="lowerLetter"/>
      <w:start w:val="1"/>
    </w:lvl>
  </w:abstractNum>
  <w:abstractNum w:abstractNumId="265">
    <w:nsid w:val="29EF532D"/>
    <w:multiLevelType w:val="hybridMultilevel"/>
    <w:lvl w:ilvl="0">
      <w:lvlJc w:val="left"/>
      <w:lvlText w:val="(%1)"/>
      <w:numFmt w:val="lowerLetter"/>
      <w:start w:val="2"/>
    </w:lvl>
  </w:abstractNum>
  <w:abstractNum w:abstractNumId="266">
    <w:nsid w:val="71D601AF"/>
    <w:multiLevelType w:val="hybridMultilevel"/>
    <w:lvl w:ilvl="0">
      <w:lvlJc w:val="left"/>
      <w:lvlText w:val="(%1)"/>
      <w:numFmt w:val="lowerLetter"/>
      <w:start w:val="1"/>
    </w:lvl>
  </w:abstractNum>
  <w:abstractNum w:abstractNumId="267">
    <w:nsid w:val="52C77402"/>
    <w:multiLevelType w:val="hybridMultilevel"/>
    <w:lvl w:ilvl="0">
      <w:lvlJc w:val="left"/>
      <w:lvlText w:val="%1"/>
      <w:numFmt w:val="lowerLetter"/>
      <w:start w:val="1"/>
    </w:lvl>
    <w:lvl w:ilvl="1">
      <w:lvlJc w:val="left"/>
      <w:lvlText w:val="(%2)"/>
      <w:numFmt w:val="lowerLetter"/>
      <w:start w:val="2"/>
    </w:lvl>
  </w:abstractNum>
  <w:abstractNum w:abstractNumId="268">
    <w:nsid w:val="2BB5B1C6"/>
    <w:multiLevelType w:val="hybridMultilevel"/>
    <w:lvl w:ilvl="0">
      <w:lvlJc w:val="left"/>
      <w:lvlText w:val="(%1)"/>
      <w:numFmt w:val="lowerLetter"/>
      <w:start w:val="61"/>
    </w:lvl>
    <w:lvl w:ilvl="1">
      <w:lvlJc w:val="left"/>
      <w:lvlText w:val="%2"/>
      <w:numFmt w:val="lowerLetter"/>
      <w:start w:val="1"/>
    </w:lvl>
  </w:abstractNum>
  <w:abstractNum w:abstractNumId="269">
    <w:nsid w:val="66BE6B9"/>
    <w:multiLevelType w:val="hybridMultilevel"/>
    <w:lvl w:ilvl="0">
      <w:lvlJc w:val="left"/>
      <w:lvlText w:val="(%1)"/>
      <w:numFmt w:val="lowerLetter"/>
      <w:start w:val="1"/>
    </w:lvl>
  </w:abstractNum>
  <w:abstractNum w:abstractNumId="270">
    <w:nsid w:val="62234363"/>
    <w:multiLevelType w:val="hybridMultilevel"/>
    <w:lvl w:ilvl="0">
      <w:lvlJc w:val="left"/>
      <w:lvlText w:val="(%1)"/>
      <w:numFmt w:val="lowerLetter"/>
      <w:start w:val="3"/>
    </w:lvl>
  </w:abstractNum>
  <w:abstractNum w:abstractNumId="271">
    <w:nsid w:val="66D385C9"/>
    <w:multiLevelType w:val="hybridMultilevel"/>
    <w:lvl w:ilvl="0">
      <w:lvlJc w:val="left"/>
      <w:lvlText w:val="(%1)"/>
      <w:numFmt w:val="lowerLetter"/>
      <w:start w:val="1"/>
    </w:lvl>
  </w:abstractNum>
  <w:abstractNum w:abstractNumId="272">
    <w:nsid w:val="596F6D8A"/>
    <w:multiLevelType w:val="hybridMultilevel"/>
    <w:lvl w:ilvl="0">
      <w:lvlJc w:val="left"/>
      <w:lvlText w:val="%1"/>
      <w:numFmt w:val="lowerLetter"/>
      <w:start w:val="1"/>
    </w:lvl>
    <w:lvl w:ilvl="1">
      <w:lvlJc w:val="left"/>
      <w:lvlText w:val="(%2)"/>
      <w:numFmt w:val="lowerLetter"/>
      <w:start w:val="1"/>
    </w:lvl>
  </w:abstractNum>
  <w:abstractNum w:abstractNumId="273">
    <w:nsid w:val="5749361F"/>
    <w:multiLevelType w:val="hybridMultilevel"/>
    <w:lvl w:ilvl="0">
      <w:lvlJc w:val="left"/>
      <w:lvlText w:val="(%1)"/>
      <w:numFmt w:val="lowerLetter"/>
      <w:start w:val="35"/>
    </w:lvl>
    <w:lvl w:ilvl="1">
      <w:lvlJc w:val="left"/>
      <w:lvlText w:val="(%2)"/>
      <w:numFmt w:val="lowerLetter"/>
      <w:start w:val="2"/>
    </w:lvl>
  </w:abstractNum>
  <w:abstractNum w:abstractNumId="274">
    <w:nsid w:val="73BC6770"/>
    <w:multiLevelType w:val="hybridMultilevel"/>
    <w:lvl w:ilvl="0">
      <w:lvlJc w:val="left"/>
      <w:lvlText w:val="(%1)"/>
      <w:numFmt w:val="lowerLetter"/>
      <w:start w:val="1"/>
    </w:lvl>
  </w:abstractNum>
  <w:abstractNum w:abstractNumId="275">
    <w:nsid w:val="280E6897"/>
    <w:multiLevelType w:val="hybridMultilevel"/>
    <w:lvl w:ilvl="0">
      <w:lvlJc w:val="left"/>
      <w:lvlText w:val="(%1)"/>
      <w:numFmt w:val="lowerLetter"/>
      <w:start w:val="1"/>
    </w:lvl>
  </w:abstractNum>
  <w:abstractNum w:abstractNumId="276">
    <w:nsid w:val="605138DE"/>
    <w:multiLevelType w:val="hybridMultilevel"/>
    <w:lvl w:ilvl="0">
      <w:lvlJc w:val="left"/>
      <w:lvlText w:val="(%1)"/>
      <w:numFmt w:val="lowerLetter"/>
      <w:start w:val="2"/>
    </w:lvl>
  </w:abstractNum>
  <w:abstractNum w:abstractNumId="277">
    <w:nsid w:val="2622AD0C"/>
    <w:multiLevelType w:val="hybridMultilevel"/>
    <w:lvl w:ilvl="0">
      <w:lvlJc w:val="left"/>
      <w:lvlText w:val="(%1)"/>
      <w:numFmt w:val="lowerLetter"/>
      <w:start w:val="1"/>
    </w:lvl>
  </w:abstractNum>
  <w:abstractNum w:abstractNumId="278">
    <w:nsid w:val="67997556"/>
    <w:multiLevelType w:val="hybridMultilevel"/>
    <w:lvl w:ilvl="0">
      <w:lvlJc w:val="left"/>
      <w:lvlText w:val="(%1)"/>
      <w:numFmt w:val="lowerLetter"/>
      <w:start w:val="1"/>
    </w:lvl>
  </w:abstractNum>
  <w:abstractNum w:abstractNumId="279">
    <w:nsid w:val="18333C89"/>
    <w:multiLevelType w:val="hybridMultilevel"/>
    <w:lvl w:ilvl="0">
      <w:lvlJc w:val="left"/>
      <w:lvlText w:val="(%1)"/>
      <w:numFmt w:val="lowerLetter"/>
      <w:start w:val="2"/>
    </w:lvl>
  </w:abstractNum>
  <w:abstractNum w:abstractNumId="280">
    <w:nsid w:val="4BA9831A"/>
    <w:multiLevelType w:val="hybridMultilevel"/>
    <w:lvl w:ilvl="0">
      <w:lvlJc w:val="left"/>
      <w:lvlText w:val="(%1)"/>
      <w:numFmt w:val="lowerLetter"/>
      <w:start w:val="1"/>
    </w:lvl>
  </w:abstractNum>
  <w:abstractNum w:abstractNumId="281">
    <w:nsid w:val="6D71A2B"/>
    <w:multiLevelType w:val="hybridMultilevel"/>
    <w:lvl w:ilvl="0">
      <w:lvlJc w:val="left"/>
      <w:lvlText w:val="(%1)"/>
      <w:numFmt w:val="lowerRoman"/>
      <w:start w:val="1"/>
    </w:lvl>
  </w:abstractNum>
  <w:abstractNum w:abstractNumId="282">
    <w:nsid w:val="CFC7321"/>
    <w:multiLevelType w:val="hybridMultilevel"/>
    <w:lvl w:ilvl="0">
      <w:lvlJc w:val="left"/>
      <w:lvlText w:val="(%1)"/>
      <w:numFmt w:val="lowerRoman"/>
      <w:start w:val="2"/>
    </w:lvl>
  </w:abstractNum>
  <w:abstractNum w:abstractNumId="283">
    <w:nsid w:val="1421971B"/>
    <w:multiLevelType w:val="hybridMultilevel"/>
    <w:lvl w:ilvl="0">
      <w:lvlJc w:val="left"/>
      <w:lvlText w:val="(%1)"/>
      <w:numFmt w:val="lowerLetter"/>
      <w:start w:val="1"/>
    </w:lvl>
  </w:abstractNum>
  <w:abstractNum w:abstractNumId="284">
    <w:nsid w:val="1F404301"/>
    <w:multiLevelType w:val="hybridMultilevel"/>
    <w:lvl w:ilvl="0">
      <w:lvlJc w:val="left"/>
      <w:lvlText w:val="(%1)"/>
      <w:numFmt w:val="lowerLetter"/>
      <w:start w:val="2"/>
    </w:lvl>
  </w:abstractNum>
  <w:abstractNum w:abstractNumId="285">
    <w:nsid w:val="116E0907"/>
    <w:multiLevelType w:val="hybridMultilevel"/>
    <w:lvl w:ilvl="0">
      <w:lvlJc w:val="left"/>
      <w:lvlText w:val="(%1)"/>
      <w:numFmt w:val="lowerLetter"/>
      <w:start w:val="1"/>
    </w:lvl>
  </w:abstractNum>
  <w:abstractNum w:abstractNumId="286">
    <w:nsid w:val="4B683D0D"/>
    <w:multiLevelType w:val="hybridMultilevel"/>
    <w:lvl w:ilvl="0">
      <w:lvlJc w:val="left"/>
      <w:lvlText w:val="(%1)"/>
      <w:numFmt w:val="lowerLetter"/>
      <w:start w:val="1"/>
    </w:lvl>
  </w:abstractNum>
  <w:abstractNum w:abstractNumId="287">
    <w:nsid w:val="76E41D8"/>
    <w:multiLevelType w:val="hybridMultilevel"/>
    <w:lvl w:ilvl="0">
      <w:lvlJc w:val="left"/>
      <w:lvlText w:val="(%1)"/>
      <w:numFmt w:val="lowerLetter"/>
      <w:start w:val="1"/>
    </w:lvl>
  </w:abstractNum>
  <w:abstractNum w:abstractNumId="288">
    <w:nsid w:val="71DCE0FD"/>
    <w:multiLevelType w:val="hybridMultilevel"/>
    <w:lvl w:ilvl="0">
      <w:lvlJc w:val="left"/>
      <w:lvlText w:val="(%1)"/>
      <w:numFmt w:val="lowerLetter"/>
      <w:start w:val="2"/>
    </w:lvl>
  </w:abstractNum>
  <w:abstractNum w:abstractNumId="289">
    <w:nsid w:val="7906328B"/>
    <w:multiLevelType w:val="hybridMultilevel"/>
    <w:lvl w:ilvl="0">
      <w:lvlJc w:val="left"/>
      <w:lvlText w:val="(%1)"/>
      <w:numFmt w:val="lowerLetter"/>
      <w:start w:val="12"/>
    </w:lvl>
  </w:abstractNum>
  <w:abstractNum w:abstractNumId="290">
    <w:nsid w:val="72BBC16"/>
    <w:multiLevelType w:val="hybridMultilevel"/>
    <w:lvl w:ilvl="0">
      <w:lvlJc w:val="left"/>
      <w:lvlText w:val="(%1)"/>
      <w:numFmt w:val="lowerLetter"/>
      <w:start w:val="1"/>
    </w:lvl>
  </w:abstractNum>
  <w:abstractNum w:abstractNumId="291">
    <w:nsid w:val="766D98C2"/>
    <w:multiLevelType w:val="hybridMultilevel"/>
    <w:lvl w:ilvl="0">
      <w:lvlJc w:val="left"/>
      <w:lvlText w:val="(%1)"/>
      <w:numFmt w:val="lowerLetter"/>
      <w:start w:val="1"/>
    </w:lvl>
  </w:abstractNum>
  <w:abstractNum w:abstractNumId="292">
    <w:nsid w:val="3C09D4A1"/>
    <w:multiLevelType w:val="hybridMultilevel"/>
    <w:lvl w:ilvl="0">
      <w:lvlJc w:val="left"/>
      <w:lvlText w:val="(%1)"/>
      <w:numFmt w:val="lowerRoman"/>
      <w:start w:val="1"/>
    </w:lvl>
  </w:abstractNum>
  <w:abstractNum w:abstractNumId="293">
    <w:nsid w:val="20E45CA4"/>
    <w:multiLevelType w:val="hybridMultilevel"/>
    <w:lvl w:ilvl="0">
      <w:lvlJc w:val="left"/>
      <w:lvlText w:val="(%1)"/>
      <w:numFmt w:val="lowerLetter"/>
      <w:start w:val="1"/>
    </w:lvl>
  </w:abstractNum>
  <w:abstractNum w:abstractNumId="294">
    <w:nsid w:val="4B232EE3"/>
    <w:multiLevelType w:val="hybridMultilevel"/>
    <w:lvl w:ilvl="0">
      <w:lvlJc w:val="left"/>
      <w:lvlText w:val="%1"/>
      <w:numFmt w:val="lowerLetter"/>
      <w:start w:val="1"/>
    </w:lvl>
    <w:lvl w:ilvl="1">
      <w:lvlJc w:val="left"/>
      <w:lvlText w:val="(%2)"/>
      <w:numFmt w:val="lowerLetter"/>
      <w:start w:val="1"/>
    </w:lvl>
  </w:abstractNum>
  <w:abstractNum w:abstractNumId="295">
    <w:nsid w:val="159C74CF"/>
    <w:multiLevelType w:val="hybridMultilevel"/>
    <w:lvl w:ilvl="0">
      <w:lvlJc w:val="left"/>
      <w:lvlText w:val="(%1)"/>
      <w:numFmt w:val="lowerLetter"/>
      <w:start w:val="61"/>
    </w:lvl>
    <w:lvl w:ilvl="1">
      <w:lvlJc w:val="left"/>
      <w:lvlText w:val="(%2)"/>
      <w:numFmt w:val="lowerLetter"/>
      <w:start w:val="2"/>
    </w:lvl>
  </w:abstractNum>
  <w:abstractNum w:abstractNumId="296">
    <w:nsid w:val="4AD3AFD2"/>
    <w:multiLevelType w:val="hybridMultilevel"/>
    <w:lvl w:ilvl="0">
      <w:lvlJc w:val="left"/>
      <w:lvlText w:val="(%1)"/>
      <w:numFmt w:val="lowerLetter"/>
      <w:start w:val="9"/>
    </w:lvl>
    <w:lvl w:ilvl="1">
      <w:lvlJc w:val="left"/>
      <w:lvlText w:val="%2"/>
      <w:numFmt w:val="lowerLetter"/>
      <w:start w:val="1"/>
    </w:lvl>
  </w:abstractNum>
  <w:abstractNum w:abstractNumId="297">
    <w:nsid w:val="3CF93092"/>
    <w:multiLevelType w:val="hybridMultilevel"/>
    <w:lvl w:ilvl="0">
      <w:lvlJc w:val="left"/>
      <w:lvlText w:val="(%1)"/>
      <w:numFmt w:val="lowerLetter"/>
      <w:start w:val="1"/>
    </w:lvl>
  </w:abstractNum>
  <w:abstractNum w:abstractNumId="298">
    <w:nsid w:val="6863E8D2"/>
    <w:multiLevelType w:val="hybridMultilevel"/>
    <w:lvl w:ilvl="0">
      <w:lvlJc w:val="left"/>
      <w:lvlText w:val="(%1)"/>
      <w:numFmt w:val="lowerLetter"/>
      <w:start w:val="1"/>
    </w:lvl>
  </w:abstractNum>
  <w:abstractNum w:abstractNumId="299">
    <w:nsid w:val="76896198"/>
    <w:multiLevelType w:val="hybridMultilevel"/>
    <w:lvl w:ilvl="0">
      <w:lvlJc w:val="left"/>
      <w:lvlText w:val="(%1)"/>
      <w:numFmt w:val="lowerLetter"/>
      <w:start w:val="1"/>
    </w:lvl>
  </w:abstractNum>
  <w:abstractNum w:abstractNumId="300">
    <w:nsid w:val="4365174B"/>
    <w:multiLevelType w:val="hybridMultilevel"/>
    <w:lvl w:ilvl="0">
      <w:lvlJc w:val="left"/>
      <w:lvlText w:val="(%1)"/>
      <w:numFmt w:val="lowerLetter"/>
      <w:start w:val="2"/>
    </w:lvl>
  </w:abstractNum>
  <w:abstractNum w:abstractNumId="301">
    <w:nsid w:val="4A872C35"/>
    <w:multiLevelType w:val="hybridMultilevel"/>
    <w:lvl w:ilvl="0">
      <w:lvlJc w:val="left"/>
      <w:lvlText w:val="%1"/>
      <w:numFmt w:val="lowerRoman"/>
      <w:start w:val="1"/>
    </w:lvl>
    <w:lvl w:ilvl="1">
      <w:lvlJc w:val="left"/>
      <w:lvlText w:val="(%2)"/>
      <w:numFmt w:val="lowerRoman"/>
      <w:start w:val="1"/>
    </w:lvl>
  </w:abstractNum>
  <w:abstractNum w:abstractNumId="302">
    <w:nsid w:val="5D5CE761"/>
    <w:multiLevelType w:val="hybridMultilevel"/>
    <w:lvl w:ilvl="0">
      <w:lvlJc w:val="left"/>
      <w:lvlText w:val="(%1)"/>
      <w:numFmt w:val="lowerRoman"/>
      <w:start w:val="10"/>
    </w:lvl>
    <w:lvl w:ilvl="1">
      <w:lvlJc w:val="left"/>
      <w:lvlText w:val="(%2)"/>
      <w:numFmt w:val="lowerRoman"/>
      <w:start w:val="5"/>
    </w:lvl>
  </w:abstractNum>
  <w:abstractNum w:abstractNumId="303">
    <w:nsid w:val="1CD484D5"/>
    <w:multiLevelType w:val="hybridMultilevel"/>
    <w:lvl w:ilvl="0">
      <w:lvlJc w:val="left"/>
      <w:lvlText w:val="%1"/>
      <w:numFmt w:val="lowerLetter"/>
      <w:start w:val="1"/>
    </w:lvl>
    <w:lvl w:ilvl="1">
      <w:lvlJc w:val="left"/>
      <w:lvlText w:val="(%2)"/>
      <w:numFmt w:val="lowerRoman"/>
      <w:start w:val="6"/>
    </w:lvl>
  </w:abstractNum>
  <w:abstractNum w:abstractNumId="304">
    <w:nsid w:val="21D06255"/>
    <w:multiLevelType w:val="hybridMultilevel"/>
    <w:lvl w:ilvl="0">
      <w:lvlJc w:val="left"/>
      <w:lvlText w:val="(%1)"/>
      <w:numFmt w:val="lowerLetter"/>
      <w:start w:val="3"/>
    </w:lvl>
    <w:lvl w:ilvl="1">
      <w:lvlJc w:val="left"/>
      <w:lvlText w:val="(%2)"/>
      <w:numFmt w:val="lowerRoman"/>
      <w:start w:val="1"/>
    </w:lvl>
  </w:abstractNum>
  <w:abstractNum w:abstractNumId="305">
    <w:nsid w:val="51194ED1"/>
    <w:multiLevelType w:val="hybridMultilevel"/>
    <w:lvl w:ilvl="0">
      <w:lvlJc w:val="left"/>
      <w:lvlText w:val="(%1)"/>
      <w:numFmt w:val="lowerRoman"/>
      <w:start w:val="3"/>
    </w:lvl>
    <w:lvl w:ilvl="1">
      <w:lvlJc w:val="left"/>
      <w:lvlText w:val="(%2)"/>
      <w:numFmt w:val="upperLetter"/>
      <w:start w:val="1"/>
    </w:lvl>
  </w:abstractNum>
  <w:abstractNum w:abstractNumId="306">
    <w:nsid w:val="44E2ED6C"/>
    <w:multiLevelType w:val="hybridMultilevel"/>
    <w:lvl w:ilvl="0">
      <w:lvlJc w:val="left"/>
      <w:lvlText w:val="(%1)"/>
      <w:numFmt w:val="upperLetter"/>
      <w:start w:val="4"/>
    </w:lvl>
  </w:abstractNum>
  <w:abstractNum w:abstractNumId="307">
    <w:nsid w:val="2219B33"/>
    <w:multiLevelType w:val="hybridMultilevel"/>
    <w:lvl w:ilvl="0">
      <w:lvlJc w:val="left"/>
      <w:lvlText w:val="(%1)"/>
      <w:numFmt w:val="lowerLetter"/>
      <w:start w:val="4"/>
    </w:lvl>
  </w:abstractNum>
  <w:abstractNum w:abstractNumId="308">
    <w:nsid w:val="773BFBDD"/>
    <w:multiLevelType w:val="hybridMultilevel"/>
    <w:lvl w:ilvl="0">
      <w:lvlJc w:val="left"/>
      <w:lvlText w:val="(%1)"/>
      <w:numFmt w:val="lowerLetter"/>
      <w:start w:val="4"/>
    </w:lvl>
  </w:abstractNum>
  <w:abstractNum w:abstractNumId="309">
    <w:nsid w:val="2C7C62C2"/>
    <w:multiLevelType w:val="hybridMultilevel"/>
    <w:lvl w:ilvl="0">
      <w:lvlJc w:val="left"/>
      <w:lvlText w:val="(%1)"/>
      <w:numFmt w:val="lowerLetter"/>
      <w:start w:val="1"/>
    </w:lvl>
  </w:abstractNum>
  <w:abstractNum w:abstractNumId="310">
    <w:nsid w:val="1A54D7B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11">
    <w:nsid w:val="42E57EF7"/>
    <w:multiLevelType w:val="hybridMultilevel"/>
    <w:lvl w:ilvl="0">
      <w:lvlJc w:val="left"/>
      <w:lvlText w:val="(%1)"/>
      <w:numFmt w:val="lowerLetter"/>
      <w:start w:val="3"/>
    </w:lvl>
  </w:abstractNum>
  <w:abstractNum w:abstractNumId="312">
    <w:nsid w:val="33537CED"/>
    <w:multiLevelType w:val="hybridMultilevel"/>
    <w:lvl w:ilvl="0">
      <w:lvlJc w:val="left"/>
      <w:lvlText w:val="(%1)"/>
      <w:numFmt w:val="lowerLetter"/>
      <w:start w:val="1"/>
    </w:lvl>
  </w:abstractNum>
  <w:abstractNum w:abstractNumId="313">
    <w:nsid w:val="27514ADE"/>
    <w:multiLevelType w:val="hybridMultilevel"/>
    <w:lvl w:ilvl="0">
      <w:lvlJc w:val="left"/>
      <w:lvlText w:val="(%1)"/>
      <w:numFmt w:val="lowerLetter"/>
      <w:start w:val="1"/>
    </w:lvl>
  </w:abstractNum>
  <w:abstractNum w:abstractNumId="314">
    <w:nsid w:val="57071613"/>
    <w:multiLevelType w:val="hybridMultilevel"/>
    <w:lvl w:ilvl="0">
      <w:lvlJc w:val="left"/>
      <w:lvlText w:val="(%1)"/>
      <w:numFmt w:val="lowerLetter"/>
      <w:start w:val="1"/>
    </w:lvl>
  </w:abstractNum>
  <w:abstractNum w:abstractNumId="315">
    <w:nsid w:val="5293BFEF"/>
    <w:multiLevelType w:val="hybridMultilevel"/>
    <w:lvl w:ilvl="0">
      <w:lvlJc w:val="left"/>
      <w:lvlText w:val="%1"/>
      <w:numFmt w:val="lowerLetter"/>
      <w:start w:val="1"/>
    </w:lvl>
    <w:lvl w:ilvl="1">
      <w:lvlJc w:val="left"/>
      <w:lvlText w:val="(%2)"/>
      <w:numFmt w:val="lowerLetter"/>
      <w:start w:val="1"/>
    </w:lvl>
  </w:abstractNum>
  <w:abstractNum w:abstractNumId="316">
    <w:nsid w:val="38BF53E5"/>
    <w:multiLevelType w:val="hybridMultilevel"/>
    <w:lvl w:ilvl="0">
      <w:lvlJc w:val="left"/>
      <w:lvlText w:val="(%1)"/>
      <w:numFmt w:val="lowerLetter"/>
      <w:start w:val="35"/>
    </w:lvl>
    <w:lvl w:ilvl="1">
      <w:lvlJc w:val="left"/>
      <w:lvlText w:val="(%2)"/>
      <w:numFmt w:val="lowerLetter"/>
      <w:start w:val="3"/>
    </w:lvl>
  </w:abstractNum>
  <w:abstractNum w:abstractNumId="317">
    <w:nsid w:val="226F5320"/>
    <w:multiLevelType w:val="hybridMultilevel"/>
    <w:lvl w:ilvl="0">
      <w:lvlJc w:val="left"/>
      <w:lvlText w:val="(%1)"/>
      <w:numFmt w:val="lowerRoman"/>
      <w:start w:val="1"/>
    </w:lvl>
  </w:abstractNum>
  <w:abstractNum w:abstractNumId="318">
    <w:nsid w:val="5A0201C7"/>
    <w:multiLevelType w:val="hybridMultilevel"/>
    <w:lvl w:ilvl="0">
      <w:lvlJc w:val="left"/>
      <w:lvlText w:val="(%1)"/>
      <w:numFmt w:val="lowerRoman"/>
      <w:start w:val="2"/>
    </w:lvl>
  </w:abstractNum>
  <w:abstractNum w:abstractNumId="319">
    <w:nsid w:val="2A9C34E2"/>
    <w:multiLevelType w:val="hybridMultilevel"/>
    <w:lvl w:ilvl="0">
      <w:lvlJc w:val="left"/>
      <w:lvlText w:val="(%1)"/>
      <w:numFmt w:val="lowerLetter"/>
      <w:start w:val="1"/>
    </w:lvl>
  </w:abstractNum>
  <w:abstractNum w:abstractNumId="320">
    <w:nsid w:val="1B7585AB"/>
    <w:multiLevelType w:val="hybridMultilevel"/>
    <w:lvl w:ilvl="0">
      <w:lvlJc w:val="left"/>
      <w:lvlText w:val="(%1)"/>
      <w:numFmt w:val="lowerLetter"/>
      <w:start w:val="1"/>
    </w:lvl>
  </w:abstractNum>
  <w:abstractNum w:abstractNumId="321">
    <w:nsid w:val="612DBDDD"/>
    <w:multiLevelType w:val="hybridMultilevel"/>
    <w:lvl w:ilvl="0">
      <w:lvlJc w:val="left"/>
      <w:lvlText w:val="(%1)"/>
      <w:numFmt w:val="lowerLetter"/>
      <w:start w:val="1"/>
    </w:lvl>
  </w:abstractNum>
  <w:abstractNum w:abstractNumId="322">
    <w:nsid w:val="2109CDA4"/>
    <w:multiLevelType w:val="hybridMultilevel"/>
    <w:lvl w:ilvl="0">
      <w:lvlJc w:val="left"/>
      <w:lvlText w:val="(%1)"/>
      <w:numFmt w:val="lowerLetter"/>
      <w:start w:val="1"/>
    </w:lvl>
  </w:abstractNum>
  <w:abstractNum w:abstractNumId="323">
    <w:nsid w:val="577F5A4D"/>
    <w:multiLevelType w:val="hybridMultilevel"/>
    <w:lvl w:ilvl="0">
      <w:lvlJc w:val="left"/>
      <w:lvlText w:val="(%1)"/>
      <w:numFmt w:val="lowerLetter"/>
      <w:start w:val="10"/>
    </w:lvl>
  </w:abstractNum>
  <w:abstractNum w:abstractNumId="324">
    <w:nsid w:val="2121A81"/>
    <w:multiLevelType w:val="hybridMultilevel"/>
    <w:lvl w:ilvl="0">
      <w:lvlJc w:val="left"/>
      <w:lvlText w:val="%1."/>
      <w:numFmt w:val="decimal"/>
      <w:start w:val="1"/>
    </w:lvl>
  </w:abstractNum>
  <w:abstractNum w:abstractNumId="325">
    <w:nsid w:val="6C2CFC88"/>
    <w:multiLevelType w:val="hybridMultilevel"/>
    <w:lvl w:ilvl="0">
      <w:lvlJc w:val="left"/>
      <w:lvlText w:val="%1."/>
      <w:numFmt w:val="decimal"/>
      <w:start w:val="1"/>
    </w:lvl>
  </w:abstractNum>
  <w:abstractNum w:abstractNumId="326">
    <w:nsid w:val="6D1BCF1C"/>
    <w:multiLevelType w:val="hybridMultilevel"/>
    <w:lvl w:ilvl="0">
      <w:lvlJc w:val="left"/>
      <w:lvlText w:val="%1."/>
      <w:numFmt w:val="decimal"/>
      <w:start w:val="1"/>
    </w:lvl>
  </w:abstractNum>
  <w:abstractNum w:abstractNumId="327">
    <w:nsid w:val="4CE5CA53"/>
    <w:multiLevelType w:val="hybridMultilevel"/>
    <w:lvl w:ilvl="0">
      <w:lvlJc w:val="left"/>
      <w:lvlText w:val="%1."/>
      <w:numFmt w:val="decimal"/>
      <w:start w:val="2"/>
    </w:lvl>
    <w:lvl w:ilvl="1">
      <w:lvlJc w:val="left"/>
      <w:lvlText w:val="(%2)"/>
      <w:numFmt w:val="lowerLetter"/>
      <w:start w:val="1"/>
    </w:lvl>
  </w:abstractNum>
  <w:abstractNum w:abstractNumId="328">
    <w:nsid w:val="29262D1A"/>
    <w:multiLevelType w:val="hybridMultilevel"/>
    <w:lvl w:ilvl="0">
      <w:lvlJc w:val="left"/>
      <w:lvlText w:val="%1."/>
      <w:numFmt w:val="decimal"/>
      <w:start w:val="3"/>
    </w:lvl>
  </w:abstractNum>
  <w:abstractNum w:abstractNumId="329">
    <w:nsid w:val="557FB7EE"/>
    <w:multiLevelType w:val="hybridMultilevel"/>
    <w:lvl w:ilvl="0">
      <w:lvlJc w:val="left"/>
      <w:lvlText w:val="%1"/>
      <w:numFmt w:val="decimal"/>
      <w:start w:val="1"/>
    </w:lvl>
    <w:lvl w:ilvl="1">
      <w:lvlJc w:val="left"/>
      <w:lvlText w:val="(%2)"/>
      <w:numFmt w:val="lowerLetter"/>
      <w:start w:val="1"/>
    </w:lvl>
  </w:abstractNum>
  <w:abstractNum w:abstractNumId="330">
    <w:nsid w:val="436F2BEB"/>
    <w:multiLevelType w:val="hybridMultilevel"/>
    <w:lvl w:ilvl="0">
      <w:lvlJc w:val="left"/>
      <w:lvlText w:val="%1."/>
      <w:numFmt w:val="decimal"/>
      <w:start w:val="4"/>
    </w:lvl>
    <w:lvl w:ilvl="1">
      <w:lvlJc w:val="left"/>
      <w:lvlText w:val="%2"/>
      <w:numFmt w:val="lowerLetter"/>
      <w:start w:val="1"/>
    </w:lvl>
  </w:abstractNum>
  <w:abstractNum w:abstractNumId="331">
    <w:nsid w:val="6C8B4466"/>
    <w:multiLevelType w:val="hybridMultilevel"/>
    <w:lvl w:ilvl="0">
      <w:lvlJc w:val="left"/>
      <w:lvlText w:val="(%1)"/>
      <w:numFmt w:val="upperLetter"/>
      <w:start w:val="1"/>
    </w:lvl>
  </w:abstractNum>
  <w:abstractNum w:abstractNumId="332">
    <w:nsid w:val="2006E424"/>
    <w:multiLevelType w:val="hybridMultilevel"/>
    <w:lvl w:ilvl="0">
      <w:lvlJc w:val="left"/>
      <w:lvlText w:val="%1"/>
      <w:numFmt w:val="decimal"/>
      <w:start w:val="1"/>
    </w:lvl>
    <w:lvl w:ilvl="1">
      <w:lvlJc w:val="left"/>
      <w:lvlText w:val="(%2)"/>
      <w:numFmt w:val="upperLetter"/>
      <w:start w:val="2"/>
    </w:lvl>
  </w:abstractNum>
  <w:abstractNum w:abstractNumId="333">
    <w:nsid w:val="20CC134C"/>
    <w:multiLevelType w:val="hybridMultilevel"/>
    <w:lvl w:ilvl="0">
      <w:lvlJc w:val="left"/>
      <w:lvlText w:val="%1."/>
      <w:numFmt w:val="decimal"/>
      <w:start w:val="6"/>
    </w:lvl>
    <w:lvl w:ilvl="1">
      <w:lvlJc w:val="left"/>
      <w:lvlText w:val="%2"/>
      <w:numFmt w:val="upperLetter"/>
      <w:start w:val="1"/>
    </w:lvl>
  </w:abstractNum>
  <w:abstractNum w:abstractNumId="334">
    <w:nsid w:val="95FC93B"/>
    <w:multiLevelType w:val="hybridMultilevel"/>
    <w:lvl w:ilvl="0">
      <w:lvlJc w:val="left"/>
      <w:lvlText w:val="%1."/>
      <w:numFmt w:val="decimal"/>
      <w:start w:val="8"/>
    </w:lvl>
    <w:lvl w:ilvl="1">
      <w:lvlJc w:val="left"/>
      <w:lvlText w:val="(%2)"/>
      <w:numFmt w:val="lowerLetter"/>
      <w:start w:val="4"/>
    </w:lvl>
  </w:abstractNum>
  <w:abstractNum w:abstractNumId="335">
    <w:nsid w:val="41D74679"/>
    <w:multiLevelType w:val="hybridMultilevel"/>
    <w:lvl w:ilvl="0">
      <w:lvlJc w:val="left"/>
      <w:lvlText w:val="%1"/>
      <w:numFmt w:val="decimal"/>
      <w:start w:val="1"/>
    </w:lvl>
    <w:lvl w:ilvl="1">
      <w:lvlJc w:val="left"/>
      <w:lvlText w:val="(%2)"/>
      <w:numFmt w:val="lowerLetter"/>
      <w:start w:val="7"/>
    </w:lvl>
  </w:abstractNum>
  <w:abstractNum w:abstractNumId="336">
    <w:nsid w:val="71E5621E"/>
    <w:multiLevelType w:val="hybridMultilevel"/>
    <w:lvl w:ilvl="0">
      <w:lvlJc w:val="left"/>
      <w:lvlText w:val="%1."/>
      <w:numFmt w:val="decimal"/>
      <w:start w:val="10"/>
    </w:lvl>
    <w:lvl w:ilvl="1">
      <w:lvlJc w:val="left"/>
      <w:lvlText w:val="%2"/>
      <w:numFmt w:val="lowerLetter"/>
      <w:start w:val="1"/>
    </w:lvl>
  </w:abstractNum>
  <w:abstractNum w:abstractNumId="337">
    <w:nsid w:val="4E42B6A8"/>
    <w:multiLevelType w:val="hybridMultilevel"/>
    <w:lvl w:ilvl="0">
      <w:lvlJc w:val="left"/>
      <w:lvlText w:val="(%1)"/>
      <w:numFmt w:val="lowerLetter"/>
      <w:start w:val="1"/>
    </w:lvl>
  </w:abstractNum>
  <w:abstractNum w:abstractNumId="338">
    <w:nsid w:val="43F8E1AC"/>
    <w:multiLevelType w:val="hybridMultilevel"/>
    <w:lvl w:ilvl="0">
      <w:lvlJc w:val="left"/>
      <w:lvlText w:val="(%1)"/>
      <w:numFmt w:val="lowerLetter"/>
      <w:start w:val="2"/>
    </w:lvl>
  </w:abstractNum>
  <w:abstractNum w:abstractNumId="339">
    <w:nsid w:val="69215DFB"/>
    <w:multiLevelType w:val="hybridMultilevel"/>
    <w:lvl w:ilvl="0">
      <w:lvlJc w:val="left"/>
      <w:lvlText w:val="%1."/>
      <w:numFmt w:val="decimal"/>
      <w:start w:val="1"/>
    </w:lvl>
  </w:abstractNum>
  <w:abstractNum w:abstractNumId="340">
    <w:nsid w:val="7ABF196A"/>
    <w:multiLevelType w:val="hybridMultilevel"/>
    <w:lvl w:ilvl="0">
      <w:lvlJc w:val="left"/>
      <w:lvlText w:val="(%1)"/>
      <w:numFmt w:val="lowerRoman"/>
      <w:start w:val="1"/>
    </w:lvl>
  </w:abstractNum>
  <w:abstractNum w:abstractNumId="341">
    <w:nsid w:val="5E4DB968"/>
    <w:multiLevelType w:val="hybridMultilevel"/>
    <w:lvl w:ilvl="0">
      <w:lvlJc w:val="left"/>
      <w:lvlText w:val="%1"/>
      <w:numFmt w:val="upperLetter"/>
      <w:start w:val="1"/>
    </w:lvl>
    <w:lvl w:ilvl="1">
      <w:lvlJc w:val="left"/>
      <w:lvlText w:val="%2."/>
      <w:numFmt w:val="decimal"/>
      <w:start w:val="1"/>
    </w:lvl>
  </w:abstractNum>
  <w:abstractNum w:abstractNumId="342">
    <w:nsid w:val="2C06DCF3"/>
    <w:multiLevelType w:val="hybridMultilevel"/>
    <w:lvl w:ilvl="0">
      <w:lvlJc w:val="left"/>
      <w:lvlText w:val="%1."/>
      <w:numFmt w:val="upperLetter"/>
      <w:start w:val="3"/>
    </w:lvl>
    <w:lvl w:ilvl="1">
      <w:lvlJc w:val="left"/>
      <w:lvlText w:val="%2."/>
      <w:numFmt w:val="decimal"/>
      <w:start w:val="1"/>
    </w:lvl>
  </w:abstractNum>
  <w:abstractNum w:abstractNumId="343">
    <w:nsid w:val="2E129658"/>
    <w:multiLevelType w:val="hybridMultilevel"/>
    <w:lvl w:ilvl="0">
      <w:lvlJc w:val="left"/>
      <w:lvlText w:val="%1."/>
      <w:numFmt w:val="decimal"/>
      <w:start w:val="3"/>
    </w:lvl>
    <w:lvl w:ilvl="1">
      <w:lvlJc w:val="left"/>
      <w:lvlText w:val="(%2)"/>
      <w:numFmt w:val="lowerRoman"/>
      <w:start w:val="1"/>
    </w:lvl>
  </w:abstractNum>
  <w:abstractNum w:abstractNumId="344">
    <w:nsid w:val="59F0446"/>
    <w:multiLevelType w:val="hybridMultilevel"/>
    <w:lvl w:ilvl="0">
      <w:lvlJc w:val="left"/>
      <w:lvlText w:val="(%1)"/>
      <w:numFmt w:val="lowerRoman"/>
      <w:start w:val="5"/>
    </w:lvl>
  </w:abstractNum>
  <w:abstractNum w:abstractNumId="345">
    <w:nsid w:val="30DF306"/>
    <w:multiLevelType w:val="hybridMultilevel"/>
    <w:lvl w:ilvl="0">
      <w:lvlJc w:val="left"/>
      <w:lvlText w:val="%1."/>
      <w:numFmt w:val="decimal"/>
      <w:start w:val="4"/>
    </w:lvl>
  </w:abstractNum>
  <w:abstractNum w:abstractNumId="346">
    <w:nsid w:val="A65647"/>
    <w:multiLevelType w:val="hybridMultilevel"/>
    <w:lvl w:ilvl="0">
      <w:lvlJc w:val="left"/>
      <w:lvlText w:val="%1."/>
      <w:numFmt w:val="decimal"/>
      <w:start w:val="6"/>
    </w:lvl>
  </w:abstractNum>
  <w:abstractNum w:abstractNumId="347">
    <w:nsid w:val="3E5E582B"/>
    <w:multiLevelType w:val="hybridMultilevel"/>
    <w:lvl w:ilvl="0">
      <w:lvlJc w:val="left"/>
      <w:lvlText w:val="(%1)"/>
      <w:numFmt w:val="lowerRoman"/>
      <w:start w:val="1"/>
    </w:lvl>
  </w:abstractNum>
  <w:abstractNum w:abstractNumId="348">
    <w:nsid w:val="257D4626"/>
    <w:multiLevelType w:val="hybridMultilevel"/>
    <w:lvl w:ilvl="0">
      <w:lvlJc w:val="left"/>
      <w:lvlText w:val="%1."/>
      <w:numFmt w:val="decimal"/>
      <w:start w:val="9"/>
    </w:lvl>
  </w:abstractNum>
  <w:abstractNum w:abstractNumId="349">
    <w:nsid w:val="5AA8580E"/>
    <w:multiLevelType w:val="hybridMultilevel"/>
    <w:lvl w:ilvl="0">
      <w:lvlJc w:val="left"/>
      <w:lvlText w:val="%1."/>
      <w:numFmt w:val="decimal"/>
      <w:start w:val="10"/>
    </w:lvl>
  </w:abstractNum>
  <w:abstractNum w:abstractNumId="350">
    <w:nsid w:val="68FA8D0D"/>
    <w:multiLevelType w:val="hybridMultilevel"/>
    <w:lvl w:ilvl="0">
      <w:lvlJc w:val="left"/>
      <w:lvlText w:val="(%1)"/>
      <w:numFmt w:val="lowerLetter"/>
      <w:start w:val="1"/>
    </w:lvl>
  </w:abstractNum>
  <w:abstractNum w:abstractNumId="351">
    <w:nsid w:val="40F2CBD2"/>
    <w:multiLevelType w:val="hybridMultilevel"/>
    <w:lvl w:ilvl="0">
      <w:lvlJc w:val="left"/>
      <w:lvlText w:val="(%1)"/>
      <w:numFmt w:val="lowerLetter"/>
      <w:start w:val="2"/>
    </w:lvl>
  </w:abstractNum>
  <w:abstractNum w:abstractNumId="352">
    <w:nsid w:val="3BD615EB"/>
    <w:multiLevelType w:val="hybridMultilevel"/>
    <w:lvl w:ilvl="0">
      <w:lvlJc w:val="left"/>
      <w:lvlText w:val="(%1)"/>
      <w:numFmt w:val="lowerLetter"/>
      <w:start w:val="3"/>
    </w:lvl>
    <w:lvl w:ilvl="1">
      <w:lvlJc w:val="left"/>
      <w:lvlText w:val="(%2)"/>
      <w:numFmt w:val="lowerLetter"/>
      <w:start w:val="9"/>
    </w:lvl>
  </w:abstractNum>
  <w:abstractNum w:abstractNumId="353">
    <w:nsid w:val="A045AB2"/>
    <w:multiLevelType w:val="hybridMultilevel"/>
    <w:lvl w:ilvl="0">
      <w:lvlJc w:val="left"/>
      <w:lvlText w:val="(%1)"/>
      <w:numFmt w:val="lowerRoman"/>
      <w:start w:val="2"/>
    </w:lvl>
  </w:abstractNum>
  <w:abstractNum w:abstractNumId="354">
    <w:nsid w:val="1872261F"/>
    <w:multiLevelType w:val="hybridMultilevel"/>
    <w:lvl w:ilvl="0">
      <w:lvlJc w:val="left"/>
      <w:lvlText w:val="(%1)"/>
      <w:numFmt w:val="lowerRoman"/>
      <w:start w:val="3"/>
    </w:lvl>
  </w:abstractNum>
  <w:abstractNum w:abstractNumId="355">
    <w:nsid w:val="3DE8306C"/>
    <w:multiLevelType w:val="hybridMultilevel"/>
    <w:lvl w:ilvl="0">
      <w:lvlJc w:val="left"/>
      <w:lvlText w:val="(%1)"/>
      <w:numFmt w:val="lowerLetter"/>
      <w:start w:val="4"/>
    </w:lvl>
  </w:abstractNum>
  <w:abstractNum w:abstractNumId="356">
    <w:nsid w:val="7631573A"/>
    <w:multiLevelType w:val="hybridMultilevel"/>
    <w:lvl w:ilvl="0">
      <w:lvlJc w:val="left"/>
      <w:lvlText w:val="(%1)"/>
      <w:numFmt w:val="lowerLetter"/>
      <w:start w:val="6"/>
    </w:lvl>
  </w:abstractNum>
  <w:abstractNum w:abstractNumId="357">
    <w:nsid w:val="58DF53B"/>
    <w:multiLevelType w:val="hybridMultilevel"/>
    <w:lvl w:ilvl="0">
      <w:lvlJc w:val="left"/>
      <w:lvlText w:val="(%1)"/>
      <w:numFmt w:val="lowerLetter"/>
      <w:start w:val="1"/>
    </w:lvl>
  </w:abstractNum>
  <w:abstractNum w:abstractNumId="358">
    <w:nsid w:val="ACDFAC0"/>
    <w:multiLevelType w:val="hybridMultilevel"/>
    <w:lvl w:ilvl="0">
      <w:lvlJc w:val="left"/>
      <w:lvlText w:val="%1"/>
      <w:numFmt w:val="lowerLetter"/>
      <w:start w:val="1"/>
    </w:lvl>
    <w:lvl w:ilvl="1">
      <w:lvlJc w:val="left"/>
      <w:lvlText w:val="(%2)"/>
      <w:numFmt w:val="lowerLetter"/>
      <w:start w:val="1"/>
    </w:lvl>
  </w:abstractNum>
  <w:abstractNum w:abstractNumId="359">
    <w:nsid w:val="1F578454"/>
    <w:multiLevelType w:val="hybridMultilevel"/>
    <w:lvl w:ilvl="0">
      <w:lvlJc w:val="left"/>
      <w:lvlText w:val="(%1)"/>
      <w:numFmt w:val="lowerLetter"/>
      <w:start w:val="9"/>
    </w:lvl>
    <w:lvl w:ilvl="1">
      <w:lvlJc w:val="left"/>
      <w:lvlText w:val="%2"/>
      <w:numFmt w:val="lowerLetter"/>
      <w:start w:val="1"/>
    </w:lvl>
  </w:abstractNum>
  <w:abstractNum w:abstractNumId="360">
    <w:nsid w:val="5B0DAD2A"/>
    <w:multiLevelType w:val="hybridMultilevel"/>
    <w:lvl w:ilvl="0">
      <w:lvlJc w:val="left"/>
      <w:lvlText w:val="(%1)"/>
      <w:numFmt w:val="lowerLetter"/>
      <w:start w:val="3"/>
    </w:lvl>
  </w:abstractNum>
  <w:abstractNum w:abstractNumId="361">
    <w:nsid w:val="4E3D26AB"/>
    <w:multiLevelType w:val="hybridMultilevel"/>
    <w:lvl w:ilvl="0">
      <w:lvlJc w:val="left"/>
      <w:lvlText w:val="(%1)"/>
      <w:numFmt w:val="lowerLetter"/>
      <w:start w:val="1"/>
    </w:lvl>
  </w:abstractNum>
  <w:abstractNum w:abstractNumId="362">
    <w:nsid w:val="BE2C8BA"/>
    <w:multiLevelType w:val="hybridMultilevel"/>
    <w:lvl w:ilvl="0">
      <w:lvlJc w:val="left"/>
      <w:lvlText w:val="(%1)"/>
      <w:numFmt w:val="lowerRoman"/>
      <w:start w:val="1"/>
    </w:lvl>
  </w:abstractNum>
  <w:abstractNum w:abstractNumId="363">
    <w:nsid w:val="7B14914E"/>
    <w:multiLevelType w:val="hybridMultilevel"/>
    <w:lvl w:ilvl="0">
      <w:lvlJc w:val="left"/>
      <w:lvlText w:val="(%1)"/>
      <w:numFmt w:val="lowerRoman"/>
      <w:start w:val="2"/>
    </w:lvl>
  </w:abstractNum>
  <w:abstractNum w:abstractNumId="364">
    <w:nsid w:val="6F0939F8"/>
    <w:multiLevelType w:val="hybridMultilevel"/>
    <w:lvl w:ilvl="0">
      <w:lvlJc w:val="left"/>
      <w:lvlText w:val="(%1)"/>
      <w:numFmt w:val="lowerRoman"/>
      <w:start w:val="1"/>
    </w:lvl>
  </w:abstractNum>
  <w:abstractNum w:abstractNumId="365">
    <w:nsid w:val="154291F6"/>
    <w:multiLevelType w:val="hybridMultilevel"/>
    <w:lvl w:ilvl="0">
      <w:lvlJc w:val="left"/>
      <w:lvlText w:val="(%1)"/>
      <w:numFmt w:val="lowerLetter"/>
      <w:start w:val="1"/>
    </w:lvl>
  </w:abstractNum>
  <w:abstractNum w:abstractNumId="366">
    <w:nsid w:val="3CEBD7C7"/>
    <w:multiLevelType w:val="hybridMultilevel"/>
    <w:lvl w:ilvl="0">
      <w:lvlJc w:val="left"/>
      <w:lvlText w:val="(%1)"/>
      <w:numFmt w:val="lowerLetter"/>
      <w:start w:val="2"/>
    </w:lvl>
  </w:abstractNum>
  <w:abstractNum w:abstractNumId="367">
    <w:nsid w:val="60EE9C16"/>
    <w:multiLevelType w:val="hybridMultilevel"/>
    <w:lvl w:ilvl="0">
      <w:lvlJc w:val="left"/>
      <w:lvlText w:val="(%1)"/>
      <w:numFmt w:val="lowerLetter"/>
      <w:start w:val="6"/>
    </w:lvl>
  </w:abstractNum>
  <w:abstractNum w:abstractNumId="368">
    <w:nsid w:val="6385489E"/>
    <w:multiLevelType w:val="hybridMultilevel"/>
    <w:lvl w:ilvl="0">
      <w:lvlJc w:val="left"/>
      <w:lvlText w:val="(%1)"/>
      <w:numFmt w:val="lowerLetter"/>
      <w:start w:val="1"/>
    </w:lvl>
  </w:abstractNum>
  <w:abstractNum w:abstractNumId="369">
    <w:nsid w:val="E4B973"/>
    <w:multiLevelType w:val="hybridMultilevel"/>
    <w:lvl w:ilvl="0">
      <w:lvlJc w:val="left"/>
      <w:lvlText w:val="(%1)"/>
      <w:numFmt w:val="lowerLetter"/>
      <w:start w:val="2"/>
    </w:lvl>
  </w:abstractNum>
  <w:abstractNum w:abstractNumId="370">
    <w:nsid w:val="4A0FFA11"/>
    <w:multiLevelType w:val="hybridMultilevel"/>
    <w:lvl w:ilvl="0">
      <w:lvlJc w:val="left"/>
      <w:lvlText w:val="(%1)"/>
      <w:numFmt w:val="lowerLetter"/>
      <w:start w:val="6"/>
    </w:lvl>
  </w:abstractNum>
  <w:abstractNum w:abstractNumId="371">
    <w:nsid w:val="5E446208"/>
    <w:multiLevelType w:val="hybridMultilevel"/>
    <w:lvl w:ilvl="0">
      <w:lvlJc w:val="left"/>
      <w:lvlText w:val="(%1)"/>
      <w:numFmt w:val="lowerLetter"/>
      <w:start w:val="7"/>
    </w:lvl>
  </w:abstractNum>
  <w:abstractNum w:abstractNumId="372">
    <w:nsid w:val="5F3272DB"/>
    <w:multiLevelType w:val="hybridMultilevel"/>
    <w:lvl w:ilvl="0">
      <w:lvlJc w:val="left"/>
      <w:lvlText w:val="(%1)"/>
      <w:numFmt w:val="lowerLetter"/>
      <w:start w:val="10"/>
    </w:lvl>
  </w:abstractNum>
  <w:abstractNum w:abstractNumId="373">
    <w:nsid w:val="7616D704"/>
    <w:multiLevelType w:val="hybridMultilevel"/>
    <w:lvl w:ilvl="0">
      <w:lvlJc w:val="left"/>
      <w:lvlText w:val="(%1)"/>
      <w:numFmt w:val="lowerLetter"/>
      <w:start w:val="1"/>
    </w:lvl>
  </w:abstractNum>
  <w:abstractNum w:abstractNumId="374">
    <w:nsid w:val="C56F860"/>
    <w:multiLevelType w:val="hybridMultilevel"/>
    <w:lvl w:ilvl="0">
      <w:lvlJc w:val="left"/>
      <w:lvlText w:val="(%1)"/>
      <w:numFmt w:val="lowerLetter"/>
      <w:start w:val="3"/>
    </w:lvl>
  </w:abstractNum>
  <w:abstractNum w:abstractNumId="375">
    <w:nsid w:val="64D17722"/>
    <w:multiLevelType w:val="hybridMultilevel"/>
    <w:lvl w:ilvl="0">
      <w:lvlJc w:val="left"/>
      <w:lvlText w:val="%1."/>
      <w:numFmt w:val="decimal"/>
      <w:start w:val="1"/>
    </w:lvl>
  </w:abstractNum>
  <w:abstractNum w:abstractNumId="376">
    <w:nsid w:val="7924CA0A"/>
    <w:multiLevelType w:val="hybridMultilevel"/>
    <w:lvl w:ilvl="0">
      <w:lvlJc w:val="left"/>
      <w:lvlText w:val="%1."/>
      <w:numFmt w:val="decimal"/>
      <w:start w:val="2"/>
    </w:lvl>
  </w:abstractNum>
  <w:abstractNum w:abstractNumId="377">
    <w:nsid w:val="CFD4EA7"/>
    <w:multiLevelType w:val="hybridMultilevel"/>
    <w:lvl w:ilvl="0">
      <w:lvlJc w:val="left"/>
      <w:lvlText w:val="%1"/>
      <w:numFmt w:val="lowerLetter"/>
      <w:start w:val="1"/>
    </w:lvl>
    <w:lvl w:ilvl="1">
      <w:lvlJc w:val="left"/>
      <w:lvlText w:val="(%2)"/>
      <w:numFmt w:val="lowerLetter"/>
      <w:start w:val="1"/>
    </w:lvl>
  </w:abstractNum>
  <w:abstractNum w:abstractNumId="378">
    <w:nsid w:val="232FCF4D"/>
    <w:multiLevelType w:val="hybridMultilevel"/>
    <w:lvl w:ilvl="0">
      <w:lvlJc w:val="left"/>
      <w:lvlText w:val="(%1)"/>
      <w:numFmt w:val="lowerLetter"/>
      <w:start w:val="9"/>
    </w:lvl>
    <w:lvl w:ilvl="1">
      <w:lvlJc w:val="left"/>
      <w:lvlText w:val="%2"/>
      <w:numFmt w:val="lowerLetter"/>
      <w:start w:val="1"/>
    </w:lvl>
  </w:abstractNum>
  <w:abstractNum w:abstractNumId="379">
    <w:nsid w:val="1EA21031"/>
    <w:multiLevelType w:val="hybridMultilevel"/>
    <w:lvl w:ilvl="0">
      <w:lvlJc w:val="left"/>
      <w:lvlText w:val="(%1)"/>
      <w:numFmt w:val="lowerLetter"/>
      <w:start w:val="2"/>
    </w:lvl>
  </w:abstractNum>
  <w:abstractNum w:abstractNumId="380">
    <w:nsid w:val="67A5A6B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81">
    <w:nsid w:val="C2A5C5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82">
    <w:nsid w:val="5F94DC0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83">
    <w:nsid w:val="237BBCA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84">
    <w:nsid w:val="162EB70D"/>
    <w:multiLevelType w:val="hybridMultilevel"/>
    <w:lvl w:ilvl="0">
      <w:lvlJc w:val="left"/>
      <w:lvlText w:val="%1"/>
      <w:numFmt w:val="decimal"/>
      <w:start w:val="1"/>
    </w:lvl>
    <w:lvl w:ilvl="1">
      <w:lvlJc w:val="left"/>
      <w:lvlText w:val="(%2)"/>
      <w:numFmt w:val="lowerLetter"/>
      <w:start w:val="2"/>
    </w:lvl>
  </w:abstractNum>
  <w:abstractNum w:abstractNumId="385">
    <w:nsid w:val="78070222"/>
    <w:multiLevelType w:val="hybridMultilevel"/>
    <w:lvl w:ilvl="0">
      <w:lvlJc w:val="left"/>
      <w:lvlText w:val="%1."/>
      <w:numFmt w:val="decimal"/>
      <w:start w:val="5"/>
    </w:lvl>
    <w:lvl w:ilvl="1">
      <w:lvlJc w:val="left"/>
      <w:lvlText w:val="%2"/>
      <w:numFmt w:val="lowerLetter"/>
      <w:start w:val="1"/>
    </w:lvl>
  </w:abstractNum>
  <w:abstractNum w:abstractNumId="386">
    <w:nsid w:val="6163ED0D"/>
    <w:multiLevelType w:val="hybridMultilevel"/>
    <w:lvl w:ilvl="0">
      <w:lvlJc w:val="left"/>
      <w:lvlText w:val="%1."/>
      <w:numFmt w:val="decimal"/>
      <w:start w:val="6"/>
    </w:lvl>
  </w:abstractNum>
  <w:abstractNum w:abstractNumId="387">
    <w:nsid w:val="C600E47"/>
    <w:multiLevelType w:val="hybridMultilevel"/>
    <w:lvl w:ilvl="0">
      <w:lvlJc w:val="left"/>
      <w:lvlText w:val="%1."/>
      <w:numFmt w:val="decimal"/>
      <w:start w:val="7"/>
    </w:lvl>
  </w:abstractNum>
  <w:abstractNum w:abstractNumId="388">
    <w:nsid w:val="7D94F75D"/>
    <w:multiLevelType w:val="hybridMultilevel"/>
    <w:lvl w:ilvl="0">
      <w:lvlJc w:val="left"/>
      <w:lvlText w:val="(%1)"/>
      <w:numFmt w:val="lowerLetter"/>
      <w:start w:val="1"/>
    </w:lvl>
  </w:abstractNum>
  <w:abstractNum w:abstractNumId="389">
    <w:nsid w:val="6C31E7C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abstractNum>
  <w:abstractNum w:abstractNumId="390">
    <w:nsid w:val="2BB7929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91">
    <w:nsid w:val="58A2A48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92">
    <w:nsid w:val="3A6F0E78"/>
    <w:multiLevelType w:val="hybridMultilevel"/>
    <w:lvl w:ilvl="0">
      <w:lvlJc w:val="left"/>
      <w:lvlText w:val="%1"/>
      <w:numFmt w:val="decimal"/>
      <w:start w:val="1"/>
    </w:lvl>
    <w:lvl w:ilvl="1">
      <w:lvlJc w:val="left"/>
      <w:lvlText w:val="(%2)"/>
      <w:numFmt w:val="lowerLetter"/>
      <w:start w:val="6"/>
    </w:lvl>
  </w:abstractNum>
  <w:abstractNum w:abstractNumId="393">
    <w:nsid w:val="379A5B56"/>
    <w:multiLevelType w:val="hybridMultilevel"/>
    <w:lvl w:ilvl="0">
      <w:lvlJc w:val="left"/>
      <w:lvlText w:val="%1."/>
      <w:numFmt w:val="decimal"/>
      <w:start w:val="9"/>
    </w:lvl>
    <w:lvl w:ilvl="1">
      <w:lvlJc w:val="left"/>
      <w:lvlText w:val="(%2)"/>
      <w:numFmt w:val="lowerLetter"/>
      <w:start w:val="1"/>
    </w:lvl>
  </w:abstractNum>
  <w:abstractNum w:abstractNumId="394">
    <w:nsid w:val="53B735D5"/>
    <w:multiLevelType w:val="hybridMultilevel"/>
    <w:lvl w:ilvl="0">
      <w:lvlJc w:val="left"/>
      <w:lvlText w:val="%1"/>
      <w:numFmt w:val="decimal"/>
      <w:start w:val="1"/>
    </w:lvl>
    <w:lvl w:ilvl="1">
      <w:lvlJc w:val="left"/>
      <w:lvlText w:val="(%2)"/>
      <w:numFmt w:val="lowerLetter"/>
      <w:start w:val="7"/>
    </w:lvl>
  </w:abstractNum>
  <w:abstractNum w:abstractNumId="395">
    <w:nsid w:val="29784870"/>
    <w:multiLevelType w:val="hybridMultilevel"/>
    <w:lvl w:ilvl="0">
      <w:lvlJc w:val="left"/>
      <w:lvlText w:val="%1."/>
      <w:numFmt w:val="decimal"/>
      <w:start w:val="10"/>
    </w:lvl>
    <w:lvl w:ilvl="1">
      <w:lvlJc w:val="left"/>
      <w:lvlText w:val="(%2)"/>
      <w:numFmt w:val="lowerLetter"/>
      <w:start w:val="1"/>
    </w:lvl>
  </w:abstractNum>
  <w:abstractNum w:abstractNumId="396">
    <w:nsid w:val="4CDCED4C"/>
    <w:multiLevelType w:val="hybridMultilevel"/>
    <w:lvl w:ilvl="0">
      <w:lvlJc w:val="left"/>
      <w:lvlText w:val="%1."/>
      <w:numFmt w:val="decimal"/>
      <w:start w:val="12"/>
    </w:lvl>
  </w:abstractNum>
  <w:abstractNum w:abstractNumId="397">
    <w:nsid w:val="10A30D9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98">
    <w:nsid w:val="A66E486"/>
    <w:multiLevelType w:val="hybridMultilevel"/>
    <w:lvl w:ilvl="0">
      <w:lvlJc w:val="left"/>
      <w:lvlText w:val="%1."/>
      <w:numFmt w:val="decimal"/>
      <w:start w:val="15"/>
    </w:lvl>
  </w:abstractNum>
  <w:abstractNum w:abstractNumId="399">
    <w:nsid w:val="306235EA"/>
    <w:multiLevelType w:val="hybridMultilevel"/>
    <w:lvl w:ilvl="0">
      <w:lvlJc w:val="left"/>
      <w:lvlText w:val="%1."/>
      <w:numFmt w:val="decimal"/>
      <w:start w:val="16"/>
    </w:lvl>
    <w:lvl w:ilvl="1">
      <w:lvlJc w:val="left"/>
      <w:lvlText w:val="(%2)"/>
      <w:numFmt w:val="lowerLetter"/>
      <w:start w:val="1"/>
    </w:lvl>
  </w:abstractNum>
  <w:abstractNum w:abstractNumId="400">
    <w:nsid w:val="1187C70F"/>
    <w:multiLevelType w:val="hybridMultilevel"/>
    <w:lvl w:ilvl="0">
      <w:lvlJc w:val="left"/>
      <w:lvlText w:val="%1."/>
      <w:numFmt w:val="decimal"/>
      <w:start w:val="18"/>
    </w:lvl>
  </w:abstractNum>
  <w:abstractNum w:abstractNumId="401">
    <w:nsid w:val="5476DE98"/>
    <w:multiLevelType w:val="hybridMultilevel"/>
    <w:lvl w:ilvl="0">
      <w:lvlJc w:val="left"/>
      <w:lvlText w:val="%1."/>
      <w:numFmt w:val="decimal"/>
      <w:start w:val="19"/>
    </w:lvl>
  </w:abstractNum>
  <w:abstractNum w:abstractNumId="402">
    <w:nsid w:val="EA697F2"/>
    <w:multiLevelType w:val="hybridMultilevel"/>
    <w:lvl w:ilvl="0">
      <w:lvlJc w:val="left"/>
      <w:lvlText w:val="%1."/>
      <w:numFmt w:val="decimal"/>
      <w:start w:val="20"/>
    </w:lvl>
  </w:abstractNum>
  <w:abstractNum w:abstractNumId="403">
    <w:nsid w:val="70BA39EB"/>
    <w:multiLevelType w:val="hybridMultilevel"/>
    <w:lvl w:ilvl="0">
      <w:lvlJc w:val="left"/>
      <w:lvlText w:val="%1."/>
      <w:numFmt w:val="decimal"/>
      <w:start w:val="21"/>
    </w:lvl>
  </w:abstractNum>
  <w:abstractNum w:abstractNumId="404">
    <w:nsid w:val="4A8DB59C"/>
    <w:multiLevelType w:val="hybridMultilevel"/>
    <w:lvl w:ilvl="0">
      <w:lvlJc w:val="left"/>
      <w:lvlText w:val="%1."/>
      <w:numFmt w:val="decimal"/>
      <w:start w:val="22"/>
    </w:lvl>
  </w:abstractNum>
  <w:abstractNum w:abstractNumId="405">
    <w:nsid w:val="1AFD9053"/>
    <w:multiLevelType w:val="hybridMultilevel"/>
    <w:lvl w:ilvl="0">
      <w:lvlJc w:val="left"/>
      <w:lvlText w:val="%1."/>
      <w:numFmt w:val="decimal"/>
      <w:start w:val="23"/>
    </w:lvl>
  </w:abstractNum>
  <w:abstractNum w:abstractNumId="406">
    <w:nsid w:val="558BB10D"/>
    <w:multiLevelType w:val="hybridMultilevel"/>
    <w:lvl w:ilvl="0">
      <w:lvlJc w:val="left"/>
      <w:lvlText w:val="%1."/>
      <w:numFmt w:val="decimal"/>
      <w:start w:val="24"/>
    </w:lvl>
  </w:abstractNum>
  <w:abstractNum w:abstractNumId="407">
    <w:nsid w:val="43B27FA7"/>
    <w:multiLevelType w:val="hybridMultilevel"/>
    <w:lvl w:ilvl="0">
      <w:lvlJc w:val="left"/>
      <w:lvlText w:val="%1."/>
      <w:numFmt w:val="decimal"/>
      <w:start w:val="25"/>
    </w:lvl>
  </w:abstractNum>
  <w:abstractNum w:abstractNumId="408">
    <w:nsid w:val="27FADEFA"/>
    <w:multiLevelType w:val="hybridMultilevel"/>
    <w:lvl w:ilvl="0">
      <w:lvlJc w:val="left"/>
      <w:lvlText w:val="%1."/>
      <w:numFmt w:val="decimal"/>
      <w:start w:val="26"/>
    </w:lvl>
  </w:abstractNum>
  <w:abstractNum w:abstractNumId="409">
    <w:nsid w:val="78BB805A"/>
    <w:multiLevelType w:val="hybridMultilevel"/>
    <w:lvl w:ilvl="0">
      <w:lvlJc w:val="left"/>
      <w:lvlText w:val="%1."/>
      <w:numFmt w:val="decimal"/>
      <w:start w:val="27"/>
    </w:lvl>
  </w:abstractNum>
  <w:abstractNum w:abstractNumId="410">
    <w:nsid w:val="62548FD8"/>
    <w:multiLevelType w:val="hybridMultilevel"/>
    <w:lvl w:ilvl="0">
      <w:lvlJc w:val="left"/>
      <w:lvlText w:val="%1."/>
      <w:numFmt w:val="decimal"/>
      <w:start w:val="28"/>
    </w:lvl>
  </w:abstractNum>
  <w:abstractNum w:abstractNumId="411">
    <w:nsid w:val="FA085B0"/>
    <w:multiLevelType w:val="hybridMultilevel"/>
    <w:lvl w:ilvl="0">
      <w:lvlJc w:val="left"/>
      <w:lvlText w:val="%1."/>
      <w:numFmt w:val="decimal"/>
      <w:start w:val="29"/>
    </w:lvl>
  </w:abstractNum>
  <w:abstractNum w:abstractNumId="412">
    <w:nsid w:val="4E5DCB5"/>
    <w:multiLevelType w:val="hybridMultilevel"/>
    <w:lvl w:ilvl="0">
      <w:lvlJc w:val="left"/>
      <w:lvlText w:val="%1."/>
      <w:numFmt w:val="decimal"/>
      <w:start w:val="30"/>
    </w:lvl>
  </w:abstractNum>
  <w:abstractNum w:abstractNumId="413">
    <w:nsid w:val="41E96BDB"/>
    <w:multiLevelType w:val="hybridMultilevel"/>
    <w:lvl w:ilvl="0">
      <w:lvlJc w:val="left"/>
      <w:lvlText w:val="%1."/>
      <w:numFmt w:val="decimal"/>
      <w:start w:val="31"/>
    </w:lvl>
  </w:abstractNum>
  <w:abstractNum w:abstractNumId="414">
    <w:nsid w:val="331C4250"/>
    <w:multiLevelType w:val="hybridMultilevel"/>
    <w:lvl w:ilvl="0">
      <w:lvlJc w:val="left"/>
      <w:lvlText w:val="%1."/>
      <w:numFmt w:val="decimal"/>
      <w:start w:val="32"/>
    </w:lvl>
  </w:abstractNum>
  <w:abstractNum w:abstractNumId="415">
    <w:nsid w:val="1B1493C2"/>
    <w:multiLevelType w:val="hybridMultilevel"/>
    <w:lvl w:ilvl="0">
      <w:lvlJc w:val="left"/>
      <w:lvlText w:val="%1."/>
      <w:numFmt w:val="decimal"/>
      <w:start w:val="33"/>
    </w:lvl>
  </w:abstractNum>
  <w:abstractNum w:abstractNumId="416">
    <w:nsid w:val="39F06DFD"/>
    <w:multiLevelType w:val="hybridMultilevel"/>
    <w:lvl w:ilvl="0">
      <w:lvlJc w:val="left"/>
      <w:lvlText w:val="%1."/>
      <w:numFmt w:val="decimal"/>
      <w:start w:val="34"/>
    </w:lvl>
  </w:abstractNum>
  <w:abstractNum w:abstractNumId="417">
    <w:nsid w:val="14802F5D"/>
    <w:multiLevelType w:val="hybridMultilevel"/>
    <w:lvl w:ilvl="0">
      <w:lvlJc w:val="left"/>
      <w:lvlText w:val="%1."/>
      <w:numFmt w:val="decimal"/>
      <w:start w:val="35"/>
    </w:lvl>
    <w:lvl w:ilvl="1">
      <w:lvlJc w:val="left"/>
      <w:lvlText w:val="(%2)"/>
      <w:numFmt w:val="lowerLetter"/>
      <w:start w:val="1"/>
    </w:lvl>
    <w:lvl w:ilvl="2">
      <w:lvlJc w:val="left"/>
      <w:lvlText w:val="*"/>
      <w:numFmt w:val="bullet"/>
      <w:start w:val="1"/>
    </w:lvl>
  </w:abstractNum>
  <w:abstractNum w:abstractNumId="418">
    <w:nsid w:val="2774A209"/>
    <w:multiLevelType w:val="hybridMultilevel"/>
    <w:lvl w:ilvl="0">
      <w:lvlJc w:val="left"/>
      <w:lvlText w:val="(%1)"/>
      <w:numFmt w:val="lowerLetter"/>
      <w:start w:val="2"/>
    </w:lvl>
  </w:abstractNum>
  <w:abstractNum w:abstractNumId="419">
    <w:nsid w:val="3785655A"/>
    <w:multiLevelType w:val="hybridMultilevel"/>
    <w:lvl w:ilvl="0">
      <w:lvlJc w:val="left"/>
      <w:lvlText w:val="(%1)"/>
      <w:numFmt w:val="lowerLetter"/>
      <w:start w:val="1"/>
    </w:lvl>
    <w:lvl w:ilvl="1">
      <w:lvlJc w:val="left"/>
      <w:lvlText w:val="(%2)"/>
      <w:numFmt w:val="lowerRoman"/>
      <w:start w:val="1"/>
    </w:lvl>
  </w:abstractNum>
  <w:abstractNum w:abstractNumId="420">
    <w:nsid w:val="B2172A"/>
    <w:multiLevelType w:val="hybridMultilevel"/>
    <w:lvl w:ilvl="0">
      <w:lvlJc w:val="left"/>
      <w:lvlText w:val="(%1)"/>
      <w:numFmt w:val="lowerLetter"/>
      <w:start w:val="1"/>
    </w:lvl>
  </w:abstractNum>
  <w:abstractNum w:abstractNumId="421">
    <w:nsid w:val="532C34A5"/>
    <w:multiLevelType w:val="hybridMultilevel"/>
    <w:lvl w:ilvl="0">
      <w:lvlJc w:val="left"/>
      <w:lvlText w:val="(%1)"/>
      <w:numFmt w:val="lowerLetter"/>
      <w:start w:val="1"/>
    </w:lvl>
    <w:lvl w:ilvl="1">
      <w:lvlJc w:val="left"/>
      <w:lvlText w:val="(%2)"/>
      <w:numFmt w:val="lowerRoman"/>
      <w:start w:val="1"/>
    </w:lvl>
  </w:abstractNum>
  <w:abstractNum w:abstractNumId="422">
    <w:nsid w:val="102809E2"/>
    <w:multiLevelType w:val="hybridMultilevel"/>
    <w:lvl w:ilvl="0">
      <w:lvlJc w:val="left"/>
      <w:lvlText w:val="%1"/>
      <w:numFmt w:val="lowerLetter"/>
      <w:start w:val="1"/>
    </w:lvl>
    <w:lvl w:ilvl="1">
      <w:lvlJc w:val="left"/>
      <w:lvlText w:val="(%2)"/>
      <w:numFmt w:val="lowerRoman"/>
      <w:start w:val="1"/>
    </w:lvl>
  </w:abstractNum>
  <w:abstractNum w:abstractNumId="423">
    <w:nsid w:val="3B2125A3"/>
    <w:multiLevelType w:val="hybridMultilevel"/>
    <w:lvl w:ilvl="0">
      <w:lvlJc w:val="left"/>
      <w:lvlText w:val="(%1)"/>
      <w:numFmt w:val="lowerLetter"/>
      <w:start w:val="3"/>
    </w:lvl>
    <w:lvl w:ilvl="1">
      <w:lvlJc w:val="left"/>
      <w:lvlText w:val="(%2)"/>
      <w:numFmt w:val="lowerRoman"/>
      <w:start w:val="1"/>
    </w:lvl>
  </w:abstractNum>
  <w:abstractNum w:abstractNumId="424">
    <w:nsid w:val="AC68FFB"/>
    <w:multiLevelType w:val="hybridMultilevel"/>
    <w:lvl w:ilvl="0">
      <w:lvlJc w:val="left"/>
      <w:lvlText w:val="(%1)"/>
      <w:numFmt w:val="lowerLetter"/>
      <w:start w:val="1"/>
    </w:lvl>
  </w:abstractNum>
  <w:abstractNum w:abstractNumId="425">
    <w:nsid w:val="63DF3F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2020-01-15T12:39:29Z</dcterms:created>
  <dcterms:modified xsi:type="dcterms:W3CDTF">2020-01-15T12:39:29Z</dcterms:modified>
</cp:coreProperties>
</file>