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194945</wp:posOffset>
            </wp:positionH>
            <wp:positionV relativeFrom="page">
              <wp:posOffset>199390</wp:posOffset>
            </wp:positionV>
            <wp:extent cx="715899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13970"/>
                    </a:xfrm>
                    <a:prstGeom prst="rect">
                      <a:avLst/>
                    </a:prstGeom>
                    <a:noFill/>
                  </pic:spPr>
                </pic:pic>
              </a:graphicData>
            </a:graphic>
          </wp:anchor>
        </w:drawing>
        <w:drawing>
          <wp:anchor simplePos="0" relativeHeight="251657728" behindDoc="1" locked="0" layoutInCell="0" allowOverlap="1">
            <wp:simplePos x="0" y="0"/>
            <wp:positionH relativeFrom="page">
              <wp:posOffset>194945</wp:posOffset>
            </wp:positionH>
            <wp:positionV relativeFrom="page">
              <wp:posOffset>226695</wp:posOffset>
            </wp:positionV>
            <wp:extent cx="71589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990" cy="6985"/>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589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PRIORITY TECHNOLOGY HOLDINGS,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589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373" w:right="319" w:bottom="1440" w:gutter="0" w:footer="0" w:header="0"/>
        </w:sectPr>
      </w:pPr>
    </w:p>
    <w:p>
      <w:pPr>
        <w:spacing w:after="0" w:line="397"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3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3"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001-37872</w:t>
      </w:r>
    </w:p>
    <w:p>
      <w:pPr>
        <w:spacing w:after="0" w:line="30"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3"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47-4257046</w:t>
      </w:r>
    </w:p>
    <w:p>
      <w:pPr>
        <w:spacing w:after="0" w:line="3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20" w:space="720"/>
            <w:col w:w="2860" w:space="720"/>
            <w:col w:w="2360"/>
          </w:cols>
          <w:pgMar w:left="300" w:top="373" w:right="319" w:bottom="1440" w:gutter="0" w:footer="0" w:header="0"/>
          <w:type w:val="continuous"/>
        </w:sectPr>
      </w:pP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2001 Westside Parkway</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Suite 155</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Alpharetta, GA 30004</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(800) 935-5961</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589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373" w:right="319" w:bottom="1440" w:gutter="0" w:footer="0" w:header="0"/>
          <w:type w:val="continuous"/>
        </w:sectPr>
      </w:pPr>
    </w:p>
    <w:p>
      <w:pPr>
        <w:spacing w:after="0" w:line="200" w:lineRule="exact"/>
        <w:rPr>
          <w:sz w:val="24"/>
          <w:szCs w:val="24"/>
          <w:color w:val="auto"/>
        </w:rPr>
      </w:pPr>
    </w:p>
    <w:p>
      <w:pPr>
        <w:spacing w:after="0" w:line="217" w:lineRule="exact"/>
        <w:rPr>
          <w:sz w:val="24"/>
          <w:szCs w:val="24"/>
          <w:color w:val="auto"/>
        </w:rPr>
      </w:pPr>
    </w:p>
    <w:p>
      <w:pPr>
        <w:ind w:right="120"/>
        <w:spacing w:after="0" w:line="300"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 below):</w:t>
      </w:r>
    </w:p>
    <w:p>
      <w:pPr>
        <w:spacing w:after="0" w:line="119"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6" w:lineRule="exact"/>
        <w:rPr>
          <w:rFonts w:ascii="MS PGothic" w:cs="MS PGothic" w:eastAsia="MS PGothic" w:hAnsi="MS PGothic"/>
          <w:sz w:val="14"/>
          <w:szCs w:val="14"/>
          <w:color w:val="auto"/>
        </w:rPr>
      </w:pPr>
    </w:p>
    <w:p>
      <w:pPr>
        <w:ind w:left="520" w:hanging="51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6" w:lineRule="exact"/>
        <w:rPr>
          <w:rFonts w:ascii="MS PGothic" w:cs="MS PGothic" w:eastAsia="MS PGothic" w:hAnsi="MS PGothic"/>
          <w:sz w:val="14"/>
          <w:szCs w:val="14"/>
          <w:color w:val="auto"/>
        </w:rPr>
      </w:pPr>
    </w:p>
    <w:p>
      <w:pPr>
        <w:ind w:left="520" w:hanging="513"/>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6" w:lineRule="exact"/>
        <w:rPr>
          <w:rFonts w:ascii="MS PGothic" w:cs="MS PGothic" w:eastAsia="MS PGothic" w:hAnsi="MS PGothic"/>
          <w:sz w:val="14"/>
          <w:szCs w:val="14"/>
          <w:color w:val="auto"/>
        </w:rPr>
      </w:pPr>
    </w:p>
    <w:p>
      <w:pPr>
        <w:ind w:right="4280" w:firstLine="7"/>
        <w:spacing w:after="0" w:line="516" w:lineRule="auto"/>
        <w:tabs>
          <w:tab w:leader="none" w:pos="52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0"/>
        </w:trPr>
        <w:tc>
          <w:tcPr>
            <w:tcW w:w="3960" w:type="dxa"/>
            <w:vAlign w:val="bottom"/>
            <w:gridSpan w:val="2"/>
            <w:vMerge w:val="continue"/>
          </w:tcPr>
          <w:p>
            <w:pPr>
              <w:spacing w:after="0"/>
              <w:rPr>
                <w:sz w:val="16"/>
                <w:szCs w:val="16"/>
                <w:color w:val="auto"/>
              </w:rPr>
            </w:pP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2"/>
        </w:trPr>
        <w:tc>
          <w:tcPr>
            <w:tcW w:w="3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PRTH</w:t>
            </w:r>
          </w:p>
        </w:tc>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right="320"/>
        <w:spacing w:after="0" w:line="300"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20" w:lineRule="exact"/>
        <w:rPr>
          <w:sz w:val="24"/>
          <w:szCs w:val="24"/>
          <w:color w:val="auto"/>
        </w:rPr>
      </w:pPr>
    </w:p>
    <w:p>
      <w:pPr>
        <w:ind w:right="540"/>
        <w:spacing w:after="0" w:line="19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589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144780</wp:posOffset>
            </wp:positionV>
            <wp:extent cx="715899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13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393065</wp:posOffset>
            </wp:positionV>
            <wp:extent cx="71589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373"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preliminary financial information for the three months ended December 31, 2024 set forth under Item 8.01 below is incorporated into this Item 2.02 by reference.</w:t>
      </w:r>
    </w:p>
    <w:p>
      <w:pPr>
        <w:spacing w:after="0" w:line="18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On January 15, 2025, Priority Technology Holdings, Inc. (the “Company”) issued a press release (the “Press Release”) announcing that it has commenced an underwritten secondary offering (the “Offering”) of shares of the Company’s common stock to be sold by certain selling stockholders (the “Selling Stockholders”). In conjunction with the offering, certain Selling Stockholders intend to grant to the underwriters a 30-day option to purchase additional shares of the Company’s common stock from such Selling Stockholders at the public offering price, less underwriting discounts and commissions. A copy of the Press Release is furnished as Exhibit 99.1 to this Current Report on Form 8-K.</w:t>
      </w:r>
    </w:p>
    <w:p>
      <w:pPr>
        <w:spacing w:after="0" w:line="136" w:lineRule="exact"/>
        <w:rPr>
          <w:sz w:val="20"/>
          <w:szCs w:val="20"/>
          <w:color w:val="auto"/>
        </w:rPr>
      </w:pPr>
    </w:p>
    <w:p>
      <w:pPr>
        <w:ind w:right="580"/>
        <w:spacing w:after="0" w:line="300" w:lineRule="auto"/>
        <w:rPr>
          <w:sz w:val="20"/>
          <w:szCs w:val="20"/>
          <w:color w:val="auto"/>
        </w:rPr>
      </w:pPr>
      <w:r>
        <w:rPr>
          <w:rFonts w:ascii="Times New Roman" w:cs="Times New Roman" w:eastAsia="Times New Roman" w:hAnsi="Times New Roman"/>
          <w:sz w:val="14"/>
          <w:szCs w:val="14"/>
          <w:color w:val="auto"/>
        </w:rPr>
        <w:t>On January 15, 2025, the Company released an investor presentation that will be used by the Company with respect to the Offering (the “Investor Presentation”). A copy of the Investor Presentation is furnished as Exhibit 99.2 to this Current Report on Form 8-K.</w:t>
      </w:r>
    </w:p>
    <w:p>
      <w:pPr>
        <w:spacing w:after="0" w:line="119"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furnished pursuant to this Item 7.01, Exhibit 99.1 and Exhibit 99.2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(the “Securities Act”), or the Exchange Act, except as shall be expressly set forth by specific reference in such a filing.</w:t>
      </w:r>
    </w:p>
    <w:p>
      <w:pPr>
        <w:spacing w:after="0" w:line="13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Estimated Preliminary Results for the Three Months Ended December 31, 2024</w:t>
      </w:r>
    </w:p>
    <w:p>
      <w:pPr>
        <w:spacing w:after="0" w:line="1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On January 15, 2025, the Company filed a preliminary prospectus supplement with the Securities and Exchange Commission (the “SEC”) under its effective shelf registration statement on Form S-3 (Registration No. 333-283519) (the “Preliminary Prospectus Supplement”) in connection with the Offering. The Preliminary Prospectus Supplement contains ranges of the Company’s estimated and unaudited preliminary financial results and other information for the three months ended December 31, 2024. These ranges are based on the information currently available to the Company and are subject to the completion of the Company’s financial closing procedures. The Company has provided estimated ranges, rather than specific amounts, because these results are preliminary and subject to change. The Company’s financial closing procedures for the three months ended December 31, 2024 are not yet complete and, as a result, the Company’s actual results may vary from the estimated preliminary results presented here and will not be finalized until after the completion of this offering.</w:t>
      </w:r>
    </w:p>
    <w:p>
      <w:pPr>
        <w:spacing w:after="0" w:line="14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4"/>
          <w:szCs w:val="14"/>
          <w:color w:val="auto"/>
        </w:rPr>
        <w:t>These estimates should not be viewed as a substitute for the Company’s full interim or annual financial statements prepared in accordance with U.S. generally accepted accounting principles (“GAAP”). Further, the Company’s preliminary estimated results are not necessarily indicative of the results to be expected for any future period as a result of various factors, including, but not limited to, those discussed in the sections titled “Risk Factors” and “Cautionary Note Regarding Forward-Looking Statements” in the Company’s periodic reports filed with the SEC. Accordingly, you should not place undue reliance on these estimated preliminary financial results.</w:t>
      </w:r>
    </w:p>
    <w:p>
      <w:pPr>
        <w:spacing w:after="0" w:line="13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4"/>
          <w:szCs w:val="14"/>
          <w:color w:val="auto"/>
        </w:rPr>
        <w:t>The preliminary financial results presented below have been prepared by, and are the responsibility of, the Company’s management. The Company’s independent registered public accounting firm, Ernst &amp; Young LLP, has not audited, reviewed, compiled, or performed agreed-upon procedures with respect to these estimated preliminary financial results. Accordingly, Ernst &amp; Young LLP does not express an opinion or any other form of assurance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328930</wp:posOffset>
            </wp:positionV>
            <wp:extent cx="71589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60"/>
          </w:cols>
          <w:pgMar w:left="300" w:top="75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The following are the Company’s estimated preliminary financial results and key operating metrics for the three months ended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920" w:type="dxa"/>
            <w:vAlign w:val="bottom"/>
          </w:tcPr>
          <w:p>
            <w:pPr>
              <w:spacing w:after="0"/>
              <w:rPr>
                <w:sz w:val="15"/>
                <w:szCs w:val="15"/>
                <w:color w:val="auto"/>
              </w:rPr>
            </w:pPr>
          </w:p>
        </w:tc>
        <w:tc>
          <w:tcPr>
            <w:tcW w:w="2460" w:type="dxa"/>
            <w:vAlign w:val="bottom"/>
            <w:gridSpan w:val="5"/>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112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40"/>
        </w:trPr>
        <w:tc>
          <w:tcPr>
            <w:tcW w:w="79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18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900" w:type="dxa"/>
            <w:vAlign w:val="bottom"/>
          </w:tcPr>
          <w:p>
            <w:pPr>
              <w:spacing w:after="0" w:line="207" w:lineRule="exact"/>
              <w:rPr>
                <w:sz w:val="20"/>
                <w:szCs w:val="20"/>
                <w:color w:val="auto"/>
              </w:rPr>
            </w:pPr>
            <w:r>
              <w:rPr>
                <w:rFonts w:ascii="Times New Roman" w:cs="Times New Roman" w:eastAsia="Times New Roman" w:hAnsi="Times New Roman"/>
                <w:sz w:val="14"/>
                <w:szCs w:val="14"/>
                <w:color w:val="auto"/>
              </w:rPr>
              <w:t>Adjusted Gross Profit</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82.7</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06"/>
        </w:trPr>
        <w:tc>
          <w:tcPr>
            <w:tcW w:w="79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49.7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4"/>
          <w:szCs w:val="14"/>
          <w:color w:val="auto"/>
        </w:rPr>
        <w:t>See “Reconciliation of GAAP to Non-GAAP Financial Measures” below and the reconciliations of Adjusted Gross Profit and Adjusted EBITDA to their most comparable GAAP measures for additional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Reconciliation of GAAP to Non-GAAP Financial Measures</w:t>
      </w:r>
    </w:p>
    <w:p>
      <w:pPr>
        <w:spacing w:after="0" w:line="19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Adjusted Gross Profit and Adjusted EBITDA are non-GAAP financial measures that are not prepared in accordance with GAAP and that may be different from non-GAAP financial measures used by other companies. The Company’s management believes that the use of these non-GAAP financial measures provides an additional tool for investors to use in evaluating ongoing operating results and trends of the Company. These non-GAAP measures should not be considered in isolation from, or as an alternative to, financial measures determined in accordance with GAAP. Adjusted Gross Profit is calculated by subtracting cost of services (excluding depreciation and amortization) from revenue. Adjusted EBITDA is calculated as net income prior to interest expense, tax expense, depreciation and amortization expense, adjusted to add back certain non-cash charges and/or non-recurring charges deemed to not be part of normal operating expenses.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of the Company’s estimated Adjusted Gross Profit ranges for the three months ended December 31, 2024 to the most comparable GAAP measure is provided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920" w:type="dxa"/>
            <w:vAlign w:val="bottom"/>
          </w:tcPr>
          <w:p>
            <w:pPr>
              <w:spacing w:after="0"/>
              <w:rPr>
                <w:sz w:val="15"/>
                <w:szCs w:val="15"/>
                <w:color w:val="auto"/>
              </w:rPr>
            </w:pPr>
          </w:p>
        </w:tc>
        <w:tc>
          <w:tcPr>
            <w:tcW w:w="2460" w:type="dxa"/>
            <w:vAlign w:val="bottom"/>
            <w:gridSpan w:val="6"/>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112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40" w:type="dxa"/>
            <w:vAlign w:val="bottom"/>
            <w:gridSpan w:val="2"/>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40"/>
        </w:trPr>
        <w:tc>
          <w:tcPr>
            <w:tcW w:w="79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168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920" w:type="dxa"/>
            <w:vAlign w:val="bottom"/>
          </w:tcPr>
          <w:p>
            <w:pPr>
              <w:spacing w:after="0"/>
              <w:rPr>
                <w:sz w:val="16"/>
                <w:szCs w:val="16"/>
                <w:color w:val="auto"/>
              </w:rPr>
            </w:pPr>
          </w:p>
        </w:tc>
        <w:tc>
          <w:tcPr>
            <w:tcW w:w="7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(142.5)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165"/>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Gross Profit</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Depreciation and amortization of revenue generating assets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of the Company’s estimated Adjusted EBITDA ranges for the three months ended December 31, 2024 to the most comparable GAAP measure is provided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920" w:type="dxa"/>
            <w:vAlign w:val="bottom"/>
          </w:tcPr>
          <w:p>
            <w:pPr>
              <w:spacing w:after="0"/>
              <w:rPr>
                <w:sz w:val="15"/>
                <w:szCs w:val="15"/>
                <w:color w:val="auto"/>
              </w:rPr>
            </w:pPr>
          </w:p>
        </w:tc>
        <w:tc>
          <w:tcPr>
            <w:tcW w:w="2460" w:type="dxa"/>
            <w:vAlign w:val="bottom"/>
            <w:gridSpan w:val="7"/>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Low</w:t>
            </w:r>
          </w:p>
        </w:tc>
        <w:tc>
          <w:tcPr>
            <w:tcW w:w="112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140"/>
        </w:trPr>
        <w:tc>
          <w:tcPr>
            <w:tcW w:w="79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900" w:type="dxa"/>
            <w:vAlign w:val="bottom"/>
          </w:tcPr>
          <w:p>
            <w:pPr>
              <w:spacing w:after="0"/>
              <w:rPr>
                <w:sz w:val="16"/>
                <w:szCs w:val="16"/>
                <w:color w:val="auto"/>
              </w:rPr>
            </w:pPr>
          </w:p>
        </w:tc>
        <w:tc>
          <w:tcPr>
            <w:tcW w:w="182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top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9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3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900" w:type="dxa"/>
            <w:vAlign w:val="bottom"/>
          </w:tcPr>
          <w:p>
            <w:pPr>
              <w:spacing w:after="0"/>
              <w:rPr>
                <w:sz w:val="20"/>
                <w:szCs w:val="20"/>
                <w:color w:val="auto"/>
              </w:rPr>
            </w:pPr>
            <w:r>
              <w:rPr>
                <w:rFonts w:ascii="Times New Roman" w:cs="Times New Roman" w:eastAsia="Times New Roman" w:hAnsi="Times New Roman"/>
                <w:sz w:val="14"/>
                <w:szCs w:val="14"/>
                <w:color w:val="auto"/>
              </w:rPr>
              <w:t>Stock based compensation</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Non-recurring items</w:t>
            </w:r>
          </w:p>
        </w:tc>
        <w:tc>
          <w:tcPr>
            <w:tcW w:w="9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79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9" w:lineRule="exact"/>
        <w:rPr>
          <w:sz w:val="20"/>
          <w:szCs w:val="20"/>
          <w:color w:val="auto"/>
        </w:rPr>
      </w:pPr>
    </w:p>
    <w:p>
      <w:pPr>
        <w:ind w:right="140" w:firstLine="521"/>
        <w:spacing w:after="0" w:line="263" w:lineRule="auto"/>
        <w:rPr>
          <w:sz w:val="20"/>
          <w:szCs w:val="20"/>
          <w:color w:val="auto"/>
        </w:rPr>
      </w:pPr>
      <w:r>
        <w:rPr>
          <w:rFonts w:ascii="Times New Roman" w:cs="Times New Roman" w:eastAsia="Times New Roman" w:hAnsi="Times New Roman"/>
          <w:sz w:val="14"/>
          <w:szCs w:val="14"/>
          <w:color w:val="auto"/>
        </w:rPr>
        <w:t>This Current Report on Form 8-K contains “forward looking statements” within the meaning of the Private Securities Litigation Reform Act of 1995. Such statements include, but are not limited to, statements about future financial and operating results, the Company’s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or phrases of similar meaning. These forward-looking statements include, but are not limited to, the Company’s preliminary financial results. Such forward-looking statements are based upon the current beliefs and expectations of the Company’s management and are inherently subject to significant business, economic and competitive risks, trends and uncertainties that could cause actual results to differ materially from those projected, expressed, or implied by such forward-looking statements. The Company’s actual results could differ from those discussed or implied herein. The Company cautions that it is very difficult to predict the impact of known factors, and it is impossible for us to anticipate all factors that could affect the Company’s actual results. All forward-looking statements are expressly qualified in their entirety by these cautionary statements. You should evaluate all forward-looking statements made in this Current Report on Form 8-K in the context of the risks and uncertainties disclosed in the Company’s SEC filings, including the Company’s Annual Report on Form 10-K filed with the SEC on March 12, 2024.</w:t>
      </w:r>
    </w:p>
    <w:p>
      <w:pPr>
        <w:spacing w:after="0" w:line="147" w:lineRule="exact"/>
        <w:rPr>
          <w:sz w:val="20"/>
          <w:szCs w:val="20"/>
          <w:color w:val="auto"/>
        </w:rPr>
      </w:pPr>
    </w:p>
    <w:p>
      <w:pPr>
        <w:ind w:right="20" w:firstLine="521"/>
        <w:spacing w:after="0" w:line="266" w:lineRule="auto"/>
        <w:rPr>
          <w:sz w:val="20"/>
          <w:szCs w:val="20"/>
          <w:color w:val="auto"/>
        </w:rPr>
      </w:pPr>
      <w:r>
        <w:rPr>
          <w:rFonts w:ascii="Times New Roman" w:cs="Times New Roman" w:eastAsia="Times New Roman" w:hAnsi="Times New Roman"/>
          <w:sz w:val="14"/>
          <w:szCs w:val="14"/>
          <w:color w:val="auto"/>
        </w:rPr>
        <w:t>The Company cautions you that the important factors referenced above may not contain all the factors that are important to you. In addition, the Company cannot assure you that the Company will realize the results or developments the Company expects or anticipates or, even if substantially realized, that they will result in the consequences the Company anticipates or affect us or the Company’s operations in the way the Company expects. You are cautioned not to place undue reliance on forward-looking statements as a predictor of future performance. The forward-looking statements included in this Current Report on Form 8-K are made only as of the date hereof. The Company undertakes no obligation to publicly update or revise any forward-looking statement as a result of new information, future events or otherwise, except as otherwise required by law. If the Company does update one or more forward-looking statements, no inference should be made that the Company will make additional updates with respect to those or other forward-looking statements. The Company qualifies all the Company’s forward-looking statements by these cautionary statements.</w:t>
      </w:r>
    </w:p>
    <w:p>
      <w:pPr>
        <w:spacing w:after="0" w:line="320" w:lineRule="exact"/>
        <w:rPr>
          <w:sz w:val="20"/>
          <w:szCs w:val="20"/>
          <w:color w:val="auto"/>
        </w:rPr>
      </w:pPr>
    </w:p>
    <w:p>
      <w:pPr>
        <w:jc w:val="both"/>
        <w:ind w:right="240" w:firstLine="521"/>
        <w:spacing w:after="0" w:line="279" w:lineRule="auto"/>
        <w:rPr>
          <w:sz w:val="20"/>
          <w:szCs w:val="20"/>
          <w:color w:val="auto"/>
        </w:rPr>
      </w:pPr>
      <w:r>
        <w:rPr>
          <w:rFonts w:ascii="Times New Roman" w:cs="Times New Roman" w:eastAsia="Times New Roman" w:hAnsi="Times New Roman"/>
          <w:sz w:val="14"/>
          <w:szCs w:val="14"/>
          <w:color w:val="auto"/>
        </w:rPr>
        <w:t>This Current Report on Form 8-K, including the exhibits hereto, shall not constitute an offer to sell or the solicitation of an offer to buy the securities of the Company, which is being made only by means of a written prospectus meeting the requirements of Section 10 of the Securities Act, nor shall there be any offer, solicitation, or sale of the securities in any state or other jurisdiction in which such offer, solicitation or sale would be unlawful prior to registration or qualification under the securities laws of any such state or other jurisdiction.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348"/>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 Exhibits</w:t>
            </w: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504"/>
        </w:trPr>
        <w:tc>
          <w:tcPr>
            <w:tcW w:w="260" w:type="dxa"/>
            <w:vAlign w:val="bottom"/>
          </w:tcPr>
          <w:p>
            <w:pPr>
              <w:spacing w:after="0"/>
              <w:rPr>
                <w:sz w:val="24"/>
                <w:szCs w:val="24"/>
                <w:color w:val="auto"/>
              </w:rPr>
            </w:pPr>
          </w:p>
        </w:tc>
        <w:tc>
          <w:tcPr>
            <w:tcW w:w="7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80" w:type="dxa"/>
            <w:vAlign w:val="bottom"/>
          </w:tcPr>
          <w:p>
            <w:pPr>
              <w:spacing w:after="0"/>
              <w:rPr>
                <w:sz w:val="24"/>
                <w:szCs w:val="24"/>
                <w:color w:val="auto"/>
              </w:rPr>
            </w:pPr>
          </w:p>
        </w:tc>
      </w:tr>
      <w:tr>
        <w:trPr>
          <w:trHeight w:val="191"/>
        </w:trPr>
        <w:tc>
          <w:tcPr>
            <w:tcW w:w="260" w:type="dxa"/>
            <w:vAlign w:val="bottom"/>
          </w:tcPr>
          <w:p>
            <w:pPr>
              <w:spacing w:after="0"/>
              <w:rPr>
                <w:sz w:val="16"/>
                <w:szCs w:val="16"/>
                <w:color w:val="auto"/>
              </w:rPr>
            </w:pPr>
          </w:p>
        </w:tc>
        <w:tc>
          <w:tcPr>
            <w:tcW w:w="78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No.</w:t>
            </w:r>
          </w:p>
        </w:tc>
        <w:tc>
          <w:tcPr>
            <w:tcW w:w="10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14"/>
        </w:trPr>
        <w:tc>
          <w:tcPr>
            <w:tcW w:w="2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99.</w:t>
            </w:r>
            <w:r>
              <w:rPr>
                <w:rFonts w:ascii="Times New Roman" w:cs="Times New Roman" w:eastAsia="Times New Roman" w:hAnsi="Times New Roman"/>
                <w:sz w:val="14"/>
                <w:szCs w:val="14"/>
                <w:u w:val="single" w:color="auto"/>
                <w:color w:val="0000EE"/>
                <w:w w:val="97"/>
              </w:rPr>
              <w:t>1</w:t>
            </w:r>
          </w:p>
        </w:tc>
        <w:tc>
          <w:tcPr>
            <w:tcW w:w="780" w:type="dxa"/>
            <w:vAlign w:val="bottom"/>
          </w:tcPr>
          <w:p>
            <w:pPr>
              <w:spacing w:after="0"/>
              <w:rPr>
                <w:sz w:val="24"/>
                <w:szCs w:val="24"/>
                <w:color w:val="auto"/>
              </w:rPr>
            </w:pPr>
          </w:p>
        </w:tc>
        <w:tc>
          <w:tcPr>
            <w:tcW w:w="2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rPr>
              <w:t>Press Release, dated January 15, 2025</w:t>
            </w:r>
          </w:p>
        </w:tc>
        <w:tc>
          <w:tcPr>
            <w:tcW w:w="8020" w:type="dxa"/>
            <w:vAlign w:val="bottom"/>
            <w:gridSpan w:val="2"/>
          </w:tcPr>
          <w:p>
            <w:pPr>
              <w:spacing w:after="0"/>
              <w:rPr>
                <w:sz w:val="24"/>
                <w:szCs w:val="24"/>
                <w:color w:val="auto"/>
              </w:rPr>
            </w:pPr>
          </w:p>
        </w:tc>
      </w:tr>
      <w:tr>
        <w:trPr>
          <w:trHeight w:val="154"/>
        </w:trPr>
        <w:tc>
          <w:tcPr>
            <w:tcW w:w="260" w:type="dxa"/>
            <w:vAlign w:val="bottom"/>
            <w:tcBorders>
              <w:bottom w:val="single" w:sz="8" w:color="0000EE"/>
            </w:tcBorders>
          </w:tcPr>
          <w:p>
            <w:pPr>
              <w:spacing w:after="0" w:line="154" w:lineRule="exact"/>
              <w:rPr>
                <w:sz w:val="20"/>
                <w:szCs w:val="20"/>
                <w:color w:val="auto"/>
              </w:rPr>
            </w:pPr>
            <w:r>
              <w:rPr>
                <w:rFonts w:ascii="Times New Roman" w:cs="Times New Roman" w:eastAsia="Times New Roman" w:hAnsi="Times New Roman"/>
                <w:sz w:val="14"/>
                <w:szCs w:val="14"/>
                <w:color w:val="0000EE"/>
                <w:w w:val="97"/>
              </w:rPr>
              <w:t>99.</w:t>
            </w:r>
            <w:r>
              <w:rPr>
                <w:rFonts w:ascii="Times New Roman" w:cs="Times New Roman" w:eastAsia="Times New Roman" w:hAnsi="Times New Roman"/>
                <w:sz w:val="14"/>
                <w:szCs w:val="14"/>
                <w:u w:val="single" w:color="auto"/>
                <w:color w:val="0000EE"/>
                <w:w w:val="97"/>
              </w:rPr>
              <w:t>2</w:t>
            </w:r>
          </w:p>
        </w:tc>
        <w:tc>
          <w:tcPr>
            <w:tcW w:w="780" w:type="dxa"/>
            <w:vAlign w:val="bottom"/>
          </w:tcPr>
          <w:p>
            <w:pPr>
              <w:spacing w:after="0"/>
              <w:rPr>
                <w:sz w:val="13"/>
                <w:szCs w:val="13"/>
                <w:color w:val="auto"/>
              </w:rPr>
            </w:pPr>
          </w:p>
        </w:tc>
        <w:tc>
          <w:tcPr>
            <w:tcW w:w="2660" w:type="dxa"/>
            <w:vAlign w:val="bottom"/>
            <w:tcBorders>
              <w:bottom w:val="single" w:sz="8" w:color="0000EE"/>
            </w:tcBorders>
            <w:gridSpan w:val="2"/>
          </w:tcPr>
          <w:p>
            <w:pPr>
              <w:spacing w:after="0" w:line="154" w:lineRule="exact"/>
              <w:rPr>
                <w:sz w:val="20"/>
                <w:szCs w:val="20"/>
                <w:color w:val="auto"/>
              </w:rPr>
            </w:pPr>
            <w:r>
              <w:rPr>
                <w:rFonts w:ascii="Times New Roman" w:cs="Times New Roman" w:eastAsia="Times New Roman" w:hAnsi="Times New Roman"/>
                <w:sz w:val="14"/>
                <w:szCs w:val="14"/>
                <w:color w:val="0000EE"/>
              </w:rPr>
              <w:t>Investor Presentation, dated January 15, 2025</w:t>
            </w:r>
          </w:p>
        </w:tc>
        <w:tc>
          <w:tcPr>
            <w:tcW w:w="7580" w:type="dxa"/>
            <w:vAlign w:val="bottom"/>
          </w:tcPr>
          <w:p>
            <w:pPr>
              <w:spacing w:after="0"/>
              <w:rPr>
                <w:sz w:val="13"/>
                <w:szCs w:val="13"/>
                <w:color w:val="auto"/>
              </w:rPr>
            </w:pPr>
          </w:p>
        </w:tc>
      </w:tr>
      <w:tr>
        <w:trPr>
          <w:trHeight w:val="187"/>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780" w:type="dxa"/>
            <w:vAlign w:val="bottom"/>
          </w:tcPr>
          <w:p>
            <w:pPr>
              <w:spacing w:after="0"/>
              <w:rPr>
                <w:sz w:val="16"/>
                <w:szCs w:val="16"/>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543"/>
        </w:trPr>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3"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80" w:type="dxa"/>
            <w:vAlign w:val="bottom"/>
          </w:tcPr>
          <w:p>
            <w:pPr>
              <w:spacing w:after="0"/>
              <w:rPr>
                <w:sz w:val="16"/>
                <w:szCs w:val="16"/>
                <w:color w:val="auto"/>
              </w:rPr>
            </w:pPr>
          </w:p>
        </w:tc>
        <w:tc>
          <w:tcPr>
            <w:tcW w:w="780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tc>
      </w:tr>
      <w:tr>
        <w:trPr>
          <w:trHeight w:val="347"/>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Dated: January 15, 2025</w:t>
            </w:r>
          </w:p>
        </w:tc>
        <w:tc>
          <w:tcPr>
            <w:tcW w:w="780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By:  /s/ Timothy O’Leary</w:t>
            </w:r>
          </w:p>
        </w:tc>
      </w:tr>
      <w:tr>
        <w:trPr>
          <w:trHeight w:val="150"/>
        </w:trPr>
        <w:tc>
          <w:tcPr>
            <w:tcW w:w="3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540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4"/>
                <w:szCs w:val="14"/>
                <w:color w:val="auto"/>
              </w:rPr>
              <w:t>Timothy O’Leary</w:t>
            </w:r>
          </w:p>
        </w:tc>
      </w:tr>
      <w:tr>
        <w:trPr>
          <w:trHeight w:val="189"/>
        </w:trPr>
        <w:tc>
          <w:tcPr>
            <w:tcW w:w="34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543"/>
        </w:trPr>
        <w:tc>
          <w:tcPr>
            <w:tcW w:w="34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53"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128905</wp:posOffset>
            </wp:positionV>
            <wp:extent cx="2117090" cy="669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7090" cy="669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Priority Announces Secondary Offering of Common Stock</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Alpharetta, GA, January 15, 2025 – Priority Technology Holdings, Inc. (NASDAQ: PRTH) (“Priority” or the “Company”), the payments and banking solution that streamlines collecting, storing, lending and sending money to unlock revenue opportunities, announced today that it has commenced an underwritten secondary offering for 9,157,600 shares of Priority’s common stock to be sold by certain selling stockholders. In conjunction with the offering, certain selling stockholders intend to grant to the underwriters a 30-day option to purchase 1,373,639 additional shares of Priority’s common stock from the selling stockholders at the public offering price, less underwriting discounts and commissions. The offering is subject to market and other conditions, and there can be no assurance as to whether or when the offering may be completed, or as to the actual size or terms of the offering.</w:t>
      </w:r>
    </w:p>
    <w:p>
      <w:pPr>
        <w:spacing w:after="0" w:line="14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The selling stockholders will receive all of the net proceeds from the proposed offering. The Company will not sell any shares of its common stock in the proposed offering and will not receive any proceeds from the sale of shares of the Company’s common stock in the offering.</w:t>
      </w:r>
    </w:p>
    <w:p>
      <w:pPr>
        <w:spacing w:after="0" w:line="117"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4"/>
          <w:szCs w:val="14"/>
          <w:color w:val="auto"/>
        </w:rPr>
        <w:t xml:space="preserve">Keefe, Bruyette &amp; Woods, </w:t>
      </w:r>
      <w:r>
        <w:rPr>
          <w:rFonts w:ascii="Times New Roman" w:cs="Times New Roman" w:eastAsia="Times New Roman" w:hAnsi="Times New Roman"/>
          <w:sz w:val="14"/>
          <w:szCs w:val="14"/>
          <w:i w:val="1"/>
          <w:iCs w:val="1"/>
          <w:color w:val="auto"/>
        </w:rPr>
        <w:t>A Stifel Company</w:t>
      </w:r>
      <w:r>
        <w:rPr>
          <w:rFonts w:ascii="Times New Roman" w:cs="Times New Roman" w:eastAsia="Times New Roman" w:hAnsi="Times New Roman"/>
          <w:sz w:val="14"/>
          <w:szCs w:val="14"/>
          <w:color w:val="auto"/>
        </w:rPr>
        <w:t xml:space="preserve"> and TD Cowen are acting as joint lead book-running managers for the offering. B. Riley Securities is acting as a book-running manager for the offering and A.G.P./Alliance Global Partners and Lake Street are acting as co-managers.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offering is being made pursuant to an effective shelf registration statement (including a prospectus) on Form S-3 (File No. 333-283519) previously filed with the Securities and Exchange Commission (“SEC”). The offering may be made only by means of a prospectus supplement and accompanying prospectus. Before investing, interested parties should read the prospectus supplement, accompanying prospectus and other documents filed by the Company with the SEC for information about the Company and this offering. You may get these documents for free by visiting EDGAR on the SEC website at www.sec.gov. Alternatively, a copy of the prospectus supplement and accompanying prospectus may be obtained from any of the following underwriters at: Keefe, Bruyette &amp; Woods, Inc., 787 Seventh Avenue, 4th Floor, New York, NY 10019, Attention: Equity Capital Markets, by telephone at (800) 966-1559, or by email at USCapitalMarkets@kbw.com; TD Securities (USA) LLC, 1 Vanderbilt Avenue, New York, NY 10017, by telephone at (855) 495-9846 or by email at TD.ECM_Prospectus@tdsecurities.com; B. Riley Securities, Inc., 1300 17th Street North, Suite 1300, Arlington, VA 22209, by telephone at (703) 312-9580, or by email at Prospectuses@brileyfin.com; A.G.P./Alliance Global Partners, LLC, 590 Madison Avenue, 28th Floor New York, NY 10022, Attention: Investment Banking, by telephone at (212) 624-2060, or by email at prospectus@allianceg.com; or Lake Street Capital Markets, LLC, 920 Second Avenue South, Suite 700, Minneapolis, MN 55402, by telephone at (612) 326-1305, or by email at prospectus@lakestreetcm.com.</w:t>
      </w:r>
    </w:p>
    <w:p>
      <w:pPr>
        <w:spacing w:after="0" w:line="144"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This press release shall not constitute an offer to sell or the solicitation of an offer to buy nor shall there be any sale of, or any solicitation of an offer to buy, Priority’s common stock in any state or jurisdiction in which such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319405</wp:posOffset>
            </wp:positionV>
            <wp:extent cx="715899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About Priority</w:t>
      </w:r>
    </w:p>
    <w:p>
      <w:pPr>
        <w:spacing w:after="0" w:line="18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Priority is the payments and banking fintech that enables businesses to collect, store, lend, and send funds through a unified commerce engine. Priority’s platform combines payables, merchant services, and banking and treasury solutions so leaders can streamline financial operations efficiently — and Priority’s innovative industry experts help businesses navigate and build momentum on the path to growth. With the Priority Commerce Engine, leaders can accelerate cash flow, optimize working capital, reduce unnecessary costs, and unlock new revenue opportunities.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Investor Relations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Chris Kettmann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Chris.Kettmann@dgagroup.com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Alison Jones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alison.jones@prth.com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Such statements include, but are not limited to, statements about the completion, timing and terms of the offering and other statements identified by words such as “may,” “will,” “should,” “anticipates,” “believes,” “expects,” “plans,” “future,” “intends,” “could,” “estimate,” “predict,” “projects,” “targeting,” “potential” or “contingent,” “guidance,” “outlook” or words of similar meaning. Such forward-looking statements are based upon the current beliefs and expectations of Priority’s management and are inherently subject to significant business, economic and competitive risks, trends and uncertainties that could cause actual results to differ materially from those projected, expressed, or implied by such forward-looking statements.</w:t>
      </w:r>
    </w:p>
    <w:p>
      <w:pPr>
        <w:spacing w:after="0" w:line="14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4"/>
          <w:szCs w:val="14"/>
          <w:color w:val="auto"/>
        </w:rPr>
        <w:t>All information set forth herein speaks only as of the date hereof in the case of information about Priority or the date of such information in the case of information from persons other than Priority, and Priority disclaims any intention or obligation to update any forward-looking statements as a result of developments occurring after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429895</wp:posOffset>
            </wp:positionV>
            <wp:extent cx="715899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698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7" w:name="page8"/>
    <w:bookmarkEnd w:id="7"/>
    <w:p>
      <w:pPr>
        <w:ind w:left="940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142875</wp:posOffset>
            </wp:positionV>
            <wp:extent cx="7158990" cy="4124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0" w:num="1">
            <w:col w:w="10140"/>
          </w:cols>
          <w:pgMar w:left="1440" w:top="318" w:right="31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378460</wp:posOffset>
            </wp:positionV>
            <wp:extent cx="7158990" cy="4124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124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378460</wp:posOffset>
            </wp:positionV>
            <wp:extent cx="6910705" cy="41795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10705" cy="41795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2025-01-15T07:23:45Z</dcterms:created>
  <dcterms:modified xsi:type="dcterms:W3CDTF">2025-01-15T07:23:45Z</dcterms:modified>
</cp:coreProperties>
</file>