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5,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Priority Technology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4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3"/>
              </w:rPr>
              <w:t>Delaware</w:t>
            </w:r>
          </w:p>
        </w:tc>
        <w:tc>
          <w:tcPr>
            <w:tcW w:w="2980" w:type="dxa"/>
            <w:vAlign w:val="bottom"/>
            <w:gridSpan w:val="3"/>
          </w:tcPr>
          <w:p>
            <w:pPr>
              <w:jc w:val="right"/>
              <w:ind w:right="1360"/>
              <w:spacing w:after="0"/>
              <w:rPr>
                <w:sz w:val="20"/>
                <w:szCs w:val="20"/>
                <w:color w:val="auto"/>
              </w:rPr>
            </w:pPr>
            <w:r>
              <w:rPr>
                <w:rFonts w:ascii="Arial" w:cs="Arial" w:eastAsia="Arial" w:hAnsi="Arial"/>
                <w:sz w:val="18"/>
                <w:szCs w:val="18"/>
                <w:b w:val="1"/>
                <w:bCs w:val="1"/>
                <w:color w:val="auto"/>
              </w:rPr>
              <w:t>001-37872</w:t>
            </w:r>
          </w:p>
        </w:tc>
        <w:tc>
          <w:tcPr>
            <w:tcW w:w="3860" w:type="dxa"/>
            <w:vAlign w:val="bottom"/>
            <w:gridSpan w:val="2"/>
          </w:tcPr>
          <w:p>
            <w:pPr>
              <w:jc w:val="right"/>
              <w:ind w:right="133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 incorporation)</w:t>
            </w:r>
          </w:p>
        </w:tc>
        <w:tc>
          <w:tcPr>
            <w:tcW w:w="16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3"/>
          </w:tcPr>
          <w:p>
            <w:pPr>
              <w:jc w:val="center"/>
              <w:ind w:right="560"/>
              <w:spacing w:after="0"/>
              <w:rPr>
                <w:sz w:val="20"/>
                <w:szCs w:val="20"/>
                <w:color w:val="auto"/>
              </w:rPr>
            </w:pPr>
            <w:r>
              <w:rPr>
                <w:rFonts w:ascii="Arial" w:cs="Arial" w:eastAsia="Arial" w:hAnsi="Arial"/>
                <w:sz w:val="18"/>
                <w:szCs w:val="18"/>
                <w:color w:val="auto"/>
                <w:w w:val="92"/>
              </w:rPr>
              <w:t>(Commission File Number)</w:t>
            </w:r>
          </w:p>
        </w:tc>
        <w:tc>
          <w:tcPr>
            <w:tcW w:w="140" w:type="dxa"/>
            <w:vAlign w:val="bottom"/>
          </w:tcPr>
          <w:p>
            <w:pPr>
              <w:spacing w:after="0"/>
              <w:rPr>
                <w:sz w:val="19"/>
                <w:szCs w:val="19"/>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No.)</w:t>
            </w:r>
          </w:p>
        </w:tc>
        <w:tc>
          <w:tcPr>
            <w:tcW w:w="20" w:type="dxa"/>
            <w:vAlign w:val="bottom"/>
          </w:tcPr>
          <w:p>
            <w:pPr>
              <w:spacing w:after="0"/>
              <w:rPr>
                <w:sz w:val="19"/>
                <w:szCs w:val="19"/>
                <w:color w:val="auto"/>
              </w:rPr>
            </w:pPr>
          </w:p>
        </w:tc>
      </w:tr>
      <w:tr>
        <w:trPr>
          <w:trHeight w:val="656"/>
        </w:trPr>
        <w:tc>
          <w:tcPr>
            <w:tcW w:w="20" w:type="dxa"/>
            <w:vAlign w:val="bottom"/>
          </w:tcPr>
          <w:p>
            <w:pPr>
              <w:spacing w:after="0"/>
              <w:rPr>
                <w:sz w:val="24"/>
                <w:szCs w:val="24"/>
                <w:color w:val="auto"/>
              </w:rPr>
            </w:pPr>
          </w:p>
        </w:tc>
        <w:tc>
          <w:tcPr>
            <w:tcW w:w="4540" w:type="dxa"/>
            <w:vAlign w:val="bottom"/>
            <w:gridSpan w:val="3"/>
          </w:tcPr>
          <w:p>
            <w:pPr>
              <w:jc w:val="center"/>
              <w:ind w:left="1150"/>
              <w:spacing w:after="0"/>
              <w:rPr>
                <w:sz w:val="20"/>
                <w:szCs w:val="20"/>
                <w:color w:val="auto"/>
              </w:rPr>
            </w:pPr>
            <w:r>
              <w:rPr>
                <w:rFonts w:ascii="Arial" w:cs="Arial" w:eastAsia="Arial" w:hAnsi="Arial"/>
                <w:sz w:val="18"/>
                <w:szCs w:val="18"/>
                <w:b w:val="1"/>
                <w:bCs w:val="1"/>
                <w:color w:val="auto"/>
                <w:w w:val="90"/>
              </w:rPr>
              <w:t>2001 Westside Parkway</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tcPr>
          <w:p>
            <w:pPr>
              <w:jc w:val="center"/>
              <w:ind w:left="1170"/>
              <w:spacing w:after="0"/>
              <w:rPr>
                <w:sz w:val="20"/>
                <w:szCs w:val="20"/>
                <w:color w:val="auto"/>
              </w:rPr>
            </w:pPr>
            <w:r>
              <w:rPr>
                <w:rFonts w:ascii="Arial" w:cs="Arial" w:eastAsia="Arial" w:hAnsi="Arial"/>
                <w:sz w:val="18"/>
                <w:szCs w:val="18"/>
                <w:b w:val="1"/>
                <w:bCs w:val="1"/>
                <w:color w:val="auto"/>
                <w:w w:val="91"/>
              </w:rPr>
              <w:t>Suite 155</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3"/>
          </w:tcPr>
          <w:p>
            <w:pPr>
              <w:jc w:val="center"/>
              <w:ind w:left="1130"/>
              <w:spacing w:after="0"/>
              <w:rPr>
                <w:sz w:val="20"/>
                <w:szCs w:val="20"/>
                <w:color w:val="auto"/>
              </w:rPr>
            </w:pPr>
            <w:r>
              <w:rPr>
                <w:rFonts w:ascii="Arial" w:cs="Arial" w:eastAsia="Arial" w:hAnsi="Arial"/>
                <w:sz w:val="18"/>
                <w:szCs w:val="18"/>
                <w:b w:val="1"/>
                <w:bCs w:val="1"/>
                <w:color w:val="auto"/>
                <w:w w:val="95"/>
              </w:rPr>
              <w:t>Alpharetta, GA</w:t>
            </w:r>
          </w:p>
        </w:tc>
        <w:tc>
          <w:tcPr>
            <w:tcW w:w="12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2"/>
          </w:tcPr>
          <w:p>
            <w:pPr>
              <w:jc w:val="right"/>
              <w:ind w:right="2390"/>
              <w:spacing w:after="0"/>
              <w:rPr>
                <w:sz w:val="20"/>
                <w:szCs w:val="20"/>
                <w:color w:val="auto"/>
              </w:rPr>
            </w:pPr>
            <w:r>
              <w:rPr>
                <w:rFonts w:ascii="Arial" w:cs="Arial" w:eastAsia="Arial" w:hAnsi="Arial"/>
                <w:sz w:val="18"/>
                <w:szCs w:val="18"/>
                <w:b w:val="1"/>
                <w:bCs w:val="1"/>
                <w:color w:val="auto"/>
              </w:rPr>
              <w:t>30004</w:t>
            </w:r>
          </w:p>
        </w:tc>
        <w:tc>
          <w:tcPr>
            <w:tcW w:w="20" w:type="dxa"/>
            <w:vAlign w:val="bottom"/>
            <w:tcBorders>
              <w:bottom w:val="single" w:sz="8" w:color="auto"/>
            </w:tcBorders>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4540" w:type="dxa"/>
            <w:vAlign w:val="bottom"/>
            <w:gridSpan w:val="3"/>
          </w:tcPr>
          <w:p>
            <w:pPr>
              <w:jc w:val="center"/>
              <w:ind w:left="1110"/>
              <w:spacing w:after="0"/>
              <w:rPr>
                <w:sz w:val="20"/>
                <w:szCs w:val="20"/>
                <w:color w:val="auto"/>
              </w:rPr>
            </w:pPr>
            <w:r>
              <w:rPr>
                <w:rFonts w:ascii="Arial" w:cs="Arial" w:eastAsia="Arial" w:hAnsi="Arial"/>
                <w:sz w:val="18"/>
                <w:szCs w:val="18"/>
                <w:color w:val="auto"/>
                <w:w w:val="92"/>
              </w:rPr>
              <w:t>(Address of Principal Executive Offices)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tcPr>
          <w:p>
            <w:pPr>
              <w:jc w:val="center"/>
              <w:ind w:right="1670"/>
              <w:spacing w:after="0"/>
              <w:rPr>
                <w:sz w:val="20"/>
                <w:szCs w:val="20"/>
                <w:color w:val="auto"/>
              </w:rPr>
            </w:pPr>
            <w:r>
              <w:rPr>
                <w:rFonts w:ascii="Arial" w:cs="Arial" w:eastAsia="Arial" w:hAnsi="Arial"/>
                <w:sz w:val="18"/>
                <w:szCs w:val="18"/>
                <w:color w:val="auto"/>
                <w:w w:val="94"/>
              </w:rPr>
              <w:t>(Zip Code)</w:t>
            </w:r>
          </w:p>
        </w:tc>
        <w:tc>
          <w:tcPr>
            <w:tcW w:w="20" w:type="dxa"/>
            <w:vAlign w:val="bottom"/>
          </w:tcPr>
          <w:p>
            <w:pPr>
              <w:spacing w:after="0"/>
              <w:rPr>
                <w:sz w:val="19"/>
                <w:szCs w:val="19"/>
                <w:color w:val="auto"/>
              </w:rPr>
            </w:pPr>
          </w:p>
        </w:tc>
      </w:tr>
    </w:tbl>
    <w:p>
      <w:pPr>
        <w:spacing w:after="0" w:line="18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left="340" w:right="120" w:hanging="323"/>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25"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76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sectPr>
          <w:pgSz w:w="11900" w:h="16838" w:orient="portrait"/>
          <w:cols w:equalWidth="0" w:num="2">
            <w:col w:w="1000" w:space="720"/>
            <w:col w:w="9580"/>
          </w:cols>
          <w:pgMar w:left="240" w:top="796" w:right="359" w:bottom="1440" w:gutter="0" w:footer="0" w:header="0"/>
        </w:sectPr>
      </w:pPr>
    </w:p>
    <w:p>
      <w:pPr>
        <w:ind w:right="40"/>
        <w:spacing w:after="0" w:line="264" w:lineRule="auto"/>
        <w:rPr>
          <w:sz w:val="20"/>
          <w:szCs w:val="20"/>
          <w:color w:val="auto"/>
        </w:rPr>
      </w:pPr>
      <w:r>
        <w:rPr>
          <w:rFonts w:ascii="Arial" w:cs="Arial" w:eastAsia="Arial" w:hAnsi="Arial"/>
          <w:sz w:val="18"/>
          <w:szCs w:val="18"/>
          <w:color w:val="auto"/>
        </w:rPr>
        <w:t>On February 5, 2019, Priority Technology Holdings, Inc. (the “Company”) and Bruce E. Mattox, the Company’s Chief Accounting Officer, mutually agreed to terminate Mr. Mattox’s employment with the Company effective as of February 28, 2019. Following Mr. Mattox’s departure, the Company’s Chief Financial Officer, Michael Vollkommer, will serve as the Company’s principal financial and accounting officer.</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and Mr. Mattox also entered into a consulting agreement, pursuant to which Mr. Mattox will continue to serve as a consultant to the Company through February 29, 2020. Mr. Mattox will receive a cash monthly fee equal to $24,166.67 for his service as a consultant. The consulting agreement also provides Mr. Mattox with certain rights to indemnification and expense reimbursement.</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foregoing summary of the consulting agreement is qualified in its entirety by reference to the consulting agreement, a copy of which will be filed as an exhibit to the Company’s Annual Report on Form 10-K for its fiscal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00"/>
          </w:cols>
          <w:pgMar w:left="240" w:top="796"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8, 2019</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PRIORITY TECHNOLOGY HOLDINGS, INC.</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By:/s/ Michael Vollkommer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Michael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2020-01-09T19:41:00Z</dcterms:created>
  <dcterms:modified xsi:type="dcterms:W3CDTF">2020-01-09T19:41:00Z</dcterms:modified>
</cp:coreProperties>
</file>