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7, 2022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5715</wp:posOffset>
            </wp:positionV>
            <wp:extent cx="2537460" cy="1174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37460" cy="1174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Priority Technology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001-37872</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47-4257046</w:t>
            </w:r>
          </w:p>
        </w:tc>
        <w:tc>
          <w:tcPr>
            <w:tcW w:w="20" w:type="dxa"/>
            <w:vAlign w:val="bottom"/>
          </w:tcPr>
          <w:p>
            <w:pPr>
              <w:spacing w:after="0"/>
              <w:rPr>
                <w:sz w:val="20"/>
                <w:szCs w:val="20"/>
                <w:color w:val="auto"/>
              </w:rPr>
            </w:pPr>
          </w:p>
        </w:tc>
      </w:tr>
      <w:tr>
        <w:trPr>
          <w:trHeight w:val="228"/>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40" w:type="dxa"/>
            <w:vAlign w:val="bottom"/>
          </w:tcPr>
          <w:p>
            <w:pPr>
              <w:spacing w:after="0"/>
              <w:rPr>
                <w:sz w:val="19"/>
                <w:szCs w:val="19"/>
                <w:color w:val="auto"/>
              </w:rPr>
            </w:pPr>
          </w:p>
        </w:tc>
        <w:tc>
          <w:tcPr>
            <w:tcW w:w="3320" w:type="dxa"/>
            <w:vAlign w:val="bottom"/>
            <w:tcBorders>
              <w:top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4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20" w:type="dxa"/>
            <w:vAlign w:val="bottom"/>
          </w:tcPr>
          <w:p>
            <w:pPr>
              <w:spacing w:after="0"/>
              <w:rPr>
                <w:sz w:val="19"/>
                <w:szCs w:val="19"/>
                <w:color w:val="auto"/>
              </w:rPr>
            </w:pPr>
          </w:p>
        </w:tc>
      </w:tr>
      <w:tr>
        <w:trPr>
          <w:trHeight w:val="648"/>
        </w:trPr>
        <w:tc>
          <w:tcPr>
            <w:tcW w:w="400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2001 Westside Parkway</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00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Suite 155</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40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Alpharetta,</w:t>
            </w:r>
          </w:p>
        </w:tc>
        <w:tc>
          <w:tcPr>
            <w:tcW w:w="3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3560" w:type="dxa"/>
            <w:vAlign w:val="bottom"/>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30004</w:t>
            </w:r>
          </w:p>
        </w:tc>
        <w:tc>
          <w:tcPr>
            <w:tcW w:w="20" w:type="dxa"/>
            <w:vAlign w:val="bottom"/>
          </w:tcPr>
          <w:p>
            <w:pPr>
              <w:spacing w:after="0"/>
              <w:rPr>
                <w:sz w:val="20"/>
                <w:szCs w:val="20"/>
                <w:color w:val="auto"/>
              </w:rPr>
            </w:pPr>
          </w:p>
        </w:tc>
      </w:tr>
      <w:tr>
        <w:trPr>
          <w:trHeight w:val="228"/>
        </w:trPr>
        <w:tc>
          <w:tcPr>
            <w:tcW w:w="57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0" w:type="dxa"/>
            <w:vAlign w:val="bottom"/>
          </w:tcPr>
          <w:p>
            <w:pPr>
              <w:spacing w:after="0"/>
              <w:rPr>
                <w:sz w:val="19"/>
                <w:szCs w:val="19"/>
                <w:color w:val="auto"/>
              </w:rPr>
            </w:pPr>
          </w:p>
        </w:tc>
        <w:tc>
          <w:tcPr>
            <w:tcW w:w="1600" w:type="dxa"/>
            <w:vAlign w:val="bottom"/>
            <w:tcBorders>
              <w:top w:val="single" w:sz="8" w:color="auto"/>
            </w:tcBorders>
            <w:gridSpan w:val="2"/>
          </w:tcPr>
          <w:p>
            <w:pPr>
              <w:spacing w:after="0"/>
              <w:rPr>
                <w:sz w:val="19"/>
                <w:szCs w:val="19"/>
                <w:color w:val="auto"/>
              </w:rPr>
            </w:pPr>
          </w:p>
        </w:tc>
        <w:tc>
          <w:tcPr>
            <w:tcW w:w="3560" w:type="dxa"/>
            <w:vAlign w:val="bottom"/>
            <w:tcBorders>
              <w:top w:val="single" w:sz="8" w:color="auto"/>
            </w:tcBorders>
          </w:tcPr>
          <w:p>
            <w:pPr>
              <w:jc w:val="center"/>
              <w:ind w:right="153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Borders>
              <w:top w:val="single" w:sz="8" w:color="auto"/>
            </w:tcBorders>
          </w:tcPr>
          <w:p>
            <w:pPr>
              <w:spacing w:after="0"/>
              <w:rPr>
                <w:sz w:val="19"/>
                <w:szCs w:val="19"/>
                <w:color w:val="auto"/>
              </w:rPr>
            </w:pPr>
          </w:p>
        </w:tc>
      </w:tr>
    </w:tbl>
    <w:p>
      <w:pPr>
        <w:spacing w:after="0" w:line="2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58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0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PRTH</w:t>
            </w:r>
          </w:p>
        </w:tc>
        <w:tc>
          <w:tcPr>
            <w:tcW w:w="220" w:type="dxa"/>
            <w:vAlign w:val="bottom"/>
          </w:tcPr>
          <w:p>
            <w:pPr>
              <w:spacing w:after="0"/>
              <w:rPr>
                <w:sz w:val="19"/>
                <w:szCs w:val="19"/>
                <w:color w:val="auto"/>
              </w:rPr>
            </w:pPr>
          </w:p>
        </w:tc>
        <w:tc>
          <w:tcPr>
            <w:tcW w:w="4360" w:type="dxa"/>
            <w:vAlign w:val="bottom"/>
            <w:tcBorders>
              <w:top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Nasdaq Global Market</w:t>
            </w:r>
          </w:p>
        </w:tc>
        <w:tc>
          <w:tcPr>
            <w:tcW w:w="560" w:type="dxa"/>
            <w:vAlign w:val="bottom"/>
          </w:tcPr>
          <w:p>
            <w:pPr>
              <w:spacing w:after="0"/>
              <w:rPr>
                <w:sz w:val="19"/>
                <w:szCs w:val="19"/>
                <w:color w:val="auto"/>
              </w:rPr>
            </w:pPr>
          </w:p>
        </w:tc>
      </w:tr>
      <w:tr>
        <w:trPr>
          <w:trHeight w:val="1217"/>
        </w:trPr>
        <w:tc>
          <w:tcPr>
            <w:tcW w:w="5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 w:name="page2"/>
    <w:bookmarkEnd w:id="1"/>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0"/>
          <w:szCs w:val="20"/>
          <w:color w:val="auto"/>
        </w:rPr>
      </w:pPr>
    </w:p>
    <w:p>
      <w:pPr>
        <w:ind w:left="1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1"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On September 7, 2022, Priority Technology Holdings, Inc. (the “Company” or “Priority”) issued a press release announcing the appointment of Tim O’Leary as Chief Financial Officer (“CFO”). The appointment is effective September 19, 2022. Michael Vollkommer, current CFO, will retire on September 16, 2022. Thereafter, Mr. Vollkommer will remain in a consulting capacity at the Company.</w:t>
      </w:r>
    </w:p>
    <w:p>
      <w:pPr>
        <w:spacing w:after="0" w:line="20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Mr. O’Leary has over 20 years of capital markets and banking experience primarily focused in the technology sector. Mr. O’Leary is presently Managing Director and group head of the Technology, Media and Telecom leveraged finance team at Truist Securities where he led financing for a number of payment and technology companies.</w:t>
      </w:r>
    </w:p>
    <w:p>
      <w:pPr>
        <w:spacing w:after="0" w:line="23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Mr. O’Leary will receive an annual base salary of $400,000, payable bi-weekly. He is eligible to participate in the Company’s bonus plan with a target annual bonus opportunity equal to 65% of his base salary. Mr. O’Leary will be eligible to receive a discretionary annual equity award in an amount targeted</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$600,000 each calendar year, which will vest in three equal annual increments on the first, second and third anniversary of the grant date. In addition, Mr. O’Leary will be eligible to participate in the benefit programs offered by the Company to its executives, which includes vacation time and participation in the Company’s 401(k) match.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7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7, 2022, the Company issued a press release announcing the appointment of Tim O’Leary as CFO of the Company. A copy of the press release is furnished as Exhibit 99.1 to this Report on Form 8-K.</w:t>
      </w:r>
    </w:p>
    <w:p>
      <w:pPr>
        <w:spacing w:after="0" w:line="18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 The following exhibit is furnished as part of this Current Report on Form 8-K.</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8"/>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99.1</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Press Release of Priority Technology Holdings, Inc. dated September 7, 2022</w:t>
            </w:r>
          </w:p>
        </w:tc>
      </w:tr>
      <w:tr>
        <w:trPr>
          <w:trHeight w:val="234"/>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September 7, 2022</w:t>
      </w:r>
    </w:p>
    <w:p>
      <w:pPr>
        <w:spacing w:after="0" w:line="25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PRIORITY TECHNOLOGY HOLDINGS, INC.</w:t>
      </w:r>
    </w:p>
    <w:p>
      <w:pPr>
        <w:spacing w:after="0" w:line="25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u w:val="single" w:color="auto"/>
          <w:color w:val="auto"/>
        </w:rPr>
        <w:t>By: /s/ Bradley J. Miller</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Name: Bradley J. Miller</w:t>
      </w:r>
    </w:p>
    <w:p>
      <w:pPr>
        <w:spacing w:after="0" w:line="2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11240"/>
          </w:cols>
          <w:pgMar w:left="320" w:top="88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929005</wp:posOffset>
            </wp:positionV>
            <wp:extent cx="1765935" cy="62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6593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Priority Investor and Media Inquiries: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Kettmann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ckettmann@lincolnchurchilladvisors.com</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(773) 497-7575</w:t>
      </w: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Priority Technology Holdings, Inc. Announces Appointment of</w:t>
      </w: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40"/>
        <w:spacing w:after="0" w:line="366" w:lineRule="auto"/>
        <w:rPr>
          <w:sz w:val="20"/>
          <w:szCs w:val="20"/>
          <w:color w:val="auto"/>
        </w:rPr>
      </w:pPr>
      <w:r>
        <w:rPr>
          <w:rFonts w:ascii="Times New Roman" w:cs="Times New Roman" w:eastAsia="Times New Roman" w:hAnsi="Times New Roman"/>
          <w:sz w:val="20"/>
          <w:szCs w:val="20"/>
          <w:color w:val="auto"/>
        </w:rPr>
        <w:t>Alpharetta, GA – September 7, 2022 – Priority Technology Holdings, Inc. (NASDAQ: PRTH) ("Priority" or the "Company"), a leading payments technology company delivering unified commerce solutions through its payments and banking as a service platform, is pleased to announce the appointment of Tim O’Leary to the position of Chief Financial Officer (CFO). Mr. O’Leary replaces Mike Vollkommer, who will retire on September 16.</w:t>
      </w:r>
    </w:p>
    <w:p>
      <w:pPr>
        <w:spacing w:after="0" w:line="217" w:lineRule="exact"/>
        <w:rPr>
          <w:sz w:val="20"/>
          <w:szCs w:val="20"/>
          <w:color w:val="auto"/>
        </w:rPr>
      </w:pPr>
    </w:p>
    <w:p>
      <w:pPr>
        <w:ind w:right="20"/>
        <w:spacing w:after="0" w:line="374" w:lineRule="auto"/>
        <w:rPr>
          <w:sz w:val="20"/>
          <w:szCs w:val="20"/>
          <w:color w:val="auto"/>
        </w:rPr>
      </w:pPr>
      <w:r>
        <w:rPr>
          <w:rFonts w:ascii="Times New Roman" w:cs="Times New Roman" w:eastAsia="Times New Roman" w:hAnsi="Times New Roman"/>
          <w:sz w:val="20"/>
          <w:szCs w:val="20"/>
          <w:color w:val="auto"/>
        </w:rPr>
        <w:t>“We are excited to have Tim join Priority. His deep experience raising capital for technology companies, coupled with his extensive financial expertise and leadership, make him an excellent fit for this key role at Priority as we continue to achieve great results and execute on our transformative growth strategies,” said Thomas C. Priore, Chairman and CEO of Priority.</w:t>
      </w:r>
    </w:p>
    <w:p>
      <w:pPr>
        <w:spacing w:after="0" w:line="194" w:lineRule="exact"/>
        <w:rPr>
          <w:sz w:val="20"/>
          <w:szCs w:val="20"/>
          <w:color w:val="auto"/>
        </w:rPr>
      </w:pPr>
    </w:p>
    <w:p>
      <w:pPr>
        <w:ind w:right="100"/>
        <w:spacing w:after="0" w:line="374" w:lineRule="auto"/>
        <w:rPr>
          <w:sz w:val="20"/>
          <w:szCs w:val="20"/>
          <w:color w:val="auto"/>
        </w:rPr>
      </w:pPr>
      <w:r>
        <w:rPr>
          <w:rFonts w:ascii="Times New Roman" w:cs="Times New Roman" w:eastAsia="Times New Roman" w:hAnsi="Times New Roman"/>
          <w:sz w:val="20"/>
          <w:szCs w:val="20"/>
          <w:color w:val="auto"/>
        </w:rPr>
        <w:t>“I am very excited to join the Priority team. Having had the opportunity to work with Priority from the capital markets perspective, I remain impressed by their continued strong performance and management team. I look forward to working with such a great group and helping to execute on the company’s growth strategy,” commented O’Leary.</w:t>
      </w:r>
    </w:p>
    <w:p>
      <w:pPr>
        <w:spacing w:after="0" w:line="207" w:lineRule="exact"/>
        <w:rPr>
          <w:sz w:val="20"/>
          <w:szCs w:val="20"/>
          <w:color w:val="auto"/>
        </w:rPr>
      </w:pPr>
    </w:p>
    <w:p>
      <w:pPr>
        <w:spacing w:after="0" w:line="371" w:lineRule="auto"/>
        <w:rPr>
          <w:sz w:val="20"/>
          <w:szCs w:val="20"/>
          <w:color w:val="auto"/>
        </w:rPr>
      </w:pPr>
      <w:r>
        <w:rPr>
          <w:rFonts w:ascii="Times New Roman" w:cs="Times New Roman" w:eastAsia="Times New Roman" w:hAnsi="Times New Roman"/>
          <w:sz w:val="20"/>
          <w:szCs w:val="20"/>
          <w:color w:val="auto"/>
        </w:rPr>
        <w:t>O’Leary has more than 20 years of capital markets and banking experience primarily focused in the technology sector. He most recently served as Managing Director and group head of the Technology, Media and Telecom leveraged finance team at Truist Securities where he led financings for a number of payment and technology companies, including Priority. O’Leary holds an MBA from the Kelley School of Business at Indiana University and a B.A. in Business Administration from Northern Arizona University.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Priority Technology Holdings, Inc.</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320" w:top="1440" w:right="379" w:bottom="1440" w:gutter="0" w:footer="0" w:header="0"/>
        </w:sectPr>
      </w:pPr>
    </w:p>
    <w:bookmarkStart w:id="4" w:name="page5"/>
    <w:bookmarkEnd w:id="4"/>
    <w:p>
      <w:pPr>
        <w:ind w:right="340"/>
        <w:spacing w:after="0" w:line="366" w:lineRule="auto"/>
        <w:rPr>
          <w:sz w:val="20"/>
          <w:szCs w:val="20"/>
          <w:color w:val="auto"/>
        </w:rPr>
      </w:pPr>
      <w:r>
        <w:rPr>
          <w:rFonts w:ascii="Times New Roman" w:cs="Times New Roman" w:eastAsia="Times New Roman" w:hAnsi="Times New Roman"/>
          <w:sz w:val="20"/>
          <w:szCs w:val="20"/>
          <w:color w:val="auto"/>
        </w:rPr>
        <w:t xml:space="preserve">Priority is a payments powerhouse driving the convergence of payments and banking. The company has built a single platform to collect, store, and send money that operates at scale. We help our customers take and make payments while managing business and consumer operating accounts to monetize payment networks. Our tailored, agile technology powers high-value, payments products bolstered by our industry-leading personalized support. Additional information can be found at </w:t>
      </w:r>
      <w:r>
        <w:rPr>
          <w:rFonts w:ascii="Times New Roman" w:cs="Times New Roman" w:eastAsia="Times New Roman" w:hAnsi="Times New Roman"/>
          <w:sz w:val="20"/>
          <w:szCs w:val="20"/>
          <w:color w:val="0000FF"/>
        </w:rPr>
        <w:t>www.PRTH.com</w:t>
      </w:r>
      <w:r>
        <w:rPr>
          <w:rFonts w:ascii="Times New Roman" w:cs="Times New Roman" w:eastAsia="Times New Roman" w:hAnsi="Times New Roman"/>
          <w:sz w:val="20"/>
          <w:szCs w:val="20"/>
          <w:color w:val="auto"/>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0A0A0A"/>
        </w:rPr>
        <w:t>Forward-Looking Statements</w:t>
      </w:r>
    </w:p>
    <w:p>
      <w:pPr>
        <w:spacing w:after="0" w:line="341" w:lineRule="exact"/>
        <w:rPr>
          <w:sz w:val="20"/>
          <w:szCs w:val="20"/>
          <w:color w:val="auto"/>
        </w:rPr>
      </w:pPr>
    </w:p>
    <w:p>
      <w:pPr>
        <w:ind w:right="60"/>
        <w:spacing w:after="0" w:line="348"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“anticipates,” “outlook” or words of similar meaning. These forward-looking statements include, but are not limited to, our 2022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These forward-looking statements may include, but are not limited to, statements about the effects of the COVID-19 pandemic on our revenues and financial operating results. Our actual results could differ materially, and potentially adversely, from those discussed or implied herein.</w:t>
      </w:r>
    </w:p>
    <w:p>
      <w:pPr>
        <w:spacing w:after="0" w:line="206" w:lineRule="exact"/>
        <w:rPr>
          <w:sz w:val="20"/>
          <w:szCs w:val="20"/>
          <w:color w:val="auto"/>
        </w:rPr>
      </w:pPr>
    </w:p>
    <w:p>
      <w:pPr>
        <w:ind w:right="20"/>
        <w:spacing w:after="0" w:line="352" w:lineRule="auto"/>
        <w:rPr>
          <w:sz w:val="20"/>
          <w:szCs w:val="20"/>
          <w:color w:val="auto"/>
        </w:rPr>
      </w:pPr>
      <w:r>
        <w:rPr>
          <w:rFonts w:ascii="Times New Roman" w:cs="Times New Roman" w:eastAsia="Times New Roman" w:hAnsi="Times New Roman"/>
          <w:sz w:val="20"/>
          <w:szCs w:val="20"/>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Securities and Exchange Commission (“SEC”) filings, including our Annual Report on Form 10-K and our Quarterly Report on Form 10-Q filed with the SEC on March 16, 2022 and May 11, 2022, respectively. These filings are available online at www.sec.gov or www.PRTH.com.</w:t>
      </w:r>
    </w:p>
    <w:p>
      <w:pPr>
        <w:spacing w:after="0" w:line="217" w:lineRule="exact"/>
        <w:rPr>
          <w:sz w:val="20"/>
          <w:szCs w:val="20"/>
          <w:color w:val="auto"/>
        </w:rPr>
      </w:pPr>
    </w:p>
    <w:p>
      <w:pPr>
        <w:spacing w:after="0" w:line="348" w:lineRule="auto"/>
        <w:rPr>
          <w:sz w:val="20"/>
          <w:szCs w:val="20"/>
          <w:color w:val="auto"/>
        </w:rPr>
      </w:pPr>
      <w:r>
        <w:rPr>
          <w:rFonts w:ascii="Times New Roman" w:cs="Times New Roman" w:eastAsia="Times New Roman" w:hAnsi="Times New Roman"/>
          <w:sz w:val="20"/>
          <w:szCs w:val="20"/>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9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2022-09-07T06:02:40Z</dcterms:created>
  <dcterms:modified xsi:type="dcterms:W3CDTF">2022-09-07T06:02:40Z</dcterms:modified>
</cp:coreProperties>
</file>