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13G/A</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 I Acquisitions, Inc.</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ind w:left="3840"/>
        <w:spacing w:after="0"/>
        <w:rPr>
          <w:sz w:val="20"/>
          <w:szCs w:val="20"/>
          <w:color w:val="auto"/>
        </w:rPr>
      </w:pPr>
      <w:r>
        <w:rPr>
          <w:rFonts w:ascii="Arial" w:cs="Arial" w:eastAsia="Arial" w:hAnsi="Arial"/>
          <w:sz w:val="22"/>
          <w:szCs w:val="22"/>
          <w:u w:val="single" w:color="auto"/>
          <w:color w:val="auto"/>
        </w:rPr>
        <w:t>Common Stock, par value $0.001 per share</w:t>
      </w:r>
    </w:p>
    <w:p>
      <w:pPr>
        <w:spacing w:after="0" w:line="8"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00"/>
        <w:spacing w:after="0"/>
        <w:rPr>
          <w:sz w:val="20"/>
          <w:szCs w:val="20"/>
          <w:color w:val="auto"/>
        </w:rPr>
      </w:pPr>
      <w:r>
        <w:rPr>
          <w:rFonts w:ascii="Arial" w:cs="Arial" w:eastAsia="Arial" w:hAnsi="Arial"/>
          <w:sz w:val="22"/>
          <w:szCs w:val="22"/>
          <w:u w:val="single" w:color="auto"/>
          <w:color w:val="auto"/>
        </w:rPr>
        <w:t>55304A104</w:t>
      </w:r>
    </w:p>
    <w:p>
      <w:pPr>
        <w:spacing w:after="0" w:line="8"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ind w:left="4860"/>
        <w:spacing w:after="0"/>
        <w:rPr>
          <w:sz w:val="20"/>
          <w:szCs w:val="20"/>
          <w:color w:val="auto"/>
        </w:rPr>
      </w:pPr>
      <w:r>
        <w:rPr>
          <w:rFonts w:ascii="Arial" w:cs="Arial" w:eastAsia="Arial" w:hAnsi="Arial"/>
          <w:sz w:val="22"/>
          <w:szCs w:val="22"/>
          <w:u w:val="single" w:color="auto"/>
          <w:color w:val="auto"/>
        </w:rPr>
        <w:t>December 31, 2017</w:t>
      </w:r>
    </w:p>
    <w:p>
      <w:pPr>
        <w:spacing w:after="0" w:line="8"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00" w:hanging="1"/>
        <w:spacing w:after="0" w:line="504" w:lineRule="auto"/>
        <w:tabs>
          <w:tab w:leader="none" w:pos="98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6 Pages)</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55304A104</w:t>
            </w:r>
          </w:p>
        </w:tc>
        <w:tc>
          <w:tcPr>
            <w:tcW w:w="560" w:type="dxa"/>
            <w:vAlign w:val="bottom"/>
            <w:tcBorders>
              <w:top w:val="single" w:sz="8" w:color="auto"/>
            </w:tcBorders>
          </w:tcPr>
          <w:p>
            <w:pPr>
              <w:spacing w:after="0"/>
              <w:rPr>
                <w:sz w:val="23"/>
                <w:szCs w:val="23"/>
                <w:color w:val="auto"/>
              </w:rPr>
            </w:pPr>
          </w:p>
        </w:tc>
        <w:tc>
          <w:tcPr>
            <w:tcW w:w="1320" w:type="dxa"/>
            <w:vAlign w:val="bottom"/>
            <w:tcBorders>
              <w:top w:val="single" w:sz="8" w:color="auto"/>
              <w:right w:val="single" w:sz="8" w:color="auto"/>
            </w:tcBorders>
          </w:tcPr>
          <w:p>
            <w:pPr>
              <w:spacing w:after="0"/>
              <w:rPr>
                <w:sz w:val="23"/>
                <w:szCs w:val="23"/>
                <w:color w:val="auto"/>
              </w:rPr>
            </w:pP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6 Pages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4"/>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700" w:type="dxa"/>
            <w:vAlign w:val="bottom"/>
            <w:gridSpan w:val="4"/>
          </w:tcPr>
          <w:p>
            <w:pPr>
              <w:ind w:left="260"/>
              <w:spacing w:after="0"/>
              <w:rPr>
                <w:sz w:val="20"/>
                <w:szCs w:val="20"/>
                <w:color w:val="auto"/>
              </w:rPr>
            </w:pPr>
            <w:r>
              <w:rPr>
                <w:rFonts w:ascii="Arial" w:cs="Arial" w:eastAsia="Arial" w:hAnsi="Arial"/>
                <w:sz w:val="18"/>
                <w:szCs w:val="18"/>
                <w:color w:val="auto"/>
              </w:rPr>
              <w:t>Polar Asset Management Partners Inc.</w:t>
            </w: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700" w:type="dxa"/>
            <w:vAlign w:val="bottom"/>
            <w:tcBorders>
              <w:bottom w:val="single" w:sz="8" w:color="auto"/>
            </w:tcBorders>
            <w:gridSpan w:val="4"/>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2</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(a) [ ]</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(b) [ ]</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3</w:t>
            </w:r>
          </w:p>
        </w:tc>
        <w:tc>
          <w:tcPr>
            <w:tcW w:w="680" w:type="dxa"/>
            <w:vAlign w:val="bottom"/>
            <w:tcBorders>
              <w:right w:val="single" w:sz="8" w:color="auto"/>
            </w:tcBorders>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w w:val="90"/>
              </w:rPr>
              <w:t>Sec Use Only</w:t>
            </w:r>
          </w:p>
        </w:tc>
        <w:tc>
          <w:tcPr>
            <w:tcW w:w="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 w:type="dxa"/>
            <w:vAlign w:val="bottom"/>
            <w:tcBorders>
              <w:left w:val="single" w:sz="8" w:color="auto"/>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6700" w:type="dxa"/>
            <w:vAlign w:val="bottom"/>
            <w:tcBorders>
              <w:bottom w:val="single" w:sz="8" w:color="auto"/>
            </w:tcBorders>
            <w:gridSpan w:val="4"/>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4</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5</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0"/>
              </w:rPr>
              <w:t>Number of Shares</w:t>
            </w: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705,000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tcPr>
          <w:p>
            <w:pPr>
              <w:spacing w:after="0"/>
              <w:rPr>
                <w:sz w:val="4"/>
                <w:szCs w:val="4"/>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300" w:type="dxa"/>
            <w:vAlign w:val="bottom"/>
            <w:tcBorders>
              <w:left w:val="single" w:sz="8" w:color="auto"/>
            </w:tcBorders>
          </w:tcPr>
          <w:p>
            <w:pPr>
              <w:spacing w:after="0"/>
              <w:rPr>
                <w:sz w:val="12"/>
                <w:szCs w:val="12"/>
                <w:color w:val="auto"/>
              </w:rPr>
            </w:pPr>
          </w:p>
        </w:tc>
        <w:tc>
          <w:tcPr>
            <w:tcW w:w="1740" w:type="dxa"/>
            <w:vAlign w:val="bottom"/>
            <w:tcBorders>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6</w:t>
            </w: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3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1"/>
              </w:rPr>
              <w:t>Owned by Each</w:t>
            </w:r>
          </w:p>
        </w:tc>
        <w:tc>
          <w:tcPr>
            <w:tcW w:w="560" w:type="dxa"/>
            <w:vAlign w:val="bottom"/>
            <w:tcBorders>
              <w:right w:val="single" w:sz="8" w:color="auto"/>
            </w:tcBorders>
            <w:vMerge w:val="continue"/>
          </w:tcPr>
          <w:p>
            <w:pPr>
              <w:spacing w:after="0"/>
              <w:rPr>
                <w:sz w:val="9"/>
                <w:szCs w:val="9"/>
                <w:color w:val="auto"/>
              </w:rPr>
            </w:pPr>
          </w:p>
        </w:tc>
        <w:tc>
          <w:tcPr>
            <w:tcW w:w="5080" w:type="dxa"/>
            <w:vAlign w:val="bottom"/>
            <w:gridSpan w:val="2"/>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continue"/>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8"/>
              </w:rPr>
              <w:t>Reporting Person</w:t>
            </w:r>
          </w:p>
        </w:tc>
        <w:tc>
          <w:tcPr>
            <w:tcW w:w="560" w:type="dxa"/>
            <w:vAlign w:val="bottom"/>
            <w:tcBorders>
              <w:right w:val="single" w:sz="8" w:color="auto"/>
            </w:tcBorders>
          </w:tcPr>
          <w:p>
            <w:pPr>
              <w:spacing w:after="0"/>
              <w:rPr>
                <w:sz w:val="18"/>
                <w:szCs w:val="18"/>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560" w:type="dxa"/>
            <w:vAlign w:val="bottom"/>
            <w:tcBorders>
              <w:right w:val="single" w:sz="8" w:color="auto"/>
            </w:tcBorders>
          </w:tcPr>
          <w:p>
            <w:pPr>
              <w:spacing w:after="0"/>
              <w:rPr>
                <w:sz w:val="9"/>
                <w:szCs w:val="9"/>
                <w:color w:val="auto"/>
              </w:rPr>
            </w:pPr>
          </w:p>
        </w:tc>
        <w:tc>
          <w:tcPr>
            <w:tcW w:w="1320" w:type="dxa"/>
            <w:vAlign w:val="bottom"/>
            <w:vMerge w:val="continue"/>
          </w:tcPr>
          <w:p>
            <w:pPr>
              <w:spacing w:after="0"/>
              <w:rPr>
                <w:sz w:val="9"/>
                <w:szCs w:val="9"/>
                <w:color w:val="auto"/>
              </w:rPr>
            </w:pPr>
          </w:p>
        </w:tc>
        <w:tc>
          <w:tcPr>
            <w:tcW w:w="3760" w:type="dxa"/>
            <w:vAlign w:val="bottom"/>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1740" w:type="dxa"/>
            <w:vAlign w:val="bottom"/>
            <w:tcBorders>
              <w:right w:val="single" w:sz="8" w:color="auto"/>
            </w:tcBorders>
            <w:gridSpan w:val="2"/>
            <w:vMerge w:val="continue"/>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auto"/>
            </w:tcBorders>
          </w:tcPr>
          <w:p>
            <w:pPr>
              <w:spacing w:after="0"/>
              <w:rPr>
                <w:sz w:val="5"/>
                <w:szCs w:val="5"/>
                <w:color w:val="auto"/>
              </w:rPr>
            </w:pPr>
          </w:p>
        </w:tc>
        <w:tc>
          <w:tcPr>
            <w:tcW w:w="1740" w:type="dxa"/>
            <w:vAlign w:val="bottom"/>
            <w:tcBorders>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99"/>
              </w:rPr>
              <w:t>7</w:t>
            </w: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37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00" w:type="dxa"/>
            <w:vAlign w:val="bottom"/>
            <w:tcBorders>
              <w:lef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5080" w:type="dxa"/>
            <w:vAlign w:val="bottom"/>
            <w:gridSpan w:val="2"/>
            <w:vMerge w:val="continue"/>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705,000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5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8</w:t>
            </w: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0</w:t>
            </w: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9</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705,000</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10</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w w:val="94"/>
              </w:rPr>
              <w:t>Check box if the aggregate amount in row (9) excludes certain shares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11</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9.99%</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b w:val="1"/>
                <w:bCs w:val="1"/>
                <w:color w:val="auto"/>
              </w:rPr>
              <w:t>12</w:t>
            </w:r>
          </w:p>
        </w:tc>
        <w:tc>
          <w:tcPr>
            <w:tcW w:w="680" w:type="dxa"/>
            <w:vAlign w:val="bottom"/>
            <w:tcBorders>
              <w:right w:val="single" w:sz="8" w:color="auto"/>
            </w:tcBorders>
          </w:tcPr>
          <w:p>
            <w:pPr>
              <w:spacing w:after="0"/>
              <w:rPr>
                <w:sz w:val="21"/>
                <w:szCs w:val="21"/>
                <w:color w:val="auto"/>
              </w:rPr>
            </w:pPr>
          </w:p>
        </w:tc>
        <w:tc>
          <w:tcPr>
            <w:tcW w:w="67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37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IA</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0" w:type="dxa"/>
            <w:vAlign w:val="bottom"/>
            <w:tcBorders>
              <w:left w:val="single" w:sz="8" w:color="auto"/>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1"/>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auto"/>
            </w:tcBorders>
            <w:shd w:val="clear" w:color="auto" w:fill="000000"/>
          </w:tcPr>
          <w:p>
            <w:pPr>
              <w:spacing w:after="0"/>
              <w:rPr>
                <w:sz w:val="6"/>
                <w:szCs w:val="6"/>
                <w:color w:val="auto"/>
              </w:rPr>
            </w:pPr>
          </w:p>
        </w:tc>
        <w:tc>
          <w:tcPr>
            <w:tcW w:w="680" w:type="dxa"/>
            <w:vAlign w:val="bottom"/>
            <w:tcBorders>
              <w:right w:val="single" w:sz="8" w:color="auto"/>
            </w:tcBorders>
            <w:shd w:val="clear" w:color="auto" w:fill="000000"/>
          </w:tcPr>
          <w:p>
            <w:pPr>
              <w:spacing w:after="0"/>
              <w:rPr>
                <w:sz w:val="6"/>
                <w:szCs w:val="6"/>
                <w:color w:val="auto"/>
              </w:rPr>
            </w:pPr>
          </w:p>
        </w:tc>
        <w:tc>
          <w:tcPr>
            <w:tcW w:w="1060" w:type="dxa"/>
            <w:vAlign w:val="bottom"/>
            <w:tcBorders>
              <w:right w:val="single" w:sz="8" w:color="auto"/>
            </w:tcBorders>
            <w:shd w:val="clear" w:color="auto" w:fill="000000"/>
          </w:tcPr>
          <w:p>
            <w:pPr>
              <w:spacing w:after="0"/>
              <w:rPr>
                <w:sz w:val="6"/>
                <w:szCs w:val="6"/>
                <w:color w:val="auto"/>
              </w:rPr>
            </w:pPr>
          </w:p>
        </w:tc>
        <w:tc>
          <w:tcPr>
            <w:tcW w:w="560" w:type="dxa"/>
            <w:vAlign w:val="bottom"/>
            <w:tcBorders>
              <w:right w:val="single" w:sz="8" w:color="auto"/>
            </w:tcBorders>
            <w:shd w:val="clear" w:color="auto" w:fill="000000"/>
          </w:tcPr>
          <w:p>
            <w:pPr>
              <w:spacing w:after="0"/>
              <w:rPr>
                <w:sz w:val="6"/>
                <w:szCs w:val="6"/>
                <w:color w:val="auto"/>
              </w:rPr>
            </w:pPr>
          </w:p>
        </w:tc>
        <w:tc>
          <w:tcPr>
            <w:tcW w:w="1320" w:type="dxa"/>
            <w:vAlign w:val="bottom"/>
            <w:tcBorders>
              <w:right w:val="single" w:sz="8" w:color="auto"/>
            </w:tcBorders>
            <w:shd w:val="clear" w:color="auto" w:fill="000000"/>
          </w:tcPr>
          <w:p>
            <w:pPr>
              <w:spacing w:after="0"/>
              <w:rPr>
                <w:sz w:val="6"/>
                <w:szCs w:val="6"/>
                <w:color w:val="auto"/>
              </w:rPr>
            </w:pPr>
          </w:p>
        </w:tc>
        <w:tc>
          <w:tcPr>
            <w:tcW w:w="3760" w:type="dxa"/>
            <w:vAlign w:val="bottom"/>
            <w:tcBorders>
              <w:right w:val="single" w:sz="8" w:color="auto"/>
            </w:tcBorders>
            <w:shd w:val="clear" w:color="auto" w:fill="000000"/>
          </w:tcPr>
          <w:p>
            <w:pPr>
              <w:spacing w:after="0"/>
              <w:rPr>
                <w:sz w:val="6"/>
                <w:szCs w:val="6"/>
                <w:color w:val="auto"/>
              </w:rPr>
            </w:pPr>
          </w:p>
        </w:tc>
        <w:tc>
          <w:tcPr>
            <w:tcW w:w="374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63" w:right="19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55304A104</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3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name of the issuer is M I Acquisitions,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rFonts w:ascii="Arial" w:cs="Arial" w:eastAsia="Arial" w:hAnsi="Arial"/>
          <w:sz w:val="18"/>
          <w:szCs w:val="18"/>
          <w:b w:val="1"/>
          <w:bCs w:val="1"/>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Company's principal executive offices are located at c/o Magna Management LLC,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29" w:lineRule="exact"/>
        <w:rPr>
          <w:rFonts w:ascii="Arial" w:cs="Arial" w:eastAsia="Arial" w:hAnsi="Arial"/>
          <w:sz w:val="18"/>
          <w:szCs w:val="18"/>
          <w:b w:val="1"/>
          <w:bCs w:val="1"/>
          <w:color w:val="auto"/>
        </w:rPr>
      </w:pPr>
    </w:p>
    <w:p>
      <w:pPr>
        <w:jc w:val="both"/>
        <w:ind w:left="5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statement is filed by Polar Asset Management Partners Inc., a company incorporated under the laws on Ontario, Canada, which serves as the investment manager to Polar Multi Strategy Master Fund, a Cayman Islands exempted company ("PMSMF") and certain managed accounts (together with PMSMF, the “Polar Vehicles”), with respect to the Shares (as defined below) directly held by the Polar Vehicles.</w:t>
      </w:r>
    </w:p>
    <w:p>
      <w:pPr>
        <w:spacing w:after="0" w:line="165" w:lineRule="exact"/>
        <w:rPr>
          <w:rFonts w:ascii="Arial" w:cs="Arial" w:eastAsia="Arial" w:hAnsi="Arial"/>
          <w:sz w:val="18"/>
          <w:szCs w:val="18"/>
          <w:b w:val="1"/>
          <w:bCs w:val="1"/>
          <w:color w:val="auto"/>
        </w:rPr>
      </w:pPr>
    </w:p>
    <w:p>
      <w:pPr>
        <w:ind w:lef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filing of this statement should not be construed as an admission that the Reporting Person is, for the purposes of Section 13 of the Act, the beneficial owner of the Shares reported herein.</w:t>
      </w:r>
    </w:p>
    <w:p>
      <w:pPr>
        <w:spacing w:after="0" w:line="166"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The address of the business office of the Reporting Person is 401 Bay Street, Suite 1900, PO Box 19, Toronto, Ontario M5H 2Y4, Canada.</w:t>
      </w:r>
    </w:p>
    <w:p>
      <w:pPr>
        <w:spacing w:after="0" w:line="232"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citizenship of the Reporting Person is Canada.</w:t>
      </w:r>
    </w:p>
    <w:p>
      <w:pPr>
        <w:spacing w:after="0" w:line="221" w:lineRule="exact"/>
        <w:rPr>
          <w:rFonts w:ascii="Arial" w:cs="Arial" w:eastAsia="Arial" w:hAnsi="Arial"/>
          <w:sz w:val="18"/>
          <w:szCs w:val="18"/>
          <w:b w:val="1"/>
          <w:bCs w:val="1"/>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2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$0.001 per share (the "Shares")</w:t>
      </w:r>
    </w:p>
    <w:p>
      <w:pPr>
        <w:spacing w:after="0" w:line="221" w:lineRule="exact"/>
        <w:rPr>
          <w:rFonts w:ascii="Arial" w:cs="Arial" w:eastAsia="Arial" w:hAnsi="Arial"/>
          <w:sz w:val="18"/>
          <w:szCs w:val="18"/>
          <w:b w:val="1"/>
          <w:bCs w:val="1"/>
          <w:color w:val="auto"/>
        </w:rPr>
      </w:pPr>
    </w:p>
    <w:p>
      <w:pPr>
        <w:jc w:val="both"/>
        <w:ind w:left="580" w:right="9920" w:hanging="572"/>
        <w:spacing w:after="0" w:line="547" w:lineRule="auto"/>
        <w:tabs>
          <w:tab w:leader="none" w:pos="5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55304A104</w:t>
      </w: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6" w:lineRule="exact"/>
        <w:rPr>
          <w:sz w:val="20"/>
          <w:szCs w:val="20"/>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55304A104</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4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229" w:lineRule="exact"/>
        <w:rPr>
          <w:sz w:val="20"/>
          <w:szCs w:val="20"/>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right="140" w:hanging="1145"/>
        <w:spacing w:after="0" w:line="277"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 ]   A non-U.S. institution in accordance with Rule 240.13d-1(b)(1)(ii)(J);</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Rule 240.13d-1(b)(1)(ii)(K).</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If filing as a non-U.S. institution in accordance with Rule 240.13d -1(b)(1)(ii)(J), please specify the type of institution:</w:t>
      </w:r>
    </w:p>
    <w:p>
      <w:pPr>
        <w:spacing w:after="0" w:line="218" w:lineRule="exact"/>
        <w:rPr>
          <w:sz w:val="20"/>
          <w:szCs w:val="20"/>
          <w:color w:val="auto"/>
        </w:rPr>
      </w:pPr>
    </w:p>
    <w:p>
      <w:pPr>
        <w:jc w:val="both"/>
        <w:ind w:left="580"/>
        <w:spacing w:after="0" w:line="251" w:lineRule="auto"/>
        <w:rPr>
          <w:sz w:val="20"/>
          <w:szCs w:val="20"/>
          <w:color w:val="auto"/>
        </w:rPr>
      </w:pPr>
      <w:r>
        <w:rPr>
          <w:rFonts w:ascii="Arial" w:cs="Arial" w:eastAsia="Arial" w:hAnsi="Arial"/>
          <w:sz w:val="22"/>
          <w:szCs w:val="22"/>
          <w:color w:val="auto"/>
        </w:rPr>
        <w:t>The Reporting Person is an investment fund manager, portfolio manager and exempt market dealer registered with the Ontario Securities Commission.</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jc w:val="both"/>
        <w:ind w:left="580"/>
        <w:spacing w:after="0"/>
        <w:rPr>
          <w:sz w:val="20"/>
          <w:szCs w:val="20"/>
          <w:color w:val="auto"/>
        </w:rPr>
      </w:pPr>
      <w:r>
        <w:rPr>
          <w:rFonts w:ascii="Arial" w:cs="Arial" w:eastAsia="Arial" w:hAnsi="Arial"/>
          <w:sz w:val="22"/>
          <w:szCs w:val="22"/>
          <w:color w:val="auto"/>
        </w:rPr>
        <w:t>The percentages used herein are calculated based upon 7,058,743 Shares reported to be outstanding as of November 13, 2017 as reported in the Company’s Quarterly Report on Form 10-Q for the quarterly period ended September 30, 2017 filed with the Securities and Exchange Commission on November 14, 2017.</w:t>
      </w:r>
    </w:p>
    <w:p>
      <w:pPr>
        <w:spacing w:after="0" w:line="186" w:lineRule="exact"/>
        <w:rPr>
          <w:sz w:val="20"/>
          <w:szCs w:val="20"/>
          <w:color w:val="auto"/>
        </w:rPr>
      </w:pPr>
    </w:p>
    <w:p>
      <w:pPr>
        <w:jc w:val="both"/>
        <w:ind w:left="580"/>
        <w:spacing w:after="0" w:line="251"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See Item 2. Polar Vehicles have the right to receive or the power to direct the receipt of dividends or the proceeds from the sale of more than 5% of the Shares.</w:t>
      </w:r>
    </w:p>
    <w:p>
      <w:pPr>
        <w:spacing w:after="0" w:line="166" w:lineRule="exact"/>
        <w:rPr>
          <w:sz w:val="20"/>
          <w:szCs w:val="20"/>
          <w:color w:val="auto"/>
        </w:rPr>
      </w:pPr>
    </w:p>
    <w:p>
      <w:pPr>
        <w:ind w:left="1160" w:right="30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39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55304A104</w:t>
            </w:r>
          </w:p>
        </w:tc>
        <w:tc>
          <w:tcPr>
            <w:tcW w:w="376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5 of 6 Pages</w:t>
            </w:r>
          </w:p>
        </w:tc>
      </w:tr>
      <w:tr>
        <w:trPr>
          <w:trHeight w:val="41"/>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160"/>
        <w:spacing w:after="0" w:line="293" w:lineRule="auto"/>
        <w:rPr>
          <w:sz w:val="20"/>
          <w:szCs w:val="20"/>
          <w:color w:val="auto"/>
        </w:rPr>
      </w:pPr>
      <w:r>
        <w:rPr>
          <w:rFonts w:ascii="Arial" w:cs="Arial" w:eastAsia="Arial" w:hAnsi="Arial"/>
          <w:sz w:val="16"/>
          <w:szCs w:val="16"/>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its knowledge and belief,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9,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Jennifer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73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33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Schwartz</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Legal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3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2020-01-14T07:42:58Z</dcterms:created>
  <dcterms:modified xsi:type="dcterms:W3CDTF">2020-01-14T07:42:58Z</dcterms:modified>
</cp:coreProperties>
</file>