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125,936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6.82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125,239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2,436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2,436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7,311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2025, the Reporting Person was granted 9,747 restricted stock units which vest 25% on April 1, 2025, 25% on July 1, 2025, 25% on October 1, 2025, and 25% on January 1, 2026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2025-04-02T13:55:45Z</dcterms:created>
  <dcterms:modified xsi:type="dcterms:W3CDTF">2025-04-02T13:55:45Z</dcterms:modified>
</cp:coreProperties>
</file>