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7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Sason Joshua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09/13/2016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 I Acquisitions,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MACQU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14"/>
        <w:spacing w:after="0" w:line="402" w:lineRule="auto"/>
        <w:rPr>
          <w:sz w:val="20"/>
          <w:szCs w:val="20"/>
          <w:color w:val="auto"/>
        </w:rPr>
      </w:pPr>
      <w:r>
        <w:rPr>
          <w:rFonts w:ascii="Arial" w:cs="Arial" w:eastAsia="Arial" w:hAnsi="Arial"/>
          <w:sz w:val="16"/>
          <w:szCs w:val="16"/>
          <w:color w:val="0000FF"/>
        </w:rPr>
        <w:t>C/O MAGNA MANAGEMENT LLC, 40 WALL STREET, 58TH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10005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466"/>
        <w:spacing w:after="0"/>
        <w:rPr>
          <w:sz w:val="20"/>
          <w:szCs w:val="20"/>
          <w:color w:val="auto"/>
        </w:rPr>
      </w:pPr>
      <w:r>
        <w:rPr>
          <w:rFonts w:ascii="Arial" w:cs="Arial" w:eastAsia="Arial" w:hAnsi="Arial"/>
          <w:sz w:val="18"/>
          <w:szCs w:val="18"/>
          <w:color w:val="0000FF"/>
        </w:rPr>
        <w:t>CEO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300" w:type="dxa"/>
            <w:vAlign w:val="bottom"/>
          </w:tcPr>
          <w:p>
            <w:pPr>
              <w:ind w:left="13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300" w:type="dxa"/>
            <w:vAlign w:val="bottom"/>
          </w:tcPr>
          <w:p>
            <w:pPr>
              <w:ind w:left="13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760" w:type="dxa"/>
            <w:vAlign w:val="bottom"/>
            <w:tcBorders>
              <w:bottom w:val="single" w:sz="8" w:color="2C2C2C"/>
            </w:tcBorders>
          </w:tcPr>
          <w:p>
            <w:pPr>
              <w:spacing w:after="0"/>
              <w:rPr>
                <w:sz w:val="4"/>
                <w:szCs w:val="4"/>
                <w:color w:val="auto"/>
              </w:rPr>
            </w:pPr>
          </w:p>
        </w:tc>
        <w:tc>
          <w:tcPr>
            <w:tcW w:w="33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31"/>
        </w:trPr>
        <w:tc>
          <w:tcPr>
            <w:tcW w:w="20" w:type="dxa"/>
            <w:vAlign w:val="bottom"/>
          </w:tcPr>
          <w:p>
            <w:pPr>
              <w:spacing w:after="0"/>
              <w:rPr>
                <w:sz w:val="24"/>
                <w:szCs w:val="24"/>
                <w:color w:val="auto"/>
              </w:rPr>
            </w:pPr>
          </w:p>
        </w:tc>
        <w:tc>
          <w:tcPr>
            <w:tcW w:w="37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$0.001</w:t>
            </w:r>
          </w:p>
        </w:tc>
        <w:tc>
          <w:tcPr>
            <w:tcW w:w="3300" w:type="dxa"/>
            <w:vAlign w:val="bottom"/>
            <w:tcBorders>
              <w:bottom w:val="single" w:sz="8" w:color="2C2C2C"/>
            </w:tcBorders>
          </w:tcPr>
          <w:p>
            <w:pPr>
              <w:jc w:val="center"/>
              <w:ind w:left="1300"/>
              <w:spacing w:after="0"/>
              <w:rPr>
                <w:sz w:val="20"/>
                <w:szCs w:val="20"/>
                <w:color w:val="auto"/>
              </w:rPr>
            </w:pPr>
            <w:r>
              <w:rPr>
                <w:rFonts w:ascii="Arial" w:cs="Arial" w:eastAsia="Arial" w:hAnsi="Arial"/>
                <w:sz w:val="18"/>
                <w:szCs w:val="18"/>
                <w:color w:val="0000FF"/>
                <w:w w:val="89"/>
              </w:rPr>
              <w:t>1,202,354</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7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$0.001</w:t>
            </w:r>
          </w:p>
        </w:tc>
        <w:tc>
          <w:tcPr>
            <w:tcW w:w="3300" w:type="dxa"/>
            <w:vAlign w:val="bottom"/>
            <w:tcBorders>
              <w:bottom w:val="single" w:sz="8" w:color="2C2C2C"/>
            </w:tcBorders>
          </w:tcPr>
          <w:p>
            <w:pPr>
              <w:jc w:val="center"/>
              <w:ind w:left="1300"/>
              <w:spacing w:after="0"/>
              <w:rPr>
                <w:sz w:val="20"/>
                <w:szCs w:val="20"/>
                <w:color w:val="auto"/>
              </w:rPr>
            </w:pPr>
            <w:r>
              <w:rPr>
                <w:rFonts w:ascii="Arial" w:cs="Arial" w:eastAsia="Arial" w:hAnsi="Arial"/>
                <w:sz w:val="18"/>
                <w:szCs w:val="18"/>
                <w:color w:val="0000FF"/>
                <w:w w:val="86"/>
              </w:rPr>
              <w:t>252,737</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7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$0.001</w:t>
            </w:r>
          </w:p>
        </w:tc>
        <w:tc>
          <w:tcPr>
            <w:tcW w:w="3300" w:type="dxa"/>
            <w:vAlign w:val="bottom"/>
            <w:tcBorders>
              <w:bottom w:val="single" w:sz="8" w:color="2C2C2C"/>
            </w:tcBorders>
          </w:tcPr>
          <w:p>
            <w:pPr>
              <w:jc w:val="center"/>
              <w:ind w:left="1300"/>
              <w:spacing w:after="0"/>
              <w:rPr>
                <w:sz w:val="20"/>
                <w:szCs w:val="20"/>
                <w:color w:val="auto"/>
              </w:rPr>
            </w:pPr>
            <w:r>
              <w:rPr>
                <w:rFonts w:ascii="Arial" w:cs="Arial" w:eastAsia="Arial" w:hAnsi="Arial"/>
                <w:sz w:val="18"/>
                <w:szCs w:val="18"/>
                <w:color w:val="0000FF"/>
                <w:w w:val="86"/>
              </w:rPr>
              <w:t>384,909</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60" w:type="dxa"/>
            <w:vAlign w:val="bottom"/>
            <w:tcBorders>
              <w:top w:val="single" w:sz="8" w:color="808080"/>
            </w:tcBorders>
            <w:shd w:val="clear" w:color="auto" w:fill="2C2C2C"/>
          </w:tcPr>
          <w:p>
            <w:pPr>
              <w:spacing w:after="0" w:line="20" w:lineRule="exact"/>
              <w:rPr>
                <w:sz w:val="1"/>
                <w:szCs w:val="1"/>
                <w:color w:val="auto"/>
              </w:rPr>
            </w:pPr>
          </w:p>
        </w:tc>
        <w:tc>
          <w:tcPr>
            <w:tcW w:w="330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w w:val="89"/>
              </w:rPr>
              <w:t>259,334</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11.5</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7"/>
              </w:rPr>
              <w:t>60,000</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11.5</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7"/>
              </w:rPr>
              <w:t>83,166</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11.5</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represent the shares held by M SPAC LLC. Joshua Sason is the sole managing member of M SPAC LLC. These shares include an aggregate of up to 122,876 shares that are subject to forfeiture to the extent that the underwriters do not exercise their overallotment option in full, in connection with the registrant's initial public offering.</w:t>
      </w:r>
    </w:p>
    <w:p>
      <w:pPr>
        <w:spacing w:after="0" w:line="30" w:lineRule="exact"/>
        <w:rPr>
          <w:rFonts w:ascii="Arial" w:cs="Arial" w:eastAsia="Arial" w:hAnsi="Arial"/>
          <w:sz w:val="14"/>
          <w:szCs w:val="14"/>
          <w:color w:val="008000"/>
        </w:rPr>
      </w:pPr>
    </w:p>
    <w:p>
      <w:pPr>
        <w:ind w:left="40" w:right="6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represent the shares held by M SPAC Holdings I LLC. Joshua Sason is the sole managing member of M SPAC Holdings I LLC. These shares include an aggregate of up to 25,141 shares that are subject to forfeiture to the extent that the underwriters do not exercise their overallotment option in full, in connection with the registrant's initial public offering.</w:t>
      </w:r>
    </w:p>
    <w:p>
      <w:pPr>
        <w:ind w:left="40" w:right="16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represent the shares held by M SPAC Holdings II LLC. Joshua Sason is the sole managing member of M SPAC Holdings II LLC. These shares include an aggregate of up to 39,483 shares that are subject to forfeiture to the extent that the underwriters do not exercise their overallotment option in full, in connection with the registrant's initial public offering.</w:t>
      </w: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become exercisable on the later of 30 days after the completion of the registrant's initial business combination and 12 months from the closing of the registrant's initial public offering.</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expire 5 years after the completion of the registrant's initial business combination or earlier upon redemption or liquidation, as described in the registrant's prospectus filed with the SEC.</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securities represent the securities held by M SPAC LLC. Joshua Sason in the sole managing member of M SPAC LLC.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become exercisable on the later of 30 days after the completion of the registrant's initial business combination and 12 months from the closing of the registrant's initial public offering.</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expire 5 years after the completion of the registrant's initial business combination or earlier upon redemption or liquidation, as described in the registrant's prospectus filed with the SEC.</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securities represent the securities held by M SPAC Holdings I LLC. Joshua Sason is the sole managing member of M SPAC Holdings I LLC.</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become exercisable on the later of 30 days after the completion of the registrant's initial business combination and 12 months from the closing of the registrant's initial public offering.</w:t>
      </w:r>
    </w:p>
    <w:p>
      <w:pPr>
        <w:spacing w:after="0" w:line="64" w:lineRule="exact"/>
        <w:rPr>
          <w:rFonts w:ascii="Arial" w:cs="Arial" w:eastAsia="Arial" w:hAnsi="Arial"/>
          <w:sz w:val="12"/>
          <w:szCs w:val="12"/>
          <w:color w:val="008000"/>
        </w:rPr>
      </w:pPr>
    </w:p>
    <w:p>
      <w:pPr>
        <w:ind w:left="240" w:hanging="191"/>
        <w:spacing w:after="0"/>
        <w:tabs>
          <w:tab w:leader="none" w:pos="24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expire 5 years after the completion of the registrant's initial business combination or earlier upon redemption or liquidation, as described in the registrant's prospectus filed with the SEC.</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securities represent the securities held by M SPAC Holdings II LLC. Joshua Sason is the sole managing member of M SPAC Holdings II LLC.</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0000FF"/>
                <w:w w:val="82"/>
              </w:rPr>
              <w:t>/s/ Joshua Sason</w:t>
            </w:r>
          </w:p>
        </w:tc>
        <w:tc>
          <w:tcPr>
            <w:tcW w:w="9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09/14/2016</w:t>
            </w: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84507" TargetMode="External"/><Relationship Id="rId12"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2020-01-19T09:05:44Z</dcterms:created>
  <dcterms:modified xsi:type="dcterms:W3CDTF">2020-01-19T09:05:44Z</dcterms:modified>
</cp:coreProperties>
</file>