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Priority Technology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74275G 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Thomas C. Priore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 Priority Technology Holdings,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2001 Westside Parkway, Suite 155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Alpharetta, GA 30004</w:t>
      </w:r>
    </w:p>
    <w:p>
      <w:pPr>
        <w:spacing w:after="0" w:line="9" w:lineRule="exact"/>
        <w:rPr>
          <w:sz w:val="24"/>
          <w:szCs w:val="24"/>
          <w:color w:val="auto"/>
        </w:rPr>
      </w:pPr>
    </w:p>
    <w:p>
      <w:pPr>
        <w:jc w:val="both"/>
        <w:ind w:left="5160" w:right="5140" w:hanging="8"/>
        <w:spacing w:after="0" w:line="554" w:lineRule="auto"/>
        <w:tabs>
          <w:tab w:leader="none" w:pos="5586" w:val="left"/>
        </w:tabs>
        <w:numPr>
          <w:ilvl w:val="0"/>
          <w:numId w:val="1"/>
        </w:numPr>
        <w:rPr>
          <w:rFonts w:ascii="Arial" w:cs="Arial" w:eastAsia="Arial" w:hAnsi="Arial"/>
          <w:sz w:val="16"/>
          <w:szCs w:val="16"/>
          <w:color w:val="auto"/>
        </w:rPr>
      </w:pPr>
      <w:r>
        <w:rPr>
          <w:rFonts w:ascii="Arial" w:cs="Arial" w:eastAsia="Arial" w:hAnsi="Arial"/>
          <w:sz w:val="16"/>
          <w:szCs w:val="16"/>
          <w:color w:val="auto"/>
        </w:rPr>
        <w:t>935-5961 With a copy to:</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John Mahon, Esq.</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 Xavier Kowalski,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Schulte Roth &amp; Zabel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919 Third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November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right="5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9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46" w:lineRule="exact"/>
        <w:rPr>
          <w:sz w:val="24"/>
          <w:szCs w:val="24"/>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24"/>
        </w:trPr>
        <w:tc>
          <w:tcPr>
            <w:tcW w:w="1960" w:type="dxa"/>
            <w:vAlign w:val="bottom"/>
            <w:tcBorders>
              <w:top w:val="single" w:sz="8" w:color="auto"/>
              <w:lef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3"/>
              </w:rPr>
              <w:t>CUSIP No. 74275G 107</w:t>
            </w:r>
          </w:p>
        </w:tc>
        <w:tc>
          <w:tcPr>
            <w:tcW w:w="1380" w:type="dxa"/>
            <w:vAlign w:val="bottom"/>
            <w:tcBorders>
              <w:top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SCHEDULE 13D</w:t>
            </w:r>
          </w:p>
        </w:tc>
        <w:tc>
          <w:tcPr>
            <w:tcW w:w="248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Page 2 of 9 Pages</w:t>
            </w:r>
          </w:p>
        </w:tc>
        <w:tc>
          <w:tcPr>
            <w:tcW w:w="1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6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2"/>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gridSpan w:val="3"/>
          </w:tcPr>
          <w:p>
            <w:pPr>
              <w:ind w:left="340"/>
              <w:spacing w:after="0"/>
              <w:rPr>
                <w:sz w:val="20"/>
                <w:szCs w:val="20"/>
                <w:color w:val="auto"/>
              </w:rPr>
            </w:pPr>
            <w:r>
              <w:rPr>
                <w:rFonts w:ascii="Arial" w:cs="Arial" w:eastAsia="Arial" w:hAnsi="Arial"/>
                <w:sz w:val="18"/>
                <w:szCs w:val="18"/>
                <w:color w:val="auto"/>
              </w:rPr>
              <w:t>Thomas C. Priore</w:t>
            </w: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2480" w:type="dxa"/>
            <w:vAlign w:val="bottom"/>
          </w:tcPr>
          <w:p>
            <w:pPr>
              <w:spacing w:after="0"/>
              <w:rPr>
                <w:sz w:val="20"/>
                <w:szCs w:val="20"/>
                <w:color w:val="auto"/>
              </w:rPr>
            </w:pPr>
          </w:p>
        </w:tc>
        <w:tc>
          <w:tcPr>
            <w:tcW w:w="1280" w:type="dxa"/>
            <w:vAlign w:val="bottom"/>
            <w:tcBorders>
              <w:right w:val="single" w:sz="8" w:color="auto"/>
            </w:tcBorders>
          </w:tcPr>
          <w:p>
            <w:pPr>
              <w:ind w:left="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86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80" w:type="dxa"/>
            <w:vAlign w:val="bottom"/>
            <w:tcBorders>
              <w:right w:val="single" w:sz="8" w:color="auto"/>
            </w:tcBorders>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SOURCE OF FUNDS</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gridSpan w:val="3"/>
          </w:tcPr>
          <w:p>
            <w:pPr>
              <w:ind w:left="340"/>
              <w:spacing w:after="0"/>
              <w:rPr>
                <w:sz w:val="20"/>
                <w:szCs w:val="20"/>
                <w:color w:val="auto"/>
              </w:rPr>
            </w:pPr>
            <w:r>
              <w:rPr>
                <w:rFonts w:ascii="Arial" w:cs="Arial" w:eastAsia="Arial" w:hAnsi="Arial"/>
                <w:sz w:val="18"/>
                <w:szCs w:val="18"/>
                <w:color w:val="auto"/>
              </w:rPr>
              <w:t>OO (See Item 3)</w:t>
            </w: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6800" w:type="dxa"/>
            <w:vAlign w:val="bottom"/>
            <w:tcBorders>
              <w:bottom w:val="single" w:sz="8" w:color="auto"/>
            </w:tcBorders>
            <w:gridSpan w:val="3"/>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100" w:type="dxa"/>
            <w:vAlign w:val="bottom"/>
          </w:tcPr>
          <w:p>
            <w:pPr>
              <w:spacing w:after="0"/>
              <w:rPr>
                <w:sz w:val="23"/>
                <w:szCs w:val="23"/>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w w:val="96"/>
              </w:rPr>
              <w:t>CHECK BOX IF DISCLOSURE OF LEGAL PROCEEDING IS REQUIRED PURSUANT TO ITEMS 2(d) or</w:t>
            </w:r>
          </w:p>
        </w:tc>
        <w:tc>
          <w:tcPr>
            <w:tcW w:w="128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2(e)</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ind w:left="340"/>
              <w:spacing w:after="0"/>
              <w:rPr>
                <w:sz w:val="20"/>
                <w:szCs w:val="20"/>
                <w:color w:val="auto"/>
              </w:rPr>
            </w:pPr>
            <w:r>
              <w:rPr>
                <w:rFonts w:ascii="Arial" w:cs="Arial" w:eastAsia="Arial" w:hAnsi="Arial"/>
                <w:sz w:val="18"/>
                <w:szCs w:val="18"/>
                <w:color w:val="auto"/>
                <w:w w:val="92"/>
              </w:rPr>
              <w:t>United States</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7</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SOLE VOTING POWER</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0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4320" w:type="dxa"/>
            <w:vAlign w:val="bottom"/>
            <w:gridSpan w:val="2"/>
          </w:tcPr>
          <w:p>
            <w:pPr>
              <w:jc w:val="right"/>
              <w:ind w:right="2990"/>
              <w:spacing w:after="0"/>
              <w:rPr>
                <w:sz w:val="20"/>
                <w:szCs w:val="20"/>
                <w:color w:val="auto"/>
              </w:rPr>
            </w:pPr>
            <w:r>
              <w:rPr>
                <w:rFonts w:ascii="Arial" w:cs="Arial" w:eastAsia="Arial" w:hAnsi="Arial"/>
                <w:sz w:val="18"/>
                <w:szCs w:val="18"/>
                <w:color w:val="auto"/>
              </w:rPr>
              <w:t>33,613,250</w:t>
            </w: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right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00" w:type="dxa"/>
            <w:vAlign w:val="bottom"/>
          </w:tcPr>
          <w:p>
            <w:pPr>
              <w:spacing w:after="0"/>
              <w:rPr>
                <w:sz w:val="21"/>
                <w:szCs w:val="21"/>
                <w:color w:val="auto"/>
              </w:rPr>
            </w:pPr>
          </w:p>
        </w:tc>
        <w:tc>
          <w:tcPr>
            <w:tcW w:w="13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8</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SHARED VOTING POWER</w:t>
            </w:r>
          </w:p>
        </w:tc>
        <w:tc>
          <w:tcPr>
            <w:tcW w:w="248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4320" w:type="dxa"/>
            <w:vAlign w:val="bottom"/>
            <w:gridSpan w:val="2"/>
          </w:tcPr>
          <w:p>
            <w:pPr>
              <w:jc w:val="right"/>
              <w:ind w:right="2990"/>
              <w:spacing w:after="0"/>
              <w:rPr>
                <w:sz w:val="20"/>
                <w:szCs w:val="20"/>
                <w:color w:val="auto"/>
              </w:rPr>
            </w:pPr>
            <w:r>
              <w:rPr>
                <w:rFonts w:ascii="Arial" w:cs="Arial" w:eastAsia="Arial" w:hAnsi="Arial"/>
                <w:sz w:val="18"/>
                <w:szCs w:val="18"/>
                <w:color w:val="auto"/>
              </w:rPr>
              <w:t>13,120,810</w:t>
            </w:r>
          </w:p>
        </w:tc>
        <w:tc>
          <w:tcPr>
            <w:tcW w:w="24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860" w:type="dxa"/>
            <w:vAlign w:val="bottom"/>
            <w:tcBorders>
              <w:left w:val="single" w:sz="8" w:color="auto"/>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99"/>
              </w:rPr>
              <w:t>9</w:t>
            </w:r>
          </w:p>
        </w:tc>
        <w:tc>
          <w:tcPr>
            <w:tcW w:w="4320" w:type="dxa"/>
            <w:vAlign w:val="bottom"/>
            <w:gridSpan w:val="2"/>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2480" w:type="dxa"/>
            <w:vAlign w:val="bottom"/>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0" w:type="dxa"/>
            <w:vAlign w:val="bottom"/>
          </w:tcPr>
          <w:p>
            <w:pPr>
              <w:spacing w:after="0"/>
              <w:rPr>
                <w:sz w:val="16"/>
                <w:szCs w:val="16"/>
                <w:color w:val="auto"/>
              </w:rPr>
            </w:pPr>
          </w:p>
        </w:tc>
        <w:tc>
          <w:tcPr>
            <w:tcW w:w="1380" w:type="dxa"/>
            <w:vAlign w:val="bottom"/>
            <w:tcBorders>
              <w:right w:val="single" w:sz="8" w:color="auto"/>
            </w:tcBorders>
            <w:vMerge w:val="continue"/>
          </w:tcPr>
          <w:p>
            <w:pPr>
              <w:spacing w:after="0"/>
              <w:rPr>
                <w:sz w:val="16"/>
                <w:szCs w:val="16"/>
                <w:color w:val="auto"/>
              </w:rPr>
            </w:pPr>
          </w:p>
        </w:tc>
        <w:tc>
          <w:tcPr>
            <w:tcW w:w="4320" w:type="dxa"/>
            <w:vAlign w:val="bottom"/>
            <w:gridSpan w:val="2"/>
            <w:vMerge w:val="continue"/>
          </w:tcPr>
          <w:p>
            <w:pPr>
              <w:spacing w:after="0"/>
              <w:rPr>
                <w:sz w:val="16"/>
                <w:szCs w:val="16"/>
                <w:color w:val="auto"/>
              </w:rPr>
            </w:pPr>
          </w:p>
        </w:tc>
        <w:tc>
          <w:tcPr>
            <w:tcW w:w="248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4320" w:type="dxa"/>
            <w:vAlign w:val="bottom"/>
            <w:gridSpan w:val="2"/>
          </w:tcPr>
          <w:p>
            <w:pPr>
              <w:jc w:val="right"/>
              <w:ind w:right="2990"/>
              <w:spacing w:after="0"/>
              <w:rPr>
                <w:sz w:val="20"/>
                <w:szCs w:val="20"/>
                <w:color w:val="auto"/>
              </w:rPr>
            </w:pPr>
            <w:r>
              <w:rPr>
                <w:rFonts w:ascii="Arial" w:cs="Arial" w:eastAsia="Arial" w:hAnsi="Arial"/>
                <w:sz w:val="18"/>
                <w:szCs w:val="18"/>
                <w:color w:val="auto"/>
              </w:rPr>
              <w:t>33,613,250</w:t>
            </w:r>
          </w:p>
        </w:tc>
        <w:tc>
          <w:tcPr>
            <w:tcW w:w="248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89"/>
              </w:rPr>
              <w:t>10</w:t>
            </w:r>
          </w:p>
        </w:tc>
        <w:tc>
          <w:tcPr>
            <w:tcW w:w="4320" w:type="dxa"/>
            <w:vAlign w:val="bottom"/>
            <w:gridSpan w:val="2"/>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248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6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4320" w:type="dxa"/>
            <w:vAlign w:val="bottom"/>
            <w:gridSpan w:val="2"/>
            <w:vMerge w:val="continue"/>
          </w:tcPr>
          <w:p>
            <w:pPr>
              <w:spacing w:after="0"/>
              <w:rPr>
                <w:sz w:val="10"/>
                <w:szCs w:val="10"/>
                <w:color w:val="auto"/>
              </w:rPr>
            </w:pPr>
          </w:p>
        </w:tc>
        <w:tc>
          <w:tcPr>
            <w:tcW w:w="248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4320" w:type="dxa"/>
            <w:vAlign w:val="bottom"/>
            <w:gridSpan w:val="2"/>
          </w:tcPr>
          <w:p>
            <w:pPr>
              <w:jc w:val="right"/>
              <w:ind w:right="2990"/>
              <w:spacing w:after="0"/>
              <w:rPr>
                <w:sz w:val="20"/>
                <w:szCs w:val="20"/>
                <w:color w:val="auto"/>
              </w:rPr>
            </w:pPr>
            <w:r>
              <w:rPr>
                <w:rFonts w:ascii="Arial" w:cs="Arial" w:eastAsia="Arial" w:hAnsi="Arial"/>
                <w:sz w:val="18"/>
                <w:szCs w:val="18"/>
                <w:color w:val="auto"/>
              </w:rPr>
              <w:t>13,120,810</w:t>
            </w: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w w:val="99"/>
              </w:rPr>
              <w:t>AGGREGATE AMOUNT BENEFICIALLY OWNED BY EACH PERSON</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ind w:left="340"/>
              <w:spacing w:after="0"/>
              <w:rPr>
                <w:sz w:val="20"/>
                <w:szCs w:val="20"/>
                <w:color w:val="auto"/>
              </w:rPr>
            </w:pPr>
            <w:r>
              <w:rPr>
                <w:rFonts w:ascii="Arial" w:cs="Arial" w:eastAsia="Arial" w:hAnsi="Arial"/>
                <w:sz w:val="18"/>
                <w:szCs w:val="18"/>
                <w:color w:val="auto"/>
              </w:rPr>
              <w:t>46,734,060</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180" w:type="dxa"/>
            <w:vAlign w:val="bottom"/>
            <w:tcBorders>
              <w:bottom w:val="single" w:sz="8" w:color="auto"/>
            </w:tcBorders>
            <w:gridSpan w:val="4"/>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100" w:type="dxa"/>
            <w:vAlign w:val="bottom"/>
          </w:tcPr>
          <w:p>
            <w:pPr>
              <w:spacing w:after="0"/>
              <w:rPr>
                <w:sz w:val="24"/>
                <w:szCs w:val="24"/>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CHECK IF THE AGGREGATE AMOUNT IN ROW (11) EXCLUDES CERTAIN SHARES</w:t>
            </w:r>
          </w:p>
        </w:tc>
        <w:tc>
          <w:tcPr>
            <w:tcW w:w="128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gridSpan w:val="3"/>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180" w:type="dxa"/>
            <w:vAlign w:val="bottom"/>
            <w:gridSpan w:val="4"/>
          </w:tcPr>
          <w:p>
            <w:pPr>
              <w:ind w:left="340"/>
              <w:spacing w:after="0"/>
              <w:rPr>
                <w:sz w:val="20"/>
                <w:szCs w:val="20"/>
                <w:color w:val="auto"/>
              </w:rPr>
            </w:pPr>
            <w:r>
              <w:rPr>
                <w:rFonts w:ascii="Arial" w:cs="Arial" w:eastAsia="Arial" w:hAnsi="Arial"/>
                <w:sz w:val="18"/>
                <w:szCs w:val="18"/>
                <w:color w:val="auto"/>
              </w:rPr>
              <w:t>69.7% (based on 67,007,172 shares of Common Stock outstanding on November 8, 2019)</w:t>
            </w: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700" w:type="dxa"/>
            <w:vAlign w:val="bottom"/>
            <w:tcBorders>
              <w:bottom w:val="single" w:sz="8" w:color="auto"/>
            </w:tcBorders>
            <w:gridSpan w:val="3"/>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ind w:left="340"/>
              <w:spacing w:after="0"/>
              <w:rPr>
                <w:sz w:val="20"/>
                <w:szCs w:val="20"/>
                <w:color w:val="auto"/>
              </w:rPr>
            </w:pPr>
            <w:r>
              <w:rPr>
                <w:rFonts w:ascii="Arial" w:cs="Arial" w:eastAsia="Arial" w:hAnsi="Arial"/>
                <w:sz w:val="18"/>
                <w:szCs w:val="18"/>
                <w:color w:val="auto"/>
              </w:rPr>
              <w:t>IN</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2"/>
        </w:trPr>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960" w:type="dxa"/>
            <w:vAlign w:val="bottom"/>
            <w:tcBorders>
              <w:top w:val="single" w:sz="8" w:color="auto"/>
              <w:lef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3"/>
              </w:rPr>
              <w:t>CUSIP No. 74275G 107</w:t>
            </w:r>
          </w:p>
        </w:tc>
        <w:tc>
          <w:tcPr>
            <w:tcW w:w="1380" w:type="dxa"/>
            <w:vAlign w:val="bottom"/>
            <w:tcBorders>
              <w:top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248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Page 3 of 9 Pages</w:t>
            </w:r>
          </w:p>
        </w:tc>
        <w:tc>
          <w:tcPr>
            <w:tcW w:w="1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6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2"/>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gridSpan w:val="3"/>
          </w:tcPr>
          <w:p>
            <w:pPr>
              <w:ind w:left="340"/>
              <w:spacing w:after="0"/>
              <w:rPr>
                <w:sz w:val="20"/>
                <w:szCs w:val="20"/>
                <w:color w:val="auto"/>
              </w:rPr>
            </w:pPr>
            <w:r>
              <w:rPr>
                <w:rFonts w:ascii="Arial" w:cs="Arial" w:eastAsia="Arial" w:hAnsi="Arial"/>
                <w:sz w:val="18"/>
                <w:szCs w:val="18"/>
                <w:color w:val="auto"/>
              </w:rPr>
              <w:t>Priority Incentive Equity Holdings, LLC</w:t>
            </w: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2480" w:type="dxa"/>
            <w:vAlign w:val="bottom"/>
          </w:tcPr>
          <w:p>
            <w:pPr>
              <w:spacing w:after="0"/>
              <w:rPr>
                <w:sz w:val="20"/>
                <w:szCs w:val="20"/>
                <w:color w:val="auto"/>
              </w:rPr>
            </w:pPr>
          </w:p>
        </w:tc>
        <w:tc>
          <w:tcPr>
            <w:tcW w:w="1280" w:type="dxa"/>
            <w:vAlign w:val="bottom"/>
            <w:tcBorders>
              <w:right w:val="single" w:sz="8" w:color="auto"/>
            </w:tcBorders>
          </w:tcPr>
          <w:p>
            <w:pPr>
              <w:ind w:left="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86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80" w:type="dxa"/>
            <w:vAlign w:val="bottom"/>
            <w:tcBorders>
              <w:right w:val="single" w:sz="8" w:color="auto"/>
            </w:tcBorders>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SOURCE OF FUNDS</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gridSpan w:val="3"/>
          </w:tcPr>
          <w:p>
            <w:pPr>
              <w:ind w:left="340"/>
              <w:spacing w:after="0"/>
              <w:rPr>
                <w:sz w:val="20"/>
                <w:szCs w:val="20"/>
                <w:color w:val="auto"/>
              </w:rPr>
            </w:pPr>
            <w:r>
              <w:rPr>
                <w:rFonts w:ascii="Arial" w:cs="Arial" w:eastAsia="Arial" w:hAnsi="Arial"/>
                <w:sz w:val="18"/>
                <w:szCs w:val="18"/>
                <w:color w:val="auto"/>
              </w:rPr>
              <w:t>OO (See Item 3)</w:t>
            </w: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6800" w:type="dxa"/>
            <w:vAlign w:val="bottom"/>
            <w:tcBorders>
              <w:bottom w:val="single" w:sz="8" w:color="auto"/>
            </w:tcBorders>
            <w:gridSpan w:val="3"/>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100" w:type="dxa"/>
            <w:vAlign w:val="bottom"/>
          </w:tcPr>
          <w:p>
            <w:pPr>
              <w:spacing w:after="0"/>
              <w:rPr>
                <w:sz w:val="23"/>
                <w:szCs w:val="23"/>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w w:val="96"/>
              </w:rPr>
              <w:t>CHECK BOX IF DISCLOSURE OF LEGAL PROCEEDING IS REQUIRED PURSUANT TO ITEMS 2(d) or</w:t>
            </w:r>
          </w:p>
        </w:tc>
        <w:tc>
          <w:tcPr>
            <w:tcW w:w="128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2(e)</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ind w:left="3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7</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SOLE VOTING POWER</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0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580" w:type="dxa"/>
            <w:vAlign w:val="bottom"/>
          </w:tcPr>
          <w:p>
            <w:pPr>
              <w:ind w:left="440"/>
              <w:spacing w:after="0"/>
              <w:rPr>
                <w:sz w:val="20"/>
                <w:szCs w:val="20"/>
                <w:color w:val="auto"/>
              </w:rPr>
            </w:pPr>
            <w:r>
              <w:rPr>
                <w:rFonts w:ascii="Arial" w:cs="Arial" w:eastAsia="Arial" w:hAnsi="Arial"/>
                <w:sz w:val="18"/>
                <w:szCs w:val="18"/>
                <w:color w:val="auto"/>
                <w:w w:val="99"/>
              </w:rPr>
              <w:t>0</w:t>
            </w: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right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00" w:type="dxa"/>
            <w:vAlign w:val="bottom"/>
          </w:tcPr>
          <w:p>
            <w:pPr>
              <w:spacing w:after="0"/>
              <w:rPr>
                <w:sz w:val="21"/>
                <w:szCs w:val="21"/>
                <w:color w:val="auto"/>
              </w:rPr>
            </w:pPr>
          </w:p>
        </w:tc>
        <w:tc>
          <w:tcPr>
            <w:tcW w:w="13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8</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SHARED VOTING POWER</w:t>
            </w:r>
          </w:p>
        </w:tc>
        <w:tc>
          <w:tcPr>
            <w:tcW w:w="248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4320" w:type="dxa"/>
            <w:vAlign w:val="bottom"/>
            <w:gridSpan w:val="2"/>
          </w:tcPr>
          <w:p>
            <w:pPr>
              <w:ind w:left="440"/>
              <w:spacing w:after="0"/>
              <w:rPr>
                <w:sz w:val="20"/>
                <w:szCs w:val="20"/>
                <w:color w:val="auto"/>
              </w:rPr>
            </w:pPr>
            <w:r>
              <w:rPr>
                <w:rFonts w:ascii="Arial" w:cs="Arial" w:eastAsia="Arial" w:hAnsi="Arial"/>
                <w:sz w:val="18"/>
                <w:szCs w:val="18"/>
                <w:color w:val="auto"/>
              </w:rPr>
              <w:t>620,810</w:t>
            </w:r>
          </w:p>
        </w:tc>
        <w:tc>
          <w:tcPr>
            <w:tcW w:w="24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860" w:type="dxa"/>
            <w:vAlign w:val="bottom"/>
            <w:tcBorders>
              <w:left w:val="single" w:sz="8" w:color="auto"/>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99"/>
              </w:rPr>
              <w:t>9</w:t>
            </w:r>
          </w:p>
        </w:tc>
        <w:tc>
          <w:tcPr>
            <w:tcW w:w="4320" w:type="dxa"/>
            <w:vAlign w:val="bottom"/>
            <w:gridSpan w:val="2"/>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2480" w:type="dxa"/>
            <w:vAlign w:val="bottom"/>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0" w:type="dxa"/>
            <w:vAlign w:val="bottom"/>
          </w:tcPr>
          <w:p>
            <w:pPr>
              <w:spacing w:after="0"/>
              <w:rPr>
                <w:sz w:val="16"/>
                <w:szCs w:val="16"/>
                <w:color w:val="auto"/>
              </w:rPr>
            </w:pPr>
          </w:p>
        </w:tc>
        <w:tc>
          <w:tcPr>
            <w:tcW w:w="1380" w:type="dxa"/>
            <w:vAlign w:val="bottom"/>
            <w:tcBorders>
              <w:right w:val="single" w:sz="8" w:color="auto"/>
            </w:tcBorders>
            <w:vMerge w:val="continue"/>
          </w:tcPr>
          <w:p>
            <w:pPr>
              <w:spacing w:after="0"/>
              <w:rPr>
                <w:sz w:val="16"/>
                <w:szCs w:val="16"/>
                <w:color w:val="auto"/>
              </w:rPr>
            </w:pPr>
          </w:p>
        </w:tc>
        <w:tc>
          <w:tcPr>
            <w:tcW w:w="4320" w:type="dxa"/>
            <w:vAlign w:val="bottom"/>
            <w:gridSpan w:val="2"/>
            <w:vMerge w:val="continue"/>
          </w:tcPr>
          <w:p>
            <w:pPr>
              <w:spacing w:after="0"/>
              <w:rPr>
                <w:sz w:val="16"/>
                <w:szCs w:val="16"/>
                <w:color w:val="auto"/>
              </w:rPr>
            </w:pPr>
          </w:p>
        </w:tc>
        <w:tc>
          <w:tcPr>
            <w:tcW w:w="248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580" w:type="dxa"/>
            <w:vAlign w:val="bottom"/>
          </w:tcPr>
          <w:p>
            <w:pPr>
              <w:ind w:left="440"/>
              <w:spacing w:after="0"/>
              <w:rPr>
                <w:sz w:val="20"/>
                <w:szCs w:val="20"/>
                <w:color w:val="auto"/>
              </w:rPr>
            </w:pPr>
            <w:r>
              <w:rPr>
                <w:rFonts w:ascii="Arial" w:cs="Arial" w:eastAsia="Arial" w:hAnsi="Arial"/>
                <w:sz w:val="18"/>
                <w:szCs w:val="18"/>
                <w:color w:val="auto"/>
                <w:w w:val="99"/>
              </w:rPr>
              <w:t>0</w:t>
            </w:r>
          </w:p>
        </w:tc>
        <w:tc>
          <w:tcPr>
            <w:tcW w:w="37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89"/>
              </w:rPr>
              <w:t>10</w:t>
            </w:r>
          </w:p>
        </w:tc>
        <w:tc>
          <w:tcPr>
            <w:tcW w:w="4320" w:type="dxa"/>
            <w:vAlign w:val="bottom"/>
            <w:gridSpan w:val="2"/>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248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6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4320" w:type="dxa"/>
            <w:vAlign w:val="bottom"/>
            <w:gridSpan w:val="2"/>
            <w:vMerge w:val="continue"/>
          </w:tcPr>
          <w:p>
            <w:pPr>
              <w:spacing w:after="0"/>
              <w:rPr>
                <w:sz w:val="10"/>
                <w:szCs w:val="10"/>
                <w:color w:val="auto"/>
              </w:rPr>
            </w:pPr>
          </w:p>
        </w:tc>
        <w:tc>
          <w:tcPr>
            <w:tcW w:w="248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4320" w:type="dxa"/>
            <w:vAlign w:val="bottom"/>
            <w:gridSpan w:val="2"/>
          </w:tcPr>
          <w:p>
            <w:pPr>
              <w:ind w:left="440"/>
              <w:spacing w:after="0"/>
              <w:rPr>
                <w:sz w:val="20"/>
                <w:szCs w:val="20"/>
                <w:color w:val="auto"/>
              </w:rPr>
            </w:pPr>
            <w:r>
              <w:rPr>
                <w:rFonts w:ascii="Arial" w:cs="Arial" w:eastAsia="Arial" w:hAnsi="Arial"/>
                <w:sz w:val="18"/>
                <w:szCs w:val="18"/>
                <w:color w:val="auto"/>
              </w:rPr>
              <w:t>620,810</w:t>
            </w: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w w:val="99"/>
              </w:rPr>
              <w:t>AGGREGATE AMOUNT BENEFICIALLY OWNED BY EACH PERSON</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89"/>
              </w:rPr>
              <w:t>620,810</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180" w:type="dxa"/>
            <w:vAlign w:val="bottom"/>
            <w:tcBorders>
              <w:bottom w:val="single" w:sz="8" w:color="auto"/>
            </w:tcBorders>
            <w:gridSpan w:val="4"/>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100" w:type="dxa"/>
            <w:vAlign w:val="bottom"/>
          </w:tcPr>
          <w:p>
            <w:pPr>
              <w:spacing w:after="0"/>
              <w:rPr>
                <w:sz w:val="24"/>
                <w:szCs w:val="24"/>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CHECK IF THE AGGREGATE AMOUNT IN ROW (11) EXCLUDES CERTAIN SHARES</w:t>
            </w:r>
          </w:p>
        </w:tc>
        <w:tc>
          <w:tcPr>
            <w:tcW w:w="128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gridSpan w:val="3"/>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180" w:type="dxa"/>
            <w:vAlign w:val="bottom"/>
            <w:gridSpan w:val="4"/>
          </w:tcPr>
          <w:p>
            <w:pPr>
              <w:ind w:left="340"/>
              <w:spacing w:after="0"/>
              <w:rPr>
                <w:sz w:val="20"/>
                <w:szCs w:val="20"/>
                <w:color w:val="auto"/>
              </w:rPr>
            </w:pPr>
            <w:r>
              <w:rPr>
                <w:rFonts w:ascii="Arial" w:cs="Arial" w:eastAsia="Arial" w:hAnsi="Arial"/>
                <w:sz w:val="18"/>
                <w:szCs w:val="18"/>
                <w:color w:val="auto"/>
              </w:rPr>
              <w:t>0.9% (based on 67,007,172 shares of Common Stock outstanding on November 8, 2019)</w:t>
            </w: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700" w:type="dxa"/>
            <w:vAlign w:val="bottom"/>
            <w:tcBorders>
              <w:bottom w:val="single" w:sz="8" w:color="auto"/>
            </w:tcBorders>
            <w:gridSpan w:val="3"/>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ind w:left="34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2"/>
        </w:trPr>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960" w:type="dxa"/>
            <w:vAlign w:val="bottom"/>
            <w:tcBorders>
              <w:top w:val="single" w:sz="8" w:color="auto"/>
              <w:lef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3"/>
              </w:rPr>
              <w:t>CUSIP No. 74275G 107</w:t>
            </w:r>
          </w:p>
        </w:tc>
        <w:tc>
          <w:tcPr>
            <w:tcW w:w="1380" w:type="dxa"/>
            <w:vAlign w:val="bottom"/>
            <w:tcBorders>
              <w:top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248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Page 4 of 9 Pages</w:t>
            </w:r>
          </w:p>
        </w:tc>
        <w:tc>
          <w:tcPr>
            <w:tcW w:w="1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6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2"/>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gridSpan w:val="3"/>
          </w:tcPr>
          <w:p>
            <w:pPr>
              <w:ind w:left="340"/>
              <w:spacing w:after="0"/>
              <w:rPr>
                <w:sz w:val="20"/>
                <w:szCs w:val="20"/>
                <w:color w:val="auto"/>
              </w:rPr>
            </w:pPr>
            <w:r>
              <w:rPr>
                <w:rFonts w:ascii="Arial" w:cs="Arial" w:eastAsia="Arial" w:hAnsi="Arial"/>
                <w:sz w:val="18"/>
                <w:szCs w:val="18"/>
                <w:color w:val="auto"/>
              </w:rPr>
              <w:t>Thomas Priore 2019 GRAT</w:t>
            </w: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2480" w:type="dxa"/>
            <w:vAlign w:val="bottom"/>
          </w:tcPr>
          <w:p>
            <w:pPr>
              <w:spacing w:after="0"/>
              <w:rPr>
                <w:sz w:val="20"/>
                <w:szCs w:val="20"/>
                <w:color w:val="auto"/>
              </w:rPr>
            </w:pPr>
          </w:p>
        </w:tc>
        <w:tc>
          <w:tcPr>
            <w:tcW w:w="1280" w:type="dxa"/>
            <w:vAlign w:val="bottom"/>
            <w:tcBorders>
              <w:right w:val="single" w:sz="8" w:color="auto"/>
            </w:tcBorders>
          </w:tcPr>
          <w:p>
            <w:pPr>
              <w:ind w:left="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86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80" w:type="dxa"/>
            <w:vAlign w:val="bottom"/>
            <w:tcBorders>
              <w:right w:val="single" w:sz="8" w:color="auto"/>
            </w:tcBorders>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SOURCE OF FUNDS</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gridSpan w:val="3"/>
          </w:tcPr>
          <w:p>
            <w:pPr>
              <w:ind w:left="340"/>
              <w:spacing w:after="0"/>
              <w:rPr>
                <w:sz w:val="20"/>
                <w:szCs w:val="20"/>
                <w:color w:val="auto"/>
              </w:rPr>
            </w:pPr>
            <w:r>
              <w:rPr>
                <w:rFonts w:ascii="Arial" w:cs="Arial" w:eastAsia="Arial" w:hAnsi="Arial"/>
                <w:sz w:val="18"/>
                <w:szCs w:val="18"/>
                <w:color w:val="auto"/>
              </w:rPr>
              <w:t>OO (See Item 3)</w:t>
            </w: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6800" w:type="dxa"/>
            <w:vAlign w:val="bottom"/>
            <w:tcBorders>
              <w:bottom w:val="single" w:sz="8" w:color="auto"/>
            </w:tcBorders>
            <w:gridSpan w:val="3"/>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100" w:type="dxa"/>
            <w:vAlign w:val="bottom"/>
          </w:tcPr>
          <w:p>
            <w:pPr>
              <w:spacing w:after="0"/>
              <w:rPr>
                <w:sz w:val="23"/>
                <w:szCs w:val="23"/>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w w:val="96"/>
              </w:rPr>
              <w:t>CHECK BOX IF DISCLOSURE OF LEGAL PROCEEDING IS REQUIRED PURSUANT TO ITEMS 2(d) or</w:t>
            </w:r>
          </w:p>
        </w:tc>
        <w:tc>
          <w:tcPr>
            <w:tcW w:w="128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2(e)</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ind w:left="340"/>
              <w:spacing w:after="0"/>
              <w:rPr>
                <w:sz w:val="20"/>
                <w:szCs w:val="20"/>
                <w:color w:val="auto"/>
              </w:rPr>
            </w:pPr>
            <w:r>
              <w:rPr>
                <w:rFonts w:ascii="Arial" w:cs="Arial" w:eastAsia="Arial" w:hAnsi="Arial"/>
                <w:sz w:val="18"/>
                <w:szCs w:val="18"/>
                <w:color w:val="auto"/>
              </w:rPr>
              <w:t>New York</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7</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SOLE VOTING POWER</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0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580" w:type="dxa"/>
            <w:vAlign w:val="bottom"/>
          </w:tcPr>
          <w:p>
            <w:pPr>
              <w:ind w:left="440"/>
              <w:spacing w:after="0"/>
              <w:rPr>
                <w:sz w:val="20"/>
                <w:szCs w:val="20"/>
                <w:color w:val="auto"/>
              </w:rPr>
            </w:pPr>
            <w:r>
              <w:rPr>
                <w:rFonts w:ascii="Arial" w:cs="Arial" w:eastAsia="Arial" w:hAnsi="Arial"/>
                <w:sz w:val="18"/>
                <w:szCs w:val="18"/>
                <w:color w:val="auto"/>
                <w:w w:val="99"/>
              </w:rPr>
              <w:t>0</w:t>
            </w: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right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00" w:type="dxa"/>
            <w:vAlign w:val="bottom"/>
          </w:tcPr>
          <w:p>
            <w:pPr>
              <w:spacing w:after="0"/>
              <w:rPr>
                <w:sz w:val="21"/>
                <w:szCs w:val="21"/>
                <w:color w:val="auto"/>
              </w:rPr>
            </w:pPr>
          </w:p>
        </w:tc>
        <w:tc>
          <w:tcPr>
            <w:tcW w:w="13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8</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SHARED VOTING POWER</w:t>
            </w:r>
          </w:p>
        </w:tc>
        <w:tc>
          <w:tcPr>
            <w:tcW w:w="248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4320" w:type="dxa"/>
            <w:vAlign w:val="bottom"/>
            <w:gridSpan w:val="2"/>
          </w:tcPr>
          <w:p>
            <w:pPr>
              <w:ind w:left="440"/>
              <w:spacing w:after="0"/>
              <w:rPr>
                <w:sz w:val="20"/>
                <w:szCs w:val="20"/>
                <w:color w:val="auto"/>
              </w:rPr>
            </w:pPr>
            <w:r>
              <w:rPr>
                <w:rFonts w:ascii="Arial" w:cs="Arial" w:eastAsia="Arial" w:hAnsi="Arial"/>
                <w:sz w:val="18"/>
                <w:szCs w:val="18"/>
                <w:color w:val="auto"/>
              </w:rPr>
              <w:t>10,000,000</w:t>
            </w:r>
          </w:p>
        </w:tc>
        <w:tc>
          <w:tcPr>
            <w:tcW w:w="24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860" w:type="dxa"/>
            <w:vAlign w:val="bottom"/>
            <w:tcBorders>
              <w:left w:val="single" w:sz="8" w:color="auto"/>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99"/>
              </w:rPr>
              <w:t>9</w:t>
            </w:r>
          </w:p>
        </w:tc>
        <w:tc>
          <w:tcPr>
            <w:tcW w:w="4320" w:type="dxa"/>
            <w:vAlign w:val="bottom"/>
            <w:gridSpan w:val="2"/>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2480" w:type="dxa"/>
            <w:vAlign w:val="bottom"/>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0" w:type="dxa"/>
            <w:vAlign w:val="bottom"/>
          </w:tcPr>
          <w:p>
            <w:pPr>
              <w:spacing w:after="0"/>
              <w:rPr>
                <w:sz w:val="16"/>
                <w:szCs w:val="16"/>
                <w:color w:val="auto"/>
              </w:rPr>
            </w:pPr>
          </w:p>
        </w:tc>
        <w:tc>
          <w:tcPr>
            <w:tcW w:w="1380" w:type="dxa"/>
            <w:vAlign w:val="bottom"/>
            <w:tcBorders>
              <w:right w:val="single" w:sz="8" w:color="auto"/>
            </w:tcBorders>
            <w:vMerge w:val="continue"/>
          </w:tcPr>
          <w:p>
            <w:pPr>
              <w:spacing w:after="0"/>
              <w:rPr>
                <w:sz w:val="16"/>
                <w:szCs w:val="16"/>
                <w:color w:val="auto"/>
              </w:rPr>
            </w:pPr>
          </w:p>
        </w:tc>
        <w:tc>
          <w:tcPr>
            <w:tcW w:w="4320" w:type="dxa"/>
            <w:vAlign w:val="bottom"/>
            <w:gridSpan w:val="2"/>
            <w:vMerge w:val="continue"/>
          </w:tcPr>
          <w:p>
            <w:pPr>
              <w:spacing w:after="0"/>
              <w:rPr>
                <w:sz w:val="16"/>
                <w:szCs w:val="16"/>
                <w:color w:val="auto"/>
              </w:rPr>
            </w:pPr>
          </w:p>
        </w:tc>
        <w:tc>
          <w:tcPr>
            <w:tcW w:w="248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580" w:type="dxa"/>
            <w:vAlign w:val="bottom"/>
          </w:tcPr>
          <w:p>
            <w:pPr>
              <w:ind w:left="440"/>
              <w:spacing w:after="0"/>
              <w:rPr>
                <w:sz w:val="20"/>
                <w:szCs w:val="20"/>
                <w:color w:val="auto"/>
              </w:rPr>
            </w:pPr>
            <w:r>
              <w:rPr>
                <w:rFonts w:ascii="Arial" w:cs="Arial" w:eastAsia="Arial" w:hAnsi="Arial"/>
                <w:sz w:val="18"/>
                <w:szCs w:val="18"/>
                <w:color w:val="auto"/>
                <w:w w:val="99"/>
              </w:rPr>
              <w:t>0</w:t>
            </w:r>
          </w:p>
        </w:tc>
        <w:tc>
          <w:tcPr>
            <w:tcW w:w="37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89"/>
              </w:rPr>
              <w:t>10</w:t>
            </w:r>
          </w:p>
        </w:tc>
        <w:tc>
          <w:tcPr>
            <w:tcW w:w="4320" w:type="dxa"/>
            <w:vAlign w:val="bottom"/>
            <w:gridSpan w:val="2"/>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248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6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4320" w:type="dxa"/>
            <w:vAlign w:val="bottom"/>
            <w:gridSpan w:val="2"/>
            <w:vMerge w:val="continue"/>
          </w:tcPr>
          <w:p>
            <w:pPr>
              <w:spacing w:after="0"/>
              <w:rPr>
                <w:sz w:val="10"/>
                <w:szCs w:val="10"/>
                <w:color w:val="auto"/>
              </w:rPr>
            </w:pPr>
          </w:p>
        </w:tc>
        <w:tc>
          <w:tcPr>
            <w:tcW w:w="248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4320" w:type="dxa"/>
            <w:vAlign w:val="bottom"/>
            <w:gridSpan w:val="2"/>
          </w:tcPr>
          <w:p>
            <w:pPr>
              <w:ind w:left="440"/>
              <w:spacing w:after="0"/>
              <w:rPr>
                <w:sz w:val="20"/>
                <w:szCs w:val="20"/>
                <w:color w:val="auto"/>
              </w:rPr>
            </w:pPr>
            <w:r>
              <w:rPr>
                <w:rFonts w:ascii="Arial" w:cs="Arial" w:eastAsia="Arial" w:hAnsi="Arial"/>
                <w:sz w:val="18"/>
                <w:szCs w:val="18"/>
                <w:color w:val="auto"/>
              </w:rPr>
              <w:t>10,000,000</w:t>
            </w: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w w:val="99"/>
              </w:rPr>
              <w:t>AGGREGATE AMOUNT BENEFICIALLY OWNED BY EACH PERSON</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ind w:left="340"/>
              <w:spacing w:after="0"/>
              <w:rPr>
                <w:sz w:val="20"/>
                <w:szCs w:val="20"/>
                <w:color w:val="auto"/>
              </w:rPr>
            </w:pPr>
            <w:r>
              <w:rPr>
                <w:rFonts w:ascii="Arial" w:cs="Arial" w:eastAsia="Arial" w:hAnsi="Arial"/>
                <w:sz w:val="18"/>
                <w:szCs w:val="18"/>
                <w:color w:val="auto"/>
              </w:rPr>
              <w:t>10,000,000</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180" w:type="dxa"/>
            <w:vAlign w:val="bottom"/>
            <w:tcBorders>
              <w:bottom w:val="single" w:sz="8" w:color="auto"/>
            </w:tcBorders>
            <w:gridSpan w:val="4"/>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100" w:type="dxa"/>
            <w:vAlign w:val="bottom"/>
          </w:tcPr>
          <w:p>
            <w:pPr>
              <w:spacing w:after="0"/>
              <w:rPr>
                <w:sz w:val="24"/>
                <w:szCs w:val="24"/>
                <w:color w:val="auto"/>
              </w:rPr>
            </w:pPr>
          </w:p>
        </w:tc>
        <w:tc>
          <w:tcPr>
            <w:tcW w:w="8180" w:type="dxa"/>
            <w:vAlign w:val="bottom"/>
            <w:gridSpan w:val="4"/>
          </w:tcPr>
          <w:p>
            <w:pPr>
              <w:spacing w:after="0"/>
              <w:rPr>
                <w:sz w:val="20"/>
                <w:szCs w:val="20"/>
                <w:color w:val="auto"/>
              </w:rPr>
            </w:pPr>
            <w:r>
              <w:rPr>
                <w:rFonts w:ascii="Arial" w:cs="Arial" w:eastAsia="Arial" w:hAnsi="Arial"/>
                <w:sz w:val="18"/>
                <w:szCs w:val="18"/>
                <w:color w:val="auto"/>
              </w:rPr>
              <w:t>CHECK IF THE AGGREGATE AMOUNT IN ROW (11) EXCLUDES CERTAIN SHARES</w:t>
            </w:r>
          </w:p>
        </w:tc>
        <w:tc>
          <w:tcPr>
            <w:tcW w:w="128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gridSpan w:val="3"/>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180" w:type="dxa"/>
            <w:vAlign w:val="bottom"/>
            <w:gridSpan w:val="4"/>
          </w:tcPr>
          <w:p>
            <w:pPr>
              <w:ind w:left="340"/>
              <w:spacing w:after="0"/>
              <w:rPr>
                <w:sz w:val="20"/>
                <w:szCs w:val="20"/>
                <w:color w:val="auto"/>
              </w:rPr>
            </w:pPr>
            <w:r>
              <w:rPr>
                <w:rFonts w:ascii="Arial" w:cs="Arial" w:eastAsia="Arial" w:hAnsi="Arial"/>
                <w:sz w:val="18"/>
                <w:szCs w:val="18"/>
                <w:color w:val="auto"/>
              </w:rPr>
              <w:t>14.9% (based on 67,007,172 shares of Common Stock outstanding on November 8, 2019)</w:t>
            </w: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700" w:type="dxa"/>
            <w:vAlign w:val="bottom"/>
            <w:tcBorders>
              <w:bottom w:val="single" w:sz="8" w:color="auto"/>
            </w:tcBorders>
            <w:gridSpan w:val="3"/>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100" w:type="dxa"/>
            <w:vAlign w:val="bottom"/>
          </w:tcPr>
          <w:p>
            <w:pPr>
              <w:spacing w:after="0"/>
              <w:rPr>
                <w:sz w:val="23"/>
                <w:szCs w:val="23"/>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4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ind w:left="34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2"/>
        </w:trPr>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39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 74275G 107</w:t>
            </w:r>
          </w:p>
        </w:tc>
        <w:tc>
          <w:tcPr>
            <w:tcW w:w="374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Page 5 of 9 Pages</w:t>
            </w:r>
          </w:p>
        </w:tc>
      </w:tr>
      <w:tr>
        <w:trPr>
          <w:trHeight w:val="48"/>
        </w:trPr>
        <w:tc>
          <w:tcPr>
            <w:tcW w:w="392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Amendment No. 2 (“Amendment No. 2”) amends and supplements the statement on Schedule 13D filed with the Securities and Exchange Commission (the “SEC”) on August 3, 2018 (the “Original Schedule 13D”) and Amendment No. 1 to the Original Schedule 13D filed with the SEC on August 21, 2019 (“Amendment No. 1” and, together with the Original Schedule 13D, the “Schedule 13D”). Capitalized terms used herein and not otherwise defined in this Amendment No. 2 have the meanings set forth in the Schedule 13D.</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Item 1 of the Schedule 13D is hereby amended and restated as follows:</w:t>
      </w:r>
    </w:p>
    <w:p>
      <w:pPr>
        <w:spacing w:after="0" w:line="225" w:lineRule="exact"/>
        <w:rPr>
          <w:sz w:val="20"/>
          <w:szCs w:val="20"/>
          <w:color w:val="auto"/>
        </w:rPr>
      </w:pPr>
    </w:p>
    <w:p>
      <w:pPr>
        <w:ind w:left="980" w:right="560"/>
        <w:spacing w:after="0" w:line="342" w:lineRule="auto"/>
        <w:rPr>
          <w:sz w:val="20"/>
          <w:szCs w:val="20"/>
          <w:color w:val="auto"/>
        </w:rPr>
      </w:pPr>
      <w:r>
        <w:rPr>
          <w:rFonts w:ascii="Arial" w:cs="Arial" w:eastAsia="Arial" w:hAnsi="Arial"/>
          <w:sz w:val="16"/>
          <w:szCs w:val="16"/>
          <w:color w:val="auto"/>
        </w:rPr>
        <w:t>This Schedule 13D relates to the Common Stock, $0.001 par value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Priority Technology Holdings, Inc., a Delaware corporation (the “</w:t>
      </w:r>
      <w:r>
        <w:rPr>
          <w:rFonts w:ascii="Arial" w:cs="Arial" w:eastAsia="Arial" w:hAnsi="Arial"/>
          <w:sz w:val="16"/>
          <w:szCs w:val="16"/>
          <w:u w:val="single" w:color="auto"/>
          <w:color w:val="auto"/>
        </w:rPr>
        <w:t>Issuer</w:t>
      </w:r>
      <w:r>
        <w:rPr>
          <w:rFonts w:ascii="Arial" w:cs="Arial" w:eastAsia="Arial" w:hAnsi="Arial"/>
          <w:sz w:val="16"/>
          <w:szCs w:val="16"/>
          <w:color w:val="auto"/>
        </w:rPr>
        <w:t>”), with principal executive offices at 2001 Westside Parkway, Suite 155, Alpharetta, GA 30004.</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Item 2 of the Schedule 13D is hereby amended and restated as follows:</w:t>
      </w:r>
    </w:p>
    <w:p>
      <w:pPr>
        <w:spacing w:after="0" w:line="225" w:lineRule="exact"/>
        <w:rPr>
          <w:sz w:val="20"/>
          <w:szCs w:val="20"/>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Priority Incentive Equity Holdings, LLC (“</w:t>
      </w:r>
      <w:r>
        <w:rPr>
          <w:rFonts w:ascii="Arial" w:cs="Arial" w:eastAsia="Arial" w:hAnsi="Arial"/>
          <w:sz w:val="18"/>
          <w:szCs w:val="18"/>
          <w:u w:val="single" w:color="auto"/>
          <w:color w:val="auto"/>
        </w:rPr>
        <w:t>PIEH</w:t>
      </w:r>
      <w:r>
        <w:rPr>
          <w:rFonts w:ascii="Arial" w:cs="Arial" w:eastAsia="Arial" w:hAnsi="Arial"/>
          <w:sz w:val="18"/>
          <w:szCs w:val="18"/>
          <w:color w:val="auto"/>
        </w:rPr>
        <w:t>”), with respect to the shares of Common Stock directly held by it;</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Thomas Priore 2019 GRAT (the “</w:t>
      </w:r>
      <w:r>
        <w:rPr>
          <w:rFonts w:ascii="Arial" w:cs="Arial" w:eastAsia="Arial" w:hAnsi="Arial"/>
          <w:sz w:val="18"/>
          <w:szCs w:val="18"/>
          <w:u w:val="single" w:color="auto"/>
          <w:color w:val="auto"/>
        </w:rPr>
        <w:t>GRAT</w:t>
      </w:r>
      <w:r>
        <w:rPr>
          <w:rFonts w:ascii="Arial" w:cs="Arial" w:eastAsia="Arial" w:hAnsi="Arial"/>
          <w:sz w:val="18"/>
          <w:szCs w:val="18"/>
          <w:color w:val="auto"/>
        </w:rPr>
        <w:t>”), with respect to the shares of Common Stock directly held by it; and</w:t>
      </w:r>
    </w:p>
    <w:p>
      <w:pPr>
        <w:spacing w:after="0" w:line="225" w:lineRule="exact"/>
        <w:rPr>
          <w:rFonts w:ascii="Arial" w:cs="Arial" w:eastAsia="Arial" w:hAnsi="Arial"/>
          <w:sz w:val="18"/>
          <w:szCs w:val="18"/>
          <w:color w:val="auto"/>
        </w:rPr>
      </w:pPr>
    </w:p>
    <w:p>
      <w:pPr>
        <w:ind w:left="1620" w:right="160" w:hanging="640"/>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Thomas C. Priore (“</w:t>
      </w:r>
      <w:r>
        <w:rPr>
          <w:rFonts w:ascii="Arial" w:cs="Arial" w:eastAsia="Arial" w:hAnsi="Arial"/>
          <w:sz w:val="18"/>
          <w:szCs w:val="18"/>
          <w:u w:val="single" w:color="auto"/>
          <w:color w:val="auto"/>
        </w:rPr>
        <w:t>Mr. Priore</w:t>
      </w:r>
      <w:r>
        <w:rPr>
          <w:rFonts w:ascii="Arial" w:cs="Arial" w:eastAsia="Arial" w:hAnsi="Arial"/>
          <w:sz w:val="18"/>
          <w:szCs w:val="18"/>
          <w:color w:val="auto"/>
        </w:rPr>
        <w:t>”), who serves as the managing member of Priority Investment Holdings, LLC (“</w:t>
      </w:r>
      <w:r>
        <w:rPr>
          <w:rFonts w:ascii="Arial" w:cs="Arial" w:eastAsia="Arial" w:hAnsi="Arial"/>
          <w:sz w:val="18"/>
          <w:szCs w:val="18"/>
          <w:u w:val="single" w:color="auto"/>
          <w:color w:val="auto"/>
        </w:rPr>
        <w:t>PIH</w:t>
      </w:r>
      <w:r>
        <w:rPr>
          <w:rFonts w:ascii="Arial" w:cs="Arial" w:eastAsia="Arial" w:hAnsi="Arial"/>
          <w:sz w:val="18"/>
          <w:szCs w:val="18"/>
          <w:color w:val="auto"/>
        </w:rPr>
        <w:t>”), the manager of PIEH, with respect to the shares of Common Stock directly held by him and by PIEH and the GRAT.</w:t>
      </w:r>
    </w:p>
    <w:p>
      <w:pPr>
        <w:spacing w:after="0" w:line="170" w:lineRule="exact"/>
        <w:rPr>
          <w:sz w:val="20"/>
          <w:szCs w:val="20"/>
          <w:color w:val="auto"/>
        </w:rPr>
      </w:pPr>
    </w:p>
    <w:p>
      <w:pPr>
        <w:ind w:left="980" w:right="360"/>
        <w:spacing w:after="0" w:line="308" w:lineRule="auto"/>
        <w:rPr>
          <w:sz w:val="20"/>
          <w:szCs w:val="20"/>
          <w:color w:val="auto"/>
        </w:rPr>
      </w:pPr>
      <w:r>
        <w:rPr>
          <w:rFonts w:ascii="Arial" w:cs="Arial" w:eastAsia="Arial" w:hAnsi="Arial"/>
          <w:sz w:val="17"/>
          <w:szCs w:val="17"/>
          <w:color w:val="auto"/>
        </w:rPr>
        <w:t>The foregoing persons are hereinafter sometimes collectively referred to as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Any disclosures herein with respect to persons other than the Reporting Persons are made on information and belief after making inquiry to the appropriate party.</w:t>
      </w:r>
    </w:p>
    <w:p>
      <w:pPr>
        <w:spacing w:after="0" w:line="147"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The filing of this statement should not be construed as an admission that any Reporting Person is the beneficial owner of the securities reported herein.</w:t>
      </w:r>
    </w:p>
    <w:p>
      <w:pPr>
        <w:spacing w:after="0" w:line="170" w:lineRule="exact"/>
        <w:rPr>
          <w:sz w:val="20"/>
          <w:szCs w:val="20"/>
          <w:color w:val="auto"/>
        </w:rPr>
      </w:pPr>
    </w:p>
    <w:p>
      <w:pPr>
        <w:ind w:left="980" w:right="160" w:hanging="97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principal business address of the Reporting Persons and PIH is c/o Priority Technology Holdings, Inc., 2001 Westside Parkway, Suite 155, Alpharetta, GA 30004.</w:t>
      </w:r>
    </w:p>
    <w:p>
      <w:pPr>
        <w:spacing w:after="0" w:line="170" w:lineRule="exact"/>
        <w:rPr>
          <w:rFonts w:ascii="Arial" w:cs="Arial" w:eastAsia="Arial" w:hAnsi="Arial"/>
          <w:sz w:val="18"/>
          <w:szCs w:val="18"/>
          <w:color w:val="auto"/>
        </w:rPr>
      </w:pPr>
    </w:p>
    <w:p>
      <w:pPr>
        <w:ind w:left="980" w:right="440" w:hanging="972"/>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principal business of PIEH is to hold shares of Common Stock reflecting equity incentive awards that have been granted to certain employees and former employees of the Issuer and its predecessor. Mr. Priore serves as the sole managing member of PIEH. The principal business of PIH is to serve as the manager of PIEH.</w:t>
      </w:r>
    </w:p>
    <w:p>
      <w:pPr>
        <w:spacing w:after="0" w:line="181" w:lineRule="exact"/>
        <w:rPr>
          <w:rFonts w:ascii="Arial" w:cs="Arial" w:eastAsia="Arial" w:hAnsi="Arial"/>
          <w:sz w:val="18"/>
          <w:szCs w:val="18"/>
          <w:color w:val="auto"/>
        </w:rPr>
      </w:pPr>
    </w:p>
    <w:p>
      <w:pPr>
        <w:ind w:left="980" w:right="220" w:hanging="97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Reporting Persons nor PIH has, during the last five years, been convicted in a criminal proceeding (excluding traffic violations or similar misdemeanors).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24"/>
        </w:trPr>
        <w:tc>
          <w:tcPr>
            <w:tcW w:w="39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 74275G 107</w:t>
            </w:r>
          </w:p>
        </w:tc>
        <w:tc>
          <w:tcPr>
            <w:tcW w:w="374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Page 6 of 9 Pages</w:t>
            </w:r>
          </w:p>
        </w:tc>
      </w:tr>
      <w:tr>
        <w:trPr>
          <w:trHeight w:val="48"/>
        </w:trPr>
        <w:tc>
          <w:tcPr>
            <w:tcW w:w="392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ind w:left="980" w:right="40" w:hanging="972"/>
        <w:spacing w:after="0" w:line="286"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June 21, 2010, the SEC filed a civil lawsuit against ICP Asset Management (“ICP”) and Mr. Priore in his role as majority owner, President and Chief Investment Officer of ICP’s registered investment advisor. The SEC principally alleged that portfolio rebalancing trades executed by ICP at the height of the credit crisis, in connection with its management of the assets of four collateralized debt obligation vehicles (the Triaxx “CDOs”), violated certain fiduciary duties and obligations under the CDOs’ trust indentures. The SEC contended that certain trades executed by ICP at purchase prices between the CDO trusts, should have been executed at then prevailing market prices and on an arms’ length basis, and, by failing to do so, ICP caused the CDOs to overpay for securities in violation of its fiduciary duty. The SEC further alleged that the nature of certain trades were mischaracterized to investors and executed without requisite approvals from the CDOs’ trustee. On August 14, 2012 Mr. Priore and ICP agreed to a civil settlement with regulators without admitting or denying the allegations, consenting to the entry of a civil order by the SEC. On March 11, 2015 the administrative settlement was entered pertaining to the SEC Order that barred Mr. Priore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Mr. Priore’s involvement with Priority, or his service as Executive Chairman of the Issuer subsequent to the Business Combination.</w:t>
      </w:r>
    </w:p>
    <w:p>
      <w:pPr>
        <w:spacing w:after="0" w:line="174" w:lineRule="exact"/>
        <w:rPr>
          <w:rFonts w:ascii="Arial" w:cs="Arial" w:eastAsia="Arial" w:hAnsi="Arial"/>
          <w:sz w:val="16"/>
          <w:szCs w:val="16"/>
          <w:color w:val="auto"/>
        </w:rPr>
      </w:pPr>
    </w:p>
    <w:p>
      <w:pPr>
        <w:ind w:left="980" w:right="120"/>
        <w:spacing w:after="0" w:line="286" w:lineRule="auto"/>
        <w:rPr>
          <w:rFonts w:ascii="Arial" w:cs="Arial" w:eastAsia="Arial" w:hAnsi="Arial"/>
          <w:sz w:val="16"/>
          <w:szCs w:val="16"/>
          <w:color w:val="auto"/>
        </w:rPr>
      </w:pPr>
      <w:r>
        <w:rPr>
          <w:rFonts w:ascii="Arial" w:cs="Arial" w:eastAsia="Arial" w:hAnsi="Arial"/>
          <w:sz w:val="17"/>
          <w:szCs w:val="17"/>
          <w:color w:val="auto"/>
        </w:rPr>
        <w:t>None of PIEH, PIH or the GRAT,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6"/>
          <w:szCs w:val="16"/>
          <w:color w:val="auto"/>
        </w:rPr>
      </w:pPr>
    </w:p>
    <w:p>
      <w:pPr>
        <w:ind w:left="980" w:right="200" w:hanging="97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PIEH is a Delaware limited liability company. PIH is a Delaware limited liability company. The trustee of the GRAT and Mr. Priore’s spouse, Lori Priore, is a citizen of the United States. Mr. Priore is a citizen of the United States.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Amounts of Funds or Other Consideration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Item 3 of the Schedule 13D is hereby amended and supplemented by the addition of the following:</w:t>
      </w:r>
    </w:p>
    <w:p>
      <w:pPr>
        <w:spacing w:after="0" w:line="225"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On November 15, 2019, Mr. Priore contributed 2,500,000 shares of Common Stock to Lori A. Priore, Mr. Priore’s spouse, and Bertrand H. Smyers, in their capacity as trustees of the Thomas C. Priore Irrevocable Insurance Trust u/a/d 1/8/2010, for the benefit of his spouse and his children. On November 15, 2019, Mr. Priore also contributed 10,000,000 shares of Common Stock to Lori A. Priore, in her capacity as trustee of the GRAT, for the benefit of his spouse and his children.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24"/>
        </w:trPr>
        <w:tc>
          <w:tcPr>
            <w:tcW w:w="3920" w:type="dxa"/>
            <w:vAlign w:val="bottom"/>
            <w:tcBorders>
              <w:top w:val="single" w:sz="8" w:color="auto"/>
              <w:left w:val="single" w:sz="8" w:color="auto"/>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CUSIP No. 74275G 107</w:t>
            </w:r>
          </w:p>
        </w:tc>
        <w:tc>
          <w:tcPr>
            <w:tcW w:w="374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Page 7 of 9 Pages</w:t>
            </w:r>
          </w:p>
        </w:tc>
      </w:tr>
      <w:tr>
        <w:trPr>
          <w:trHeight w:val="48"/>
        </w:trPr>
        <w:tc>
          <w:tcPr>
            <w:tcW w:w="760" w:type="dxa"/>
            <w:vAlign w:val="bottom"/>
            <w:tcBorders>
              <w:left w:val="single" w:sz="8" w:color="auto"/>
              <w:bottom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160" w:type="dxa"/>
            <w:vAlign w:val="bottom"/>
          </w:tcPr>
          <w:p>
            <w:pPr>
              <w:ind w:left="220"/>
              <w:spacing w:after="0"/>
              <w:rPr>
                <w:sz w:val="20"/>
                <w:szCs w:val="20"/>
                <w:color w:val="auto"/>
              </w:rPr>
            </w:pPr>
            <w:r>
              <w:rPr>
                <w:rFonts w:ascii="Arial" w:cs="Arial" w:eastAsia="Arial" w:hAnsi="Arial"/>
                <w:sz w:val="18"/>
                <w:szCs w:val="18"/>
                <w:b w:val="1"/>
                <w:bCs w:val="1"/>
                <w:color w:val="auto"/>
              </w:rPr>
              <w:t>Interest in Securities of the Issuer</w:t>
            </w:r>
          </w:p>
        </w:tc>
        <w:tc>
          <w:tcPr>
            <w:tcW w:w="374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Item 5 of the Schedule 13D is hereby amended and restated as follows:</w:t>
      </w:r>
    </w:p>
    <w:p>
      <w:pPr>
        <w:spacing w:after="0" w:line="225" w:lineRule="exact"/>
        <w:rPr>
          <w:sz w:val="20"/>
          <w:szCs w:val="20"/>
          <w:color w:val="auto"/>
        </w:rPr>
      </w:pPr>
    </w:p>
    <w:p>
      <w:pPr>
        <w:ind w:left="980" w:right="260" w:hanging="972"/>
        <w:spacing w:after="0" w:line="279" w:lineRule="auto"/>
        <w:tabs>
          <w:tab w:leader="none" w:pos="98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See rows (11) and (13) of the cover pages to this Amendment No. 2 for the aggregate number of shares of Common Stock and percentages of the Common Stock beneficially owned by the Reporting Persons. The percentages used in this Amendment No. 2 are calculated based upon 67,007,172 shares of Common Stock reported to be outstanding as of November 8, 2019, as described in the Company’s Quarterly Report on Form 10-Q filed with the Securities and Exchange Commission on November 14, 2019.</w:t>
      </w:r>
    </w:p>
    <w:p>
      <w:pPr>
        <w:spacing w:after="0" w:line="171" w:lineRule="exact"/>
        <w:rPr>
          <w:rFonts w:ascii="Arial" w:cs="Arial" w:eastAsia="Arial" w:hAnsi="Arial"/>
          <w:sz w:val="17"/>
          <w:szCs w:val="17"/>
          <w:b w:val="1"/>
          <w:bCs w:val="1"/>
          <w:color w:val="auto"/>
        </w:rPr>
      </w:pPr>
    </w:p>
    <w:p>
      <w:pPr>
        <w:ind w:left="980" w:right="280" w:hanging="972"/>
        <w:spacing w:after="0" w:line="342" w:lineRule="auto"/>
        <w:tabs>
          <w:tab w:leader="none" w:pos="9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See rows (7) through (10) of the cover pages to this Amendment No. 2 for the number of shares of Common Stock as to which the Reporting Persons have the sole or shared power to vote or direct the vote and sole or shared power to dispose or to direct the disposition.</w:t>
      </w:r>
    </w:p>
    <w:p>
      <w:pPr>
        <w:spacing w:after="0" w:line="123" w:lineRule="exact"/>
        <w:rPr>
          <w:rFonts w:ascii="Arial" w:cs="Arial" w:eastAsia="Arial" w:hAnsi="Arial"/>
          <w:sz w:val="16"/>
          <w:szCs w:val="16"/>
          <w:b w:val="1"/>
          <w:bCs w:val="1"/>
          <w:color w:val="auto"/>
        </w:rPr>
      </w:pPr>
    </w:p>
    <w:p>
      <w:pPr>
        <w:ind w:left="980" w:hanging="972"/>
        <w:spacing w:after="0"/>
        <w:tabs>
          <w:tab w:leader="none" w:pos="9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Except as described in Items 3 and 4, the Reporting Persons have not effected any transaction in the Common Stock within the past sixty days.</w:t>
      </w:r>
    </w:p>
    <w:p>
      <w:pPr>
        <w:spacing w:after="0" w:line="248" w:lineRule="exact"/>
        <w:rPr>
          <w:rFonts w:ascii="Arial" w:cs="Arial" w:eastAsia="Arial" w:hAnsi="Arial"/>
          <w:sz w:val="16"/>
          <w:szCs w:val="16"/>
          <w:b w:val="1"/>
          <w:bCs w:val="1"/>
          <w:color w:val="auto"/>
        </w:rPr>
      </w:pPr>
    </w:p>
    <w:p>
      <w:pPr>
        <w:ind w:left="980" w:right="100" w:hanging="972"/>
        <w:spacing w:after="0" w:line="277" w:lineRule="auto"/>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Certain employees and former employees of the Issuer and its predecessors have the power to direct the receipt of dividends from, and the right to receive proceeds, from the sale of the shares of Common Stock held by PIEH.</w:t>
      </w:r>
    </w:p>
    <w:p>
      <w:pPr>
        <w:spacing w:after="0" w:line="170" w:lineRule="exact"/>
        <w:rPr>
          <w:rFonts w:ascii="Arial" w:cs="Arial" w:eastAsia="Arial" w:hAnsi="Arial"/>
          <w:sz w:val="18"/>
          <w:szCs w:val="18"/>
          <w:b w:val="1"/>
          <w:bCs w:val="1"/>
          <w:color w:val="auto"/>
        </w:rPr>
      </w:pPr>
    </w:p>
    <w:p>
      <w:pPr>
        <w:ind w:left="980" w:hanging="972"/>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Item 7 of the Schedule 13D is hereby amended and supplemented by the addition of the following:</w:t>
      </w:r>
    </w:p>
    <w:p>
      <w:pPr>
        <w:spacing w:after="0" w:line="225" w:lineRule="exact"/>
        <w:rPr>
          <w:sz w:val="20"/>
          <w:szCs w:val="20"/>
          <w:color w:val="auto"/>
        </w:rPr>
      </w:pPr>
    </w:p>
    <w:p>
      <w:pPr>
        <w:ind w:left="980"/>
        <w:spacing w:after="0"/>
        <w:tabs>
          <w:tab w:leader="none" w:pos="1940" w:val="left"/>
        </w:tabs>
        <w:rPr>
          <w:rFonts w:ascii="Arial" w:cs="Arial" w:eastAsia="Arial" w:hAnsi="Arial"/>
          <w:sz w:val="16"/>
          <w:szCs w:val="16"/>
          <w:u w:val="single" w:color="auto"/>
          <w:color w:val="0000EE"/>
        </w:rPr>
      </w:pPr>
      <w:r>
        <w:rPr>
          <w:rFonts w:ascii="Arial" w:cs="Arial" w:eastAsia="Arial" w:hAnsi="Arial"/>
          <w:sz w:val="18"/>
          <w:szCs w:val="18"/>
          <w:color w:val="auto"/>
        </w:rPr>
        <w:t>Exhibit 6</w:t>
      </w:r>
      <w:r>
        <w:rPr>
          <w:sz w:val="20"/>
          <w:szCs w:val="20"/>
          <w:color w:val="auto"/>
        </w:rPr>
        <w:tab/>
      </w:r>
      <w:hyperlink w:anchor="page9">
        <w:r>
          <w:rPr>
            <w:rFonts w:ascii="Arial" w:cs="Arial" w:eastAsia="Arial" w:hAnsi="Arial"/>
            <w:sz w:val="16"/>
            <w:szCs w:val="16"/>
            <w:u w:val="single" w:color="auto"/>
            <w:color w:val="0000EE"/>
          </w:rPr>
          <w:t>Joint Filing Agreement Statement as required by Rule 13d-1(k)(1) under the Act.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324"/>
        </w:trPr>
        <w:tc>
          <w:tcPr>
            <w:tcW w:w="39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 74275G 107</w:t>
            </w:r>
          </w:p>
        </w:tc>
        <w:tc>
          <w:tcPr>
            <w:tcW w:w="374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Page 8 of 9 Pages</w:t>
            </w:r>
          </w:p>
        </w:tc>
      </w:tr>
      <w:tr>
        <w:trPr>
          <w:trHeight w:val="48"/>
        </w:trPr>
        <w:tc>
          <w:tcPr>
            <w:tcW w:w="392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After reasonable inquiry and to the best of its or his knowledge and belief, each of the undersigned certifies that the information set forth in this Amendment No. 2 to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2019</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PRIORITY INCENTIVE EQUITY HOLDINGS,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Priority Investment Holdings LLC, its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Thomas C. Priore</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THOMAS C. PRIORE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LORI PRIORE, AS TRUSTEE FOR THE THOMAS</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PRIORE 2019 GRAT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Lori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324"/>
        </w:trPr>
        <w:tc>
          <w:tcPr>
            <w:tcW w:w="39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 74275G 107</w:t>
            </w:r>
          </w:p>
        </w:tc>
        <w:tc>
          <w:tcPr>
            <w:tcW w:w="374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Page 9 of 9 Pages</w:t>
            </w:r>
          </w:p>
        </w:tc>
      </w:tr>
      <w:tr>
        <w:trPr>
          <w:trHeight w:val="48"/>
        </w:trPr>
        <w:tc>
          <w:tcPr>
            <w:tcW w:w="392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6</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JOINT FILING AGREEMENT</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PURSUANT TO RULE 13d-1(k)</w:t>
      </w:r>
    </w:p>
    <w:p>
      <w:pPr>
        <w:spacing w:after="0" w:line="211"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2019</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PRIORITY INCENTIVE EQUITY HOLDINGS,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Priority Investment Holdings LLC, its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Thomas C. Priore</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THOMAS C. PRIORE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LORI PRIORE, AS TRUSTEE FOR THE THOMAS</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PRIORE 2019 GRAT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Lori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800"/>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lvl w:ilvl="1">
      <w:lvlJc w:val="left"/>
      <w:lvlText w:val="(%2)"/>
      <w:numFmt w:val="lowerRoman"/>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2019-11-28T03:03:53Z</dcterms:created>
  <dcterms:modified xsi:type="dcterms:W3CDTF">2019-11-28T03:03:53Z</dcterms:modified>
</cp:coreProperties>
</file>