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7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left="37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left="37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Current Report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41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June 15, 2018</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0" w:type="dxa"/>
            <w:vAlign w:val="bottom"/>
          </w:tcPr>
          <w:p>
            <w:pPr>
              <w:spacing w:after="0"/>
              <w:rPr>
                <w:sz w:val="1"/>
                <w:szCs w:val="1"/>
                <w:color w:val="auto"/>
              </w:rPr>
            </w:pPr>
          </w:p>
        </w:tc>
      </w:tr>
      <w:tr>
        <w:trPr>
          <w:trHeight w:val="39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M I Acquisitions, Inc.</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Pr>
          <w:p>
            <w:pPr>
              <w:spacing w:after="0"/>
              <w:rPr>
                <w:sz w:val="20"/>
                <w:szCs w:val="20"/>
                <w:color w:val="auto"/>
              </w:rPr>
            </w:pPr>
          </w:p>
        </w:tc>
        <w:tc>
          <w:tcPr>
            <w:tcW w:w="400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446"/>
        </w:trPr>
        <w:tc>
          <w:tcPr>
            <w:tcW w:w="35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3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47-4257046</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wp:posOffset>
            </wp:positionH>
            <wp:positionV relativeFrom="paragraph">
              <wp:posOffset>-127635</wp:posOffset>
            </wp:positionV>
            <wp:extent cx="22555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45" w:lineRule="exact"/>
        <w:rPr>
          <w:sz w:val="24"/>
          <w:szCs w:val="24"/>
          <w:color w:val="auto"/>
        </w:rPr>
      </w:pPr>
    </w:p>
    <w:p>
      <w:pPr>
        <w:sectPr>
          <w:pgSz w:w="11900" w:h="16838" w:orient="portrait"/>
          <w:cols w:equalWidth="0" w:num="2">
            <w:col w:w="7660" w:space="560"/>
            <w:col w:w="3120"/>
          </w:cols>
          <w:pgMar w:left="240" w:top="225" w:right="319" w:bottom="1440" w:gutter="0" w:footer="0" w:header="0"/>
        </w:sectPr>
      </w:pPr>
    </w:p>
    <w:p>
      <w:pPr>
        <w:spacing w:after="0" w:line="83"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808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c/o Magna Management LLC</w:t>
            </w:r>
          </w:p>
        </w:tc>
        <w:tc>
          <w:tcPr>
            <w:tcW w:w="3140" w:type="dxa"/>
            <w:vAlign w:val="bottom"/>
          </w:tcPr>
          <w:p>
            <w:pPr>
              <w:spacing w:after="0"/>
              <w:rPr>
                <w:sz w:val="18"/>
                <w:szCs w:val="18"/>
                <w:color w:val="auto"/>
              </w:rPr>
            </w:pPr>
          </w:p>
        </w:tc>
      </w:tr>
      <w:tr>
        <w:trPr>
          <w:trHeight w:val="216"/>
        </w:trPr>
        <w:tc>
          <w:tcPr>
            <w:tcW w:w="808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40 Wall Street, 58th Floor</w:t>
            </w:r>
          </w:p>
        </w:tc>
        <w:tc>
          <w:tcPr>
            <w:tcW w:w="3140" w:type="dxa"/>
            <w:vAlign w:val="bottom"/>
          </w:tcPr>
          <w:p>
            <w:pPr>
              <w:spacing w:after="0"/>
              <w:rPr>
                <w:sz w:val="18"/>
                <w:szCs w:val="18"/>
                <w:color w:val="auto"/>
              </w:rPr>
            </w:pPr>
          </w:p>
        </w:tc>
      </w:tr>
      <w:tr>
        <w:trPr>
          <w:trHeight w:val="238"/>
        </w:trPr>
        <w:tc>
          <w:tcPr>
            <w:tcW w:w="808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1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10005</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22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808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(347) 491-4240</w:t>
            </w:r>
          </w:p>
        </w:tc>
        <w:tc>
          <w:tcPr>
            <w:tcW w:w="3140" w:type="dxa"/>
            <w:vAlign w:val="bottom"/>
          </w:tcPr>
          <w:p>
            <w:pPr>
              <w:spacing w:after="0"/>
              <w:rPr>
                <w:sz w:val="24"/>
                <w:szCs w:val="24"/>
                <w:color w:val="auto"/>
              </w:rPr>
            </w:pPr>
          </w:p>
        </w:tc>
      </w:tr>
      <w:tr>
        <w:trPr>
          <w:trHeight w:val="414"/>
        </w:trPr>
        <w:tc>
          <w:tcPr>
            <w:tcW w:w="808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color w:val="auto"/>
                <w:w w:val="96"/>
              </w:rPr>
              <w:t>N/A</w:t>
            </w:r>
          </w:p>
        </w:tc>
        <w:tc>
          <w:tcPr>
            <w:tcW w:w="3140" w:type="dxa"/>
            <w:vAlign w:val="bottom"/>
          </w:tcPr>
          <w:p>
            <w:pPr>
              <w:spacing w:after="0"/>
              <w:rPr>
                <w:sz w:val="24"/>
                <w:szCs w:val="24"/>
                <w:color w:val="auto"/>
              </w:rPr>
            </w:pPr>
          </w:p>
        </w:tc>
      </w:tr>
      <w:tr>
        <w:trPr>
          <w:trHeight w:val="216"/>
        </w:trPr>
        <w:tc>
          <w:tcPr>
            <w:tcW w:w="808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color w:val="auto"/>
                <w:w w:val="99"/>
              </w:rPr>
              <w:t>___________________________</w:t>
            </w:r>
          </w:p>
        </w:tc>
        <w:tc>
          <w:tcPr>
            <w:tcW w:w="3140" w:type="dxa"/>
            <w:vAlign w:val="bottom"/>
          </w:tcPr>
          <w:p>
            <w:pPr>
              <w:spacing w:after="0"/>
              <w:rPr>
                <w:sz w:val="18"/>
                <w:szCs w:val="18"/>
                <w:color w:val="auto"/>
              </w:rPr>
            </w:pPr>
          </w:p>
        </w:tc>
      </w:tr>
      <w:tr>
        <w:trPr>
          <w:trHeight w:val="234"/>
        </w:trPr>
        <w:tc>
          <w:tcPr>
            <w:tcW w:w="808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140" w:type="dxa"/>
            <w:vAlign w:val="bottom"/>
          </w:tcPr>
          <w:p>
            <w:pPr>
              <w:spacing w:after="0"/>
              <w:rPr>
                <w:sz w:val="20"/>
                <w:szCs w:val="20"/>
                <w:color w:val="auto"/>
              </w:rPr>
            </w:pPr>
          </w:p>
        </w:tc>
      </w:tr>
    </w:tbl>
    <w:p>
      <w:pPr>
        <w:spacing w:after="0" w:line="198" w:lineRule="exact"/>
        <w:rPr>
          <w:sz w:val="24"/>
          <w:szCs w:val="24"/>
          <w:color w:val="auto"/>
        </w:rPr>
      </w:pPr>
    </w:p>
    <w:p>
      <w:pPr>
        <w:jc w:val="both"/>
        <w:ind w:firstLine="45"/>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185"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type w:val="continuous"/>
        </w:sectPr>
      </w:pPr>
    </w:p>
    <w:bookmarkStart w:id="1" w:name="page2"/>
    <w:bookmarkEnd w:id="1"/>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Priority Holdings, LLC (“Priority”),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are included in the Preliminary Proxy Statement (as defined below). These documents can be obtained free of charge from the sources indicated above.</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In connection with the proposed transaction between Priority and M I, M I filed a preliminary proxy statement on Schedule 14A (the “Preliminary Proxy Statement”) with the Securities and Exchange Commission (the “SEC”) on May 25, 2018, which includes information relating to the transaction between Priority and M I.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Preliminary Proxy Statement, the definitive proxy statement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Priority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9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A further list and description of risks and uncertainties can be found in M I’s Annual Report on Form 10-K for the fiscal year ending December 31, 2017 that M I filed with the SEC and in the Preliminary Proxy Statement,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Subsequent to the approval by its stockholders of the Amendment to the Investment Management Trust Agreement dated September 13, 2016 between it and American Stock Transfer &amp; Trust Company (“American”) at the Annual Meeting (as defined below in Item 5.07) (the “Trust Amendment”), on June 15, 2018, M I Acquisitions, Inc. (“M I” or the “Company”) entered into the Trust Amendment with American. The Trust Amendment extends the time by which M I has to consummate a business combination (the “extension”) for an additional 90 days, from June 19, 2018 to September 17, 2018 (the “Extended Termination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Subsequent to the approval by its stockholders of the Amendment to M I’s Certificate of Incorporation (as defined below in Item 5.07) (the “Charter Amendment”), on June 15, 2018, M I filed the Charter Amendment with the Delaware Secretary of State. The Charter Amendment extends the time by which M I has to consummate a business combination from June 19, 2018 to the Extended Termination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Submissions of Matters to a Vote of Security Holders.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 I held its Annual Meeting of Stockholders (the “Annual Meeting”) on June 15, 2018 at 10:00 a.m. local time at the offices of Loeb &amp; Loeb LLP, 345 Park Avenue, New York, NY 10154. Summarized below are the results of the matters voted on at the Annual Meeting.</w:t>
      </w:r>
    </w:p>
    <w:tbl>
      <w:tblPr>
        <w:tblLayout w:type="fixed"/>
        <w:tblInd w:w="0" w:type="dxa"/>
        <w:tblCellMar>
          <w:top w:w="0" w:type="dxa"/>
          <w:left w:w="0" w:type="dxa"/>
          <w:bottom w:w="0" w:type="dxa"/>
          <w:right w:w="0" w:type="dxa"/>
        </w:tblCellMar>
      </w:tblPr>
      <w:tr>
        <w:trPr>
          <w:trHeight w:val="194"/>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100"/>
              <w:spacing w:after="0" w:line="195" w:lineRule="exact"/>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Matters Voted On</w:t>
            </w:r>
          </w:p>
        </w:tc>
        <w:tc>
          <w:tcPr>
            <w:tcW w:w="120" w:type="dxa"/>
            <w:vAlign w:val="bottom"/>
          </w:tcPr>
          <w:p>
            <w:pPr>
              <w:spacing w:after="0"/>
              <w:rPr>
                <w:sz w:val="21"/>
                <w:szCs w:val="21"/>
                <w:color w:val="auto"/>
              </w:rPr>
            </w:pP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198"/>
        </w:trPr>
        <w:tc>
          <w:tcPr>
            <w:tcW w:w="5500" w:type="dxa"/>
            <w:vAlign w:val="bottom"/>
            <w:tcBorders>
              <w:top w:val="single" w:sz="8" w:color="auto"/>
            </w:tcBorders>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Election of one Class I director to serve until the 2020 Annual Meeting</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Stockholders of the Company and two Class II directors to serve until</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2021 Annual Meeting of Stockholders of the Company and until his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 her successor has been duly elected and qualified or until his or her</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earlier resignation, removal or death:</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Joshua Sason (Class I)</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5,653,418</w:t>
            </w: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908,500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387,934</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 Manuel (Class II)</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5,653,418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387,934</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Samuel Holdsworth (Class II)</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5,653,418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387,934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198"/>
        </w:trPr>
        <w:tc>
          <w:tcPr>
            <w:tcW w:w="180" w:type="dxa"/>
            <w:vAlign w:val="bottom"/>
          </w:tcPr>
          <w:p>
            <w:pPr>
              <w:spacing w:after="0"/>
              <w:rPr>
                <w:sz w:val="17"/>
                <w:szCs w:val="17"/>
                <w:color w:val="auto"/>
              </w:rPr>
            </w:pPr>
          </w:p>
        </w:tc>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Matters Voted On</w:t>
            </w:r>
          </w:p>
        </w:tc>
        <w:tc>
          <w:tcPr>
            <w:tcW w:w="4660" w:type="dxa"/>
            <w:vAlign w:val="bottom"/>
          </w:tcPr>
          <w:p>
            <w:pPr>
              <w:spacing w:after="0"/>
              <w:rPr>
                <w:sz w:val="17"/>
                <w:szCs w:val="17"/>
                <w:color w:val="auto"/>
              </w:rPr>
            </w:pPr>
          </w:p>
        </w:tc>
        <w:tc>
          <w:tcPr>
            <w:tcW w:w="1060" w:type="dxa"/>
            <w:vAlign w:val="bottom"/>
            <w:gridSpan w:val="2"/>
          </w:tcPr>
          <w:p>
            <w:pPr>
              <w:jc w:val="right"/>
              <w:ind w:right="780"/>
              <w:spacing w:after="0" w:line="198" w:lineRule="exact"/>
              <w:rPr>
                <w:sz w:val="20"/>
                <w:szCs w:val="20"/>
                <w:color w:val="auto"/>
              </w:rPr>
            </w:pPr>
            <w:r>
              <w:rPr>
                <w:rFonts w:ascii="Times New Roman" w:cs="Times New Roman" w:eastAsia="Times New Roman" w:hAnsi="Times New Roman"/>
                <w:sz w:val="18"/>
                <w:szCs w:val="18"/>
                <w:b w:val="1"/>
                <w:bCs w:val="1"/>
                <w:color w:val="auto"/>
                <w:w w:val="92"/>
              </w:rPr>
              <w:t>For</w:t>
            </w:r>
          </w:p>
        </w:tc>
        <w:tc>
          <w:tcPr>
            <w:tcW w:w="1380" w:type="dxa"/>
            <w:vAlign w:val="bottom"/>
            <w:gridSpan w:val="3"/>
          </w:tcPr>
          <w:p>
            <w:pPr>
              <w:jc w:val="right"/>
              <w:ind w:right="480"/>
              <w:spacing w:after="0" w:line="198" w:lineRule="exact"/>
              <w:rPr>
                <w:sz w:val="20"/>
                <w:szCs w:val="20"/>
                <w:color w:val="auto"/>
              </w:rPr>
            </w:pPr>
            <w:r>
              <w:rPr>
                <w:rFonts w:ascii="Times New Roman" w:cs="Times New Roman" w:eastAsia="Times New Roman" w:hAnsi="Times New Roman"/>
                <w:sz w:val="18"/>
                <w:szCs w:val="18"/>
                <w:b w:val="1"/>
                <w:bCs w:val="1"/>
                <w:color w:val="auto"/>
              </w:rPr>
              <w:t>Against</w:t>
            </w:r>
          </w:p>
        </w:tc>
        <w:tc>
          <w:tcPr>
            <w:tcW w:w="1660" w:type="dxa"/>
            <w:vAlign w:val="bottom"/>
            <w:gridSpan w:val="3"/>
          </w:tcPr>
          <w:p>
            <w:pPr>
              <w:jc w:val="right"/>
              <w:ind w:right="780"/>
              <w:spacing w:after="0" w:line="198" w:lineRule="exact"/>
              <w:rPr>
                <w:sz w:val="20"/>
                <w:szCs w:val="20"/>
                <w:color w:val="auto"/>
              </w:rPr>
            </w:pPr>
            <w:r>
              <w:rPr>
                <w:rFonts w:ascii="Times New Roman" w:cs="Times New Roman" w:eastAsia="Times New Roman" w:hAnsi="Times New Roman"/>
                <w:sz w:val="18"/>
                <w:szCs w:val="18"/>
                <w:b w:val="1"/>
                <w:bCs w:val="1"/>
                <w:color w:val="auto"/>
              </w:rPr>
              <w:t>Abstain</w:t>
            </w:r>
          </w:p>
        </w:tc>
        <w:tc>
          <w:tcPr>
            <w:tcW w:w="110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20"/>
        </w:trPr>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to amend the Company’s amended and restated certificate of</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 to extend the date by which the Company has to complete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business combination for an additional 90 days, from June 19, 2018 to</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Extended Termination Date.</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6,432,818</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90,000</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39,100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387,934</w:t>
            </w:r>
          </w:p>
        </w:tc>
      </w:tr>
      <w:tr>
        <w:trPr>
          <w:trHeight w:val="414"/>
        </w:trPr>
        <w:tc>
          <w:tcPr>
            <w:tcW w:w="18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to amend the Company’s investment management trust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dated as of September 13, 2016, by and between the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and American Stock Transfer &amp; Trust Company, to extend the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on which to commence liquidating the trust account established in</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 the Company’s initial public offering in the event the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has not consummated a business combination by the Extended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6,432,818</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90,000</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39,100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387,934</w:t>
            </w:r>
          </w:p>
        </w:tc>
      </w:tr>
      <w:tr>
        <w:trPr>
          <w:trHeight w:val="414"/>
        </w:trPr>
        <w:tc>
          <w:tcPr>
            <w:tcW w:w="18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Ratify the appointment of Marcum LLP as the Company’s independent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December 31,</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46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6,905,752</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2,500</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41,600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ind w:right="80"/>
        <w:spacing w:after="0" w:line="266" w:lineRule="auto"/>
        <w:rPr>
          <w:sz w:val="20"/>
          <w:szCs w:val="20"/>
          <w:color w:val="auto"/>
        </w:rPr>
      </w:pPr>
      <w:r>
        <w:rPr>
          <w:rFonts w:ascii="Times New Roman" w:cs="Times New Roman" w:eastAsia="Times New Roman" w:hAnsi="Times New Roman"/>
          <w:sz w:val="18"/>
          <w:szCs w:val="18"/>
          <w:color w:val="auto"/>
        </w:rPr>
        <w:t>As a result of the voting at the Annual Meeting, each of the nominees for director named above was elected and each of the proposals described above was approved by the Company’s stockholders. Prior to the Annual Meeting, holders of 377,231 shares of the Company’s common stock redeemed their shares for cash, resulting in a trust account balance of $51,829,390.86.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June 19, 2018, the Company issued a press release announcing the results of the Annual Meeting. A copy of the press release is filed as Exhibit 99.1 hereto.</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previously disclosed on the Company’s Current Report on Form 8-K filed on January 8, 2018, the Company received a letter from the Nasdaq Stock Market LLC (“Nasdaq”), dated January 3, 2018, which stated that the Company no longer complied with Nasdaq’s continued listing rules due to the Company not having held an annual meeting within 12 months of the Company’s fiscal year end, as required pursuant to Listing Rules 5620 (the “Rules”). On June 19, 2018, the Company received a notice from Nasdaq stating that as a result of the Annual Meeting, the Company is now in compliance with the Rules.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180" w:hanging="605"/>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4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700" w:type="dxa"/>
            <w:vAlign w:val="bottom"/>
            <w:gridSpan w:val="5"/>
          </w:tcPr>
          <w:p>
            <w:pPr>
              <w:spacing w:after="0"/>
              <w:rPr>
                <w:sz w:val="17"/>
                <w:szCs w:val="17"/>
                <w:color w:val="auto"/>
              </w:rPr>
            </w:pPr>
          </w:p>
        </w:tc>
      </w:tr>
      <w:tr>
        <w:trPr>
          <w:trHeight w:val="412"/>
        </w:trPr>
        <w:tc>
          <w:tcPr>
            <w:tcW w:w="800" w:type="dxa"/>
            <w:vAlign w:val="bottom"/>
            <w:gridSpan w:val="2"/>
          </w:tcPr>
          <w:p>
            <w:pPr>
              <w:ind w:left="580"/>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40" w:type="dxa"/>
            <w:vAlign w:val="bottom"/>
            <w:gridSpan w:val="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Amendment to the Amended and Restated Certificate of Incorporation of M I Acquisitions, Inc., dated June 15, 2018</w:t>
              </w:r>
            </w:hyperlink>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20" w:type="dxa"/>
            <w:vAlign w:val="bottom"/>
            <w:gridSpan w:val="4"/>
          </w:tcPr>
          <w:p>
            <w:pPr>
              <w:ind w:left="58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60" w:type="dxa"/>
            <w:vAlign w:val="bottom"/>
          </w:tcPr>
          <w:p>
            <w:pPr>
              <w:spacing w:after="0"/>
              <w:rPr>
                <w:sz w:val="24"/>
                <w:szCs w:val="24"/>
                <w:color w:val="auto"/>
              </w:rPr>
            </w:pPr>
          </w:p>
        </w:tc>
        <w:tc>
          <w:tcPr>
            <w:tcW w:w="9540" w:type="dxa"/>
            <w:vAlign w:val="bottom"/>
            <w:gridSpan w:val="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Amendment to the Investment Management Trust Agreement between M I Acquisitions, Inc., and American Stock Transfer &amp; Trust</w:t>
              </w:r>
            </w:hyperlink>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Company, dated June 15, 2018</w:t>
              </w:r>
            </w:hyperlink>
          </w:p>
        </w:tc>
        <w:tc>
          <w:tcPr>
            <w:tcW w:w="40" w:type="dxa"/>
            <w:vAlign w:val="bottom"/>
          </w:tcPr>
          <w:p>
            <w:pPr>
              <w:spacing w:after="0"/>
              <w:rPr>
                <w:sz w:val="17"/>
                <w:szCs w:val="17"/>
                <w:color w:val="auto"/>
              </w:rPr>
            </w:pPr>
          </w:p>
        </w:tc>
      </w:tr>
      <w:tr>
        <w:trPr>
          <w:trHeight w:val="20"/>
        </w:trPr>
        <w:tc>
          <w:tcPr>
            <w:tcW w:w="14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r>
      <w:tr>
        <w:trPr>
          <w:trHeight w:val="412"/>
        </w:trPr>
        <w:tc>
          <w:tcPr>
            <w:tcW w:w="1420" w:type="dxa"/>
            <w:vAlign w:val="bottom"/>
            <w:gridSpan w:val="4"/>
          </w:tcPr>
          <w:p>
            <w:pPr>
              <w:ind w:left="58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460" w:type="dxa"/>
            <w:vAlign w:val="bottom"/>
          </w:tcPr>
          <w:p>
            <w:pPr>
              <w:spacing w:after="0"/>
              <w:rPr>
                <w:sz w:val="24"/>
                <w:szCs w:val="24"/>
                <w:color w:val="auto"/>
              </w:rPr>
            </w:pPr>
          </w:p>
        </w:tc>
        <w:tc>
          <w:tcPr>
            <w:tcW w:w="9540" w:type="dxa"/>
            <w:vAlign w:val="bottom"/>
            <w:gridSpan w:val="6"/>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Press Release dated June 19, 2018</w:t>
              </w:r>
            </w:hyperlink>
          </w:p>
        </w:tc>
      </w:tr>
      <w:tr>
        <w:trPr>
          <w:trHeight w:val="271"/>
        </w:trPr>
        <w:tc>
          <w:tcPr>
            <w:tcW w:w="580" w:type="dxa"/>
            <w:vAlign w:val="bottom"/>
            <w:tcBorders>
              <w:bottom w:val="single" w:sz="8" w:color="auto"/>
            </w:tcBorders>
          </w:tcPr>
          <w:p>
            <w:pPr>
              <w:spacing w:after="0"/>
              <w:rPr>
                <w:sz w:val="23"/>
                <w:szCs w:val="23"/>
                <w:color w:val="auto"/>
              </w:rPr>
            </w:pPr>
          </w:p>
        </w:tc>
        <w:tc>
          <w:tcPr>
            <w:tcW w:w="220" w:type="dxa"/>
            <w:vAlign w:val="bottom"/>
            <w:tcBorders>
              <w:top w:val="single" w:sz="8" w:color="0000EE"/>
              <w:bottom w:val="single" w:sz="8" w:color="auto"/>
            </w:tcBorders>
          </w:tcPr>
          <w:p>
            <w:pPr>
              <w:spacing w:after="0"/>
              <w:rPr>
                <w:sz w:val="23"/>
                <w:szCs w:val="23"/>
                <w:color w:val="auto"/>
              </w:rPr>
            </w:pPr>
          </w:p>
        </w:tc>
        <w:tc>
          <w:tcPr>
            <w:tcW w:w="100" w:type="dxa"/>
            <w:vAlign w:val="bottom"/>
            <w:tcBorders>
              <w:top w:val="single" w:sz="8" w:color="0000EE"/>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40" w:type="dxa"/>
            <w:vAlign w:val="bottom"/>
            <w:tcBorders>
              <w:top w:val="single" w:sz="8" w:color="0000EE"/>
              <w:bottom w:val="single" w:sz="8" w:color="auto"/>
            </w:tcBorders>
          </w:tcPr>
          <w:p>
            <w:pPr>
              <w:spacing w:after="0"/>
              <w:rPr>
                <w:sz w:val="23"/>
                <w:szCs w:val="23"/>
                <w:color w:val="auto"/>
              </w:rPr>
            </w:pPr>
          </w:p>
        </w:tc>
        <w:tc>
          <w:tcPr>
            <w:tcW w:w="1360" w:type="dxa"/>
            <w:vAlign w:val="bottom"/>
            <w:tcBorders>
              <w:top w:val="single" w:sz="8" w:color="0000EE"/>
              <w:bottom w:val="single" w:sz="8" w:color="auto"/>
            </w:tcBorders>
          </w:tcPr>
          <w:p>
            <w:pPr>
              <w:spacing w:after="0"/>
              <w:rPr>
                <w:sz w:val="23"/>
                <w:szCs w:val="23"/>
                <w:color w:val="auto"/>
              </w:rPr>
            </w:pPr>
          </w:p>
        </w:tc>
        <w:tc>
          <w:tcPr>
            <w:tcW w:w="260" w:type="dxa"/>
            <w:vAlign w:val="bottom"/>
            <w:tcBorders>
              <w:top w:val="single" w:sz="8" w:color="0000EE"/>
              <w:bottom w:val="single" w:sz="8" w:color="auto"/>
            </w:tcBorders>
          </w:tcPr>
          <w:p>
            <w:pPr>
              <w:spacing w:after="0"/>
              <w:rPr>
                <w:sz w:val="23"/>
                <w:szCs w:val="23"/>
                <w:color w:val="auto"/>
              </w:rPr>
            </w:pPr>
          </w:p>
        </w:tc>
        <w:tc>
          <w:tcPr>
            <w:tcW w:w="59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19,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806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064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Joshua Sason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I ACQUISITIONS,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2018</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 I Acquisitions, Inc., a corporation organized and existing under the laws of the State of Delaware (the “Corporation”), DOES HEREBY CERTIFY AS FOLLOWS:</w:t>
      </w:r>
    </w:p>
    <w:p>
      <w:pPr>
        <w:spacing w:after="0" w:line="162" w:lineRule="exact"/>
        <w:rPr>
          <w:sz w:val="20"/>
          <w:szCs w:val="20"/>
          <w:color w:val="auto"/>
        </w:rPr>
      </w:pPr>
    </w:p>
    <w:p>
      <w:pPr>
        <w:ind w:right="240" w:firstLine="8"/>
        <w:spacing w:after="0" w:line="266"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“M I Acquisitions, Inc.” The original certificate of incorporation was filed with the Secretary of State of the State of Delaware on April 23, 2015 (the “Original Certificate”). The Amended and Restated Certificate of Incorporation (the “Amended and Restated Certificate”) was filed with the Secretary of State of the State of Delaware on September 13, 2016.</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Amended and Restated Certificate of Incorporation amends the Amended and Restated Certificate.</w:t>
      </w:r>
    </w:p>
    <w:p>
      <w:pPr>
        <w:spacing w:after="0" w:line="225" w:lineRule="exact"/>
        <w:rPr>
          <w:rFonts w:ascii="Times New Roman" w:cs="Times New Roman" w:eastAsia="Times New Roman" w:hAnsi="Times New Roman"/>
          <w:sz w:val="18"/>
          <w:szCs w:val="18"/>
          <w:color w:val="auto"/>
        </w:rPr>
      </w:pPr>
    </w:p>
    <w:p>
      <w:pPr>
        <w:ind w:right="660" w:firstLine="8"/>
        <w:spacing w:after="0" w:line="282"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Amended and Restated Certificate of Incorporation was duly adopted by the Board of Directors of the Corporation and the stockholders of the Corporation in accordance with Section 242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E of Article SIXTH is hereby amended and restated to read in full as follows:</w:t>
      </w:r>
    </w:p>
    <w:p>
      <w:pPr>
        <w:spacing w:after="0" w:line="225"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September 17, 2018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 share redemption price shall be equal to a pro rata share of the Trust Account plus any pro rata interest earned on the funds held in the Trust Account and not previously released to the Corporation to pay its taxes divided by the total number of IPO Shares then outstanding.”</w:t>
      </w:r>
    </w:p>
    <w:p>
      <w:pPr>
        <w:spacing w:after="0" w:line="19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WITNESS WHEREOF, M I Acquisitions, Inc. has caused this Amendment to the Amended and Restated Certificate to be duly executed in its name and on its behalf by an authorized officer as of the date first set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I ACQUISITIONS,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Joshua Sason</w:t>
            </w:r>
          </w:p>
        </w:tc>
      </w:tr>
      <w:tr>
        <w:trPr>
          <w:trHeight w:val="198"/>
        </w:trPr>
        <w:tc>
          <w:tcPr>
            <w:tcW w:w="1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Joshua Sason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14"/>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INVESTMENT MANAGEMENT TRUST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(this “Amendment”), dated as of June 15, 2018, to the Investment Management Trust Agreement (as defined below) is made by and between M I Acquisitions, Inc. (the “Company”) and American Stock Transfer &amp; Trust Company, LLC, as trustee (“Trustee”). All terms used but not defined herein shall have the meanings assigned to them in the Trust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entered into an Investment Management Trust Agreement dated as of September 13, 2016 (the “Trust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Section 1(i) of the Trust Agreement sets forth the terms that govern the liquidation of the Trust Account under the circumstances described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at a special meeting of stockholders of the Company held on June 15, 2018, the Company stockholders approved (i) a proposal to amend (the “Charter Amendment”) the Company’s amended and restated certificate of incorporation to provide that the date by which the Company shall be required to effect a Business Combination shall be on or before September 17, 2018 (the “ Extended Date”) and (ii) a proposal to extend the date on which to commence liquidating the Trust Account in the event the Company has not consummated a business combination by the Extended Date; 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on the date hereof, the Company is filing the Charter Amendment with the Secretary of State of the State of 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Section 1(i) of the Trust Agreement is hereby amended and restated to read in full as follows:</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acknowledged and agreed to by Chardan,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September 17, 2018 (the “Last Date”), the Trust Account shall be liquidated in accordance with the procedures set forth in the Termination Letter attached as Exhibit B hereto and distributed to the Public Shareholders as of the Last Date.”</w:t>
      </w:r>
    </w:p>
    <w:p>
      <w:pPr>
        <w:spacing w:after="0" w:line="185" w:lineRule="exact"/>
        <w:rPr>
          <w:sz w:val="20"/>
          <w:szCs w:val="20"/>
          <w:color w:val="auto"/>
        </w:rPr>
      </w:pPr>
    </w:p>
    <w:p>
      <w:pPr>
        <w:ind w:left="660" w:right="4520" w:hanging="652"/>
        <w:spacing w:after="0" w:line="501" w:lineRule="auto"/>
        <w:tabs>
          <w:tab w:leader="none" w:pos="1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1(l) of the Trust Agreement is hereby amended and restated to read in full as follows: “(l) [intentionally omitted]”</w:t>
      </w: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1(m) of the Trust Agreement is hereby amended and restated to read in full as follows: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“(m) Not disburse any amounts from the Trust Account in connection with a Business Combination in the event that the amount per share to be received by the redeeming Public Shareholders is less than $10.375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Section 2(c) of the Trust Agreement is hereby amended and restated to read in full as follows: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 The limited distributions referred to in Section 2(a) above shall be made only from income collected on the Property. Except as provided in Section 2(a), no other distributions from the Trust Account shall be permitted except in accordance with Section 1(i) and 2(e)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5. Section 2(e) of the Trust Agreement is hereby amended and restated to read in full as follows: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 Upon the receipt of an Amendment Notification Letter (as defined below), the Trustee shall distribute to Public Shareholders who exercised their conversion rights in connection with an Amendment (as defined below), an amount equal to the pro rata share of the Property relating to the shares of Common Stock for which such Public Shareholders have exercised conversion rights in connection with such Amendment.”</w:t>
      </w:r>
    </w:p>
    <w:p>
      <w:pPr>
        <w:spacing w:after="0" w:line="176" w:lineRule="exact"/>
        <w:rPr>
          <w:sz w:val="20"/>
          <w:szCs w:val="20"/>
          <w:color w:val="auto"/>
        </w:rPr>
      </w:pPr>
    </w:p>
    <w:p>
      <w:pPr>
        <w:ind w:left="660" w:right="4500" w:hanging="652"/>
        <w:spacing w:after="0" w:line="501" w:lineRule="auto"/>
        <w:tabs>
          <w:tab w:leader="none" w:pos="1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2(f) of the Trust Agreement is hereby amended and restated to read in full as follows: “(f) [intentionally omitted]”</w:t>
      </w: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3(g) of the Trust Agreement is hereby amended and restated to read in full as follows: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“(g) At the request of any Public Shareholder who has removed shares from street name and holds such shares either in certificated or book-entry form and, except if such shares are held in book-entry form, delivered such certificated shares to the Trustee for purposes of redemption in connection with a Business Combination, concurrently with the delivery of such shares, solely if such shares are certificated. to the Trustee, send an irrevocable written instruction letter in the form of Exhibit E to the Trustee directing the Trustee to disburse no less than $10.375 per share to such Public Shareholder.”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A new Section 3(i) is hereby inserted in the Trust Agreement immediately following Section 3(h) as follows: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 If the Company seeks to amend any provision of its Amended and Restated Certificate of Incorporation relating to stockholders’ rights or pre-Business Combination activity (including the time within which the Company has to complete a Business Combination) (in each case an “Amendment”), the Company will provide the Trustee with a letter (an “Amendment Notification Letter”) in the form of Exhibit D providing instructions for the distribution of funds to Public Shareholders who exercise their conversion option in connection with such Amendment.”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Section 7(c) of the Trust Agreement is hereby amended and restated to read in full as follows:</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“(c) This Agreement contains the entire agreement and understanding of the parties hereto with respect to the subject matter hereof. Except for Sections 1(i), 1(m), 1(n), 1(o), 1(p), 3(g), 3(h) 7(c) and 7(h) (which may only be amended with the approval of the holders of at least 75% of the shares of Common Stock sold in the IPO, provided that all Public Shareholders must be given the right to receive a pro-rata portion of the trust account (no less than $10.375 per share) in connection with any such amendment),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89"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D is hereby amended and restated to read in full as Exhibit D attached hereto.</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Trust Agreement shall remain unaffected by the terms hereof.</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any number of counterparts, each of which shall be an original and all of which shall be deemed to be one and the same instrument, with the same effect as if the signatures thereto and hereto were upon the same instrument. A facsimile signature shall be deemed to be an original signature for purposes of this Amendment.</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intended to be in full compliance with the requirements for an Amendment to the Trust Agreement as required by Section 7(c) of the Trust Agreement, and every defect in fulfilling such requirements for an effective amendment to the Trust Agreement is hereby ratified, intentionally waived and relinquished by all parties hereto.</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 WITNESS WHEREOF, the parties have duly executed this Amendment to the Investment Management Trust Agreement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STOCK TRANSFER &amp; TRUST COMPANY, LLC, AS TRUSTEE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Legregin</w:t>
            </w:r>
          </w:p>
        </w:tc>
      </w:tr>
      <w:tr>
        <w:trPr>
          <w:trHeight w:val="198"/>
        </w:trPr>
        <w:tc>
          <w:tcPr>
            <w:tcW w:w="1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Michael Legregin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432"/>
        </w:trPr>
        <w:tc>
          <w:tcPr>
            <w:tcW w:w="1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I ACQUISITIONS, INC.</w:t>
            </w: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Joshua Sason</w:t>
            </w:r>
          </w:p>
        </w:tc>
      </w:tr>
      <w:tr>
        <w:trPr>
          <w:trHeight w:val="198"/>
        </w:trPr>
        <w:tc>
          <w:tcPr>
            <w:tcW w:w="1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Joshua Sason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66"/>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Brooklyn, NY 11219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Relationship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Trust Account No. [ ] Stockholder Conversion Instruction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Section 2(e) of the Amended and Restated Investment Management Trust Agreement between M I Acquisitions, Inc. (the “ Company” ) and American Stock Transfer &amp; Trust Company, LLC (the “Trustee”), dated as of September 13, 2016, as amended (the “Trust Agreement”), the Company hereby requests that you deliver to the Public Shareholders who have properly elected to have their Common Stock converted into cash in connection with the stockholder vote to approve an amendment to the Company’s amended and restated certificate of incorporation to extend the time in which the Company must complete a Business Combination or liquidate the Trust Account $ ___________ of the principal and interest income earned on the Property as of the date hereof. Capitalized terms used but not defined herein shall have the meanings set forth in the Trust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hereby directed and authorized to transfer (via wire transfer) such funds promptly upon your receipt of this letter to the accounts designated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Shareholders: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M I Acquisitions, Inc. Announces Shareholder Approval to Extend Time to Complete Business Combination with Priority Holdings,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highlight w:val="white"/>
        </w:rPr>
        <w:t>New York, NY, June 19, 2018 --- M I Acquisitions, Inc. (NASDAQ: MACQU, MACQ, MACQW) (“M I”), a Magna-sponsored special purpose acquisition company, announced that its stockholders have approved an extension of the date by which it must consummate a business combination from June 19, 2018 to September 17, 2018 (the “extension”).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highlight w:val="white"/>
        </w:rPr>
        <w:t>The purpose of the extension is to provide time for M I to complete its previously announced business combination with Priority Holdings, LLC (“Priority”), a leading provider of B2C and B2B payment processing solutions based in Alpharetta, GA.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highlight w:val="white"/>
        </w:rPr>
        <w:t>M I also announced that prior to the Annual Meeting, holders of only 377,231 shares of M I common stock elected to redeem their shares for cash, resulting in a trust account balance of $51,829,390.86 on June 19, 2018, which represents an amount in excess of the cash minimum included as a condition to closing the pending business combination with Priority.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M I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097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highlight w:val="white"/>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including with respect to the pending business combination with Priority. Forward-looking statements are subject to numerous conditions, many of which are beyond the control of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 described herein, M I has filed relevant materials with the Securities and Exchange Commission (the “SEC”), including a preliminary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2020-01-15T18:17:31Z</dcterms:created>
  <dcterms:modified xsi:type="dcterms:W3CDTF">2020-01-15T18:17:31Z</dcterms:modified>
</cp:coreProperties>
</file>