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6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-236855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626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-595630</wp:posOffset>
            </wp:positionV>
            <wp:extent cx="8255" cy="5962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6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-603885</wp:posOffset>
            </wp:positionV>
            <wp:extent cx="8255" cy="6045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4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-579755</wp:posOffset>
            </wp:positionV>
            <wp:extent cx="1264920" cy="556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556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34290</wp:posOffset>
            </wp:positionV>
            <wp:extent cx="6970395" cy="17164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171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Passilla Michael</w:t>
        </w:r>
      </w:hyperlink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00"/>
        <w:spacing w:after="0" w:line="37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PRIORITY TECHNOLOGY HOLDINGS, INC. 2001 WESTSIDE PARKWAY, SUITE 155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30004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01/01/2021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-2436495</wp:posOffset>
            </wp:positionH>
            <wp:positionV relativeFrom="paragraph">
              <wp:posOffset>252095</wp:posOffset>
            </wp:positionV>
            <wp:extent cx="6970395" cy="14103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1410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jc w:val="center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01/01/2021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13,298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53,192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76,052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13,298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13,298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02/25/2021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11,724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11,724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11,724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-1973580</wp:posOffset>
            </wp:positionV>
            <wp:extent cx="7034530" cy="19824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982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by Posillipo Ventures, Inc., a limited liability company of which the reporting person is a managing member.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/>
        <w:spacing w:after="0" w:line="249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April 1, 2020, the Reporting Person was granted 53,192 restricted stock units which vest 25% on April 1, 2020, 25% on July 1, 2020, 25% on October 1, 2020, and 25% on January 1, 2021 subject to the Reporting Person's continued service as a director of the Issuer.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/>
        <w:spacing w:after="0" w:line="249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25, 2021, the Reporting Person was granted 11,724 restricted stock units which vest 25% on April 1, 2021, 25% on July 1, 2021, 25% on October 1, 2021, and 25% on January 1, 2022 subject to the Reporting Person's continued service as a director of the Issuer.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Michael Passilla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02/26/2021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29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58940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2021-02-26T19:57:26Z</dcterms:created>
  <dcterms:modified xsi:type="dcterms:W3CDTF">2021-02-26T19:57:26Z</dcterms:modified>
</cp:coreProperties>
</file>