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(Amendment No. __N/A____)*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55304A104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14,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274" w:lineRule="auto"/>
        <w:tabs>
          <w:tab w:leader="none" w:pos="1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38"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380" w:hanging="327"/>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380" w:right="5440"/>
        <w:spacing w:after="0" w:line="3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Boothbay Absolute Return Strategies LP</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380" w:right="6060" w:hanging="327"/>
        <w:spacing w:after="0" w:line="249"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640" w:hanging="254"/>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640" w:hanging="254"/>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1" w:lineRule="exact"/>
        <w:rPr>
          <w:rFonts w:ascii="Arial" w:cs="Arial" w:eastAsia="Arial" w:hAnsi="Arial"/>
          <w:sz w:val="18"/>
          <w:szCs w:val="18"/>
          <w:color w:val="auto"/>
        </w:rPr>
      </w:pPr>
    </w:p>
    <w:p>
      <w:pPr>
        <w:ind w:left="380" w:hanging="327"/>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380" w:right="7360" w:hanging="327"/>
        <w:spacing w:after="0" w:line="39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340" w:hanging="342"/>
        <w:spacing w:after="0"/>
        <w:tabs>
          <w:tab w:leader="none" w:pos="23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280" w:type="dxa"/>
            <w:vAlign w:val="bottom"/>
            <w:vMerge w:val="continue"/>
          </w:tcPr>
          <w:p>
            <w:pPr>
              <w:spacing w:after="0"/>
              <w:rPr>
                <w:sz w:val="10"/>
                <w:szCs w:val="10"/>
                <w:color w:val="auto"/>
              </w:rPr>
            </w:pPr>
          </w:p>
        </w:tc>
        <w:tc>
          <w:tcPr>
            <w:tcW w:w="9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28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80" w:type="dxa"/>
            <w:vAlign w:val="bottom"/>
            <w:tcBorders>
              <w:bottom w:val="single" w:sz="8" w:color="auto"/>
            </w:tcBorders>
          </w:tcPr>
          <w:p>
            <w:pPr>
              <w:spacing w:after="0"/>
              <w:rPr>
                <w:sz w:val="12"/>
                <w:szCs w:val="12"/>
                <w:color w:val="auto"/>
              </w:rPr>
            </w:pPr>
          </w:p>
        </w:tc>
        <w:tc>
          <w:tcPr>
            <w:tcW w:w="9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600,000</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right="4380" w:hanging="319"/>
        <w:spacing w:after="0" w:line="259" w:lineRule="auto"/>
        <w:tabs>
          <w:tab w:leader="none" w:pos="360" w:val="left"/>
        </w:tabs>
        <w:rPr>
          <w:sz w:val="20"/>
          <w:szCs w:val="20"/>
          <w:color w:val="auto"/>
        </w:rPr>
      </w:pPr>
      <w:r>
        <w:rPr>
          <w:rFonts w:ascii="Arial" w:cs="Arial" w:eastAsia="Arial" w:hAnsi="Arial"/>
          <w:sz w:val="18"/>
          <w:szCs w:val="18"/>
          <w:color w:val="auto"/>
        </w:rPr>
        <w:t>10.</w:t>
        <w:tab/>
        <w:t>CHECK IF THE AGGREGATE AMOUNT IN ROW (9) EXCLUDES CERTAIN SHARES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PERCENT OF CLASS REPRESENTED BY AMOUNT IN ROW (9)</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9.0%</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12. TYPE OF REPORTING PERSON (see instructions)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380" w:hanging="327"/>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380" w:right="5440"/>
        <w:spacing w:after="0" w:line="3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Boothbay Fund Management, LLC</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380" w:right="6060" w:hanging="327"/>
        <w:spacing w:after="0" w:line="24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640" w:hanging="254"/>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640" w:hanging="254"/>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1" w:lineRule="exact"/>
        <w:rPr>
          <w:rFonts w:ascii="Arial" w:cs="Arial" w:eastAsia="Arial" w:hAnsi="Arial"/>
          <w:sz w:val="18"/>
          <w:szCs w:val="18"/>
          <w:color w:val="auto"/>
        </w:rPr>
      </w:pPr>
    </w:p>
    <w:p>
      <w:pPr>
        <w:ind w:left="380" w:hanging="327"/>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380" w:right="7360" w:hanging="327"/>
        <w:spacing w:after="0" w:line="39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340" w:hanging="342"/>
        <w:spacing w:after="0"/>
        <w:tabs>
          <w:tab w:leader="none" w:pos="23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280" w:type="dxa"/>
            <w:vAlign w:val="bottom"/>
            <w:vMerge w:val="continue"/>
          </w:tcPr>
          <w:p>
            <w:pPr>
              <w:spacing w:after="0"/>
              <w:rPr>
                <w:sz w:val="10"/>
                <w:szCs w:val="10"/>
                <w:color w:val="auto"/>
              </w:rPr>
            </w:pPr>
          </w:p>
        </w:tc>
        <w:tc>
          <w:tcPr>
            <w:tcW w:w="9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28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80" w:type="dxa"/>
            <w:vAlign w:val="bottom"/>
            <w:tcBorders>
              <w:bottom w:val="single" w:sz="8" w:color="auto"/>
            </w:tcBorders>
          </w:tcPr>
          <w:p>
            <w:pPr>
              <w:spacing w:after="0"/>
              <w:rPr>
                <w:sz w:val="12"/>
                <w:szCs w:val="12"/>
                <w:color w:val="auto"/>
              </w:rPr>
            </w:pPr>
          </w:p>
        </w:tc>
        <w:tc>
          <w:tcPr>
            <w:tcW w:w="9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600,000</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right="4380" w:hanging="319"/>
        <w:spacing w:after="0" w:line="259" w:lineRule="auto"/>
        <w:tabs>
          <w:tab w:leader="none" w:pos="360" w:val="left"/>
        </w:tabs>
        <w:rPr>
          <w:sz w:val="20"/>
          <w:szCs w:val="20"/>
          <w:color w:val="auto"/>
        </w:rPr>
      </w:pPr>
      <w:r>
        <w:rPr>
          <w:rFonts w:ascii="Arial" w:cs="Arial" w:eastAsia="Arial" w:hAnsi="Arial"/>
          <w:sz w:val="18"/>
          <w:szCs w:val="18"/>
          <w:color w:val="auto"/>
        </w:rPr>
        <w:t>10.</w:t>
        <w:tab/>
        <w:t>CHECK IF THE AGGREGATE AMOUNT IN ROW (9) EXCLUDES CERTAIN SHARES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PERCENT OF CLASS REPRESENTED BY AMOUNT IN ROW (9)</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9.0%</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12. TYPE OF REPORTING PERSON (see instructions)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380" w:hanging="327"/>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380" w:right="5440"/>
        <w:spacing w:after="0" w:line="3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Boothbay Hybrid GP, LLC</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380" w:right="6060" w:hanging="327"/>
        <w:spacing w:after="0" w:line="24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640" w:hanging="254"/>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640" w:hanging="254"/>
        <w:spacing w:after="0"/>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1" w:lineRule="exact"/>
        <w:rPr>
          <w:rFonts w:ascii="Arial" w:cs="Arial" w:eastAsia="Arial" w:hAnsi="Arial"/>
          <w:sz w:val="18"/>
          <w:szCs w:val="18"/>
          <w:color w:val="auto"/>
        </w:rPr>
      </w:pPr>
    </w:p>
    <w:p>
      <w:pPr>
        <w:ind w:left="380" w:hanging="327"/>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380" w:hanging="327"/>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91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80" w:type="dxa"/>
            <w:vAlign w:val="bottom"/>
            <w:vMerge w:val="continue"/>
          </w:tcPr>
          <w:p>
            <w:pPr>
              <w:spacing w:after="0"/>
              <w:rPr>
                <w:sz w:val="10"/>
                <w:szCs w:val="10"/>
                <w:color w:val="auto"/>
              </w:rPr>
            </w:pPr>
          </w:p>
        </w:tc>
        <w:tc>
          <w:tcPr>
            <w:tcW w:w="9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8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80" w:type="dxa"/>
            <w:vAlign w:val="bottom"/>
            <w:tcBorders>
              <w:bottom w:val="single" w:sz="8" w:color="auto"/>
            </w:tcBorders>
          </w:tcPr>
          <w:p>
            <w:pPr>
              <w:spacing w:after="0"/>
              <w:rPr>
                <w:sz w:val="12"/>
                <w:szCs w:val="12"/>
                <w:color w:val="auto"/>
              </w:rPr>
            </w:pPr>
          </w:p>
        </w:tc>
        <w:tc>
          <w:tcPr>
            <w:tcW w:w="9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600,000</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right="4380" w:hanging="319"/>
        <w:spacing w:after="0" w:line="259" w:lineRule="auto"/>
        <w:tabs>
          <w:tab w:leader="none" w:pos="360" w:val="left"/>
        </w:tabs>
        <w:rPr>
          <w:sz w:val="20"/>
          <w:szCs w:val="20"/>
          <w:color w:val="auto"/>
        </w:rPr>
      </w:pPr>
      <w:r>
        <w:rPr>
          <w:rFonts w:ascii="Arial" w:cs="Arial" w:eastAsia="Arial" w:hAnsi="Arial"/>
          <w:sz w:val="18"/>
          <w:szCs w:val="18"/>
          <w:color w:val="auto"/>
        </w:rPr>
        <w:t>10.</w:t>
        <w:tab/>
        <w:t>CHECK IF THE AGGREGATE AMOUNT IN ROW (9) EXCLUDES CERTAIN SHARES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PERCENT OF CLASS REPRESENTED BY AMOUNT IN ROW (9)</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9.0%</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12. TYPE OF REPORTING PERSON (see instructions)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380" w:right="5440"/>
        <w:spacing w:after="0" w:line="3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Ari Glass</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380" w:right="6060" w:hanging="372"/>
        <w:spacing w:after="0" w:line="249"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640" w:hanging="254"/>
        <w:spacing w:after="0"/>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640" w:hanging="254"/>
        <w:spacing w:after="0"/>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21"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380" w:right="7360" w:hanging="372"/>
        <w:spacing w:after="0" w:line="39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ind w:left="2340" w:hanging="342"/>
        <w:spacing w:after="0"/>
        <w:tabs>
          <w:tab w:leader="none" w:pos="23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280" w:type="dxa"/>
            <w:vAlign w:val="bottom"/>
            <w:vMerge w:val="continue"/>
          </w:tcPr>
          <w:p>
            <w:pPr>
              <w:spacing w:after="0"/>
              <w:rPr>
                <w:sz w:val="10"/>
                <w:szCs w:val="10"/>
                <w:color w:val="auto"/>
              </w:rPr>
            </w:pPr>
          </w:p>
        </w:tc>
        <w:tc>
          <w:tcPr>
            <w:tcW w:w="9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28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80" w:type="dxa"/>
            <w:vAlign w:val="bottom"/>
            <w:tcBorders>
              <w:bottom w:val="single" w:sz="8" w:color="auto"/>
            </w:tcBorders>
          </w:tcPr>
          <w:p>
            <w:pPr>
              <w:spacing w:after="0"/>
              <w:rPr>
                <w:sz w:val="12"/>
                <w:szCs w:val="12"/>
                <w:color w:val="auto"/>
              </w:rPr>
            </w:pPr>
          </w:p>
        </w:tc>
        <w:tc>
          <w:tcPr>
            <w:tcW w:w="9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600,000</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80" w:right="4380" w:hanging="379"/>
        <w:spacing w:after="0" w:line="259" w:lineRule="auto"/>
        <w:tabs>
          <w:tab w:leader="none" w:pos="360" w:val="left"/>
        </w:tabs>
        <w:rPr>
          <w:sz w:val="20"/>
          <w:szCs w:val="20"/>
          <w:color w:val="auto"/>
        </w:rPr>
      </w:pPr>
      <w:r>
        <w:rPr>
          <w:rFonts w:ascii="Arial" w:cs="Arial" w:eastAsia="Arial" w:hAnsi="Arial"/>
          <w:sz w:val="18"/>
          <w:szCs w:val="18"/>
          <w:color w:val="auto"/>
        </w:rPr>
        <w:t>10.</w:t>
        <w:tab/>
        <w:t>CHECK IF THE AGGREGATE AMOUNT IN ROW (9) EXCLUDES CERTAIN SHARES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PERCENT OF CLASS REPRESENTED BY AMOUNT IN ROW (9)</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9.0%</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 I Acquisitions Inc. (the “Issuer”)</w:t>
      </w:r>
    </w:p>
    <w:p>
      <w:pPr>
        <w:spacing w:after="0" w:line="210" w:lineRule="exact"/>
        <w:rPr>
          <w:rFonts w:ascii="Arial" w:cs="Arial" w:eastAsia="Arial" w:hAnsi="Arial"/>
          <w:sz w:val="18"/>
          <w:szCs w:val="18"/>
          <w:color w:val="auto"/>
        </w:rPr>
      </w:pPr>
    </w:p>
    <w:p>
      <w:pPr>
        <w:ind w:left="660" w:right="6139"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c/o Magna Management LLC</w:t>
      </w:r>
    </w:p>
    <w:p>
      <w:pPr>
        <w:spacing w:after="0" w:line="1" w:lineRule="exact"/>
        <w:rPr>
          <w:rFonts w:ascii="Arial" w:cs="Arial" w:eastAsia="Arial" w:hAnsi="Arial"/>
          <w:sz w:val="18"/>
          <w:szCs w:val="18"/>
          <w:color w:val="auto"/>
        </w:rPr>
      </w:pPr>
    </w:p>
    <w:p>
      <w:pPr>
        <w:ind w:left="660" w:right="7699"/>
        <w:spacing w:after="0" w:line="323" w:lineRule="auto"/>
        <w:rPr>
          <w:rFonts w:ascii="Arial" w:cs="Arial" w:eastAsia="Arial" w:hAnsi="Arial"/>
          <w:sz w:val="18"/>
          <w:szCs w:val="18"/>
          <w:color w:val="auto"/>
        </w:rPr>
      </w:pPr>
      <w:r>
        <w:rPr>
          <w:rFonts w:ascii="Arial" w:cs="Arial" w:eastAsia="Arial" w:hAnsi="Arial"/>
          <w:sz w:val="16"/>
          <w:szCs w:val="16"/>
          <w:color w:val="auto"/>
        </w:rPr>
        <w:t>40 Wall Street, 58th Floor New York, NY 10005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Name of Person Filing:</w:t>
      </w:r>
      <w:r>
        <w:rPr>
          <w:rFonts w:ascii="Arial" w:cs="Arial" w:eastAsia="Arial" w:hAnsi="Arial"/>
          <w:sz w:val="30"/>
          <w:szCs w:val="30"/>
          <w:color w:val="auto"/>
          <w:vertAlign w:val="superscript"/>
        </w:rPr>
        <w:t>1</w:t>
      </w:r>
    </w:p>
    <w:p>
      <w:pPr>
        <w:ind w:left="660" w:right="6619"/>
        <w:spacing w:after="0" w:line="264" w:lineRule="auto"/>
        <w:rPr>
          <w:rFonts w:ascii="Arial" w:cs="Arial" w:eastAsia="Arial" w:hAnsi="Arial"/>
          <w:sz w:val="36"/>
          <w:szCs w:val="36"/>
          <w:color w:val="auto"/>
          <w:vertAlign w:val="superscript"/>
        </w:rPr>
      </w:pPr>
      <w:r>
        <w:rPr>
          <w:rFonts w:ascii="Arial" w:cs="Arial" w:eastAsia="Arial" w:hAnsi="Arial"/>
          <w:sz w:val="17"/>
          <w:szCs w:val="17"/>
          <w:color w:val="auto"/>
        </w:rPr>
        <w:t>Boothbay Absolute Return Strategies LP Boothbay Fund Management, LLC Boothbay Hybrid GP, LLC</w:t>
      </w:r>
    </w:p>
    <w:p>
      <w:pPr>
        <w:spacing w:after="0" w:line="1" w:lineRule="exact"/>
        <w:rPr>
          <w:rFonts w:ascii="Arial" w:cs="Arial" w:eastAsia="Arial" w:hAnsi="Arial"/>
          <w:sz w:val="36"/>
          <w:szCs w:val="36"/>
          <w:color w:val="auto"/>
          <w:vertAlign w:val="superscript"/>
        </w:rPr>
      </w:pPr>
    </w:p>
    <w:p>
      <w:pPr>
        <w:ind w:left="660"/>
        <w:spacing w:after="0"/>
        <w:rPr>
          <w:rFonts w:ascii="Arial" w:cs="Arial" w:eastAsia="Arial" w:hAnsi="Arial"/>
          <w:sz w:val="36"/>
          <w:szCs w:val="36"/>
          <w:color w:val="auto"/>
          <w:vertAlign w:val="superscript"/>
        </w:rPr>
      </w:pPr>
      <w:r>
        <w:rPr>
          <w:rFonts w:ascii="Arial" w:cs="Arial" w:eastAsia="Arial" w:hAnsi="Arial"/>
          <w:sz w:val="18"/>
          <w:szCs w:val="18"/>
          <w:color w:val="auto"/>
        </w:rPr>
        <w:t>Ari Glass</w:t>
      </w:r>
    </w:p>
    <w:p>
      <w:pPr>
        <w:spacing w:after="0" w:line="210" w:lineRule="exact"/>
        <w:rPr>
          <w:rFonts w:ascii="Arial" w:cs="Arial" w:eastAsia="Arial" w:hAnsi="Arial"/>
          <w:sz w:val="36"/>
          <w:szCs w:val="36"/>
          <w:color w:val="auto"/>
          <w:vertAlign w:val="superscript"/>
        </w:rPr>
      </w:pPr>
    </w:p>
    <w:p>
      <w:pPr>
        <w:ind w:left="660" w:right="5759" w:hanging="328"/>
        <w:spacing w:after="0" w:line="21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810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Suite 615</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New York, NY 10019-5818</w:t>
      </w:r>
    </w:p>
    <w:p>
      <w:pPr>
        <w:spacing w:after="0" w:line="20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60" w:right="5759"/>
        <w:spacing w:after="0" w:line="265" w:lineRule="auto"/>
        <w:rPr>
          <w:rFonts w:ascii="Arial" w:cs="Arial" w:eastAsia="Arial" w:hAnsi="Arial"/>
          <w:sz w:val="18"/>
          <w:szCs w:val="18"/>
          <w:color w:val="auto"/>
        </w:rPr>
      </w:pPr>
      <w:r>
        <w:rPr>
          <w:rFonts w:ascii="Arial" w:cs="Arial" w:eastAsia="Arial" w:hAnsi="Arial"/>
          <w:sz w:val="17"/>
          <w:szCs w:val="17"/>
          <w:color w:val="auto"/>
        </w:rPr>
        <w:t>Boothbay Absolute Return Strategies LP – Delaware Boothbay Fund Management, LLC – Delaware Boothbay Hybrid GP, LLC – Delaware</w:t>
      </w:r>
    </w:p>
    <w:p>
      <w:pPr>
        <w:ind w:left="660"/>
        <w:spacing w:after="0"/>
        <w:rPr>
          <w:rFonts w:ascii="Arial" w:cs="Arial" w:eastAsia="Arial" w:hAnsi="Arial"/>
          <w:sz w:val="18"/>
          <w:szCs w:val="18"/>
          <w:color w:val="auto"/>
        </w:rPr>
      </w:pPr>
      <w:r>
        <w:rPr>
          <w:rFonts w:ascii="Arial" w:cs="Arial" w:eastAsia="Arial" w:hAnsi="Arial"/>
          <w:sz w:val="18"/>
          <w:szCs w:val="18"/>
          <w:color w:val="auto"/>
        </w:rPr>
        <w:t>Ari Glass – United States</w:t>
      </w:r>
    </w:p>
    <w:p>
      <w:pPr>
        <w:spacing w:after="0" w:line="210" w:lineRule="exact"/>
        <w:rPr>
          <w:rFonts w:ascii="Arial" w:cs="Arial" w:eastAsia="Arial" w:hAnsi="Arial"/>
          <w:sz w:val="18"/>
          <w:szCs w:val="18"/>
          <w:color w:val="auto"/>
        </w:rPr>
      </w:pPr>
    </w:p>
    <w:p>
      <w:pPr>
        <w:ind w:left="660" w:right="7659"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660" w:right="8419"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55304A104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660" w:right="5859"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Boothbay Absolute Return Strategies LP – 600,000 Boothbay Fund Management, LLC – 600,000 Boothbay Hybrid GP, LLC – 600,000</w:t>
      </w:r>
    </w:p>
    <w:p>
      <w:pPr>
        <w:ind w:left="660" w:right="8119"/>
        <w:spacing w:after="0" w:line="343" w:lineRule="auto"/>
        <w:rPr>
          <w:rFonts w:ascii="Arial" w:cs="Arial" w:eastAsia="Arial" w:hAnsi="Arial"/>
          <w:sz w:val="18"/>
          <w:szCs w:val="18"/>
          <w:color w:val="auto"/>
        </w:rPr>
      </w:pPr>
      <w:r>
        <w:rPr>
          <w:rFonts w:ascii="Arial" w:cs="Arial" w:eastAsia="Arial" w:hAnsi="Arial"/>
          <w:sz w:val="16"/>
          <w:szCs w:val="16"/>
          <w:color w:val="auto"/>
        </w:rPr>
        <w:t xml:space="preserve">Ari Glass – 600,000 Percent of class: </w:t>
      </w:r>
      <w:r>
        <w:rPr>
          <w:rFonts w:ascii="Arial" w:cs="Arial" w:eastAsia="Arial" w:hAnsi="Arial"/>
          <w:sz w:val="26"/>
          <w:szCs w:val="26"/>
          <w:color w:val="auto"/>
          <w:vertAlign w:val="superscript"/>
        </w:rPr>
        <w:t>2</w:t>
      </w:r>
    </w:p>
    <w:p>
      <w:pPr>
        <w:ind w:left="660" w:right="6059" w:hanging="328"/>
        <w:spacing w:after="0" w:line="24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Boothbay Absolute Return Strategies LP – 9.0% Boothbay Fund Management, LLC – 9.0% Boothbay Hybrid GP, LLC – 9.0%</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Ari Glass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6" w:name="page7"/>
    <w:bookmarkEnd w:id="6"/>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right="7220" w:hanging="324"/>
        <w:spacing w:after="0" w:line="25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Boothbay Absolute Return Strategies LP – 0 Boothbay Fund Management, LLC – 0 Boothbay Hybrid GP, LLC – 0</w:t>
      </w:r>
    </w:p>
    <w:p>
      <w:pPr>
        <w:spacing w:after="0" w:line="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Ari Glass – 0</w:t>
      </w:r>
    </w:p>
    <w:p>
      <w:pPr>
        <w:spacing w:after="0" w:line="210" w:lineRule="exact"/>
        <w:rPr>
          <w:rFonts w:ascii="Arial" w:cs="Arial" w:eastAsia="Arial" w:hAnsi="Arial"/>
          <w:sz w:val="18"/>
          <w:szCs w:val="18"/>
          <w:color w:val="auto"/>
        </w:rPr>
      </w:pPr>
    </w:p>
    <w:p>
      <w:pPr>
        <w:ind w:left="980" w:right="6740" w:hanging="324"/>
        <w:spacing w:after="0" w:line="25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Boothbay Absolute Return Strategies LP – 600,000 Boothbay Fund Management, LLC – 600,000 Boothbay Hybrid GP, LLC – 600,000</w:t>
      </w:r>
    </w:p>
    <w:p>
      <w:pPr>
        <w:spacing w:after="0" w:line="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Ari Glass – 600,000</w:t>
      </w:r>
    </w:p>
    <w:p>
      <w:pPr>
        <w:spacing w:after="0" w:line="210" w:lineRule="exact"/>
        <w:rPr>
          <w:rFonts w:ascii="Arial" w:cs="Arial" w:eastAsia="Arial" w:hAnsi="Arial"/>
          <w:sz w:val="18"/>
          <w:szCs w:val="18"/>
          <w:color w:val="auto"/>
        </w:rPr>
      </w:pPr>
    </w:p>
    <w:p>
      <w:pPr>
        <w:ind w:left="980" w:right="6720" w:hanging="324"/>
        <w:spacing w:after="0" w:line="269"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Boothbay Absolute Return Strategies LP – 0 Boothbay Fund Management, LLC – 0 Boothbay Hybrid GP, LLC – 0</w:t>
      </w:r>
    </w:p>
    <w:p>
      <w:pPr>
        <w:spacing w:after="0" w:line="2"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Ari Glass – 0</w:t>
      </w:r>
    </w:p>
    <w:p>
      <w:pPr>
        <w:spacing w:after="0" w:line="210" w:lineRule="exact"/>
        <w:rPr>
          <w:rFonts w:ascii="Arial" w:cs="Arial" w:eastAsia="Arial" w:hAnsi="Arial"/>
          <w:sz w:val="17"/>
          <w:szCs w:val="17"/>
          <w:color w:val="auto"/>
        </w:rPr>
      </w:pPr>
    </w:p>
    <w:p>
      <w:pPr>
        <w:ind w:left="980" w:right="6540" w:hanging="324"/>
        <w:spacing w:after="0" w:line="269"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Boothbay Absolute Return Strategies LP – 600,000 Boothbay Fund Management, LLC – 600,000 Boothbay Hybrid GP, LLC – 0</w:t>
      </w:r>
    </w:p>
    <w:p>
      <w:pPr>
        <w:spacing w:after="0" w:line="2"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Ari Glass – 600,000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114300</wp:posOffset>
            </wp:positionV>
            <wp:extent cx="70408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40880" cy="17145"/>
                    </a:xfrm>
                    <a:prstGeom prst="rect">
                      <a:avLst/>
                    </a:prstGeom>
                    <a:noFill/>
                  </pic:spPr>
                </pic:pic>
              </a:graphicData>
            </a:graphic>
          </wp:anchor>
        </w:drawing>
      </w:r>
    </w:p>
    <w:p>
      <w:pPr>
        <w:spacing w:after="0" w:line="392" w:lineRule="exact"/>
        <w:rPr>
          <w:sz w:val="20"/>
          <w:szCs w:val="20"/>
          <w:color w:val="auto"/>
        </w:rPr>
      </w:pPr>
    </w:p>
    <w:p>
      <w:pPr>
        <w:jc w:val="both"/>
        <w:ind w:left="340"/>
        <w:spacing w:after="0" w:line="236"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The shares of common stock (the “Shares”) of M I Acquisitions, Inc., a Delaware corporation (the “Issuer”), reported herein are beneficially owned by virtue of their inclusion in units (the “Units”) issued by the Issuer. Each Unit consists of one share of the Issuer’s common stock and one warrant. Each warrant entitles the holder thereof to purchase one share of the Issuer’s common stock at a price of $11.50 per share, subject to adjustment as described in the Issuer’s prospectus filed with the SEC on September 15, 2016 (the “Prospectus”). The warrants will become exercisable on the later of 30 days after the completion of the Issuer’s initial business combination and 12 months from the closing of the offering made pursuant to the Prospectus, and will expire five years after the completion of the Issuer’s initial business combination or earlier upon redemption or liquidation, as described in the Prospectus.</w:t>
      </w:r>
    </w:p>
    <w:p>
      <w:pPr>
        <w:spacing w:after="0" w:line="20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Units, and therefore the Shares reported herein, are held by Boothbay Absolute Return Strategies LP, a Delaware limited partnership. Boothbay Fund Management, LLC, a Delaware limited liability company, acts as investment manager of Boothbay Absolute Return Strategies LP. Boothbay Hybrid GP, LLC, a Delaware limited liability company, acts as General Partner to Boothbay Absolute Return Strategies LP. Ari Glass (“Glass”) is Managing Member of Boothbay Fund Management, LLC and Boothbay Hybrid GP, LLC. By virtue of these relationships, Boothbay Fund Management, LLC, Boothbay Hybrid GP, LLC and Glass may be deemed to have shared voting and dispositive power with respect to the Shares owned directly by Boothbay Absolute Return Strategies LP.</w:t>
      </w:r>
    </w:p>
    <w:p>
      <w:pPr>
        <w:spacing w:after="0" w:line="19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This report shall not be deemed an admission that Boothbay Absolute Return Strategies LP, Boothbay Fund Management, LLC, Boothbay Hybrid GP, LLC or Glass is the beneficial owner of the Shares for purposes of Section 13 of the Securities Exchange Act of 1934, as amended, or for any other purpose. The Reporting Persons herein disclaim beneficial ownership of the Shares except to the extent of their pecuniary interest therein.</w:t>
      </w:r>
    </w:p>
    <w:p>
      <w:pPr>
        <w:spacing w:after="0" w:line="206" w:lineRule="exact"/>
        <w:rPr>
          <w:sz w:val="20"/>
          <w:szCs w:val="20"/>
          <w:color w:val="auto"/>
        </w:rPr>
      </w:pPr>
    </w:p>
    <w:p>
      <w:pPr>
        <w:ind w:left="340" w:hanging="8"/>
        <w:spacing w:after="0" w:line="194" w:lineRule="auto"/>
        <w:tabs>
          <w:tab w:leader="none" w:pos="45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beneficial ownership computations are based on 6,652,500 shares of common stock issued and outstanding as of September 13, 2016, as reported in the Prospectus of the Issuer, which was filed with the SEC on September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Boothbay Fund Management, LLC, its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Hybrid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hereby consent and agree to the joint filing of Schedule 13G under the Securities Exchange Act of 1934, as amended, with respect to the Shares of M I Acquisitions Inc., together with any or all amendments thereto, when and if required. The parties hereto further consent and agree to file this Joint Filing Statement pursuant to Rule13d-1(k)(1)(iii) as an exhibit to Schedule 13G, thereby incorporating the same into such Schedule13G.</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Boothbay Fund Management, LLC, its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Boothbay Hybrid GP,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jc w:val="right"/>
        <w:ind w:right="4480"/>
        <w:spacing w:after="0"/>
        <w:rPr>
          <w:sz w:val="20"/>
          <w:szCs w:val="20"/>
          <w:color w:val="auto"/>
        </w:rPr>
      </w:pPr>
      <w:r>
        <w:rPr>
          <w:rFonts w:ascii="Arial" w:cs="Arial" w:eastAsia="Arial" w:hAnsi="Arial"/>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2020-01-21T10:47:43Z</dcterms:created>
  <dcterms:modified xsi:type="dcterms:W3CDTF">2020-01-21T10:47:43Z</dcterms:modified>
</cp:coreProperties>
</file>