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334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33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820" w:type="dxa"/>
            <w:vAlign w:val="bottom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Ram Ranjana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04/10/2020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PRTH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 w:right="1477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PRIORITY TECHNOLOGY HOLDINGS, INC.</w:t>
      </w: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2001 WESTSIDE PARKWAY, SUITE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155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ALPHARETTA GA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30004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3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Head of M&amp;A Strategic Initiati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0198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019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164,353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Warrant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08/24/2018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08/24/2023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5"/>
              </w:rPr>
              <w:t>Common Stock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365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11.5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-1818640</wp:posOffset>
            </wp:positionV>
            <wp:extent cx="6946900" cy="1677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67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 w:right="460" w:firstLine="5"/>
        <w:spacing w:after="0" w:line="283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warrant is exercisable at $11.50 and results in the issuance of one share of the Issuer's common stock. On March 4, 2019, the Issuer received a notice that Nasdaq had determined to delist the Issuer's warrants and suspend their trading from Nasdaq effective as of the open of business on March 6, 2019.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Ranjana Ram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10/20/2020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828071" TargetMode="External"/><Relationship Id="rId11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2020-10-27T16:03:54Z</dcterms:created>
  <dcterms:modified xsi:type="dcterms:W3CDTF">2020-10-27T16:03:54Z</dcterms:modified>
</cp:coreProperties>
</file>