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14,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gridSpan w:val="3"/>
          </w:tcPr>
          <w:p>
            <w:pPr>
              <w:jc w:val="right"/>
              <w:ind w:right="1320"/>
              <w:spacing w:after="0"/>
              <w:rPr>
                <w:sz w:val="20"/>
                <w:szCs w:val="20"/>
                <w:color w:val="auto"/>
              </w:rPr>
            </w:pPr>
            <w:r>
              <w:rPr>
                <w:rFonts w:ascii="Arial" w:cs="Arial" w:eastAsia="Arial" w:hAnsi="Arial"/>
                <w:sz w:val="18"/>
                <w:szCs w:val="18"/>
                <w:b w:val="1"/>
                <w:bCs w:val="1"/>
                <w:color w:val="auto"/>
              </w:rPr>
              <w:t>001-37872</w:t>
            </w:r>
          </w:p>
        </w:tc>
        <w:tc>
          <w:tcPr>
            <w:tcW w:w="34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5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 incorporation)</w:t>
            </w:r>
          </w:p>
        </w:tc>
        <w:tc>
          <w:tcPr>
            <w:tcW w:w="3280" w:type="dxa"/>
            <w:vAlign w:val="bottom"/>
            <w:gridSpan w:val="4"/>
          </w:tcPr>
          <w:p>
            <w:pPr>
              <w:jc w:val="center"/>
              <w:ind w:right="86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873"/>
        </w:trPr>
        <w:tc>
          <w:tcPr>
            <w:tcW w:w="450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90"/>
              </w:rPr>
              <w:t>2001 Westside Parkway</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50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88"/>
              </w:rPr>
              <w:t>Suite 155</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50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5"/>
              </w:rPr>
              <w:t>Alpharetta, GA</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right"/>
              <w:ind w:right="2370"/>
              <w:spacing w:after="0"/>
              <w:rPr>
                <w:sz w:val="20"/>
                <w:szCs w:val="20"/>
                <w:color w:val="auto"/>
              </w:rPr>
            </w:pPr>
            <w:r>
              <w:rPr>
                <w:rFonts w:ascii="Arial" w:cs="Arial" w:eastAsia="Arial" w:hAnsi="Arial"/>
                <w:sz w:val="18"/>
                <w:szCs w:val="18"/>
                <w:b w:val="1"/>
                <w:bCs w:val="1"/>
                <w:color w:val="auto"/>
              </w:rPr>
              <w:t>30004</w:t>
            </w:r>
          </w:p>
        </w:tc>
      </w:tr>
      <w:tr>
        <w:trPr>
          <w:trHeight w:val="27"/>
        </w:trPr>
        <w:tc>
          <w:tcPr>
            <w:tcW w:w="45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500" w:type="dxa"/>
            <w:vAlign w:val="bottom"/>
            <w:gridSpan w:val="3"/>
          </w:tcPr>
          <w:p>
            <w:pPr>
              <w:jc w:val="center"/>
              <w:ind w:left="1090"/>
              <w:spacing w:after="0"/>
              <w:rPr>
                <w:sz w:val="20"/>
                <w:szCs w:val="20"/>
                <w:color w:val="auto"/>
              </w:rPr>
            </w:pPr>
            <w:r>
              <w:rPr>
                <w:rFonts w:ascii="Arial" w:cs="Arial" w:eastAsia="Arial" w:hAnsi="Arial"/>
                <w:sz w:val="18"/>
                <w:szCs w:val="18"/>
                <w:color w:val="auto"/>
                <w:w w:val="92"/>
              </w:rPr>
              <w:t>(Address of Principal Executive Offices)</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11"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88"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14, 2018, Priority Technology Holdings, Inc. issued a press release announcing its financial results for the quarter ended September 30, 2018. A copy of that press release is attached as Exhibit 99.1 to this Current Report on Form 8-K.</w:t>
      </w:r>
    </w:p>
    <w:p>
      <w:pPr>
        <w:spacing w:after="0" w:line="3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information in this Current Report on Form 8-K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Exhibits – The following exhibit is furnished as part of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268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6845" cy="8890"/>
                    </a:xfrm>
                    <a:prstGeom prst="rect">
                      <a:avLst/>
                    </a:prstGeom>
                    <a:noFill/>
                  </pic:spPr>
                </pic:pic>
              </a:graphicData>
            </a:graphic>
          </wp:anchor>
        </w:drawing>
      </w:r>
    </w:p>
    <w:p>
      <w:pPr>
        <w:spacing w:after="0" w:line="191" w:lineRule="exact"/>
        <w:rPr>
          <w:sz w:val="20"/>
          <w:szCs w:val="20"/>
          <w:color w:val="auto"/>
        </w:rPr>
      </w:pPr>
    </w:p>
    <w:p>
      <w:pPr>
        <w:ind w:left="1300"/>
        <w:spacing w:after="0"/>
        <w:tabs>
          <w:tab w:leader="none" w:pos="1960" w:val="left"/>
        </w:tabs>
        <w:rPr>
          <w:rFonts w:ascii="Arial" w:cs="Arial" w:eastAsia="Arial" w:hAnsi="Arial"/>
          <w:sz w:val="16"/>
          <w:szCs w:val="16"/>
          <w:u w:val="single" w:color="auto"/>
          <w:color w:val="0000FF"/>
        </w:rPr>
      </w:pPr>
      <w:hyperlink w:anchor="page3">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3">
        <w:r>
          <w:rPr>
            <w:rFonts w:ascii="Arial" w:cs="Arial" w:eastAsia="Arial" w:hAnsi="Arial"/>
            <w:sz w:val="16"/>
            <w:szCs w:val="16"/>
            <w:u w:val="single" w:color="auto"/>
            <w:color w:val="0000FF"/>
          </w:rPr>
          <w:t>Press Release of Priority Technology Holdings, Inc. dated November 14,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14, 2018</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u w:val="single" w:color="auto"/>
          <w:color w:val="auto"/>
        </w:rPr>
        <w:t>By: /s/ Bruce E. Mattox</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Bruce E. Mattox</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58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2901950</wp:posOffset>
            </wp:positionH>
            <wp:positionV relativeFrom="page">
              <wp:posOffset>363220</wp:posOffset>
            </wp:positionV>
            <wp:extent cx="176657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6657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ckettmann@lincolnchurchilladvisors.com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Priority Technology Holdings Announces Third Quarter 2018 Financial Results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Third Quarter 2018 Highlights</w:t>
      </w:r>
    </w:p>
    <w:p>
      <w:pPr>
        <w:spacing w:after="0" w:line="200" w:lineRule="exact"/>
        <w:rPr>
          <w:sz w:val="20"/>
          <w:szCs w:val="20"/>
          <w:color w:val="auto"/>
        </w:rPr>
      </w:pPr>
    </w:p>
    <w:p>
      <w:pPr>
        <w:spacing w:after="0" w:line="248" w:lineRule="exact"/>
        <w:rPr>
          <w:sz w:val="20"/>
          <w:szCs w:val="20"/>
          <w:color w:val="auto"/>
        </w:rPr>
      </w:pPr>
    </w:p>
    <w:p>
      <w:pPr>
        <w:ind w:left="660" w:hanging="247"/>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third quarter merchant bankcard volume processed grew 10.5% year over year to $9.6 billion, bringing 9 month volume processed to a record $28.5 billion, up 11.4%, versus the $25.6 billion in the prior 9-month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Commercial Payments processing volume increased 34.7% year over year.</w:t>
      </w:r>
    </w:p>
    <w:p>
      <w:pPr>
        <w:spacing w:after="0" w:line="22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in the Consumer Payments segment declined $8.5 million, or 8.2%, over the prior year third quarter primarily due to the loss of high-margin revenue from certain subscription billing e-commerce merchants, that represented approximately 2% of the Company’s processing volume. The closure of merchants in this channel was due to industry wide changes for enhanced card association compliance. The Company is actively engaged in risk mitigation efforts with merchants and card associations to implement the new card association requirements and has begun boarding compliant merchants. Over the next several quarters, the Company expects to restore such lost revenue attributable to the subscription e-commerce merchants to the Company's recurring revenue base.</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Revenues in our Commercial Payments and Managed Services segment increased 17.8%, to $7.8 million, over the prior year third quarter.</w:t>
      </w:r>
    </w:p>
    <w:p>
      <w:pPr>
        <w:spacing w:after="0" w:line="236"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net loss under GAAP was $2.6 million compared to consolidated net income of $2.3 million in the prior-year quarter, while consolidated Adjusted EBITDA (a non-GAAP measure) was $12.7 million compared to $15.6 million in the prior year quarter. The net loss and lower Adjusted EBITDA in the third quarter were partially attributable to the reduced revenue from the temporary suspension in boarding of subscription e-commerce merchants due to industry-wide changes in card association requirements. Higher interest expense and one-time costs related to the public-company transaction also contributed to the decline.</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Successfully completed the strategic acquisitions of accretive merchant portfolios and three businesses, helping boost gross profit by 2% from the prior year third quarter and 7.8% for the year to date period. Integrated Partners business lines, part of our Consumer Payments segment, contributed approximately $700,000 to gross profit for the third quarter. Our gross profit metric represents revenue less costs of merchant fees and other costs of services on our consolidated statement of operations.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Additional acquisitions are expected to close in fourth quarter 2018, with the potential to add approximately $19 million to annual Adjusted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210"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the previously-announced business combination and reverse acquisition with MI Acquisitions, making Priority a recapitalized public company listed on Nasdaq.</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3" w:name="page4"/>
    <w:bookmarkEnd w:id="3"/>
    <w:p>
      <w:pPr>
        <w:jc w:val="both"/>
        <w:ind w:right="20"/>
        <w:spacing w:after="0" w:line="308" w:lineRule="auto"/>
        <w:rPr>
          <w:sz w:val="20"/>
          <w:szCs w:val="20"/>
          <w:color w:val="auto"/>
        </w:rPr>
      </w:pPr>
      <w:r>
        <w:rPr>
          <w:rFonts w:ascii="Arial" w:cs="Arial" w:eastAsia="Arial" w:hAnsi="Arial"/>
          <w:sz w:val="17"/>
          <w:szCs w:val="17"/>
          <w:color w:val="auto"/>
        </w:rPr>
        <w:t>ALPHARETTA, GEORGIA -- November 14, 2018 -- Priority Technology Holdings, Inc. (NASDAQ: PRTH) (“Priority” or the “Company”), a leading provider of merchant acquiring and commercial payment solutions, today announced results for the third quarter ended September 30, 2018.</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revenue in the third quarter of 2018 was $103.6 million, a decline of 6.6% compared to $110.9 million in the prior year period. A 10.5% year-over-year increase in bankcard processing dollar volume and a 6.8% increase in bankcard transactions were more than offset by the loss of business from certain high-margin e-commerce merchants.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Consolidated income from operations was $3.6 million for the quarter ended September 30, 2018 compared to $9.5 million in the prior year period. Consolidated net loss under GAAP for the third quarter of 2018 was $2.6 million, which included an income tax benefit of $1.0 million, compared to consolidated net income of $2.3 million in the third quarter of 2017. Consolidated Adjusted EBITDA was $12.7 million for the quarter ended September 30, 2018, compared to $15.6 million in the prior year period. Consolidated income from operations, net loss, and Adjusted EBITDA were negatively impacted by the loss of business from certain high-margin e-commerce merchants, increased interest expense, and one-time costs related to the public-company transaction, as well as costs associated with the continued ramp up of business in our Commercial Payments and Managed Services segment.</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third quarter, we saw continued strength in organic sales growth throughout our business and improvement in our gross profit trends, with double-digit transaction volume growth in the Consumer Payments and Commercial Payments and Managed Services segments, as well as the positive impact to gross profit from accretive acquisitions in our distribution channels and integrated technology offerings. Our results were negatively impacted by the closure of certain high-margin e-commerce merchants in our Consumer Payments segment representing approximately two percent of our processing volume. The card associations have recently announced new industry-wide compliance rules for this merchant channel, which we are implementing. As we rebuild revenue streams for subscription billing under the new card association rules, we are likewise taking a deliberate and disciplined approach to maximizing our organic volume and gross profit growth trends while managing a robust pipeline of accretive acquisitions,” said Tom Priore, Executive Chairman of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Update</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Priority’s acquisition strategy is focused on identifying immediately accretive purchases of residual sales channels designed to improve earnings and lock in long-term revenue and sales commitments with independent resellers. In addition to these purchases of merchant portfolios in the third quarter, the Company consummated three business acquisitions:</w:t>
      </w:r>
    </w:p>
    <w:p>
      <w:pPr>
        <w:spacing w:after="0" w:line="181"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Priority Payment Systems Northeast - previously an independent brand-licensed office of the Company with expertise in software-integrated payment services designed to manage turnkey installations of point-of-sale and supporting systems and marketing programs emphasizing online ordering systems and digital marketing campaigns.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Priority Payment Systems Tech Partners - previously an independent brand-licensed office of the Company with a track record and extensive network in the integrated payments and business-to-business (B2B) marketplaces.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RadPad and Landlord Station - operating under the "Priority Real Estate Technology" name, provides a holistic marketplace model for the down-stream rental real estate industry, including lead generation and conversion, facilitation of tenant screening and value-added services such as rent payments and other products for renters.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to the third quarter acquisitions, presently the Company is in final discussions to execute a number of accretive acquisitions that are expected to close in December and contribute approximately $20 million in annual Earn-out Adjusted EBITDA for 2018. The Company anticipates upsizing its existing credit facility with SunTrust to facilitate the transactions.</w:t>
      </w:r>
    </w:p>
    <w:p>
      <w:pPr>
        <w:spacing w:after="0" w:line="18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“Bringing a measure of liquidity to our distribution partners has been an important element of our success as it builds loyalty among our resellers and bolsters long term growth. Blending strategic distribution acquisitions with targeted integrated payment opportunities, like those we have lined up for the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 is core to our long term growth and value creation strategies,” said Chief Executive Officer John Priore.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2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2018 Outlook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Tom Priore concluded, “We remain confident in achieving our Earn-out Adjusted EBITDA (a non-GAAP Measure) target of $82.5 million for the full year 2018, despite the temporary industry-wide headwinds we’ve experienced in the subscription e-commerce market. Our growth is being driven by a combination of strong organic volumes and improved gross profit trends - in each of our business segments - along with several strategic, accretive acquisitions that affirm our position as a consolidation platform in payments, well positioned to create long term enterprise value for our shareholders.”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0A0A0A"/>
        </w:rPr>
        <w:t xml:space="preserve">Priority Technology Holdings Inc.’s leadership will host a conference call on Thursday, November 15, 2018 at 8:30 a.m. ET to discuss its third quarter financial results. Participants can access the call by phone at </w:t>
      </w:r>
      <w:r>
        <w:rPr>
          <w:rFonts w:ascii="Arial" w:cs="Arial" w:eastAsia="Arial" w:hAnsi="Arial"/>
          <w:sz w:val="17"/>
          <w:szCs w:val="17"/>
          <w:color w:val="000000"/>
        </w:rPr>
        <w:t>(877) 501-3161 or (786) 815-8443, or via the Internet at</w:t>
      </w:r>
      <w:r>
        <w:rPr>
          <w:rFonts w:ascii="Arial" w:cs="Arial" w:eastAsia="Arial" w:hAnsi="Arial"/>
          <w:sz w:val="17"/>
          <w:szCs w:val="17"/>
          <w:color w:val="0A0A0A"/>
        </w:rPr>
        <w:t xml:space="preserve"> </w:t>
      </w:r>
      <w:r>
        <w:rPr>
          <w:rFonts w:ascii="Arial" w:cs="Arial" w:eastAsia="Arial" w:hAnsi="Arial"/>
          <w:sz w:val="17"/>
          <w:szCs w:val="17"/>
          <w:u w:val="single" w:color="auto"/>
          <w:color w:val="0000FF"/>
        </w:rPr>
        <w:t>https://edge.media-server.com/m6/p/eybxyc72.</w:t>
      </w:r>
      <w:r>
        <w:rPr>
          <w:rFonts w:ascii="Arial" w:cs="Arial" w:eastAsia="Arial" w:hAnsi="Arial"/>
          <w:sz w:val="17"/>
          <w:szCs w:val="17"/>
          <w:color w:val="0000FF"/>
        </w:rPr>
        <w:t xml:space="preserve"> </w:t>
      </w:r>
      <w:r>
        <w:rPr>
          <w:rFonts w:ascii="Arial" w:cs="Arial" w:eastAsia="Arial" w:hAnsi="Arial"/>
          <w:sz w:val="17"/>
          <w:szCs w:val="17"/>
          <w:color w:val="000000"/>
        </w:rPr>
        <w:t>The webcast link will also be posted in the “Investor Relations” section of the Company’s website at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www.PRTH.com</w:t>
      </w:r>
      <w:r>
        <w:rPr>
          <w:rFonts w:ascii="Arial" w:cs="Arial" w:eastAsia="Arial" w:hAnsi="Arial"/>
          <w:sz w:val="17"/>
          <w:szCs w:val="17"/>
          <w:color w:val="000000"/>
        </w:rPr>
        <w:t>. An audio</w:t>
      </w:r>
      <w:r>
        <w:rPr>
          <w:rFonts w:ascii="Arial" w:cs="Arial" w:eastAsia="Arial" w:hAnsi="Arial"/>
          <w:sz w:val="17"/>
          <w:szCs w:val="17"/>
          <w:color w:val="0000FF"/>
        </w:rPr>
        <w:t xml:space="preserve"> </w:t>
      </w:r>
      <w:r>
        <w:rPr>
          <w:rFonts w:ascii="Arial" w:cs="Arial" w:eastAsia="Arial" w:hAnsi="Arial"/>
          <w:sz w:val="17"/>
          <w:szCs w:val="17"/>
          <w:color w:val="000000"/>
        </w:rPr>
        <w:t xml:space="preserve">replay of the call will be available shortly after the conference call by dialing (855) 859-2056 or (404) 537-3406 and entering conference ID number 5178847. Alternatively, you may access the webcast replay in the “Investor Relations” section of the Company’s website at </w:t>
      </w:r>
      <w:r>
        <w:rPr>
          <w:rFonts w:ascii="Arial" w:cs="Arial" w:eastAsia="Arial" w:hAnsi="Arial"/>
          <w:sz w:val="17"/>
          <w:szCs w:val="17"/>
          <w:u w:val="single" w:color="auto"/>
          <w:color w:val="0000FF"/>
        </w:rPr>
        <w:t>www.PRTH.com</w:t>
      </w:r>
      <w:r>
        <w:rPr>
          <w:rFonts w:ascii="Arial" w:cs="Arial" w:eastAsia="Arial" w:hAnsi="Arial"/>
          <w:sz w:val="17"/>
          <w:szCs w:val="17"/>
          <w:color w:val="000000"/>
        </w:rPr>
        <w: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 xml:space="preserve">Non-GAAP Financial Measures - </w:t>
      </w:r>
      <w:r>
        <w:rPr>
          <w:rFonts w:ascii="Arial" w:cs="Arial" w:eastAsia="Arial" w:hAnsi="Arial"/>
          <w:sz w:val="18"/>
          <w:szCs w:val="18"/>
          <w:i w:val="1"/>
          <w:iCs w:val="1"/>
          <w:color w:val="000000"/>
        </w:rPr>
        <w:t>EBITDA, Adjusted EBITDA and Earnout Adjusted EBITDA</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Included in this quarterly announcement are discussions and reconciliations of earnings before interest, income tax and depreciation and amortization (“EBITDA”) and EBITDA adjusted for certain non-cash, non-recurring or non-core expenses (“Adjusted EBITDA”) to net income in accordance with GAAP. Adjusted EBITDA excludes certain non-cash and other expenses, litigation settlement costs, certain legal services costs, professional and consulting fees and expenses, severance, separation and employee settlements, share-based compensation and one-time business combination expenses and certain adjustments. 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financial covenants under our debt agreements and the earnout incentive plan pursuant to the business combination and recapitalization events that occurred in the third quarter of 2018, are based on a measure similar to Adjusted EBITDA (“Earnout Adjusted EBITDA”). The calculations of Earnout Adjusted EBITDA under our debt agreements and the earnout incentive plan include adjustments for, among other things, pro forma effects related to acquired merchant portfolios and residual streams and run rate adjustments for certain contracted savings on an annualized basis, which are not included as adjustments to Adjusted EBITDA.</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or Earnout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Adjusted EBITDA and Earnout Adjusted EBITDA may differ from the methods used by other companies to calculate their non-GAAP measures.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Priority Technology Holdings,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Priority is a leading provider of merchant acquiring and commercial payment solutions, offering unique product and service capabilities to its merchant network and distribution partners. Our enterprise operates from a purpose-built business platform that includes tailored customer service offerings and bespoke technology development, allowing us to provide end-to-end solutions for payment and payment-adjacent opportunities. Additional information can be found at </w:t>
      </w:r>
      <w:r>
        <w:rPr>
          <w:rFonts w:ascii="Arial" w:cs="Arial" w:eastAsia="Arial" w:hAnsi="Arial"/>
          <w:sz w:val="18"/>
          <w:szCs w:val="18"/>
          <w:u w:val="single" w:color="auto"/>
          <w:color w:val="0000FF"/>
        </w:rPr>
        <w:t>www.PRTH.com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Forward-Looking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contains forward-looking statements that are subject to certain risks, trends and uncertainties that could cause actual results to differ materially from those projected, expressed, or implied by such forward-looking statements. In some cases, you can identify forward-looking statements by use of words such as "may, will, should, anticipates, believes, expects, plans,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future, intends, could, estimate, predict, projects, targeting, potential or contingent," the negative of these terms or other similar expressions. Our actual results could differ materially from those discussed or implied herein.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These filings are available online at </w:t>
      </w:r>
      <w:r>
        <w:rPr>
          <w:rFonts w:ascii="Arial" w:cs="Arial" w:eastAsia="Arial" w:hAnsi="Arial"/>
          <w:sz w:val="18"/>
          <w:szCs w:val="18"/>
          <w:u w:val="single" w:color="auto"/>
          <w:color w:val="0000FF"/>
        </w:rPr>
        <w:t>www.sec.gov</w:t>
      </w:r>
      <w:r>
        <w:rPr>
          <w:rFonts w:ascii="Arial" w:cs="Arial" w:eastAsia="Arial" w:hAnsi="Arial"/>
          <w:sz w:val="18"/>
          <w:szCs w:val="18"/>
          <w:color w:val="auto"/>
        </w:rPr>
        <w:t xml:space="preserve"> or </w:t>
      </w:r>
      <w:r>
        <w:rPr>
          <w:rFonts w:ascii="Arial" w:cs="Arial" w:eastAsia="Arial" w:hAnsi="Arial"/>
          <w:sz w:val="18"/>
          <w:szCs w:val="18"/>
          <w:u w:val="single" w:color="auto"/>
          <w:color w:val="0563C1"/>
        </w:rPr>
        <w:t>www.PRTH.com</w:t>
      </w:r>
      <w:r>
        <w:rPr>
          <w:rFonts w:ascii="Arial" w:cs="Arial" w:eastAsia="Arial" w:hAnsi="Arial"/>
          <w:sz w:val="18"/>
          <w:szCs w:val="18"/>
          <w:color w:val="000000"/>
        </w:rPr>
        <w: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and three quarters ended September 30, 2018 and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Quarter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0"/>
              </w:rPr>
              <w:t>Three quarters ended September</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79"/>
              </w:rPr>
              <w:t>30,</w:t>
            </w:r>
          </w:p>
        </w:tc>
        <w:tc>
          <w:tcPr>
            <w:tcW w:w="1060" w:type="dxa"/>
            <w:vAlign w:val="bottom"/>
          </w:tcPr>
          <w:p>
            <w:pPr>
              <w:spacing w:after="0"/>
              <w:rPr>
                <w:sz w:val="20"/>
                <w:szCs w:val="20"/>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card fees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94,915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299,661</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286,208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Outsourced services revenue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6,264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17,135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2,306</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103,591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110,946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323,949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305,649</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merchant card fees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230,276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219,507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Other costs of services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4,475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11,285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Salary and employee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24,356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12,679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11,254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8,143</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100,031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101,480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309,306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281,349</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6"/>
        </w:trPr>
        <w:tc>
          <w:tcPr>
            <w:tcW w:w="5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3,560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9,466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24,300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5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(7,334)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(21,893)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(18,600)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modification and extinguishment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loss and impairment of unconsolidated entities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other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(21,581)</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9"/>
        </w:trPr>
        <w:tc>
          <w:tcPr>
            <w:tcW w:w="5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 income before income taxes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(12,358)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2,719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6"/>
        </w:trPr>
        <w:tc>
          <w:tcPr>
            <w:tcW w:w="5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6"/>
        </w:trPr>
        <w:tc>
          <w:tcPr>
            <w:tcW w:w="5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304"/>
        </w:trPr>
        <w:tc>
          <w:tcPr>
            <w:tcW w:w="56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(11,367)</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2,719</w:t>
            </w:r>
          </w:p>
        </w:tc>
      </w:tr>
      <w:tr>
        <w:trPr>
          <w:trHeight w:val="230"/>
        </w:trPr>
        <w:tc>
          <w:tcPr>
            <w:tcW w:w="56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r>
      <w:tr>
        <w:trPr>
          <w:trHeight w:val="324"/>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6"/>
        </w:trPr>
        <w:tc>
          <w:tcPr>
            <w:tcW w:w="5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BUSINESS SEGMENT RESULTS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quarter and three quarters ended September 30, 2018 and 2017</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(unaudited)</w:t>
      </w:r>
    </w:p>
    <w:p>
      <w:pPr>
        <w:spacing w:after="0" w:line="369" w:lineRule="exact"/>
        <w:rPr>
          <w:sz w:val="20"/>
          <w:szCs w:val="20"/>
          <w:color w:val="auto"/>
        </w:rPr>
      </w:pPr>
    </w:p>
    <w:p>
      <w:pPr>
        <w:ind w:left="5072"/>
        <w:spacing w:after="0"/>
        <w:rPr>
          <w:sz w:val="20"/>
          <w:szCs w:val="20"/>
          <w:color w:val="auto"/>
        </w:rPr>
      </w:pPr>
      <w:r>
        <w:rPr>
          <w:rFonts w:ascii="Arial" w:cs="Arial" w:eastAsia="Arial" w:hAnsi="Arial"/>
          <w:sz w:val="18"/>
          <w:szCs w:val="18"/>
          <w:b w:val="1"/>
          <w:bCs w:val="1"/>
          <w:color w:val="auto"/>
        </w:rPr>
        <w:t>Quarter Ended September 30,</w:t>
      </w:r>
    </w:p>
    <w:p>
      <w:pPr>
        <w:spacing w:after="0" w:line="34" w:lineRule="exact"/>
        <w:rPr>
          <w:sz w:val="20"/>
          <w:szCs w:val="20"/>
          <w:color w:val="auto"/>
        </w:rPr>
      </w:pPr>
    </w:p>
    <w:tbl>
      <w:tblPr>
        <w:tblLayout w:type="fixed"/>
        <w:tblInd w:w="32" w:type="dxa"/>
        <w:tblCellMar>
          <w:top w:w="0" w:type="dxa"/>
          <w:left w:w="0" w:type="dxa"/>
          <w:bottom w:w="0" w:type="dxa"/>
          <w:right w:w="0" w:type="dxa"/>
        </w:tblCellMar>
      </w:tblPr>
      <w:tr>
        <w:trPr>
          <w:trHeight w:val="284"/>
        </w:trPr>
        <w:tc>
          <w:tcPr>
            <w:tcW w:w="44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top w:val="single" w:sz="8" w:color="auto"/>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CCEEFF"/>
              <w:bottom w:val="single" w:sz="8" w:color="CCEEFF"/>
            </w:tcBorders>
            <w:shd w:val="clear" w:color="auto" w:fill="CCEEFF"/>
          </w:tcPr>
          <w:p>
            <w:pPr>
              <w:spacing w:after="0"/>
              <w:rPr>
                <w:sz w:val="24"/>
                <w:szCs w:val="24"/>
                <w:color w:val="auto"/>
              </w:rPr>
            </w:pPr>
          </w:p>
        </w:tc>
        <w:tc>
          <w:tcPr>
            <w:tcW w:w="1560" w:type="dxa"/>
            <w:vAlign w:val="bottom"/>
            <w:tcBorders>
              <w:top w:val="single" w:sz="8" w:color="CCEEFF"/>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Change</w:t>
            </w:r>
          </w:p>
        </w:tc>
        <w:tc>
          <w:tcPr>
            <w:tcW w:w="1480" w:type="dxa"/>
            <w:vAlign w:val="bottom"/>
            <w:tcBorders>
              <w:top w:val="single" w:sz="8" w:color="CCEEFF"/>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44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gridSpan w:val="4"/>
          </w:tcPr>
          <w:p>
            <w:pPr>
              <w:jc w:val="right"/>
              <w:ind w:right="150"/>
              <w:spacing w:after="0"/>
              <w:rPr>
                <w:sz w:val="20"/>
                <w:szCs w:val="20"/>
                <w:color w:val="auto"/>
              </w:rPr>
            </w:pPr>
            <w:r>
              <w:rPr>
                <w:rFonts w:ascii="Arial" w:cs="Arial" w:eastAsia="Arial" w:hAnsi="Arial"/>
                <w:sz w:val="18"/>
                <w:szCs w:val="18"/>
                <w:i w:val="1"/>
                <w:iCs w:val="1"/>
                <w:color w:val="auto"/>
                <w:w w:val="92"/>
              </w:rPr>
              <w:t>(dollars and transaction volumes in thousands)</w:t>
            </w:r>
          </w:p>
        </w:tc>
        <w:tc>
          <w:tcPr>
            <w:tcW w:w="1480" w:type="dxa"/>
            <w:vAlign w:val="bottom"/>
            <w:tcBorders>
              <w:top w:val="single" w:sz="8" w:color="auto"/>
            </w:tcBorders>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Segment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95,801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104,334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(8,533)</w:t>
            </w:r>
          </w:p>
        </w:tc>
        <w:tc>
          <w:tcPr>
            <w:tcW w:w="14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(92,139)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(95,564)</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3,425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3,662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8,770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(5,108)</w:t>
            </w:r>
          </w:p>
        </w:tc>
        <w:tc>
          <w:tcPr>
            <w:tcW w:w="148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7"/>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margin</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bankcard processing dollar value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9,644,000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8,725,000</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919,000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Merchant bankcard transaction volume (1)</w:t>
            </w:r>
          </w:p>
        </w:tc>
        <w:tc>
          <w:tcPr>
            <w:tcW w:w="38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120,879</w:t>
            </w:r>
          </w:p>
        </w:tc>
        <w:tc>
          <w:tcPr>
            <w:tcW w:w="4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113,138</w:t>
            </w:r>
          </w:p>
        </w:tc>
        <w:tc>
          <w:tcPr>
            <w:tcW w:w="420" w:type="dxa"/>
            <w:vAlign w:val="bottom"/>
          </w:tcPr>
          <w:p>
            <w:pPr>
              <w:spacing w:after="0"/>
              <w:rPr>
                <w:sz w:val="21"/>
                <w:szCs w:val="21"/>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7,741</w:t>
            </w:r>
          </w:p>
        </w:tc>
        <w:tc>
          <w:tcPr>
            <w:tcW w:w="148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7"/>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4"/>
        </w:trPr>
        <w:tc>
          <w:tcPr>
            <w:tcW w:w="44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Commercial Payments and Managed Services: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7,790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6,612</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1,178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Segment operating expense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(7,892)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(5,916)</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(1,976)</w:t>
            </w:r>
          </w:p>
        </w:tc>
        <w:tc>
          <w:tcPr>
            <w:tcW w:w="1480" w:type="dxa"/>
            <w:vAlign w:val="bottom"/>
          </w:tcPr>
          <w:p>
            <w:pPr>
              <w:jc w:val="right"/>
              <w:spacing w:after="0"/>
              <w:rPr>
                <w:sz w:val="20"/>
                <w:szCs w:val="20"/>
                <w:color w:val="auto"/>
              </w:rPr>
            </w:pPr>
            <w:r>
              <w:rPr>
                <w:rFonts w:ascii="Arial" w:cs="Arial" w:eastAsia="Arial" w:hAnsi="Arial"/>
                <w:sz w:val="18"/>
                <w:szCs w:val="18"/>
                <w:color w:val="auto"/>
              </w:rPr>
              <w:t>33.4 %</w:t>
            </w:r>
          </w:p>
        </w:tc>
      </w:tr>
      <w:tr>
        <w:trPr>
          <w:trHeight w:val="27"/>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(loss)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696</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(798)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Segment operating margin</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72"/>
        <w:spacing w:after="0"/>
        <w:rPr>
          <w:sz w:val="20"/>
          <w:szCs w:val="20"/>
          <w:color w:val="auto"/>
        </w:rPr>
      </w:pPr>
      <w:r>
        <w:rPr>
          <w:rFonts w:ascii="Arial" w:cs="Arial" w:eastAsia="Arial" w:hAnsi="Arial"/>
          <w:sz w:val="18"/>
          <w:szCs w:val="18"/>
          <w:b w:val="1"/>
          <w:bCs w:val="1"/>
          <w:color w:val="auto"/>
        </w:rPr>
        <w:t>Three Quarters Ended September 30,</w:t>
      </w:r>
    </w:p>
    <w:p>
      <w:pPr>
        <w:spacing w:after="0" w:line="34" w:lineRule="exact"/>
        <w:rPr>
          <w:sz w:val="20"/>
          <w:szCs w:val="20"/>
          <w:color w:val="auto"/>
        </w:rPr>
      </w:pPr>
    </w:p>
    <w:tbl>
      <w:tblPr>
        <w:tblLayout w:type="fixed"/>
        <w:tblInd w:w="32" w:type="dxa"/>
        <w:tblCellMar>
          <w:top w:w="0" w:type="dxa"/>
          <w:left w:w="0" w:type="dxa"/>
          <w:bottom w:w="0" w:type="dxa"/>
          <w:right w:w="0" w:type="dxa"/>
        </w:tblCellMar>
      </w:tblPr>
      <w:tr>
        <w:trPr>
          <w:trHeight w:val="284"/>
        </w:trPr>
        <w:tc>
          <w:tcPr>
            <w:tcW w:w="446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top w:val="single" w:sz="8" w:color="auto"/>
              <w:bottom w:val="single" w:sz="8" w:color="CCEEFF"/>
            </w:tcBorders>
            <w:shd w:val="clear" w:color="auto" w:fill="CCEEFF"/>
          </w:tcPr>
          <w:p>
            <w:pPr>
              <w:spacing w:after="0"/>
              <w:rPr>
                <w:sz w:val="24"/>
                <w:szCs w:val="24"/>
                <w:color w:val="auto"/>
              </w:rPr>
            </w:pPr>
          </w:p>
        </w:tc>
        <w:tc>
          <w:tcPr>
            <w:tcW w:w="126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CCEEFF"/>
              <w:bottom w:val="single" w:sz="8" w:color="CCEEFF"/>
            </w:tcBorders>
            <w:shd w:val="clear" w:color="auto" w:fill="CCEEFF"/>
          </w:tcPr>
          <w:p>
            <w:pPr>
              <w:spacing w:after="0"/>
              <w:rPr>
                <w:sz w:val="24"/>
                <w:szCs w:val="24"/>
                <w:color w:val="auto"/>
              </w:rPr>
            </w:pPr>
          </w:p>
        </w:tc>
        <w:tc>
          <w:tcPr>
            <w:tcW w:w="1540" w:type="dxa"/>
            <w:vAlign w:val="bottom"/>
            <w:tcBorders>
              <w:top w:val="single" w:sz="8" w:color="CCEEFF"/>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Change</w:t>
            </w:r>
          </w:p>
        </w:tc>
        <w:tc>
          <w:tcPr>
            <w:tcW w:w="1500" w:type="dxa"/>
            <w:vAlign w:val="bottom"/>
            <w:tcBorders>
              <w:top w:val="single" w:sz="8" w:color="CCEEFF"/>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44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gridSpan w:val="4"/>
          </w:tcPr>
          <w:p>
            <w:pPr>
              <w:jc w:val="right"/>
              <w:ind w:right="150"/>
              <w:spacing w:after="0"/>
              <w:rPr>
                <w:sz w:val="20"/>
                <w:szCs w:val="20"/>
                <w:color w:val="auto"/>
              </w:rPr>
            </w:pPr>
            <w:r>
              <w:rPr>
                <w:rFonts w:ascii="Arial" w:cs="Arial" w:eastAsia="Arial" w:hAnsi="Arial"/>
                <w:sz w:val="18"/>
                <w:szCs w:val="18"/>
                <w:i w:val="1"/>
                <w:iCs w:val="1"/>
                <w:color w:val="auto"/>
                <w:w w:val="92"/>
              </w:rPr>
              <w:t>(dollars and transaction volumes in thousands)</w:t>
            </w:r>
          </w:p>
        </w:tc>
        <w:tc>
          <w:tcPr>
            <w:tcW w:w="1500" w:type="dxa"/>
            <w:vAlign w:val="bottom"/>
            <w:tcBorders>
              <w:top w:val="single" w:sz="8" w:color="auto"/>
            </w:tcBorders>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Segment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302,514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287,129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15,385</w:t>
            </w:r>
          </w:p>
        </w:tc>
        <w:tc>
          <w:tcPr>
            <w:tcW w:w="150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(287,444)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(264,672)</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(22,772)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15,070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22,457</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(7,387)</w:t>
            </w:r>
          </w:p>
        </w:tc>
        <w:tc>
          <w:tcPr>
            <w:tcW w:w="150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margin</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bankcard processing dollar value (1)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28,548,000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25,632,000</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2,916,000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Merchant bankcard transaction volume (1)</w:t>
            </w:r>
          </w:p>
        </w:tc>
        <w:tc>
          <w:tcPr>
            <w:tcW w:w="38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351,305</w:t>
            </w:r>
          </w:p>
        </w:tc>
        <w:tc>
          <w:tcPr>
            <w:tcW w:w="4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327,015</w:t>
            </w:r>
          </w:p>
        </w:tc>
        <w:tc>
          <w:tcPr>
            <w:tcW w:w="420" w:type="dxa"/>
            <w:vAlign w:val="bottom"/>
          </w:tcPr>
          <w:p>
            <w:pPr>
              <w:spacing w:after="0"/>
              <w:rPr>
                <w:sz w:val="21"/>
                <w:szCs w:val="21"/>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24,290</w:t>
            </w:r>
          </w:p>
        </w:tc>
        <w:tc>
          <w:tcPr>
            <w:tcW w:w="150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4"/>
        </w:trPr>
        <w:tc>
          <w:tcPr>
            <w:tcW w:w="4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Commercial Payments and Managed Services: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21,435</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18,520</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2,915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Segment operating expense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(21,862)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(16,677)</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(5,185)</w:t>
            </w:r>
          </w:p>
        </w:tc>
        <w:tc>
          <w:tcPr>
            <w:tcW w:w="1500" w:type="dxa"/>
            <w:vAlign w:val="bottom"/>
          </w:tcPr>
          <w:p>
            <w:pPr>
              <w:jc w:val="right"/>
              <w:spacing w:after="0"/>
              <w:rPr>
                <w:sz w:val="20"/>
                <w:szCs w:val="20"/>
                <w:color w:val="auto"/>
              </w:rPr>
            </w:pPr>
            <w:r>
              <w:rPr>
                <w:rFonts w:ascii="Arial" w:cs="Arial" w:eastAsia="Arial" w:hAnsi="Arial"/>
                <w:sz w:val="18"/>
                <w:szCs w:val="18"/>
                <w:color w:val="auto"/>
              </w:rPr>
              <w:t>31.1 %</w:t>
            </w:r>
          </w:p>
        </w:tc>
      </w:tr>
      <w:tr>
        <w:trPr>
          <w:trHeight w:val="27"/>
        </w:trPr>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(loss)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(427)</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1,843</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(2,270)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Segment operating margin</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spacing w:after="0" w:line="260" w:lineRule="exact"/>
        <w:rPr>
          <w:sz w:val="20"/>
          <w:szCs w:val="20"/>
          <w:color w:val="auto"/>
        </w:rPr>
      </w:pPr>
    </w:p>
    <w:p>
      <w:pPr>
        <w:ind w:left="-8" w:firstLine="8"/>
        <w:spacing w:after="0" w:line="363" w:lineRule="auto"/>
        <w:tabs>
          <w:tab w:leader="none" w:pos="505" w:val="left"/>
        </w:tabs>
        <w:numPr>
          <w:ilvl w:val="0"/>
          <w:numId w:val="4"/>
        </w:numPr>
        <w:rPr>
          <w:rFonts w:ascii="Arial" w:cs="Arial" w:eastAsia="Arial" w:hAnsi="Arial"/>
          <w:sz w:val="16"/>
          <w:szCs w:val="16"/>
          <w:color w:val="auto"/>
        </w:rPr>
      </w:pPr>
      <w:r>
        <w:rPr>
          <w:rFonts w:ascii="Arial" w:cs="Arial" w:eastAsia="Arial" w:hAnsi="Arial"/>
          <w:sz w:val="16"/>
          <w:szCs w:val="16"/>
          <w:color w:val="auto"/>
        </w:rPr>
        <w:t>Bankcard processing dollar values and transaction volumes presented in this table exclude data attributable to our Commercial Payments and Managed Services segment, related mainly to our CPX business.</w:t>
      </w:r>
    </w:p>
    <w:p>
      <w:pPr>
        <w:sectPr>
          <w:pgSz w:w="11900" w:h="16838" w:orient="portrait"/>
          <w:cols w:equalWidth="0" w:num="1">
            <w:col w:w="11412"/>
          </w:cols>
          <w:pgMar w:left="248"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12"/>
          </w:cols>
          <w:pgMar w:left="248" w:top="58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2018 and December 31,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27,966</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18,274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16,193</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Accounts receivable, net of allowance for doubtful accounts of $295 and $484,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47,433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Due from related parties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notes receivable</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3,442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7,207</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84,409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105,988</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97"/>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Notes receivable, less current portion</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3,807</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109,366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101,532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48,469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r>
      <w:tr>
        <w:trPr>
          <w:trHeight w:val="297"/>
        </w:trPr>
        <w:tc>
          <w:tcPr>
            <w:tcW w:w="72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327,306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266,707</w:t>
            </w:r>
          </w:p>
        </w:tc>
      </w:tr>
      <w:tr>
        <w:trPr>
          <w:trHeight w:val="230"/>
        </w:trPr>
        <w:tc>
          <w:tcPr>
            <w:tcW w:w="7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 (DEFICIT)</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26,614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18,603</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residual 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23,470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4,853</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Settlement obligations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11,805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10,474</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common unit repurchase obligation</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60,365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66,482</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debt, net of discounts and deferred financing costs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342,293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267,939</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Common unit repurchase obligation</w:t>
            </w:r>
          </w:p>
        </w:tc>
        <w:tc>
          <w:tcPr>
            <w:tcW w:w="20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7,690</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6,050</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long term liabilities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349,333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290,380</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69"/>
        </w:trPr>
        <w:tc>
          <w:tcPr>
            <w:tcW w:w="7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409,698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356,862</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Equity (deficit)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(82,392)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(90,155)</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84"/>
        </w:trPr>
        <w:tc>
          <w:tcPr>
            <w:tcW w:w="72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spacing w:after="0"/>
              <w:rPr>
                <w:sz w:val="24"/>
                <w:szCs w:val="24"/>
                <w:color w:val="auto"/>
              </w:rPr>
            </w:pPr>
          </w:p>
        </w:tc>
      </w:tr>
      <w:tr>
        <w:trPr>
          <w:trHeight w:val="257"/>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equity (deficit)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327,306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266,707</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96" w:right="239" w:bottom="1440" w:gutter="0" w:footer="0" w:header="0"/>
          <w:type w:val="continuous"/>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quarters ended September 30, 2018 and 2017</w:t>
      </w:r>
    </w:p>
    <w:p>
      <w:pPr>
        <w:spacing w:after="0" w:line="369" w:lineRule="exact"/>
        <w:rPr>
          <w:sz w:val="20"/>
          <w:szCs w:val="20"/>
          <w:color w:val="auto"/>
        </w:rPr>
      </w:pPr>
    </w:p>
    <w:p>
      <w:pPr>
        <w:ind w:left="8300"/>
        <w:spacing w:after="0"/>
        <w:rPr>
          <w:sz w:val="20"/>
          <w:szCs w:val="20"/>
          <w:color w:val="auto"/>
        </w:rPr>
      </w:pPr>
      <w:r>
        <w:rPr>
          <w:rFonts w:ascii="Arial" w:cs="Arial" w:eastAsia="Arial" w:hAnsi="Arial"/>
          <w:sz w:val="17"/>
          <w:szCs w:val="17"/>
          <w:b w:val="1"/>
          <w:bCs w:val="1"/>
          <w:color w:val="auto"/>
        </w:rPr>
        <w:t>Three quarters ended September 30,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37"/>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Adjustment to reconcile net (loss) income to net cash provided by operating activities: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11,254</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Equity-based compensation</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Amortization of debt discount</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loss and impairment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Provision for deferred income taxes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r>
      <w:tr>
        <w:trPr>
          <w:trHeight w:val="243"/>
        </w:trPr>
        <w:tc>
          <w:tcPr>
            <w:tcW w:w="8040" w:type="dxa"/>
            <w:vAlign w:val="bottom"/>
          </w:tcPr>
          <w:p>
            <w:pPr>
              <w:ind w:left="280"/>
              <w:spacing w:after="0"/>
              <w:rPr>
                <w:sz w:val="20"/>
                <w:szCs w:val="20"/>
                <w:color w:val="auto"/>
              </w:rPr>
            </w:pPr>
            <w:r>
              <w:rPr>
                <w:rFonts w:ascii="Arial" w:cs="Arial" w:eastAsia="Arial" w:hAnsi="Arial"/>
                <w:sz w:val="18"/>
                <w:szCs w:val="18"/>
                <w:color w:val="auto"/>
              </w:rPr>
              <w:t>Payment in kind interest</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3,795</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 net of business acquisitions: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(7,387)</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r>
      <w:tr>
        <w:trPr>
          <w:trHeight w:val="243"/>
        </w:trPr>
        <w:tc>
          <w:tcPr>
            <w:tcW w:w="80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3,657</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43"/>
        </w:trPr>
        <w:tc>
          <w:tcPr>
            <w:tcW w:w="8040" w:type="dxa"/>
            <w:vAlign w:val="bottom"/>
          </w:tcPr>
          <w:p>
            <w:pPr>
              <w:ind w:left="380"/>
              <w:spacing w:after="0"/>
              <w:rPr>
                <w:sz w:val="20"/>
                <w:szCs w:val="20"/>
                <w:color w:val="auto"/>
              </w:rPr>
            </w:pPr>
            <w:r>
              <w:rPr>
                <w:rFonts w:ascii="Arial" w:cs="Arial" w:eastAsia="Arial" w:hAnsi="Arial"/>
                <w:sz w:val="18"/>
                <w:szCs w:val="18"/>
                <w:color w:val="auto"/>
              </w:rPr>
              <w:t>Accounts payable, accrued expenses and accrued residual commissions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9,499</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w:t>
            </w:r>
          </w:p>
        </w:tc>
      </w:tr>
      <w:tr>
        <w:trPr>
          <w:trHeight w:val="243"/>
        </w:trPr>
        <w:tc>
          <w:tcPr>
            <w:tcW w:w="8040" w:type="dxa"/>
            <w:vAlign w:val="bottom"/>
          </w:tcPr>
          <w:p>
            <w:pPr>
              <w:ind w:left="380"/>
              <w:spacing w:after="0"/>
              <w:rPr>
                <w:sz w:val="20"/>
                <w:szCs w:val="20"/>
                <w:color w:val="auto"/>
              </w:rPr>
            </w:pPr>
            <w:r>
              <w:rPr>
                <w:rFonts w:ascii="Arial" w:cs="Arial" w:eastAsia="Arial" w:hAnsi="Arial"/>
                <w:sz w:val="18"/>
                <w:szCs w:val="18"/>
                <w:color w:val="auto"/>
              </w:rPr>
              <w:t>Customer deposits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8040" w:type="dxa"/>
            <w:vAlign w:val="bottom"/>
          </w:tcPr>
          <w:p>
            <w:pPr>
              <w:ind w:left="28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28,979</w:t>
            </w:r>
          </w:p>
        </w:tc>
      </w:tr>
      <w:tr>
        <w:trPr>
          <w:trHeight w:val="27"/>
        </w:trPr>
        <w:tc>
          <w:tcPr>
            <w:tcW w:w="8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(4,866)</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of merchant portfolios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r>
      <w:tr>
        <w:trPr>
          <w:trHeight w:val="237"/>
        </w:trPr>
        <w:tc>
          <w:tcPr>
            <w:tcW w:w="8040" w:type="dxa"/>
            <w:vAlign w:val="bottom"/>
          </w:tcPr>
          <w:p>
            <w:pPr>
              <w:ind w:left="28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(7,350)</w:t>
            </w:r>
          </w:p>
        </w:tc>
      </w:tr>
      <w:tr>
        <w:trPr>
          <w:trHeight w:val="27"/>
        </w:trPr>
        <w:tc>
          <w:tcPr>
            <w:tcW w:w="8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 term debt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276,290</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Repayment of long term debt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(90,196)</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Distributions to members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(3,399)</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of membership interest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(203,000)</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Recapitalization proceeds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49,389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Founders shares redemptions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Redemption of warrants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Recapitalization costs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40" w:type="dxa"/>
            <w:vAlign w:val="bottom"/>
          </w:tcPr>
          <w:p>
            <w:pPr>
              <w:ind w:left="2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(24,875)</w:t>
            </w:r>
          </w:p>
        </w:tc>
      </w:tr>
      <w:tr>
        <w:trPr>
          <w:trHeight w:val="27"/>
        </w:trPr>
        <w:tc>
          <w:tcPr>
            <w:tcW w:w="8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 in cash and restricted cash:</w:t>
      </w:r>
    </w:p>
    <w:p>
      <w:pPr>
        <w:sectPr>
          <w:pgSz w:w="11900" w:h="16838" w:orient="portrait"/>
          <w:cols w:equalWidth="0" w:num="1">
            <w:col w:w="11320"/>
          </w:cols>
          <w:pgMar w:left="240" w:top="580" w:right="339" w:bottom="1440" w:gutter="0" w:footer="0" w:header="0"/>
        </w:sect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20"/>
          </w:cols>
          <w:pgMar w:left="240" w:top="580"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7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cash and restricted cash</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Cash and restricted cash at the beginning of year</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44,159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41,702</w:t>
            </w:r>
          </w:p>
        </w:tc>
      </w:tr>
      <w:tr>
        <w:trPr>
          <w:trHeight w:val="27"/>
        </w:trPr>
        <w:tc>
          <w:tcPr>
            <w:tcW w:w="80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restricted cash at September 30</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35,477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38,456</w:t>
            </w:r>
          </w:p>
        </w:tc>
      </w:tr>
      <w:tr>
        <w:trPr>
          <w:trHeight w:val="20"/>
        </w:trPr>
        <w:tc>
          <w:tcPr>
            <w:tcW w:w="8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4"/>
        </w:trPr>
        <w:tc>
          <w:tcPr>
            <w:tcW w:w="8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16,537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13,708</w:t>
            </w:r>
          </w:p>
        </w:tc>
      </w:tr>
      <w:tr>
        <w:trPr>
          <w:trHeight w:val="27"/>
        </w:trPr>
        <w:tc>
          <w:tcPr>
            <w:tcW w:w="8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Recognition of initial net deferred income tax asset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8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Notes receivable from sellers used as partial consideration for business acquisitions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 through accounts payable</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8040" w:type="dxa"/>
            <w:vAlign w:val="bottom"/>
          </w:tcPr>
          <w:p>
            <w:pPr>
              <w:ind w:left="120"/>
              <w:spacing w:after="0"/>
              <w:rPr>
                <w:sz w:val="20"/>
                <w:szCs w:val="20"/>
                <w:color w:val="auto"/>
              </w:rPr>
            </w:pPr>
            <w:r>
              <w:rPr>
                <w:rFonts w:ascii="Arial" w:cs="Arial" w:eastAsia="Arial" w:hAnsi="Arial"/>
                <w:sz w:val="18"/>
                <w:szCs w:val="18"/>
                <w:color w:val="auto"/>
              </w:rPr>
              <w:t>Cash consideration payable for business acquisition</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Recapitalization costs remaining in accounts payable</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120"/>
              <w:spacing w:after="0"/>
              <w:rPr>
                <w:sz w:val="20"/>
                <w:szCs w:val="20"/>
                <w:color w:val="auto"/>
              </w:rPr>
            </w:pPr>
            <w:r>
              <w:rPr>
                <w:rFonts w:ascii="Arial" w:cs="Arial" w:eastAsia="Arial" w:hAnsi="Arial"/>
                <w:sz w:val="18"/>
                <w:szCs w:val="18"/>
                <w:color w:val="auto"/>
              </w:rPr>
              <w:t>Common stock issued as partial consideration in business acquisitions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unit repurchase obligation</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9,190</w:t>
            </w:r>
          </w:p>
        </w:tc>
      </w:tr>
      <w:tr>
        <w:trPr>
          <w:trHeight w:val="27"/>
        </w:trPr>
        <w:tc>
          <w:tcPr>
            <w:tcW w:w="80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734"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GAAP TO ADJUSTED RESULTS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reconciliations of EBITDA, Adjusted EBITDA and Earnout Adjusted EBITDA to net (loss) income, the most directly comparable financial measure calculated and presented in accordance with GAAP, are shown in the table below:</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Quarter Ended</w:t>
            </w:r>
          </w:p>
        </w:tc>
        <w:tc>
          <w:tcPr>
            <w:tcW w:w="300" w:type="dxa"/>
            <w:vAlign w:val="bottom"/>
          </w:tcPr>
          <w:p>
            <w:pPr>
              <w:spacing w:after="0"/>
              <w:rPr>
                <w:sz w:val="18"/>
                <w:szCs w:val="18"/>
                <w:color w:val="auto"/>
              </w:rPr>
            </w:pPr>
          </w:p>
        </w:tc>
        <w:tc>
          <w:tcPr>
            <w:tcW w:w="25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Quarters Ended</w:t>
            </w:r>
          </w:p>
        </w:tc>
      </w:tr>
      <w:tr>
        <w:trPr>
          <w:trHeight w:val="234"/>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20"/>
                <w:szCs w:val="20"/>
                <w:color w:val="auto"/>
              </w:rPr>
            </w:pPr>
          </w:p>
        </w:tc>
        <w:tc>
          <w:tcPr>
            <w:tcW w:w="26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25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64"/>
        </w:trPr>
        <w:tc>
          <w:tcPr>
            <w:tcW w:w="5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(GAAP)</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2,719</w:t>
            </w: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Adjusted for:</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Interest expense (1)</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18,600</w:t>
            </w: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Add: Depreciation and amortization</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11,254</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Corporate 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580" w:type="dxa"/>
            <w:vAlign w:val="bottom"/>
          </w:tcPr>
          <w:p>
            <w:pPr>
              <w:ind w:left="160"/>
              <w:spacing w:after="0"/>
              <w:rPr>
                <w:sz w:val="20"/>
                <w:szCs w:val="20"/>
                <w:color w:val="auto"/>
              </w:rPr>
            </w:pPr>
            <w:r>
              <w:rPr>
                <w:rFonts w:ascii="Arial" w:cs="Arial" w:eastAsia="Arial" w:hAnsi="Arial"/>
                <w:sz w:val="18"/>
                <w:szCs w:val="18"/>
                <w:b w:val="1"/>
                <w:bCs w:val="1"/>
                <w:color w:val="auto"/>
              </w:rPr>
              <w:t>EBITDA (non-GAAP)</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12,278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22,214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32,573</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Further adjusted for: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Add: Non-cash and certain other expense (2)</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3,010</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Litigation settlement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Add: Certain legal services (3)</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3,286</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Professional and consulting fees and expenses (4)</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w:t>
            </w: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Add: Severance, separation and employee settlements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139</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Equity-based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Add: Other non-recurring expenses and adjustments</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40,376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40,802</w:t>
            </w: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Further adjusted for:</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Other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Add: Pro-forma impacts for acquisitions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1,003</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Contracted revenue and savings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1,743</w:t>
            </w:r>
          </w:p>
        </w:tc>
      </w:tr>
      <w:tr>
        <w:trPr>
          <w:trHeight w:val="257"/>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Earnout Adjusted EBITDA (non-GAAP)</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13,818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15,920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51,079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43,698</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Interest expense consists of interest on outstanding debt and amortization of deferred financing fees and original issue discounts.</w:t>
      </w:r>
    </w:p>
    <w:p>
      <w:pPr>
        <w:spacing w:after="0" w:line="194" w:lineRule="exact"/>
        <w:rPr>
          <w:rFonts w:ascii="Arial" w:cs="Arial" w:eastAsia="Arial" w:hAnsi="Arial"/>
          <w:sz w:val="16"/>
          <w:szCs w:val="16"/>
          <w:color w:val="auto"/>
        </w:rPr>
      </w:pPr>
    </w:p>
    <w:p>
      <w:pPr>
        <w:ind w:firstLine="8"/>
        <w:spacing w:after="0" w:line="349" w:lineRule="auto"/>
        <w:tabs>
          <w:tab w:leader="none" w:pos="232"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non-cash fair value and other adjustments, including change in fair value of warrants, debt modification/extinguishment expenses, change in fair value of earnout obligations, equity in loss and impairment of unconsolidated entities and, to a lesser extent, certain non-recurring Business Combination and integration-related expenses.</w:t>
      </w:r>
    </w:p>
    <w:p>
      <w:pPr>
        <w:spacing w:after="0" w:line="98" w:lineRule="exact"/>
        <w:rPr>
          <w:rFonts w:ascii="Arial" w:cs="Arial" w:eastAsia="Arial" w:hAnsi="Arial"/>
          <w:sz w:val="14"/>
          <w:szCs w:val="14"/>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Legal services relates to acquisitions, legal settlements and other litigation expenses.</w:t>
      </w:r>
    </w:p>
    <w:p>
      <w:pPr>
        <w:spacing w:after="0" w:line="194" w:lineRule="exact"/>
        <w:rPr>
          <w:rFonts w:ascii="Arial" w:cs="Arial" w:eastAsia="Arial" w:hAnsi="Arial"/>
          <w:sz w:val="16"/>
          <w:szCs w:val="16"/>
          <w:color w:val="auto"/>
        </w:rPr>
      </w:pPr>
    </w:p>
    <w:p>
      <w:pPr>
        <w:ind w:firstLine="8"/>
        <w:spacing w:after="0" w:line="275" w:lineRule="auto"/>
        <w:tabs>
          <w:tab w:leader="none" w:pos="266"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Primarily Business Combination related, capital markets, accounting advisory, IT consulting and sponsor management fees and expenses, as well as a consulting arrangement with a non-independent director.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2020-01-11T00:23:28Z</dcterms:created>
  <dcterms:modified xsi:type="dcterms:W3CDTF">2020-01-11T00:23:28Z</dcterms:modified>
</cp:coreProperties>
</file>