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0279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27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Favilla Christina M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 w:line="27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PRIORITY TECHNOLOGY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Priority Technology Holdings,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PRTH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4"/>
        <w:spacing w:after="0"/>
        <w:tabs>
          <w:tab w:leader="none" w:pos="514" w:val="left"/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540"/>
            <w:col w:w="3620" w:space="206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ind w:left="2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5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  GA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07/01/2022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4,613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8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8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74,142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4,613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9,224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February 25, 2022, the Reporting Person was granted 18,450 restricted stock units which vest 25% on April 1, 2022, 25% on July 1, 2022, 25% on October 1, 2022, and 25% on January 1, 2023 subject to the Reporting Person's continued service as a director of the Issuer.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Christina M Favilla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9690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0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Bradley J. Miller,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-635</wp:posOffset>
            </wp:positionV>
            <wp:extent cx="13246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4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3041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07/06/2022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-635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07/06/2022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-635</wp:posOffset>
            </wp:positionV>
            <wp:extent cx="48895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2" Type="http://schemas.openxmlformats.org/officeDocument/2006/relationships/hyperlink" Target="http://www.sec.gov/cgi-bin/browse-edgar?action=getcompany&amp;CIK=0001711487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2022-07-06T16:24:56Z</dcterms:created>
  <dcterms:modified xsi:type="dcterms:W3CDTF">2022-07-06T16:24:56Z</dcterms:modified>
</cp:coreProperties>
</file>