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1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(Name of Issuer)</w:t>
      </w:r>
    </w:p>
    <w:p>
      <w:pPr>
        <w:spacing w:after="0" w:line="3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3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74275G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(CUSIP Number)</w:t>
      </w:r>
    </w:p>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John V. Priore</w:t>
      </w:r>
    </w:p>
    <w:p>
      <w:pPr>
        <w:jc w:val="center"/>
        <w:ind w:right="-79"/>
        <w:spacing w:after="0" w:line="211" w:lineRule="auto"/>
        <w:rPr>
          <w:sz w:val="20"/>
          <w:szCs w:val="20"/>
          <w:color w:val="auto"/>
        </w:rPr>
      </w:pPr>
      <w:r>
        <w:rPr>
          <w:rFonts w:ascii="Times New Roman" w:cs="Times New Roman" w:eastAsia="Times New Roman" w:hAnsi="Times New Roman"/>
          <w:sz w:val="16"/>
          <w:szCs w:val="16"/>
          <w:color w:val="auto"/>
        </w:rPr>
        <w:t>c/o Priority Technology Holdings, Inc.</w:t>
      </w:r>
    </w:p>
    <w:p>
      <w:pPr>
        <w:jc w:val="center"/>
        <w:ind w:right="-79"/>
        <w:spacing w:after="0" w:line="211" w:lineRule="auto"/>
        <w:rPr>
          <w:sz w:val="20"/>
          <w:szCs w:val="20"/>
          <w:color w:val="auto"/>
        </w:rPr>
      </w:pPr>
      <w:r>
        <w:rPr>
          <w:rFonts w:ascii="Times New Roman" w:cs="Times New Roman" w:eastAsia="Times New Roman" w:hAnsi="Times New Roman"/>
          <w:sz w:val="16"/>
          <w:szCs w:val="16"/>
          <w:color w:val="auto"/>
        </w:rPr>
        <w:t>2001 Westside Parkway, Suite 155</w:t>
      </w:r>
    </w:p>
    <w:p>
      <w:pPr>
        <w:jc w:val="center"/>
        <w:ind w:right="-79"/>
        <w:spacing w:after="0" w:line="211" w:lineRule="auto"/>
        <w:rPr>
          <w:sz w:val="20"/>
          <w:szCs w:val="20"/>
          <w:color w:val="auto"/>
        </w:rPr>
      </w:pPr>
      <w:r>
        <w:rPr>
          <w:rFonts w:ascii="Times New Roman" w:cs="Times New Roman" w:eastAsia="Times New Roman" w:hAnsi="Times New Roman"/>
          <w:sz w:val="16"/>
          <w:szCs w:val="16"/>
          <w:color w:val="auto"/>
        </w:rPr>
        <w:t>Alpharetta, GA 30004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(800) 935-5961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(Name, Address and Telephone Number of Person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Authorized to Receive Notices and Communications)</w:t>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89"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Schedules filed in paper format shall include a signed original and five copies of the schedule, including all exhibits. See §240.13d-7 for other parties to whom copies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to be sent.</w:t>
      </w:r>
    </w:p>
    <w:p>
      <w:pPr>
        <w:spacing w:after="0" w:line="27" w:lineRule="exact"/>
        <w:rPr>
          <w:sz w:val="24"/>
          <w:szCs w:val="24"/>
          <w:color w:val="auto"/>
        </w:rPr>
      </w:pPr>
    </w:p>
    <w:p>
      <w:pPr>
        <w:ind w:right="60" w:firstLine="8"/>
        <w:spacing w:after="0" w:line="225" w:lineRule="auto"/>
        <w:tabs>
          <w:tab w:leader="none" w:pos="93" w:val="left"/>
        </w:tabs>
        <w:numPr>
          <w:ilvl w:val="0"/>
          <w:numId w:val="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7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CUSIP No. 74275G 107</w:t>
            </w:r>
          </w:p>
        </w:tc>
        <w:tc>
          <w:tcPr>
            <w:tcW w:w="226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4"/>
              </w:rPr>
              <w:t>13D</w:t>
            </w:r>
          </w:p>
        </w:tc>
      </w:tr>
    </w:tbl>
    <w:p>
      <w:pPr>
        <w:sectPr>
          <w:pgSz w:w="11900" w:h="16838" w:orient="portrait"/>
          <w:cols w:equalWidth="0" w:num="1">
            <w:col w:w="11160"/>
          </w:cols>
          <w:pgMar w:left="320" w:top="1440"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ind w:left="700" w:right="1859" w:hanging="514"/>
        <w:spacing w:after="0" w:line="413" w:lineRule="auto"/>
        <w:tabs>
          <w:tab w:leader="none" w:pos="7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I.R.S. IDENTIFICATION NOS. OF ABOVE PERSONS (ENTITIES ONLY) John V. Priore</w:t>
      </w:r>
    </w:p>
    <w:p>
      <w:pPr>
        <w:spacing w:after="0" w:line="14" w:lineRule="exact"/>
        <w:rPr>
          <w:rFonts w:ascii="Times New Roman" w:cs="Times New Roman" w:eastAsia="Times New Roman" w:hAnsi="Times New Roman"/>
          <w:sz w:val="16"/>
          <w:szCs w:val="16"/>
          <w:color w:val="auto"/>
        </w:rPr>
      </w:pPr>
    </w:p>
    <w:p>
      <w:pPr>
        <w:ind w:left="700" w:right="4939" w:hanging="514"/>
        <w:spacing w:after="0" w:line="260" w:lineRule="auto"/>
        <w:tabs>
          <w:tab w:leader="none" w:pos="7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1040" w:hanging="346"/>
        <w:spacing w:after="0" w:line="184" w:lineRule="exact"/>
        <w:tabs>
          <w:tab w:leader="none" w:pos="1040" w:val="left"/>
        </w:tabs>
        <w:numPr>
          <w:ilvl w:val="1"/>
          <w:numId w:val="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5" w:lineRule="exact"/>
        <w:rPr>
          <w:rFonts w:ascii="Times New Roman" w:cs="Times New Roman" w:eastAsia="Times New Roman" w:hAnsi="Times New Roman"/>
          <w:sz w:val="16"/>
          <w:szCs w:val="16"/>
          <w:color w:val="auto"/>
        </w:rPr>
      </w:pPr>
    </w:p>
    <w:p>
      <w:pPr>
        <w:ind w:left="1040" w:hanging="346"/>
        <w:spacing w:after="0" w:line="184" w:lineRule="exact"/>
        <w:tabs>
          <w:tab w:leader="none" w:pos="1040" w:val="left"/>
        </w:tabs>
        <w:numPr>
          <w:ilvl w:val="1"/>
          <w:numId w:val="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68" w:lineRule="exact"/>
        <w:rPr>
          <w:rFonts w:ascii="Times New Roman" w:cs="Times New Roman" w:eastAsia="Times New Roman" w:hAnsi="Times New Roman"/>
          <w:sz w:val="16"/>
          <w:szCs w:val="16"/>
          <w:color w:val="auto"/>
        </w:rPr>
      </w:pPr>
    </w:p>
    <w:p>
      <w:pPr>
        <w:ind w:left="700" w:hanging="514"/>
        <w:spacing w:after="0"/>
        <w:tabs>
          <w:tab w:leader="none" w:pos="7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75" w:lineRule="exact"/>
        <w:rPr>
          <w:rFonts w:ascii="Times New Roman" w:cs="Times New Roman" w:eastAsia="Times New Roman" w:hAnsi="Times New Roman"/>
          <w:sz w:val="16"/>
          <w:szCs w:val="16"/>
          <w:color w:val="auto"/>
        </w:rPr>
      </w:pPr>
    </w:p>
    <w:p>
      <w:pPr>
        <w:ind w:left="700" w:hanging="514"/>
        <w:spacing w:after="0"/>
        <w:tabs>
          <w:tab w:leader="none" w:pos="7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-964565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OO (See Item 3)</w:t>
      </w:r>
    </w:p>
    <w:p>
      <w:pPr>
        <w:spacing w:after="0" w:line="37" w:lineRule="exact"/>
        <w:rPr>
          <w:sz w:val="20"/>
          <w:szCs w:val="20"/>
          <w:color w:val="auto"/>
        </w:rPr>
      </w:pPr>
    </w:p>
    <w:p>
      <w:pPr>
        <w:ind w:left="180"/>
        <w:spacing w:after="0" w:line="184" w:lineRule="exact"/>
        <w:tabs>
          <w:tab w:leader="none" w:pos="680" w:val="left"/>
          <w:tab w:leader="none" w:pos="8520" w:val="left"/>
        </w:tabs>
        <w:rPr>
          <w:sz w:val="20"/>
          <w:szCs w:val="20"/>
          <w:color w:val="auto"/>
        </w:rPr>
      </w:pPr>
      <w:r>
        <w:rPr>
          <w:rFonts w:ascii="Times New Roman" w:cs="Times New Roman" w:eastAsia="Times New Roman" w:hAnsi="Times New Roman"/>
          <w:sz w:val="16"/>
          <w:szCs w:val="16"/>
          <w:color w:val="auto"/>
        </w:rPr>
        <w:t>5.</w:t>
      </w:r>
      <w:r>
        <w:rPr>
          <w:sz w:val="20"/>
          <w:szCs w:val="20"/>
          <w:color w:val="auto"/>
        </w:rPr>
        <w:tab/>
      </w:r>
      <w:r>
        <w:rPr>
          <w:rFonts w:ascii="Times New Roman" w:cs="Times New Roman" w:eastAsia="Times New Roman" w:hAnsi="Times New Roman"/>
          <w:sz w:val="16"/>
          <w:szCs w:val="16"/>
          <w:color w:val="auto"/>
        </w:rPr>
        <w:t>CHECK BOX IF DISCLOSURE OF LEGAL PROCEEDINGS IS REQUIRED PURSUANT TO ITEMS 2(d) or 2(e)</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-110490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0"/>
          <w:szCs w:val="20"/>
          <w:color w:val="auto"/>
        </w:rPr>
      </w:pPr>
    </w:p>
    <w:p>
      <w:pPr>
        <w:ind w:left="700" w:right="6119" w:hanging="514"/>
        <w:spacing w:after="0" w:line="545" w:lineRule="auto"/>
        <w:tabs>
          <w:tab w:leader="none" w:pos="7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United States</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2640" w:right="5799" w:hanging="429"/>
        <w:spacing w:after="0" w:line="413" w:lineRule="auto"/>
        <w:tabs>
          <w:tab w:leader="none" w:pos="26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50,913</w:t>
      </w:r>
    </w:p>
    <w:p>
      <w:pPr>
        <w:spacing w:after="0" w:line="14" w:lineRule="exact"/>
        <w:rPr>
          <w:rFonts w:ascii="Times New Roman" w:cs="Times New Roman" w:eastAsia="Times New Roman" w:hAnsi="Times New Roman"/>
          <w:sz w:val="16"/>
          <w:szCs w:val="16"/>
          <w:color w:val="auto"/>
        </w:rPr>
      </w:pPr>
    </w:p>
    <w:p>
      <w:pPr>
        <w:ind w:left="2640" w:hanging="429"/>
        <w:spacing w:after="0"/>
        <w:tabs>
          <w:tab w:leader="none" w:pos="26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VOTING POWER</w:t>
      </w:r>
    </w:p>
    <w:p>
      <w:pPr>
        <w:spacing w:after="0" w:line="23" w:lineRule="exact"/>
        <w:rPr>
          <w:rFonts w:ascii="Times New Roman" w:cs="Times New Roman" w:eastAsia="Times New Roman" w:hAnsi="Times New Roman"/>
          <w:sz w:val="16"/>
          <w:szCs w:val="16"/>
          <w:color w:val="auto"/>
        </w:rPr>
      </w:pPr>
    </w:p>
    <w:p>
      <w:pPr>
        <w:ind w:left="6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w:t>
      </w:r>
    </w:p>
    <w:p>
      <w:pPr>
        <w:ind w:left="180" w:right="6839" w:firstLine="103"/>
        <w:spacing w:after="0" w:line="1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BENEFICIALLY 8,701,798 OWNED BY EACH</w:t>
      </w:r>
    </w:p>
    <w:p>
      <w:pPr>
        <w:spacing w:after="0" w:line="1" w:lineRule="exact"/>
        <w:rPr>
          <w:rFonts w:ascii="Times New Roman" w:cs="Times New Roman" w:eastAsia="Times New Roman" w:hAnsi="Times New Roman"/>
          <w:sz w:val="16"/>
          <w:szCs w:val="16"/>
          <w:color w:val="auto"/>
        </w:rPr>
      </w:pPr>
    </w:p>
    <w:p>
      <w:pPr>
        <w:ind w:left="80" w:firstLine="2131"/>
        <w:spacing w:after="0"/>
        <w:tabs>
          <w:tab w:leader="none" w:pos="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DISPOSITIVE POWERREPORTINGPERSON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-1370330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-144780</wp:posOffset>
            </wp:positionV>
            <wp:extent cx="586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-556260</wp:posOffset>
            </wp:positionV>
            <wp:extent cx="586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WITH</w:t>
      </w:r>
    </w:p>
    <w:p>
      <w:pPr>
        <w:spacing w:after="0" w:line="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50,913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26035</wp:posOffset>
            </wp:positionV>
            <wp:extent cx="5863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48" w:lineRule="exact"/>
        <w:rPr>
          <w:sz w:val="20"/>
          <w:szCs w:val="20"/>
          <w:color w:val="auto"/>
        </w:rPr>
      </w:pPr>
    </w:p>
    <w:p>
      <w:pPr>
        <w:ind w:left="2640" w:right="5199" w:hanging="510"/>
        <w:spacing w:after="0" w:line="527" w:lineRule="auto"/>
        <w:tabs>
          <w:tab w:leader="none" w:pos="2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8,701,798</w:t>
      </w:r>
    </w:p>
    <w:p>
      <w:pPr>
        <w:spacing w:after="0" w:line="200" w:lineRule="exact"/>
        <w:rPr>
          <w:rFonts w:ascii="Times New Roman" w:cs="Times New Roman" w:eastAsia="Times New Roman" w:hAnsi="Times New Roman"/>
          <w:sz w:val="16"/>
          <w:szCs w:val="16"/>
          <w:color w:val="auto"/>
        </w:rPr>
      </w:pPr>
    </w:p>
    <w:p>
      <w:pPr>
        <w:spacing w:after="0" w:line="260" w:lineRule="exact"/>
        <w:rPr>
          <w:rFonts w:ascii="Times New Roman" w:cs="Times New Roman" w:eastAsia="Times New Roman" w:hAnsi="Times New Roman"/>
          <w:sz w:val="16"/>
          <w:szCs w:val="16"/>
          <w:color w:val="auto"/>
        </w:rPr>
      </w:pPr>
    </w:p>
    <w:p>
      <w:pPr>
        <w:ind w:left="700" w:right="3519" w:hanging="575"/>
        <w:spacing w:after="0" w:line="413" w:lineRule="auto"/>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8,752,711</w:t>
      </w:r>
    </w:p>
    <w:p>
      <w:pPr>
        <w:spacing w:after="0" w:line="14" w:lineRule="exact"/>
        <w:rPr>
          <w:rFonts w:ascii="Times New Roman" w:cs="Times New Roman" w:eastAsia="Times New Roman" w:hAnsi="Times New Roman"/>
          <w:sz w:val="16"/>
          <w:szCs w:val="16"/>
          <w:color w:val="auto"/>
        </w:rPr>
      </w:pPr>
    </w:p>
    <w:p>
      <w:pPr>
        <w:ind w:left="700" w:right="2979" w:hanging="581"/>
        <w:spacing w:after="0" w:line="220" w:lineRule="exact"/>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209" w:lineRule="exact"/>
        <w:rPr>
          <w:rFonts w:ascii="Times New Roman" w:cs="Times New Roman" w:eastAsia="Times New Roman" w:hAnsi="Times New Roman"/>
          <w:sz w:val="16"/>
          <w:szCs w:val="16"/>
          <w:color w:val="auto"/>
        </w:rPr>
      </w:pPr>
    </w:p>
    <w:p>
      <w:pPr>
        <w:ind w:left="700" w:hanging="581"/>
        <w:spacing w:after="0"/>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(11)</w:t>
      </w:r>
    </w:p>
    <w:p>
      <w:pPr>
        <w:spacing w:after="0" w:line="207"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 (based on 75,792,939 shares of Common Stock outstanding on March 25, 2024)</w:t>
      </w:r>
    </w:p>
    <w:p>
      <w:pPr>
        <w:spacing w:after="0" w:line="72" w:lineRule="exact"/>
        <w:rPr>
          <w:rFonts w:ascii="Times New Roman" w:cs="Times New Roman" w:eastAsia="Times New Roman" w:hAnsi="Times New Roman"/>
          <w:sz w:val="16"/>
          <w:szCs w:val="16"/>
          <w:color w:val="auto"/>
        </w:rPr>
      </w:pPr>
    </w:p>
    <w:p>
      <w:pPr>
        <w:ind w:left="700" w:hanging="581"/>
        <w:spacing w:after="0"/>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07"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-2010410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-793115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-1204595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114935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6"/>
          <w:szCs w:val="16"/>
          <w:color w:val="auto"/>
        </w:rPr>
        <w:t>CUSIP No. 74275G 107</w:t>
      </w:r>
      <w:r>
        <w:rPr>
          <w:sz w:val="20"/>
          <w:szCs w:val="20"/>
          <w:color w:val="auto"/>
        </w:rPr>
        <w:tab/>
      </w:r>
      <w:r>
        <w:rPr>
          <w:rFonts w:ascii="Times New Roman" w:cs="Times New Roman" w:eastAsia="Times New Roman" w:hAnsi="Times New Roman"/>
          <w:sz w:val="16"/>
          <w:szCs w:val="16"/>
          <w:color w:val="auto"/>
        </w:rPr>
        <w:t>13D</w:t>
      </w:r>
    </w:p>
    <w:p>
      <w:pPr>
        <w:sectPr>
          <w:pgSz w:w="11900" w:h="16838" w:orient="portrait"/>
          <w:cols w:equalWidth="0" w:num="1">
            <w:col w:w="10119"/>
          </w:cols>
          <w:pgMar w:left="340" w:top="144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p>
      <w:pPr>
        <w:ind w:left="700" w:right="1859" w:hanging="514"/>
        <w:spacing w:after="0" w:line="413" w:lineRule="auto"/>
        <w:tabs>
          <w:tab w:leader="none" w:pos="7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I.R.S. IDENTIFICATION NOS. OF ABOVE PERSONS (ENTITIES ONLY) AESV CreditCard Consulting LLC</w:t>
      </w:r>
    </w:p>
    <w:p>
      <w:pPr>
        <w:spacing w:after="0" w:line="14" w:lineRule="exact"/>
        <w:rPr>
          <w:rFonts w:ascii="Times New Roman" w:cs="Times New Roman" w:eastAsia="Times New Roman" w:hAnsi="Times New Roman"/>
          <w:sz w:val="16"/>
          <w:szCs w:val="16"/>
          <w:color w:val="auto"/>
        </w:rPr>
      </w:pPr>
    </w:p>
    <w:p>
      <w:pPr>
        <w:ind w:left="700" w:right="4939" w:hanging="514"/>
        <w:spacing w:after="0" w:line="260" w:lineRule="auto"/>
        <w:tabs>
          <w:tab w:leader="none" w:pos="7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1040" w:hanging="346"/>
        <w:spacing w:after="0" w:line="184" w:lineRule="exact"/>
        <w:tabs>
          <w:tab w:leader="none" w:pos="1040" w:val="left"/>
        </w:tabs>
        <w:numPr>
          <w:ilvl w:val="1"/>
          <w:numId w:val="6"/>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5" w:lineRule="exact"/>
        <w:rPr>
          <w:rFonts w:ascii="Times New Roman" w:cs="Times New Roman" w:eastAsia="Times New Roman" w:hAnsi="Times New Roman"/>
          <w:sz w:val="16"/>
          <w:szCs w:val="16"/>
          <w:color w:val="auto"/>
        </w:rPr>
      </w:pPr>
    </w:p>
    <w:p>
      <w:pPr>
        <w:ind w:left="1040" w:hanging="346"/>
        <w:spacing w:after="0" w:line="184" w:lineRule="exact"/>
        <w:tabs>
          <w:tab w:leader="none" w:pos="1040" w:val="left"/>
        </w:tabs>
        <w:numPr>
          <w:ilvl w:val="1"/>
          <w:numId w:val="6"/>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68" w:lineRule="exact"/>
        <w:rPr>
          <w:rFonts w:ascii="Times New Roman" w:cs="Times New Roman" w:eastAsia="Times New Roman" w:hAnsi="Times New Roman"/>
          <w:sz w:val="16"/>
          <w:szCs w:val="16"/>
          <w:color w:val="auto"/>
        </w:rPr>
      </w:pPr>
    </w:p>
    <w:p>
      <w:pPr>
        <w:ind w:left="700" w:hanging="514"/>
        <w:spacing w:after="0"/>
        <w:tabs>
          <w:tab w:leader="none" w:pos="7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75" w:lineRule="exact"/>
        <w:rPr>
          <w:rFonts w:ascii="Times New Roman" w:cs="Times New Roman" w:eastAsia="Times New Roman" w:hAnsi="Times New Roman"/>
          <w:sz w:val="16"/>
          <w:szCs w:val="16"/>
          <w:color w:val="auto"/>
        </w:rPr>
      </w:pPr>
    </w:p>
    <w:p>
      <w:pPr>
        <w:ind w:left="700" w:hanging="514"/>
        <w:spacing w:after="0"/>
        <w:tabs>
          <w:tab w:leader="none" w:pos="7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-964565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OO (See Item 3)</w:t>
      </w:r>
    </w:p>
    <w:p>
      <w:pPr>
        <w:spacing w:after="0" w:line="37" w:lineRule="exact"/>
        <w:rPr>
          <w:sz w:val="20"/>
          <w:szCs w:val="20"/>
          <w:color w:val="auto"/>
        </w:rPr>
      </w:pPr>
    </w:p>
    <w:p>
      <w:pPr>
        <w:ind w:left="180"/>
        <w:spacing w:after="0" w:line="184" w:lineRule="exact"/>
        <w:tabs>
          <w:tab w:leader="none" w:pos="680" w:val="left"/>
          <w:tab w:leader="none" w:pos="8520" w:val="left"/>
        </w:tabs>
        <w:rPr>
          <w:sz w:val="20"/>
          <w:szCs w:val="20"/>
          <w:color w:val="auto"/>
        </w:rPr>
      </w:pPr>
      <w:r>
        <w:rPr>
          <w:rFonts w:ascii="Times New Roman" w:cs="Times New Roman" w:eastAsia="Times New Roman" w:hAnsi="Times New Roman"/>
          <w:sz w:val="16"/>
          <w:szCs w:val="16"/>
          <w:color w:val="auto"/>
        </w:rPr>
        <w:t>5.</w:t>
      </w:r>
      <w:r>
        <w:rPr>
          <w:sz w:val="20"/>
          <w:szCs w:val="20"/>
          <w:color w:val="auto"/>
        </w:rPr>
        <w:tab/>
      </w:r>
      <w:r>
        <w:rPr>
          <w:rFonts w:ascii="Times New Roman" w:cs="Times New Roman" w:eastAsia="Times New Roman" w:hAnsi="Times New Roman"/>
          <w:sz w:val="16"/>
          <w:szCs w:val="16"/>
          <w:color w:val="auto"/>
        </w:rPr>
        <w:t>CHECK BOX IF DISCLOSURE OF LEGAL PROCEEDINGS IS REQUIRED PURSUANT TO ITEMS 2(d) or 2(e)</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-110490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0"/>
          <w:szCs w:val="20"/>
          <w:color w:val="auto"/>
        </w:rPr>
      </w:pPr>
    </w:p>
    <w:p>
      <w:pPr>
        <w:ind w:left="700" w:right="6119" w:hanging="514"/>
        <w:spacing w:after="0" w:line="545" w:lineRule="auto"/>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Delaware, United States</w:t>
      </w:r>
    </w:p>
    <w:p>
      <w:pPr>
        <w:spacing w:after="0" w:line="311" w:lineRule="exact"/>
        <w:rPr>
          <w:rFonts w:ascii="Times New Roman" w:cs="Times New Roman" w:eastAsia="Times New Roman" w:hAnsi="Times New Roman"/>
          <w:sz w:val="16"/>
          <w:szCs w:val="16"/>
          <w:color w:val="auto"/>
        </w:rPr>
      </w:pPr>
    </w:p>
    <w:p>
      <w:pPr>
        <w:ind w:left="2640" w:hanging="429"/>
        <w:spacing w:after="0"/>
        <w:tabs>
          <w:tab w:leader="none" w:pos="26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w:t>
      </w:r>
    </w:p>
    <w:p>
      <w:pPr>
        <w:spacing w:after="0" w:line="194" w:lineRule="exact"/>
        <w:rPr>
          <w:rFonts w:ascii="Times New Roman" w:cs="Times New Roman" w:eastAsia="Times New Roman" w:hAnsi="Times New Roman"/>
          <w:sz w:val="16"/>
          <w:szCs w:val="16"/>
          <w:color w:val="auto"/>
        </w:rPr>
      </w:pPr>
    </w:p>
    <w:p>
      <w:pPr>
        <w:ind w:left="2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86" w:lineRule="exact"/>
        <w:rPr>
          <w:rFonts w:ascii="Times New Roman" w:cs="Times New Roman" w:eastAsia="Times New Roman" w:hAnsi="Times New Roman"/>
          <w:sz w:val="16"/>
          <w:szCs w:val="16"/>
          <w:color w:val="auto"/>
        </w:rPr>
      </w:pPr>
    </w:p>
    <w:p>
      <w:pPr>
        <w:ind w:left="2640" w:hanging="429"/>
        <w:spacing w:after="0"/>
        <w:tabs>
          <w:tab w:leader="none" w:pos="26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VOTING POWER</w:t>
      </w:r>
    </w:p>
    <w:p>
      <w:pPr>
        <w:spacing w:after="0" w:line="23" w:lineRule="exact"/>
        <w:rPr>
          <w:rFonts w:ascii="Times New Roman" w:cs="Times New Roman" w:eastAsia="Times New Roman" w:hAnsi="Times New Roman"/>
          <w:sz w:val="16"/>
          <w:szCs w:val="16"/>
          <w:color w:val="auto"/>
        </w:rPr>
      </w:pPr>
    </w:p>
    <w:p>
      <w:pPr>
        <w:ind w:left="6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w:t>
      </w:r>
    </w:p>
    <w:p>
      <w:pPr>
        <w:ind w:left="180" w:right="6839" w:firstLine="103"/>
        <w:spacing w:after="0" w:line="1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BENEFICIALLY 8,701,798 OWNED BY EACH</w:t>
      </w:r>
    </w:p>
    <w:p>
      <w:pPr>
        <w:spacing w:after="0" w:line="1" w:lineRule="exact"/>
        <w:rPr>
          <w:rFonts w:ascii="Times New Roman" w:cs="Times New Roman" w:eastAsia="Times New Roman" w:hAnsi="Times New Roman"/>
          <w:sz w:val="16"/>
          <w:szCs w:val="16"/>
          <w:color w:val="auto"/>
        </w:rPr>
      </w:pPr>
    </w:p>
    <w:p>
      <w:pPr>
        <w:ind w:left="80" w:firstLine="2131"/>
        <w:spacing w:after="0"/>
        <w:tabs>
          <w:tab w:leader="none" w:pos="8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DISPOSITIVE POWERREPORTINGPERSON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-144780</wp:posOffset>
            </wp:positionV>
            <wp:extent cx="5863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8890"/>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-556260</wp:posOffset>
            </wp:positionV>
            <wp:extent cx="586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WITH</w:t>
      </w:r>
    </w:p>
    <w:p>
      <w:pPr>
        <w:spacing w:after="0" w:line="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26035</wp:posOffset>
            </wp:positionV>
            <wp:extent cx="5863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48" w:lineRule="exact"/>
        <w:rPr>
          <w:sz w:val="20"/>
          <w:szCs w:val="20"/>
          <w:color w:val="auto"/>
        </w:rPr>
      </w:pPr>
    </w:p>
    <w:p>
      <w:pPr>
        <w:ind w:left="2640" w:right="5199" w:hanging="510"/>
        <w:spacing w:after="0" w:line="527" w:lineRule="auto"/>
        <w:tabs>
          <w:tab w:leader="none" w:pos="26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8,701,798</w:t>
      </w:r>
    </w:p>
    <w:p>
      <w:pPr>
        <w:spacing w:after="0" w:line="325" w:lineRule="exact"/>
        <w:rPr>
          <w:rFonts w:ascii="Times New Roman" w:cs="Times New Roman" w:eastAsia="Times New Roman" w:hAnsi="Times New Roman"/>
          <w:sz w:val="16"/>
          <w:szCs w:val="16"/>
          <w:color w:val="auto"/>
        </w:rPr>
      </w:pPr>
    </w:p>
    <w:p>
      <w:pPr>
        <w:ind w:left="700" w:right="3519" w:hanging="575"/>
        <w:spacing w:after="0" w:line="413"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8,701,798</w:t>
      </w:r>
    </w:p>
    <w:p>
      <w:pPr>
        <w:spacing w:after="0" w:line="14" w:lineRule="exact"/>
        <w:rPr>
          <w:rFonts w:ascii="Times New Roman" w:cs="Times New Roman" w:eastAsia="Times New Roman" w:hAnsi="Times New Roman"/>
          <w:sz w:val="16"/>
          <w:szCs w:val="16"/>
          <w:color w:val="auto"/>
        </w:rPr>
      </w:pPr>
    </w:p>
    <w:p>
      <w:pPr>
        <w:ind w:left="700" w:right="2979" w:hanging="581"/>
        <w:spacing w:after="0" w:line="220" w:lineRule="exact"/>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BOX IF THE AGGREGATE AMOUNT IN ROW (11) EXCLUDES CERTAIN SHARES (see instructions) </w:t>
      </w:r>
      <w:r>
        <w:rPr>
          <w:rFonts w:ascii="MS PGothic" w:cs="MS PGothic" w:eastAsia="MS PGothic" w:hAnsi="MS PGothic"/>
          <w:sz w:val="16"/>
          <w:szCs w:val="16"/>
          <w:color w:val="auto"/>
        </w:rPr>
        <w:t>☐</w:t>
      </w:r>
    </w:p>
    <w:p>
      <w:pPr>
        <w:spacing w:after="0" w:line="209" w:lineRule="exact"/>
        <w:rPr>
          <w:rFonts w:ascii="Times New Roman" w:cs="Times New Roman" w:eastAsia="Times New Roman" w:hAnsi="Times New Roman"/>
          <w:sz w:val="16"/>
          <w:szCs w:val="16"/>
          <w:color w:val="auto"/>
        </w:rPr>
      </w:pPr>
    </w:p>
    <w:p>
      <w:pPr>
        <w:ind w:left="700" w:hanging="581"/>
        <w:spacing w:after="0"/>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(11)</w:t>
      </w:r>
    </w:p>
    <w:p>
      <w:pPr>
        <w:spacing w:after="0" w:line="207"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 (based on 75,792,939 shares of Common Stock outstanding on March 25, 2024)</w:t>
      </w:r>
    </w:p>
    <w:p>
      <w:pPr>
        <w:spacing w:after="0" w:line="72" w:lineRule="exact"/>
        <w:rPr>
          <w:rFonts w:ascii="Times New Roman" w:cs="Times New Roman" w:eastAsia="Times New Roman" w:hAnsi="Times New Roman"/>
          <w:sz w:val="16"/>
          <w:szCs w:val="16"/>
          <w:color w:val="auto"/>
        </w:rPr>
      </w:pPr>
    </w:p>
    <w:p>
      <w:pPr>
        <w:ind w:left="700" w:hanging="581"/>
        <w:spacing w:after="0"/>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07"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-1924685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-381635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-1204595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CUSIP No. 74275G 107</w:t>
            </w:r>
          </w:p>
        </w:tc>
        <w:tc>
          <w:tcPr>
            <w:tcW w:w="226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4"/>
              </w:rPr>
              <w:t>13D</w:t>
            </w:r>
          </w:p>
        </w:tc>
      </w:tr>
    </w:tbl>
    <w:p>
      <w:pPr>
        <w:sectPr>
          <w:pgSz w:w="11900" w:h="16838" w:orient="portrait"/>
          <w:cols w:equalWidth="0" w:num="1">
            <w:col w:w="10119"/>
          </w:cols>
          <w:pgMar w:left="340" w:top="1440" w:right="1440" w:bottom="1440" w:gutter="0" w:footer="0" w:header="0"/>
        </w:sectPr>
      </w:pPr>
    </w:p>
    <w:bookmarkStart w:id="3" w:name="page4"/>
    <w:bookmarkEnd w:id="3"/>
    <w:p>
      <w:pPr>
        <w:jc w:val="both"/>
        <w:ind w:firstLine="648"/>
        <w:spacing w:after="0" w:line="243" w:lineRule="auto"/>
        <w:rPr>
          <w:sz w:val="20"/>
          <w:szCs w:val="20"/>
          <w:color w:val="auto"/>
        </w:rPr>
      </w:pPr>
      <w:r>
        <w:rPr>
          <w:rFonts w:ascii="Times New Roman" w:cs="Times New Roman" w:eastAsia="Times New Roman" w:hAnsi="Times New Roman"/>
          <w:sz w:val="16"/>
          <w:szCs w:val="16"/>
          <w:color w:val="auto"/>
        </w:rPr>
        <w:t>This Amendment No. 1 (this "</w:t>
      </w:r>
      <w:r>
        <w:rPr>
          <w:rFonts w:ascii="Times New Roman" w:cs="Times New Roman" w:eastAsia="Times New Roman" w:hAnsi="Times New Roman"/>
          <w:sz w:val="16"/>
          <w:szCs w:val="16"/>
          <w:u w:val="single" w:color="auto"/>
          <w:color w:val="auto"/>
        </w:rPr>
        <w:t>Amendment No. 1</w:t>
      </w:r>
      <w:r>
        <w:rPr>
          <w:rFonts w:ascii="Times New Roman" w:cs="Times New Roman" w:eastAsia="Times New Roman" w:hAnsi="Times New Roman"/>
          <w:sz w:val="16"/>
          <w:szCs w:val="16"/>
          <w:color w:val="auto"/>
        </w:rPr>
        <w:t>") is being filed by AESV CreditCard Consulting LLC ("</w:t>
      </w:r>
      <w:r>
        <w:rPr>
          <w:rFonts w:ascii="Times New Roman" w:cs="Times New Roman" w:eastAsia="Times New Roman" w:hAnsi="Times New Roman"/>
          <w:sz w:val="16"/>
          <w:szCs w:val="16"/>
          <w:u w:val="single" w:color="auto"/>
          <w:color w:val="auto"/>
        </w:rPr>
        <w:t>AESV</w:t>
      </w:r>
      <w:r>
        <w:rPr>
          <w:rFonts w:ascii="Times New Roman" w:cs="Times New Roman" w:eastAsia="Times New Roman" w:hAnsi="Times New Roman"/>
          <w:sz w:val="16"/>
          <w:szCs w:val="16"/>
          <w:color w:val="auto"/>
        </w:rPr>
        <w:t>"), with respect to the shares of Common Stock (as defined below) directly held by it and the shares of Common Stock issuable upon exercise of warrants directly held by it and John V. Priore ("</w:t>
      </w:r>
      <w:r>
        <w:rPr>
          <w:rFonts w:ascii="Times New Roman" w:cs="Times New Roman" w:eastAsia="Times New Roman" w:hAnsi="Times New Roman"/>
          <w:sz w:val="16"/>
          <w:szCs w:val="16"/>
          <w:u w:val="single" w:color="auto"/>
          <w:color w:val="auto"/>
        </w:rPr>
        <w:t>Priore</w:t>
      </w:r>
      <w:r>
        <w:rPr>
          <w:rFonts w:ascii="Times New Roman" w:cs="Times New Roman" w:eastAsia="Times New Roman" w:hAnsi="Times New Roman"/>
          <w:sz w:val="16"/>
          <w:szCs w:val="16"/>
          <w:color w:val="auto"/>
        </w:rPr>
        <w:t>"), who serves as the manager of, and solely controls, AESV, with respect to the shares of Common Stock directly held by AESV and the shares of Common Stock issuable upon exercise of warrants directly held by AESV. Priore and AESV are collectively referred to herein as the “Reporting Persons”. The Reporting Persons amends and supplements the statement on Schedule 13D filed with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on July 25, 2018 (the "</w:t>
      </w:r>
      <w:r>
        <w:rPr>
          <w:rFonts w:ascii="Times New Roman" w:cs="Times New Roman" w:eastAsia="Times New Roman" w:hAnsi="Times New Roman"/>
          <w:sz w:val="16"/>
          <w:szCs w:val="16"/>
          <w:u w:val="single" w:color="auto"/>
          <w:color w:val="auto"/>
        </w:rPr>
        <w:t>Schedule 13D</w:t>
      </w:r>
      <w:r>
        <w:rPr>
          <w:rFonts w:ascii="Times New Roman" w:cs="Times New Roman" w:eastAsia="Times New Roman" w:hAnsi="Times New Roman"/>
          <w:sz w:val="16"/>
          <w:szCs w:val="16"/>
          <w:color w:val="auto"/>
        </w:rPr>
        <w:t>"). The Schedule 13D remains in full force and effect, except as specifically amended by this Amendment No. 1. Capitalized terms used herein and not otherwise defined in this Amendment No. 1 have the meanings set forth in the Schedule 13D.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Security and Issuer.</w:t>
      </w:r>
    </w:p>
    <w:p>
      <w:pPr>
        <w:spacing w:after="0" w:line="115"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This Schedule 13D relates to the Common Stock, $0.001 par value per share ("The Common Stock") of Priority Technology Holdings, Inc., a Delaware corporation (the "Issuer"), with principal executive offices at 2001 Westside Parkway, Suite 155, Alpharetta, Georgia 30004.</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Interest in Securities of the Issuer.</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as follows:</w:t>
      </w:r>
    </w:p>
    <w:p>
      <w:pPr>
        <w:spacing w:after="0" w:line="243" w:lineRule="exact"/>
        <w:rPr>
          <w:sz w:val="20"/>
          <w:szCs w:val="20"/>
          <w:color w:val="auto"/>
        </w:rPr>
      </w:pPr>
    </w:p>
    <w:p>
      <w:pPr>
        <w:jc w:val="both"/>
        <w:ind w:firstLine="8"/>
        <w:spacing w:after="0" w:line="254" w:lineRule="auto"/>
        <w:tabs>
          <w:tab w:leader="none" w:pos="2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rows (11) and (13) of the cover pages to this Schedule 13D for the aggregate number of shares of Common Stock and percentages of the Common Stock beneficially owned by the Reporting Persons. The percentages used in this Schedule 13D are calculated based upon 75,792,939 shares of Common Stock reported to be outstanding as of March 24, 2024, as described in the Company’s Annual Report filed with the SEC on April 12, 2024.</w:t>
      </w:r>
    </w:p>
    <w:p>
      <w:pPr>
        <w:spacing w:after="0" w:line="198" w:lineRule="exact"/>
        <w:rPr>
          <w:rFonts w:ascii="Times New Roman" w:cs="Times New Roman" w:eastAsia="Times New Roman" w:hAnsi="Times New Roman"/>
          <w:sz w:val="16"/>
          <w:szCs w:val="16"/>
          <w:color w:val="auto"/>
        </w:rPr>
      </w:pPr>
    </w:p>
    <w:p>
      <w:pPr>
        <w:ind w:firstLine="8"/>
        <w:spacing w:after="0" w:line="263"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rows (7) through (10) of the cover pages to this Schedule 13D for the number of shares of Common Stock as to which the Reporting Persons have the sole or shared power to vote or direct the vote and sole or shared power to dispose or to direct the disposition.</w:t>
      </w:r>
    </w:p>
    <w:p>
      <w:pPr>
        <w:spacing w:after="0" w:line="204"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Reporting Persons sold 598,187 shares on June 14, 2024 in a direct sale transaction at $3.56 per share sale price.</w:t>
      </w:r>
    </w:p>
    <w:p>
      <w:pPr>
        <w:spacing w:after="0" w:line="234"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4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CUSIP No. 74275G 107</w:t>
            </w:r>
          </w:p>
        </w:tc>
        <w:tc>
          <w:tcPr>
            <w:tcW w:w="226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4"/>
              </w:rPr>
              <w:t>13D</w:t>
            </w:r>
          </w:p>
        </w:tc>
      </w:tr>
    </w:tbl>
    <w:p>
      <w:pPr>
        <w:sectPr>
          <w:pgSz w:w="11900" w:h="16838" w:orient="portrait"/>
          <w:cols w:equalWidth="0" w:num="1">
            <w:col w:w="11240"/>
          </w:cols>
          <w:pgMar w:left="320" w:top="1408" w:right="339" w:bottom="1440" w:gutter="0" w:footer="0" w:header="0"/>
        </w:sectPr>
      </w:pPr>
    </w:p>
    <w:bookmarkStart w:id="4" w:name="page5"/>
    <w:bookmarkEnd w:id="4"/>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02"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After reasonable inquiry and to the best of its or his knowledge and belief, each of the undersigned certifies that the information set forth in this Amendment No. 1 to Schedule 13D is true, complete and correct.</w:t>
      </w:r>
    </w:p>
    <w:p>
      <w:pPr>
        <w:spacing w:after="0" w:line="1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u w:val="single" w:color="auto"/>
          <w:color w:val="auto"/>
        </w:rPr>
        <w:t>/s/ John V. Priore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JOHN V. PRIORE</w:t>
      </w:r>
    </w:p>
    <w:p>
      <w:pPr>
        <w:spacing w:after="0" w:line="3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AESV CREDIT CARD</w:t>
      </w:r>
    </w:p>
    <w:p>
      <w:pPr>
        <w:spacing w:after="0" w:line="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CONSULTING LLC</w:t>
      </w:r>
    </w:p>
    <w:p>
      <w:pPr>
        <w:spacing w:after="0" w:line="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u w:val="single" w:color="auto"/>
          <w:color w:val="auto"/>
        </w:rPr>
        <w:t>By: /s/ John V. Priore</w:t>
      </w:r>
    </w:p>
    <w:p>
      <w:pPr>
        <w:spacing w:after="0" w:line="6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Name: John V. Priore</w:t>
      </w:r>
    </w:p>
    <w:p>
      <w:pPr>
        <w:spacing w:after="0" w:line="5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CUSIP No. 74275G 107</w:t>
            </w:r>
          </w:p>
        </w:tc>
        <w:tc>
          <w:tcPr>
            <w:tcW w:w="226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4"/>
              </w:rPr>
              <w:t>13D</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6"/>
    </w:lvl>
    <w:lvl w:ilvl="1">
      <w:lvlJc w:val="left"/>
      <w:lvlText w:val="%2."/>
      <w:numFmt w:val="decimal"/>
      <w:start w:val="7"/>
    </w:lvl>
  </w:abstractNum>
  <w:abstractNum w:abstractNumId="3">
    <w:nsid w:val="41B71EFB"/>
    <w:multiLevelType w:val="hybridMultilevel"/>
    <w:lvl w:ilvl="0">
      <w:lvlJc w:val="left"/>
      <w:lvlText w:val="%1"/>
      <w:numFmt w:val="decimal"/>
      <w:start w:val="1"/>
    </w:lvl>
    <w:lvl w:ilvl="1">
      <w:lvlJc w:val="left"/>
      <w:lvlText w:val="%2."/>
      <w:numFmt w:val="decimal"/>
      <w:start w:val="10"/>
    </w:lvl>
  </w:abstractNum>
  <w:abstractNum w:abstractNumId="4">
    <w:nsid w:val="79E2A9E3"/>
    <w:multiLevelType w:val="hybridMultilevel"/>
    <w:lvl w:ilvl="0">
      <w:lvlJc w:val="left"/>
      <w:lvlText w:val="%1."/>
      <w:numFmt w:val="decimal"/>
      <w:start w:val="11"/>
    </w:lvl>
    <w:lvl w:ilvl="1">
      <w:lvlJc w:val="left"/>
      <w:lvlText w:val="%2"/>
      <w:numFmt w:val="decimal"/>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6"/>
    </w:lvl>
    <w:lvl w:ilvl="1">
      <w:lvlJc w:val="left"/>
      <w:lvlText w:val="%2."/>
      <w:numFmt w:val="decimal"/>
      <w:start w:val="7"/>
    </w:lvl>
  </w:abstractNum>
  <w:abstractNum w:abstractNumId="7">
    <w:nsid w:val="5BD062C2"/>
    <w:multiLevelType w:val="hybridMultilevel"/>
    <w:lvl w:ilvl="0">
      <w:lvlJc w:val="left"/>
      <w:lvlText w:val="%1"/>
      <w:numFmt w:val="decimal"/>
      <w:start w:val="1"/>
    </w:lvl>
    <w:lvl w:ilvl="1">
      <w:lvlJc w:val="left"/>
      <w:lvlText w:val="%2."/>
      <w:numFmt w:val="decimal"/>
      <w:start w:val="10"/>
    </w:lvl>
  </w:abstractNum>
  <w:abstractNum w:abstractNumId="8">
    <w:nsid w:val="12200854"/>
    <w:multiLevelType w:val="hybridMultilevel"/>
    <w:lvl w:ilvl="0">
      <w:lvlJc w:val="left"/>
      <w:lvlText w:val="%1."/>
      <w:numFmt w:val="decimal"/>
      <w:start w:val="11"/>
    </w:lvl>
    <w:lvl w:ilvl="1">
      <w:lvlJc w:val="left"/>
      <w:lvlText w:val="%2"/>
      <w:numFmt w:val="decimal"/>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2024-06-21T15:53:58Z</dcterms:created>
  <dcterms:modified xsi:type="dcterms:W3CDTF">2024-06-21T15:53:58Z</dcterms:modified>
</cp:coreProperties>
</file>