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37465</wp:posOffset>
            </wp:positionV>
            <wp:extent cx="6967220" cy="1890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9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Ram Ranjana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M&amp;A Strategic Initiati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64135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35" w:hanging="335"/>
        <w:spacing w:after="0"/>
        <w:tabs>
          <w:tab w:leader="none" w:pos="33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8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35" w:right="560"/>
        <w:spacing w:after="0" w:line="271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5" w:space="720"/>
            <w:col w:w="3155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2,992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3,357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12, 2021, the Reporting Person was granted 2,992 restricted stock units which vest 50% on February 12, 2022 and 50% on February 12, 2023 subject to the Reporting Person's continued employment with the Issuer.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Ranjana Ram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02/16/2021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8071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2021-02-16T18:28:09Z</dcterms:created>
  <dcterms:modified xsi:type="dcterms:W3CDTF">2021-02-16T18:28:09Z</dcterms:modified>
</cp:coreProperties>
</file>