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July 18, 2025</w:t>
      </w:r>
    </w:p>
    <w:p>
      <w:pPr>
        <w:spacing w:after="0" w:line="20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S-8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2583180</wp:posOffset>
            </wp:positionH>
            <wp:positionV relativeFrom="paragraph">
              <wp:posOffset>127000</wp:posOffset>
            </wp:positionV>
            <wp:extent cx="2000885" cy="633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0885" cy="633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1025" w:right="319" w:bottom="1440" w:gutter="0" w:footer="0" w:header="0"/>
        </w:sectPr>
      </w:pPr>
    </w:p>
    <w:p>
      <w:pPr>
        <w:spacing w:after="0" w:line="205"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47-4257046</w:t>
      </w:r>
    </w:p>
    <w:p>
      <w:pPr>
        <w:spacing w:after="0" w:line="43" w:lineRule="exact"/>
        <w:rPr>
          <w:sz w:val="24"/>
          <w:szCs w:val="24"/>
          <w:color w:val="auto"/>
        </w:rPr>
      </w:pPr>
    </w:p>
    <w:p>
      <w:pPr>
        <w:sectPr>
          <w:pgSz w:w="11900" w:h="16838" w:orient="portrait"/>
          <w:cols w:equalWidth="0" w:num="2">
            <w:col w:w="5560" w:space="720"/>
            <w:col w:w="5000"/>
          </w:cols>
          <w:pgMar w:left="300" w:top="1025" w:right="31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color w:val="auto"/>
        </w:rPr>
        <w:t>(I.R.S. Employer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200" w:lineRule="exact"/>
        <w:rPr>
          <w:sz w:val="24"/>
          <w:szCs w:val="24"/>
          <w:color w:val="auto"/>
        </w:rPr>
      </w:pPr>
    </w:p>
    <w:p>
      <w:pPr>
        <w:sectPr>
          <w:pgSz w:w="11900" w:h="16838" w:orient="portrait"/>
          <w:cols w:equalWidth="0" w:num="2">
            <w:col w:w="5380" w:space="720"/>
            <w:col w:w="5180"/>
          </w:cols>
          <w:pgMar w:left="300" w:top="1025" w:right="319" w:bottom="1440" w:gutter="0" w:footer="0" w:header="0"/>
          <w:type w:val="continuous"/>
        </w:sectPr>
      </w:pP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2001 Westside Parkway</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Suite 155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Alpharetta, GA 30004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Priority Technology Holdings, Inc. 2021 Employee Stock Purchase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(Full title of the plan)</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Bradley Miller</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General Counsel, Chief Risk Officer 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2001 Westside Parkway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Suite 155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Alpharetta, GA 30004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(800) 935-5961</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Copy to</w:t>
      </w:r>
      <w:r>
        <w:rPr>
          <w:rFonts w:ascii="Times New Roman" w:cs="Times New Roman" w:eastAsia="Times New Roman" w:hAnsi="Times New Roman"/>
          <w:sz w:val="14"/>
          <w:szCs w:val="14"/>
          <w:b w:val="1"/>
          <w:bCs w:val="1"/>
          <w:color w:val="auto"/>
        </w:rPr>
        <w: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James Stevens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Troutman Pepper Locke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600 Peachtree Street, 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Suite 3000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Atlanta, Georgia 30308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(404) 885-3000</w:t>
      </w:r>
    </w:p>
    <w:p>
      <w:pPr>
        <w:spacing w:after="0" w:line="207" w:lineRule="exact"/>
        <w:rPr>
          <w:sz w:val="24"/>
          <w:szCs w:val="24"/>
          <w:color w:val="auto"/>
        </w:rPr>
      </w:pPr>
    </w:p>
    <w:p>
      <w:pPr>
        <w:spacing w:after="0" w:line="36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1025" w:right="319" w:bottom="1440" w:gutter="0" w:footer="0" w:header="0"/>
          <w:type w:val="continuous"/>
        </w:sectPr>
      </w:pPr>
    </w:p>
    <w:bookmarkStart w:id="1" w:name="page2"/>
    <w:bookmarkEnd w:id="1"/>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88" w:lineRule="exact"/>
        <w:rPr>
          <w:sz w:val="20"/>
          <w:szCs w:val="20"/>
          <w:color w:val="auto"/>
        </w:rPr>
      </w:pPr>
    </w:p>
    <w:p>
      <w:pPr>
        <w:sectPr>
          <w:pgSz w:w="11900" w:h="16838" w:orient="portrait"/>
          <w:cols w:equalWidth="0" w:num="2">
            <w:col w:w="5400" w:space="720"/>
            <w:col w:w="5160"/>
          </w:cols>
          <w:pgMar w:left="300" w:top="953" w:right="319" w:bottom="1440" w:gutter="0" w:footer="0" w:header="0"/>
        </w:sectPr>
      </w:pPr>
    </w:p>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63" w:lineRule="exact"/>
        <w:rPr>
          <w:sz w:val="20"/>
          <w:szCs w:val="20"/>
          <w:color w:val="auto"/>
        </w:rPr>
      </w:pPr>
    </w:p>
    <w:p>
      <w:pPr>
        <w:sectPr>
          <w:pgSz w:w="11900" w:h="16838" w:orient="portrait"/>
          <w:cols w:equalWidth="0" w:num="2">
            <w:col w:w="5400" w:space="720"/>
            <w:col w:w="5160"/>
          </w:cols>
          <w:pgMar w:left="300" w:top="953" w:right="319" w:bottom="1440" w:gutter="0" w:footer="0" w:header="0"/>
          <w:type w:val="continuous"/>
        </w:sectPr>
      </w:pPr>
    </w:p>
    <w:p>
      <w:pPr>
        <w:ind w:left="61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80"/>
          </w:cols>
          <w:pgMar w:left="300" w:top="953" w:right="319" w:bottom="1440" w:gutter="0" w:footer="0" w:header="0"/>
          <w:type w:val="continuous"/>
        </w:sectPr>
      </w:pPr>
    </w:p>
    <w:p>
      <w:pPr>
        <w:spacing w:after="0" w:line="196"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280"/>
          </w:cols>
          <w:pgMar w:left="300" w:top="953" w:right="319" w:bottom="1440" w:gutter="0" w:footer="0" w:header="0"/>
          <w:type w:val="continuous"/>
        </w:sectPr>
      </w:pPr>
    </w:p>
    <w:bookmarkStart w:id="2" w:name="page3"/>
    <w:bookmarkEnd w:id="2"/>
    <w:p>
      <w:pPr>
        <w:jc w:val="right"/>
        <w:ind w:right="3760"/>
        <w:spacing w:after="0"/>
        <w:rPr>
          <w:sz w:val="20"/>
          <w:szCs w:val="20"/>
          <w:color w:val="auto"/>
        </w:rPr>
      </w:pPr>
      <w:r>
        <w:rPr>
          <w:rFonts w:ascii="Times New Roman" w:cs="Times New Roman" w:eastAsia="Times New Roman" w:hAnsi="Times New Roman"/>
          <w:sz w:val="16"/>
          <w:szCs w:val="16"/>
          <w:b w:val="1"/>
          <w:bCs w:val="1"/>
          <w:color w:val="auto"/>
        </w:rPr>
        <w:t>INCORPORATION BY REFERENCE OF CONTENTS</w:t>
      </w:r>
    </w:p>
    <w:p>
      <w:pPr>
        <w:spacing w:after="0" w:line="145" w:lineRule="exact"/>
        <w:rPr>
          <w:sz w:val="20"/>
          <w:szCs w:val="20"/>
          <w:color w:val="auto"/>
        </w:rPr>
      </w:pPr>
    </w:p>
    <w:p>
      <w:pPr>
        <w:jc w:val="right"/>
        <w:ind w:right="3760"/>
        <w:spacing w:after="0"/>
        <w:rPr>
          <w:sz w:val="20"/>
          <w:szCs w:val="20"/>
          <w:color w:val="auto"/>
        </w:rPr>
      </w:pPr>
      <w:r>
        <w:rPr>
          <w:rFonts w:ascii="Times New Roman" w:cs="Times New Roman" w:eastAsia="Times New Roman" w:hAnsi="Times New Roman"/>
          <w:sz w:val="16"/>
          <w:szCs w:val="16"/>
          <w:b w:val="1"/>
          <w:bCs w:val="1"/>
          <w:color w:val="auto"/>
        </w:rPr>
        <w:t>OF REGISTRATION STATEMENT ON FORM S-8</w:t>
      </w:r>
    </w:p>
    <w:p>
      <w:pPr>
        <w:spacing w:after="0" w:line="147" w:lineRule="exact"/>
        <w:rPr>
          <w:sz w:val="20"/>
          <w:szCs w:val="20"/>
          <w:color w:val="auto"/>
        </w:rPr>
      </w:pPr>
    </w:p>
    <w:p>
      <w:pPr>
        <w:jc w:val="both"/>
        <w:ind w:firstLine="255"/>
        <w:spacing w:after="0" w:line="252" w:lineRule="auto"/>
        <w:rPr>
          <w:sz w:val="20"/>
          <w:szCs w:val="20"/>
          <w:color w:val="auto"/>
        </w:rPr>
      </w:pPr>
      <w:r>
        <w:rPr>
          <w:rFonts w:ascii="Times New Roman" w:cs="Times New Roman" w:eastAsia="Times New Roman" w:hAnsi="Times New Roman"/>
          <w:sz w:val="16"/>
          <w:szCs w:val="16"/>
          <w:color w:val="auto"/>
        </w:rPr>
        <w:t>Priority Technology Holdings, Inc. (the “Registrant”) is filing this Registration Statement on Form S-8 (this “Registration Statement”) with the Securities and Exchange Commission (the “Commission”) to register an additional 200,000 shares of its common stock, par value $0.001 per share (“Common Stock”) in connection with the amendment of the Registrant’s 2021 Employee Stock Purchase Plan, as amended (the “2021 Employee Stock Purchase Plan”), which was approved by the Registrant’s shareholders on June 13, 2025.</w:t>
      </w:r>
    </w:p>
    <w:p>
      <w:pPr>
        <w:spacing w:after="0" w:line="161" w:lineRule="exact"/>
        <w:rPr>
          <w:sz w:val="20"/>
          <w:szCs w:val="20"/>
          <w:color w:val="auto"/>
        </w:rPr>
      </w:pPr>
    </w:p>
    <w:p>
      <w:pPr>
        <w:jc w:val="both"/>
        <w:ind w:firstLine="255"/>
        <w:spacing w:after="0" w:line="251" w:lineRule="auto"/>
        <w:rPr>
          <w:sz w:val="20"/>
          <w:szCs w:val="20"/>
          <w:color w:val="auto"/>
        </w:rPr>
      </w:pPr>
      <w:r>
        <w:rPr>
          <w:rFonts w:ascii="Times New Roman" w:cs="Times New Roman" w:eastAsia="Times New Roman" w:hAnsi="Times New Roman"/>
          <w:sz w:val="16"/>
          <w:szCs w:val="16"/>
          <w:color w:val="auto"/>
        </w:rPr>
        <w:t>The additional shares of Common Stock issuable pursuant to the 2021 Employee Stock Purchase Plan are securities of the same class as other securities for which Registration Statements on Form S-8 were filed with the Commission on April 1, 2022 (</w:t>
      </w:r>
      <w:r>
        <w:rPr>
          <w:rFonts w:ascii="Times New Roman" w:cs="Times New Roman" w:eastAsia="Times New Roman" w:hAnsi="Times New Roman"/>
          <w:sz w:val="16"/>
          <w:szCs w:val="16"/>
          <w:u w:val="single" w:color="auto"/>
          <w:color w:val="auto"/>
        </w:rPr>
        <w:t>File No. 333-264064</w:t>
      </w:r>
      <w:r>
        <w:rPr>
          <w:rFonts w:ascii="Times New Roman" w:cs="Times New Roman" w:eastAsia="Times New Roman" w:hAnsi="Times New Roman"/>
          <w:sz w:val="16"/>
          <w:szCs w:val="16"/>
          <w:color w:val="auto"/>
        </w:rPr>
        <w:t>) and December 21, 2022 (</w:t>
      </w:r>
      <w:r>
        <w:rPr>
          <w:rFonts w:ascii="Times New Roman" w:cs="Times New Roman" w:eastAsia="Times New Roman" w:hAnsi="Times New Roman"/>
          <w:sz w:val="16"/>
          <w:szCs w:val="16"/>
          <w:u w:val="single" w:color="auto"/>
          <w:color w:val="auto"/>
        </w:rPr>
        <w:t>File No. 333-268919</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auto"/>
        </w:rPr>
        <w:t xml:space="preserve"> (the “Prior Registration Statements”). Accordingly, and pursuant to General Instruction E to Form S-8, the contents of the Prior Registration Statement are incorporated by reference herein, including the periodic reports that the Registrant filed after the Prior Registration Statement to maintain current information about the Registrant, except to the extent supplemented, amended or superseded by the information set forth below.</w:t>
      </w:r>
    </w:p>
    <w:p>
      <w:pPr>
        <w:sectPr>
          <w:pgSz w:w="11900" w:h="16838" w:orient="portrait"/>
          <w:cols w:equalWidth="0" w:num="1">
            <w:col w:w="11280"/>
          </w:cols>
          <w:pgMar w:left="300" w:top="1074" w:right="319" w:bottom="1440" w:gutter="0" w:footer="0" w:header="0"/>
        </w:sectPr>
      </w:pPr>
    </w:p>
    <w:bookmarkStart w:id="3" w:name="page4"/>
    <w:bookmarkEnd w:id="3"/>
    <w:p>
      <w:pPr>
        <w:ind w:left="536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4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INFORMATION REQUIRED IN THE REGISTRATION STATEMENT</w:t>
      </w:r>
    </w:p>
    <w:p>
      <w:pPr>
        <w:spacing w:after="0" w:line="14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Incorporation of Documents by Reference.</w:t>
      </w:r>
    </w:p>
    <w:p>
      <w:pPr>
        <w:spacing w:after="0" w:line="147"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6"/>
          <w:szCs w:val="16"/>
          <w:color w:val="auto"/>
        </w:rPr>
        <w:t>The following documents filed with the Commission by the Registrant pursuant to the Securities Act of 1933, as amended (the “Securities Act”) and the Securities Exchange Act of 1934, as amended (the “Exchange Act”), are incorporated herein by reference, to the extent that such documents are considered filed with the Commission:</w:t>
      </w:r>
    </w:p>
    <w:p>
      <w:pPr>
        <w:spacing w:after="0" w:line="112" w:lineRule="exact"/>
        <w:rPr>
          <w:sz w:val="20"/>
          <w:szCs w:val="20"/>
          <w:color w:val="auto"/>
        </w:rPr>
      </w:pPr>
    </w:p>
    <w:p>
      <w:pPr>
        <w:ind w:left="580" w:hanging="320"/>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Registrant’s Annual Report on Form 10-K for the fiscal year ended December 31, 2024, filed with the Commission on </w:t>
      </w:r>
      <w:r>
        <w:rPr>
          <w:rFonts w:ascii="Times New Roman" w:cs="Times New Roman" w:eastAsia="Times New Roman" w:hAnsi="Times New Roman"/>
          <w:sz w:val="14"/>
          <w:szCs w:val="14"/>
          <w:color w:val="auto"/>
        </w:rPr>
        <w:t>March 6, 2025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File No. 001-37872</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left="480" w:hanging="220"/>
        <w:spacing w:after="0"/>
        <w:tabs>
          <w:tab w:leader="none" w:pos="4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Quarterly Report on Form 10-Q for the quarter ended March 31, 2025, filed with the Commission on May 6, 2025 (</w:t>
      </w:r>
      <w:r>
        <w:rPr>
          <w:rFonts w:ascii="Times New Roman" w:cs="Times New Roman" w:eastAsia="Times New Roman" w:hAnsi="Times New Roman"/>
          <w:sz w:val="16"/>
          <w:szCs w:val="16"/>
          <w:u w:val="single" w:color="auto"/>
          <w:color w:val="auto"/>
        </w:rPr>
        <w:t>File No. 001-37872</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left="480" w:hanging="220"/>
        <w:spacing w:after="0"/>
        <w:tabs>
          <w:tab w:leader="none" w:pos="4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Current Reports on Form 8-K, filed with the Commission on January 15, 2025, February 27, 2025, June 13, 3025 and July 8, 2025.</w:t>
      </w:r>
    </w:p>
    <w:p>
      <w:pPr>
        <w:spacing w:after="0" w:line="144" w:lineRule="exact"/>
        <w:rPr>
          <w:rFonts w:ascii="Times New Roman" w:cs="Times New Roman" w:eastAsia="Times New Roman" w:hAnsi="Times New Roman"/>
          <w:sz w:val="16"/>
          <w:szCs w:val="16"/>
          <w:color w:val="auto"/>
        </w:rPr>
      </w:pPr>
    </w:p>
    <w:p>
      <w:pPr>
        <w:ind w:firstLine="260"/>
        <w:spacing w:after="0" w:line="259" w:lineRule="auto"/>
        <w:tabs>
          <w:tab w:leader="none" w:pos="633"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description of the Registrant’s capital stock contained in Exhibit 4.5 to the Registrant’s Annual Report on Form 10-K for the year ended December 31, 2024 including any amendment or report filed for the purpose of updating such description.</w:t>
      </w:r>
    </w:p>
    <w:p>
      <w:pPr>
        <w:spacing w:after="0" w:line="112" w:lineRule="exact"/>
        <w:rPr>
          <w:sz w:val="20"/>
          <w:szCs w:val="20"/>
          <w:color w:val="auto"/>
        </w:rPr>
      </w:pPr>
    </w:p>
    <w:p>
      <w:pPr>
        <w:jc w:val="both"/>
        <w:ind w:firstLine="255"/>
        <w:spacing w:after="0" w:line="252" w:lineRule="auto"/>
        <w:rPr>
          <w:sz w:val="20"/>
          <w:szCs w:val="20"/>
          <w:color w:val="auto"/>
        </w:rPr>
      </w:pPr>
      <w:r>
        <w:rPr>
          <w:rFonts w:ascii="Times New Roman" w:cs="Times New Roman" w:eastAsia="Times New Roman" w:hAnsi="Times New Roman"/>
          <w:sz w:val="16"/>
          <w:szCs w:val="16"/>
          <w:color w:val="auto"/>
        </w:rPr>
        <w:t>All documents subsequently filed by the Registrant pursuant to Sections 13(a), 13(c), 14 and 15(d) of the Exchange Act (other than Current Reports on Form 8-K furnished pursuant to Item 2.02 or Item 7.01 of Form 8-K, including any exhibits included with such information that are related to such items), prior to the filing of a post-effective amendment which indicates that all securities offered have been sold or which deregisters all securities then remaining unsold, shall be deemed to be incorporated by reference herein and to be a part hereof from the date of filing of such documents, to the extent such documents are considered filed with the Commission.</w:t>
      </w:r>
    </w:p>
    <w:p>
      <w:pPr>
        <w:spacing w:after="0" w:line="1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61"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You may request copies of these documents, at no cost to you, by writing or telephoning us at the below address. Exhibits to the filings, however, will not be sent, unless those exhibits have specifically been incorporated by reference in this document:</w:t>
      </w:r>
    </w:p>
    <w:p>
      <w:pPr>
        <w:spacing w:after="0" w:line="1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Priority Technology Holdings, Inc.</w:t>
      </w:r>
    </w:p>
    <w:p>
      <w:pPr>
        <w:spacing w:after="0" w:line="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2001 Westside Parkway</w:t>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Suite 155</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Alpharetta, GA 30004</w:t>
      </w:r>
    </w:p>
    <w:p>
      <w:pPr>
        <w:spacing w:after="0" w:line="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(800) 935-5961</w:t>
      </w:r>
    </w:p>
    <w:p>
      <w:pPr>
        <w:sectPr>
          <w:pgSz w:w="11900" w:h="16838" w:orient="portrait"/>
          <w:cols w:equalWidth="0" w:num="1">
            <w:col w:w="11280"/>
          </w:cols>
          <w:pgMar w:left="300" w:top="936"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5"/>
        </w:trPr>
        <w:tc>
          <w:tcPr>
            <w:tcW w:w="10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9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01"/>
        </w:trPr>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6"/>
              </w:rPr>
              <w:t>Exhibit Number</w:t>
            </w:r>
          </w:p>
        </w:tc>
        <w:tc>
          <w:tcPr>
            <w:tcW w:w="96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Description</w:t>
            </w:r>
          </w:p>
        </w:tc>
      </w:tr>
      <w:tr>
        <w:trPr>
          <w:trHeight w:val="145"/>
        </w:trPr>
        <w:tc>
          <w:tcPr>
            <w:tcW w:w="1040" w:type="dxa"/>
            <w:vAlign w:val="bottom"/>
            <w:shd w:val="clear" w:color="auto" w:fill="CCEEFF"/>
          </w:tcPr>
          <w:p>
            <w:pPr>
              <w:ind w:left="280"/>
              <w:spacing w:after="0" w:line="145" w:lineRule="exact"/>
              <w:rPr>
                <w:rFonts w:ascii="Times New Roman" w:cs="Times New Roman" w:eastAsia="Times New Roman" w:hAnsi="Times New Roman"/>
                <w:sz w:val="16"/>
                <w:szCs w:val="16"/>
                <w:color w:val="0E32E1"/>
              </w:rPr>
            </w:pPr>
            <w:hyperlink r:id="rId9">
              <w:r>
                <w:rPr>
                  <w:rFonts w:ascii="Times New Roman" w:cs="Times New Roman" w:eastAsia="Times New Roman" w:hAnsi="Times New Roman"/>
                  <w:sz w:val="16"/>
                  <w:szCs w:val="16"/>
                  <w:color w:val="0E32E1"/>
                </w:rPr>
                <w:t>4.1</w:t>
              </w:r>
            </w:hyperlink>
          </w:p>
        </w:tc>
        <w:tc>
          <w:tcPr>
            <w:tcW w:w="9640" w:type="dxa"/>
            <w:vAlign w:val="bottom"/>
            <w:shd w:val="clear" w:color="auto" w:fill="CCEEFF"/>
          </w:tcPr>
          <w:p>
            <w:pPr>
              <w:ind w:left="1100"/>
              <w:spacing w:after="0" w:line="145" w:lineRule="exact"/>
              <w:rPr>
                <w:rFonts w:ascii="Times New Roman" w:cs="Times New Roman" w:eastAsia="Times New Roman" w:hAnsi="Times New Roman"/>
                <w:sz w:val="16"/>
                <w:szCs w:val="16"/>
                <w:color w:val="0000FF"/>
                <w:w w:val="97"/>
              </w:rPr>
            </w:pPr>
            <w:hyperlink r:id="rId9">
              <w:r>
                <w:rPr>
                  <w:rFonts w:ascii="Times New Roman" w:cs="Times New Roman" w:eastAsia="Times New Roman" w:hAnsi="Times New Roman"/>
                  <w:sz w:val="16"/>
                  <w:szCs w:val="16"/>
                  <w:color w:val="0000FF"/>
                  <w:w w:val="97"/>
                </w:rPr>
                <w:t>Second Amended and Restated Certificate of Incorporation of the Registrant (incorporated by reference to Exhibit 3.1 to the Registrant’s</w:t>
              </w:r>
            </w:hyperlink>
          </w:p>
        </w:tc>
      </w:tr>
      <w:tr>
        <w:trPr>
          <w:trHeight w:val="199"/>
        </w:trPr>
        <w:tc>
          <w:tcPr>
            <w:tcW w:w="1040" w:type="dxa"/>
            <w:vAlign w:val="bottom"/>
            <w:shd w:val="clear" w:color="auto" w:fill="CCEEFF"/>
          </w:tcPr>
          <w:p>
            <w:pPr>
              <w:spacing w:after="0"/>
              <w:rPr>
                <w:sz w:val="17"/>
                <w:szCs w:val="17"/>
                <w:color w:val="auto"/>
              </w:rPr>
            </w:pPr>
          </w:p>
        </w:tc>
        <w:tc>
          <w:tcPr>
            <w:tcW w:w="9640" w:type="dxa"/>
            <w:vAlign w:val="bottom"/>
            <w:shd w:val="clear" w:color="auto" w:fill="CCEEFF"/>
          </w:tcPr>
          <w:p>
            <w:pPr>
              <w:ind w:left="1100"/>
              <w:spacing w:after="0"/>
              <w:rPr>
                <w:rFonts w:ascii="Times New Roman" w:cs="Times New Roman" w:eastAsia="Times New Roman" w:hAnsi="Times New Roman"/>
                <w:sz w:val="16"/>
                <w:szCs w:val="16"/>
                <w:color w:val="0000FF"/>
              </w:rPr>
            </w:pPr>
            <w:hyperlink r:id="rId9">
              <w:r>
                <w:rPr>
                  <w:rFonts w:ascii="Times New Roman" w:cs="Times New Roman" w:eastAsia="Times New Roman" w:hAnsi="Times New Roman"/>
                  <w:sz w:val="16"/>
                  <w:szCs w:val="16"/>
                  <w:color w:val="0000FF"/>
                </w:rPr>
                <w:t>Current Report on Form 8-K, filed July 31, 2018)</w:t>
              </w:r>
            </w:hyperlink>
          </w:p>
        </w:tc>
      </w:tr>
      <w:tr>
        <w:trPr>
          <w:trHeight w:val="151"/>
        </w:trPr>
        <w:tc>
          <w:tcPr>
            <w:tcW w:w="1040" w:type="dxa"/>
            <w:vAlign w:val="bottom"/>
          </w:tcPr>
          <w:p>
            <w:pPr>
              <w:ind w:left="280"/>
              <w:spacing w:after="0" w:line="152" w:lineRule="exact"/>
              <w:rPr>
                <w:rFonts w:ascii="Times New Roman" w:cs="Times New Roman" w:eastAsia="Times New Roman" w:hAnsi="Times New Roman"/>
                <w:sz w:val="16"/>
                <w:szCs w:val="16"/>
                <w:color w:val="0E32E1"/>
              </w:rPr>
            </w:pPr>
            <w:hyperlink r:id="rId10">
              <w:r>
                <w:rPr>
                  <w:rFonts w:ascii="Times New Roman" w:cs="Times New Roman" w:eastAsia="Times New Roman" w:hAnsi="Times New Roman"/>
                  <w:sz w:val="16"/>
                  <w:szCs w:val="16"/>
                  <w:color w:val="0E32E1"/>
                </w:rPr>
                <w:t>4.2</w:t>
              </w:r>
            </w:hyperlink>
          </w:p>
        </w:tc>
        <w:tc>
          <w:tcPr>
            <w:tcW w:w="9640" w:type="dxa"/>
            <w:vAlign w:val="bottom"/>
          </w:tcPr>
          <w:p>
            <w:pPr>
              <w:ind w:left="1100"/>
              <w:spacing w:after="0" w:line="152" w:lineRule="exact"/>
              <w:rPr>
                <w:rFonts w:ascii="Times New Roman" w:cs="Times New Roman" w:eastAsia="Times New Roman" w:hAnsi="Times New Roman"/>
                <w:sz w:val="16"/>
                <w:szCs w:val="16"/>
                <w:color w:val="0000FF"/>
              </w:rPr>
            </w:pPr>
            <w:hyperlink r:id="rId10">
              <w:r>
                <w:rPr>
                  <w:rFonts w:ascii="Times New Roman" w:cs="Times New Roman" w:eastAsia="Times New Roman" w:hAnsi="Times New Roman"/>
                  <w:sz w:val="16"/>
                  <w:szCs w:val="16"/>
                  <w:color w:val="0000FF"/>
                </w:rPr>
                <w:t>Certificate of Amendment to the Certificate of Incorporation of the Registrant (incorporated by reference to Exhibit 2.3 to the</w:t>
              </w:r>
            </w:hyperlink>
          </w:p>
        </w:tc>
      </w:tr>
      <w:tr>
        <w:trPr>
          <w:trHeight w:val="199"/>
        </w:trPr>
        <w:tc>
          <w:tcPr>
            <w:tcW w:w="1040" w:type="dxa"/>
            <w:vAlign w:val="bottom"/>
          </w:tcPr>
          <w:p>
            <w:pPr>
              <w:spacing w:after="0"/>
              <w:rPr>
                <w:sz w:val="17"/>
                <w:szCs w:val="17"/>
                <w:color w:val="auto"/>
              </w:rPr>
            </w:pPr>
          </w:p>
        </w:tc>
        <w:tc>
          <w:tcPr>
            <w:tcW w:w="9640" w:type="dxa"/>
            <w:vAlign w:val="bottom"/>
          </w:tcPr>
          <w:p>
            <w:pPr>
              <w:ind w:left="1100"/>
              <w:spacing w:after="0"/>
              <w:rPr>
                <w:rFonts w:ascii="Times New Roman" w:cs="Times New Roman" w:eastAsia="Times New Roman" w:hAnsi="Times New Roman"/>
                <w:sz w:val="16"/>
                <w:szCs w:val="16"/>
                <w:color w:val="0000FF"/>
              </w:rPr>
            </w:pPr>
            <w:hyperlink r:id="rId10">
              <w:r>
                <w:rPr>
                  <w:rFonts w:ascii="Times New Roman" w:cs="Times New Roman" w:eastAsia="Times New Roman" w:hAnsi="Times New Roman"/>
                  <w:sz w:val="16"/>
                  <w:szCs w:val="16"/>
                  <w:color w:val="0000FF"/>
                </w:rPr>
                <w:t>Registrant’s Annual Report on Form 10-K, filed March 6, 2025)</w:t>
              </w:r>
            </w:hyperlink>
          </w:p>
        </w:tc>
      </w:tr>
      <w:tr>
        <w:trPr>
          <w:trHeight w:val="151"/>
        </w:trPr>
        <w:tc>
          <w:tcPr>
            <w:tcW w:w="1040" w:type="dxa"/>
            <w:vAlign w:val="bottom"/>
            <w:shd w:val="clear" w:color="auto" w:fill="CCEEFF"/>
          </w:tcPr>
          <w:p>
            <w:pPr>
              <w:ind w:left="280"/>
              <w:spacing w:after="0" w:line="152" w:lineRule="exact"/>
              <w:rPr>
                <w:rFonts w:ascii="Times New Roman" w:cs="Times New Roman" w:eastAsia="Times New Roman" w:hAnsi="Times New Roman"/>
                <w:sz w:val="16"/>
                <w:szCs w:val="16"/>
                <w:color w:val="0E32E1"/>
              </w:rPr>
            </w:pPr>
            <w:hyperlink r:id="rId11">
              <w:r>
                <w:rPr>
                  <w:rFonts w:ascii="Times New Roman" w:cs="Times New Roman" w:eastAsia="Times New Roman" w:hAnsi="Times New Roman"/>
                  <w:sz w:val="16"/>
                  <w:szCs w:val="16"/>
                  <w:color w:val="0E32E1"/>
                </w:rPr>
                <w:t>4.3</w:t>
              </w:r>
            </w:hyperlink>
          </w:p>
        </w:tc>
        <w:tc>
          <w:tcPr>
            <w:tcW w:w="9640" w:type="dxa"/>
            <w:vAlign w:val="bottom"/>
            <w:shd w:val="clear" w:color="auto" w:fill="CCEEFF"/>
          </w:tcPr>
          <w:p>
            <w:pPr>
              <w:ind w:left="1100"/>
              <w:spacing w:after="0" w:line="152" w:lineRule="exact"/>
              <w:rPr>
                <w:rFonts w:ascii="Times New Roman" w:cs="Times New Roman" w:eastAsia="Times New Roman" w:hAnsi="Times New Roman"/>
                <w:sz w:val="16"/>
                <w:szCs w:val="16"/>
                <w:color w:val="0000FF"/>
              </w:rPr>
            </w:pPr>
            <w:hyperlink r:id="rId11">
              <w:r>
                <w:rPr>
                  <w:rFonts w:ascii="Times New Roman" w:cs="Times New Roman" w:eastAsia="Times New Roman" w:hAnsi="Times New Roman"/>
                  <w:sz w:val="16"/>
                  <w:szCs w:val="16"/>
                  <w:color w:val="0000FF"/>
                </w:rPr>
                <w:t>Certificate of Designations of Senior Preferred Stock (incorporated by reference to Exhibit 3.3 to the Registrant’s Annual Report on</w:t>
              </w:r>
            </w:hyperlink>
          </w:p>
        </w:tc>
      </w:tr>
      <w:tr>
        <w:trPr>
          <w:trHeight w:val="199"/>
        </w:trPr>
        <w:tc>
          <w:tcPr>
            <w:tcW w:w="1040" w:type="dxa"/>
            <w:vAlign w:val="bottom"/>
            <w:shd w:val="clear" w:color="auto" w:fill="CCEEFF"/>
          </w:tcPr>
          <w:p>
            <w:pPr>
              <w:spacing w:after="0"/>
              <w:rPr>
                <w:sz w:val="17"/>
                <w:szCs w:val="17"/>
                <w:color w:val="auto"/>
              </w:rPr>
            </w:pPr>
          </w:p>
        </w:tc>
        <w:tc>
          <w:tcPr>
            <w:tcW w:w="9640" w:type="dxa"/>
            <w:vAlign w:val="bottom"/>
            <w:shd w:val="clear" w:color="auto" w:fill="CCEEFF"/>
          </w:tcPr>
          <w:p>
            <w:pPr>
              <w:ind w:left="1100"/>
              <w:spacing w:after="0"/>
              <w:rPr>
                <w:rFonts w:ascii="Times New Roman" w:cs="Times New Roman" w:eastAsia="Times New Roman" w:hAnsi="Times New Roman"/>
                <w:sz w:val="16"/>
                <w:szCs w:val="16"/>
                <w:color w:val="0000FF"/>
              </w:rPr>
            </w:pPr>
            <w:hyperlink r:id="rId11">
              <w:r>
                <w:rPr>
                  <w:rFonts w:ascii="Times New Roman" w:cs="Times New Roman" w:eastAsia="Times New Roman" w:hAnsi="Times New Roman"/>
                  <w:sz w:val="16"/>
                  <w:szCs w:val="16"/>
                  <w:color w:val="0000FF"/>
                </w:rPr>
                <w:t>Form 10-K, filed March 6, 2025)</w:t>
              </w:r>
            </w:hyperlink>
          </w:p>
        </w:tc>
      </w:tr>
      <w:tr>
        <w:trPr>
          <w:trHeight w:val="151"/>
        </w:trPr>
        <w:tc>
          <w:tcPr>
            <w:tcW w:w="1040" w:type="dxa"/>
            <w:vAlign w:val="bottom"/>
          </w:tcPr>
          <w:p>
            <w:pPr>
              <w:ind w:left="280"/>
              <w:spacing w:after="0" w:line="152" w:lineRule="exact"/>
              <w:rPr>
                <w:rFonts w:ascii="Times New Roman" w:cs="Times New Roman" w:eastAsia="Times New Roman" w:hAnsi="Times New Roman"/>
                <w:sz w:val="16"/>
                <w:szCs w:val="16"/>
                <w:color w:val="0E32E1"/>
              </w:rPr>
            </w:pPr>
            <w:hyperlink r:id="rId12">
              <w:r>
                <w:rPr>
                  <w:rFonts w:ascii="Times New Roman" w:cs="Times New Roman" w:eastAsia="Times New Roman" w:hAnsi="Times New Roman"/>
                  <w:sz w:val="16"/>
                  <w:szCs w:val="16"/>
                  <w:color w:val="0E32E1"/>
                </w:rPr>
                <w:t>4.4</w:t>
              </w:r>
            </w:hyperlink>
          </w:p>
        </w:tc>
        <w:tc>
          <w:tcPr>
            <w:tcW w:w="9640" w:type="dxa"/>
            <w:vAlign w:val="bottom"/>
          </w:tcPr>
          <w:p>
            <w:pPr>
              <w:ind w:left="1100"/>
              <w:spacing w:after="0" w:line="152" w:lineRule="exact"/>
              <w:rPr>
                <w:rFonts w:ascii="Times New Roman" w:cs="Times New Roman" w:eastAsia="Times New Roman" w:hAnsi="Times New Roman"/>
                <w:sz w:val="16"/>
                <w:szCs w:val="16"/>
                <w:color w:val="0000FF"/>
                <w:w w:val="97"/>
              </w:rPr>
            </w:pPr>
            <w:hyperlink r:id="rId12">
              <w:r>
                <w:rPr>
                  <w:rFonts w:ascii="Times New Roman" w:cs="Times New Roman" w:eastAsia="Times New Roman" w:hAnsi="Times New Roman"/>
                  <w:sz w:val="16"/>
                  <w:szCs w:val="16"/>
                  <w:color w:val="0000FF"/>
                  <w:w w:val="97"/>
                </w:rPr>
                <w:t>Specimen Common Stock Certificate (incorporated by reference to Exhibit 4.2 to the Registration Statement on Form S-1, filed July 26,</w:t>
              </w:r>
            </w:hyperlink>
          </w:p>
        </w:tc>
      </w:tr>
      <w:tr>
        <w:trPr>
          <w:trHeight w:val="199"/>
        </w:trPr>
        <w:tc>
          <w:tcPr>
            <w:tcW w:w="1040" w:type="dxa"/>
            <w:vAlign w:val="bottom"/>
          </w:tcPr>
          <w:p>
            <w:pPr>
              <w:spacing w:after="0"/>
              <w:rPr>
                <w:sz w:val="17"/>
                <w:szCs w:val="17"/>
                <w:color w:val="auto"/>
              </w:rPr>
            </w:pPr>
          </w:p>
        </w:tc>
        <w:tc>
          <w:tcPr>
            <w:tcW w:w="9640" w:type="dxa"/>
            <w:vAlign w:val="bottom"/>
          </w:tcPr>
          <w:p>
            <w:pPr>
              <w:ind w:left="1100"/>
              <w:spacing w:after="0"/>
              <w:rPr>
                <w:rFonts w:ascii="Times New Roman" w:cs="Times New Roman" w:eastAsia="Times New Roman" w:hAnsi="Times New Roman"/>
                <w:sz w:val="16"/>
                <w:szCs w:val="16"/>
                <w:color w:val="0000FF"/>
              </w:rPr>
            </w:pPr>
            <w:hyperlink r:id="rId12">
              <w:r>
                <w:rPr>
                  <w:rFonts w:ascii="Times New Roman" w:cs="Times New Roman" w:eastAsia="Times New Roman" w:hAnsi="Times New Roman"/>
                  <w:sz w:val="16"/>
                  <w:szCs w:val="16"/>
                  <w:color w:val="0000FF"/>
                </w:rPr>
                <w:t>2016)</w:t>
              </w:r>
            </w:hyperlink>
          </w:p>
        </w:tc>
      </w:tr>
      <w:tr>
        <w:trPr>
          <w:trHeight w:val="151"/>
        </w:trPr>
        <w:tc>
          <w:tcPr>
            <w:tcW w:w="1040" w:type="dxa"/>
            <w:vAlign w:val="bottom"/>
            <w:shd w:val="clear" w:color="auto" w:fill="CCEEFF"/>
          </w:tcPr>
          <w:p>
            <w:pPr>
              <w:ind w:left="280"/>
              <w:spacing w:after="0" w:line="152" w:lineRule="exact"/>
              <w:rPr>
                <w:rFonts w:ascii="Times New Roman" w:cs="Times New Roman" w:eastAsia="Times New Roman" w:hAnsi="Times New Roman"/>
                <w:sz w:val="16"/>
                <w:szCs w:val="16"/>
                <w:color w:val="0E32E1"/>
              </w:rPr>
            </w:pPr>
            <w:hyperlink r:id="rId13">
              <w:r>
                <w:rPr>
                  <w:rFonts w:ascii="Times New Roman" w:cs="Times New Roman" w:eastAsia="Times New Roman" w:hAnsi="Times New Roman"/>
                  <w:sz w:val="16"/>
                  <w:szCs w:val="16"/>
                  <w:color w:val="0E32E1"/>
                </w:rPr>
                <w:t>4.5</w:t>
              </w:r>
            </w:hyperlink>
          </w:p>
        </w:tc>
        <w:tc>
          <w:tcPr>
            <w:tcW w:w="9640" w:type="dxa"/>
            <w:vAlign w:val="bottom"/>
            <w:shd w:val="clear" w:color="auto" w:fill="CCEEFF"/>
          </w:tcPr>
          <w:p>
            <w:pPr>
              <w:ind w:left="1100"/>
              <w:spacing w:after="0" w:line="152" w:lineRule="exact"/>
              <w:rPr>
                <w:rFonts w:ascii="Times New Roman" w:cs="Times New Roman" w:eastAsia="Times New Roman" w:hAnsi="Times New Roman"/>
                <w:sz w:val="16"/>
                <w:szCs w:val="16"/>
                <w:color w:val="0000FF"/>
                <w:w w:val="97"/>
              </w:rPr>
            </w:pPr>
            <w:hyperlink r:id="rId13">
              <w:r>
                <w:rPr>
                  <w:rFonts w:ascii="Times New Roman" w:cs="Times New Roman" w:eastAsia="Times New Roman" w:hAnsi="Times New Roman"/>
                  <w:sz w:val="16"/>
                  <w:szCs w:val="16"/>
                  <w:color w:val="0000FF"/>
                  <w:w w:val="97"/>
                </w:rPr>
                <w:t>Amended and Restated Bylaws of the Registrant (incorporated by reference to Exhibit 3.2 to the Registrant’s Current Report on Form 8-</w:t>
              </w:r>
            </w:hyperlink>
          </w:p>
        </w:tc>
      </w:tr>
      <w:tr>
        <w:trPr>
          <w:trHeight w:val="199"/>
        </w:trPr>
        <w:tc>
          <w:tcPr>
            <w:tcW w:w="1040" w:type="dxa"/>
            <w:vAlign w:val="bottom"/>
            <w:shd w:val="clear" w:color="auto" w:fill="CCEEFF"/>
          </w:tcPr>
          <w:p>
            <w:pPr>
              <w:spacing w:after="0"/>
              <w:rPr>
                <w:sz w:val="17"/>
                <w:szCs w:val="17"/>
                <w:color w:val="auto"/>
              </w:rPr>
            </w:pPr>
          </w:p>
        </w:tc>
        <w:tc>
          <w:tcPr>
            <w:tcW w:w="9640" w:type="dxa"/>
            <w:vAlign w:val="bottom"/>
            <w:shd w:val="clear" w:color="auto" w:fill="CCEEFF"/>
          </w:tcPr>
          <w:p>
            <w:pPr>
              <w:ind w:left="1100"/>
              <w:spacing w:after="0"/>
              <w:rPr>
                <w:rFonts w:ascii="Times New Roman" w:cs="Times New Roman" w:eastAsia="Times New Roman" w:hAnsi="Times New Roman"/>
                <w:sz w:val="16"/>
                <w:szCs w:val="16"/>
                <w:color w:val="0000FF"/>
              </w:rPr>
            </w:pPr>
            <w:hyperlink r:id="rId13">
              <w:r>
                <w:rPr>
                  <w:rFonts w:ascii="Times New Roman" w:cs="Times New Roman" w:eastAsia="Times New Roman" w:hAnsi="Times New Roman"/>
                  <w:sz w:val="16"/>
                  <w:szCs w:val="16"/>
                  <w:color w:val="0000FF"/>
                </w:rPr>
                <w:t>K, filed July 31, 2018)</w:t>
              </w:r>
            </w:hyperlink>
          </w:p>
        </w:tc>
      </w:tr>
      <w:tr>
        <w:trPr>
          <w:trHeight w:val="203"/>
        </w:trPr>
        <w:tc>
          <w:tcPr>
            <w:tcW w:w="1040" w:type="dxa"/>
            <w:vAlign w:val="bottom"/>
          </w:tcPr>
          <w:p>
            <w:pPr>
              <w:ind w:left="280"/>
              <w:spacing w:after="0"/>
              <w:rPr>
                <w:sz w:val="20"/>
                <w:szCs w:val="20"/>
                <w:color w:val="auto"/>
              </w:rPr>
            </w:pPr>
            <w:r>
              <w:rPr>
                <w:rFonts w:ascii="Times New Roman" w:cs="Times New Roman" w:eastAsia="Times New Roman" w:hAnsi="Times New Roman"/>
                <w:sz w:val="16"/>
                <w:szCs w:val="16"/>
                <w:color w:val="0E32E1"/>
              </w:rPr>
              <w:t>5.1</w:t>
            </w:r>
            <w:r>
              <w:rPr>
                <w:rFonts w:ascii="Times New Roman" w:cs="Times New Roman" w:eastAsia="Times New Roman" w:hAnsi="Times New Roman"/>
                <w:sz w:val="16"/>
                <w:szCs w:val="16"/>
                <w:color w:val="000000"/>
              </w:rPr>
              <w:t>*</w:t>
            </w:r>
          </w:p>
        </w:tc>
        <w:tc>
          <w:tcPr>
            <w:tcW w:w="9640" w:type="dxa"/>
            <w:vAlign w:val="bottom"/>
          </w:tcPr>
          <w:p>
            <w:pPr>
              <w:ind w:left="1100"/>
              <w:spacing w:after="0"/>
              <w:rPr>
                <w:sz w:val="20"/>
                <w:szCs w:val="20"/>
                <w:color w:val="auto"/>
              </w:rPr>
            </w:pPr>
            <w:r>
              <w:rPr>
                <w:rFonts w:ascii="Times New Roman" w:cs="Times New Roman" w:eastAsia="Times New Roman" w:hAnsi="Times New Roman"/>
                <w:sz w:val="16"/>
                <w:szCs w:val="16"/>
                <w:color w:val="0000FF"/>
              </w:rPr>
              <w:t>Opinion of Troutman Pepper Locke LLP</w:t>
            </w:r>
          </w:p>
        </w:tc>
      </w:tr>
      <w:tr>
        <w:trPr>
          <w:trHeight w:val="137"/>
        </w:trPr>
        <w:tc>
          <w:tcPr>
            <w:tcW w:w="1040" w:type="dxa"/>
            <w:vAlign w:val="bottom"/>
          </w:tcPr>
          <w:p>
            <w:pPr>
              <w:spacing w:after="0"/>
              <w:rPr>
                <w:sz w:val="11"/>
                <w:szCs w:val="11"/>
                <w:color w:val="auto"/>
              </w:rPr>
            </w:pPr>
          </w:p>
        </w:tc>
        <w:tc>
          <w:tcPr>
            <w:tcW w:w="9640" w:type="dxa"/>
            <w:vAlign w:val="bottom"/>
          </w:tcPr>
          <w:p>
            <w:pPr>
              <w:spacing w:after="0"/>
              <w:rPr>
                <w:sz w:val="11"/>
                <w:szCs w:val="11"/>
                <w:color w:val="auto"/>
              </w:rPr>
            </w:pPr>
          </w:p>
        </w:tc>
      </w:tr>
      <w:tr>
        <w:trPr>
          <w:trHeight w:val="151"/>
        </w:trPr>
        <w:tc>
          <w:tcPr>
            <w:tcW w:w="1040" w:type="dxa"/>
            <w:vAlign w:val="bottom"/>
            <w:shd w:val="clear" w:color="auto" w:fill="CCEEFF"/>
          </w:tcPr>
          <w:p>
            <w:pPr>
              <w:ind w:left="280"/>
              <w:spacing w:after="0" w:line="152" w:lineRule="exact"/>
              <w:rPr>
                <w:rFonts w:ascii="Times New Roman" w:cs="Times New Roman" w:eastAsia="Times New Roman" w:hAnsi="Times New Roman"/>
                <w:sz w:val="16"/>
                <w:szCs w:val="16"/>
                <w:color w:val="0E32E1"/>
              </w:rPr>
            </w:pPr>
            <w:hyperlink r:id="rId14">
              <w:r>
                <w:rPr>
                  <w:rFonts w:ascii="Times New Roman" w:cs="Times New Roman" w:eastAsia="Times New Roman" w:hAnsi="Times New Roman"/>
                  <w:sz w:val="16"/>
                  <w:szCs w:val="16"/>
                  <w:color w:val="0E32E1"/>
                </w:rPr>
                <w:t>10.1</w:t>
              </w:r>
            </w:hyperlink>
          </w:p>
        </w:tc>
        <w:tc>
          <w:tcPr>
            <w:tcW w:w="9640" w:type="dxa"/>
            <w:vAlign w:val="bottom"/>
            <w:shd w:val="clear" w:color="auto" w:fill="CCEEFF"/>
          </w:tcPr>
          <w:p>
            <w:pPr>
              <w:ind w:left="1100"/>
              <w:spacing w:after="0" w:line="152" w:lineRule="exact"/>
              <w:rPr>
                <w:rFonts w:ascii="Times New Roman" w:cs="Times New Roman" w:eastAsia="Times New Roman" w:hAnsi="Times New Roman"/>
                <w:sz w:val="16"/>
                <w:szCs w:val="16"/>
                <w:color w:val="0000FF"/>
                <w:w w:val="99"/>
              </w:rPr>
            </w:pPr>
            <w:hyperlink r:id="rId14">
              <w:r>
                <w:rPr>
                  <w:rFonts w:ascii="Times New Roman" w:cs="Times New Roman" w:eastAsia="Times New Roman" w:hAnsi="Times New Roman"/>
                  <w:sz w:val="16"/>
                  <w:szCs w:val="16"/>
                  <w:color w:val="0000FF"/>
                  <w:w w:val="99"/>
                </w:rPr>
                <w:t>Priority Technology Holdings, Inc. 2021 Employee Stock Purchase Plan (incorporated by reference to Exhibit 10.3 to the Registrant’s</w:t>
              </w:r>
            </w:hyperlink>
          </w:p>
        </w:tc>
      </w:tr>
      <w:tr>
        <w:trPr>
          <w:trHeight w:val="199"/>
        </w:trPr>
        <w:tc>
          <w:tcPr>
            <w:tcW w:w="1040" w:type="dxa"/>
            <w:vAlign w:val="bottom"/>
            <w:shd w:val="clear" w:color="auto" w:fill="CCEEFF"/>
          </w:tcPr>
          <w:p>
            <w:pPr>
              <w:spacing w:after="0"/>
              <w:rPr>
                <w:sz w:val="17"/>
                <w:szCs w:val="17"/>
                <w:color w:val="auto"/>
              </w:rPr>
            </w:pPr>
          </w:p>
        </w:tc>
        <w:tc>
          <w:tcPr>
            <w:tcW w:w="9640" w:type="dxa"/>
            <w:vAlign w:val="bottom"/>
            <w:shd w:val="clear" w:color="auto" w:fill="CCEEFF"/>
          </w:tcPr>
          <w:p>
            <w:pPr>
              <w:ind w:left="1100"/>
              <w:spacing w:after="0"/>
              <w:rPr>
                <w:rFonts w:ascii="Times New Roman" w:cs="Times New Roman" w:eastAsia="Times New Roman" w:hAnsi="Times New Roman"/>
                <w:sz w:val="16"/>
                <w:szCs w:val="16"/>
                <w:color w:val="0000FF"/>
              </w:rPr>
            </w:pPr>
            <w:hyperlink r:id="rId14">
              <w:r>
                <w:rPr>
                  <w:rFonts w:ascii="Times New Roman" w:cs="Times New Roman" w:eastAsia="Times New Roman" w:hAnsi="Times New Roman"/>
                  <w:sz w:val="16"/>
                  <w:szCs w:val="16"/>
                  <w:color w:val="0000FF"/>
                </w:rPr>
                <w:t>Annual Report on Form 10-K, filed March 6, 2025)</w:t>
              </w:r>
            </w:hyperlink>
          </w:p>
        </w:tc>
      </w:tr>
      <w:tr>
        <w:trPr>
          <w:trHeight w:val="203"/>
        </w:trPr>
        <w:tc>
          <w:tcPr>
            <w:tcW w:w="1040" w:type="dxa"/>
            <w:vAlign w:val="bottom"/>
          </w:tcPr>
          <w:p>
            <w:pPr>
              <w:ind w:left="280"/>
              <w:spacing w:after="0"/>
              <w:rPr>
                <w:sz w:val="20"/>
                <w:szCs w:val="20"/>
                <w:color w:val="auto"/>
              </w:rPr>
            </w:pPr>
            <w:r>
              <w:rPr>
                <w:rFonts w:ascii="Times New Roman" w:cs="Times New Roman" w:eastAsia="Times New Roman" w:hAnsi="Times New Roman"/>
                <w:sz w:val="16"/>
                <w:szCs w:val="16"/>
                <w:color w:val="0E32E1"/>
              </w:rPr>
              <w:t>10.2</w:t>
            </w:r>
            <w:r>
              <w:rPr>
                <w:rFonts w:ascii="Times New Roman" w:cs="Times New Roman" w:eastAsia="Times New Roman" w:hAnsi="Times New Roman"/>
                <w:sz w:val="16"/>
                <w:szCs w:val="16"/>
                <w:color w:val="000000"/>
              </w:rPr>
              <w:t>*</w:t>
            </w:r>
          </w:p>
        </w:tc>
        <w:tc>
          <w:tcPr>
            <w:tcW w:w="9640" w:type="dxa"/>
            <w:vAlign w:val="bottom"/>
          </w:tcPr>
          <w:p>
            <w:pPr>
              <w:ind w:left="1100"/>
              <w:spacing w:after="0"/>
              <w:rPr>
                <w:sz w:val="20"/>
                <w:szCs w:val="20"/>
                <w:color w:val="auto"/>
              </w:rPr>
            </w:pPr>
            <w:r>
              <w:rPr>
                <w:rFonts w:ascii="Times New Roman" w:cs="Times New Roman" w:eastAsia="Times New Roman" w:hAnsi="Times New Roman"/>
                <w:sz w:val="16"/>
                <w:szCs w:val="16"/>
                <w:color w:val="0000FF"/>
              </w:rPr>
              <w:t>Amendment No. 2 to Priority Technology Holdings, Inc. 2021 Employee Stock Purchase Plan</w:t>
            </w:r>
          </w:p>
        </w:tc>
      </w:tr>
      <w:tr>
        <w:trPr>
          <w:trHeight w:val="137"/>
        </w:trPr>
        <w:tc>
          <w:tcPr>
            <w:tcW w:w="1040" w:type="dxa"/>
            <w:vAlign w:val="bottom"/>
          </w:tcPr>
          <w:p>
            <w:pPr>
              <w:spacing w:after="0"/>
              <w:rPr>
                <w:sz w:val="11"/>
                <w:szCs w:val="11"/>
                <w:color w:val="auto"/>
              </w:rPr>
            </w:pPr>
          </w:p>
        </w:tc>
        <w:tc>
          <w:tcPr>
            <w:tcW w:w="9640" w:type="dxa"/>
            <w:vAlign w:val="bottom"/>
          </w:tcPr>
          <w:p>
            <w:pPr>
              <w:spacing w:after="0"/>
              <w:rPr>
                <w:sz w:val="11"/>
                <w:szCs w:val="11"/>
                <w:color w:val="auto"/>
              </w:rPr>
            </w:pPr>
          </w:p>
        </w:tc>
      </w:tr>
      <w:tr>
        <w:trPr>
          <w:trHeight w:val="203"/>
        </w:trPr>
        <w:tc>
          <w:tcPr>
            <w:tcW w:w="1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0E32E1"/>
              </w:rPr>
              <w:t>23.1</w:t>
            </w:r>
            <w:r>
              <w:rPr>
                <w:rFonts w:ascii="Times New Roman" w:cs="Times New Roman" w:eastAsia="Times New Roman" w:hAnsi="Times New Roman"/>
                <w:sz w:val="16"/>
                <w:szCs w:val="16"/>
                <w:color w:val="000000"/>
              </w:rPr>
              <w:t>*</w:t>
            </w:r>
          </w:p>
        </w:tc>
        <w:tc>
          <w:tcPr>
            <w:tcW w:w="96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0000FF"/>
              </w:rPr>
              <w:t>Consent of Ernst &amp; Young LLP, Independent Registered Public Accounting Firm for the Registrant</w:t>
            </w:r>
          </w:p>
        </w:tc>
      </w:tr>
      <w:tr>
        <w:trPr>
          <w:trHeight w:val="137"/>
        </w:trPr>
        <w:tc>
          <w:tcPr>
            <w:tcW w:w="1040" w:type="dxa"/>
            <w:vAlign w:val="bottom"/>
            <w:shd w:val="clear" w:color="auto" w:fill="CCEEFF"/>
          </w:tcPr>
          <w:p>
            <w:pPr>
              <w:spacing w:after="0"/>
              <w:rPr>
                <w:sz w:val="11"/>
                <w:szCs w:val="11"/>
                <w:color w:val="auto"/>
              </w:rPr>
            </w:pPr>
          </w:p>
        </w:tc>
        <w:tc>
          <w:tcPr>
            <w:tcW w:w="9640" w:type="dxa"/>
            <w:vAlign w:val="bottom"/>
            <w:shd w:val="clear" w:color="auto" w:fill="CCEEFF"/>
          </w:tcPr>
          <w:p>
            <w:pPr>
              <w:spacing w:after="0"/>
              <w:rPr>
                <w:sz w:val="11"/>
                <w:szCs w:val="11"/>
                <w:color w:val="auto"/>
              </w:rPr>
            </w:pPr>
          </w:p>
        </w:tc>
      </w:tr>
      <w:tr>
        <w:trPr>
          <w:trHeight w:val="203"/>
        </w:trPr>
        <w:tc>
          <w:tcPr>
            <w:tcW w:w="1040" w:type="dxa"/>
            <w:vAlign w:val="bottom"/>
          </w:tcPr>
          <w:p>
            <w:pPr>
              <w:ind w:left="280"/>
              <w:spacing w:after="0"/>
              <w:rPr>
                <w:sz w:val="20"/>
                <w:szCs w:val="20"/>
                <w:color w:val="auto"/>
              </w:rPr>
            </w:pPr>
            <w:r>
              <w:rPr>
                <w:rFonts w:ascii="Times New Roman" w:cs="Times New Roman" w:eastAsia="Times New Roman" w:hAnsi="Times New Roman"/>
                <w:sz w:val="16"/>
                <w:szCs w:val="16"/>
                <w:color w:val="0E32E1"/>
              </w:rPr>
              <w:t>23.2</w:t>
            </w:r>
            <w:r>
              <w:rPr>
                <w:rFonts w:ascii="Times New Roman" w:cs="Times New Roman" w:eastAsia="Times New Roman" w:hAnsi="Times New Roman"/>
                <w:sz w:val="16"/>
                <w:szCs w:val="16"/>
                <w:color w:val="000000"/>
              </w:rPr>
              <w:t>*</w:t>
            </w:r>
          </w:p>
        </w:tc>
        <w:tc>
          <w:tcPr>
            <w:tcW w:w="9640" w:type="dxa"/>
            <w:vAlign w:val="bottom"/>
          </w:tcPr>
          <w:p>
            <w:pPr>
              <w:ind w:left="1100"/>
              <w:spacing w:after="0"/>
              <w:rPr>
                <w:sz w:val="20"/>
                <w:szCs w:val="20"/>
                <w:color w:val="auto"/>
              </w:rPr>
            </w:pPr>
            <w:r>
              <w:rPr>
                <w:rFonts w:ascii="Times New Roman" w:cs="Times New Roman" w:eastAsia="Times New Roman" w:hAnsi="Times New Roman"/>
                <w:sz w:val="16"/>
                <w:szCs w:val="16"/>
                <w:color w:val="0000FF"/>
              </w:rPr>
              <w:t>Consent of Troutman Pepper Locke LLP (included in Exhibit 5.1)</w:t>
            </w:r>
          </w:p>
        </w:tc>
      </w:tr>
      <w:tr>
        <w:trPr>
          <w:trHeight w:val="137"/>
        </w:trPr>
        <w:tc>
          <w:tcPr>
            <w:tcW w:w="1040" w:type="dxa"/>
            <w:vAlign w:val="bottom"/>
          </w:tcPr>
          <w:p>
            <w:pPr>
              <w:spacing w:after="0"/>
              <w:rPr>
                <w:sz w:val="11"/>
                <w:szCs w:val="11"/>
                <w:color w:val="auto"/>
              </w:rPr>
            </w:pPr>
          </w:p>
        </w:tc>
        <w:tc>
          <w:tcPr>
            <w:tcW w:w="9640" w:type="dxa"/>
            <w:vAlign w:val="bottom"/>
          </w:tcPr>
          <w:p>
            <w:pPr>
              <w:spacing w:after="0"/>
              <w:rPr>
                <w:sz w:val="11"/>
                <w:szCs w:val="11"/>
                <w:color w:val="auto"/>
              </w:rPr>
            </w:pPr>
          </w:p>
        </w:tc>
      </w:tr>
      <w:tr>
        <w:trPr>
          <w:trHeight w:val="203"/>
        </w:trPr>
        <w:tc>
          <w:tcPr>
            <w:tcW w:w="1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0E32E1"/>
              </w:rPr>
              <w:t>24.1</w:t>
            </w:r>
          </w:p>
        </w:tc>
        <w:tc>
          <w:tcPr>
            <w:tcW w:w="96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0000FF"/>
              </w:rPr>
              <w:t>Power of Attorney (contained on the signature page hereto)</w:t>
            </w:r>
          </w:p>
        </w:tc>
      </w:tr>
      <w:tr>
        <w:trPr>
          <w:trHeight w:val="137"/>
        </w:trPr>
        <w:tc>
          <w:tcPr>
            <w:tcW w:w="1040" w:type="dxa"/>
            <w:vAlign w:val="bottom"/>
            <w:shd w:val="clear" w:color="auto" w:fill="CCEEFF"/>
          </w:tcPr>
          <w:p>
            <w:pPr>
              <w:spacing w:after="0"/>
              <w:rPr>
                <w:sz w:val="11"/>
                <w:szCs w:val="11"/>
                <w:color w:val="auto"/>
              </w:rPr>
            </w:pPr>
          </w:p>
        </w:tc>
        <w:tc>
          <w:tcPr>
            <w:tcW w:w="9640" w:type="dxa"/>
            <w:vAlign w:val="bottom"/>
            <w:shd w:val="clear" w:color="auto" w:fill="CCEEFF"/>
          </w:tcPr>
          <w:p>
            <w:pPr>
              <w:spacing w:after="0"/>
              <w:rPr>
                <w:sz w:val="11"/>
                <w:szCs w:val="11"/>
                <w:color w:val="auto"/>
              </w:rPr>
            </w:pPr>
          </w:p>
        </w:tc>
      </w:tr>
      <w:tr>
        <w:trPr>
          <w:trHeight w:val="203"/>
        </w:trPr>
        <w:tc>
          <w:tcPr>
            <w:tcW w:w="1040" w:type="dxa"/>
            <w:vAlign w:val="bottom"/>
          </w:tcPr>
          <w:p>
            <w:pPr>
              <w:ind w:left="280"/>
              <w:spacing w:after="0"/>
              <w:rPr>
                <w:sz w:val="20"/>
                <w:szCs w:val="20"/>
                <w:color w:val="auto"/>
              </w:rPr>
            </w:pPr>
            <w:r>
              <w:rPr>
                <w:rFonts w:ascii="Times New Roman" w:cs="Times New Roman" w:eastAsia="Times New Roman" w:hAnsi="Times New Roman"/>
                <w:sz w:val="16"/>
                <w:szCs w:val="16"/>
                <w:color w:val="0E32E1"/>
              </w:rPr>
              <w:t>107</w:t>
            </w:r>
            <w:r>
              <w:rPr>
                <w:rFonts w:ascii="Times New Roman" w:cs="Times New Roman" w:eastAsia="Times New Roman" w:hAnsi="Times New Roman"/>
                <w:sz w:val="16"/>
                <w:szCs w:val="16"/>
                <w:color w:val="000000"/>
              </w:rPr>
              <w:t>*</w:t>
            </w:r>
          </w:p>
        </w:tc>
        <w:tc>
          <w:tcPr>
            <w:tcW w:w="9640" w:type="dxa"/>
            <w:vAlign w:val="bottom"/>
          </w:tcPr>
          <w:p>
            <w:pPr>
              <w:ind w:left="1100"/>
              <w:spacing w:after="0"/>
              <w:rPr>
                <w:sz w:val="20"/>
                <w:szCs w:val="20"/>
                <w:color w:val="auto"/>
              </w:rPr>
            </w:pPr>
            <w:r>
              <w:rPr>
                <w:rFonts w:ascii="Times New Roman" w:cs="Times New Roman" w:eastAsia="Times New Roman" w:hAnsi="Times New Roman"/>
                <w:sz w:val="16"/>
                <w:szCs w:val="16"/>
                <w:color w:val="0000FF"/>
              </w:rPr>
              <w:t>Filing Fee Table</w:t>
            </w:r>
          </w:p>
        </w:tc>
      </w:tr>
    </w:tbl>
    <w:p>
      <w:pPr>
        <w:spacing w:after="0" w:line="38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ectPr>
          <w:pgSz w:w="11900" w:h="16838" w:orient="portrait"/>
          <w:cols w:equalWidth="0" w:num="1">
            <w:col w:w="10680"/>
          </w:cols>
          <w:pgMar w:left="300" w:top="936" w:right="919" w:bottom="1440" w:gutter="0" w:footer="0" w:header="0"/>
        </w:sectPr>
      </w:pPr>
    </w:p>
    <w:bookmarkStart w:id="5" w:name="page6"/>
    <w:bookmarkEnd w:id="5"/>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7"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6"/>
          <w:szCs w:val="16"/>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Alpharetta, State of Georgia, on July 18, 2025.</w:t>
      </w:r>
    </w:p>
    <w:p>
      <w:pPr>
        <w:spacing w:after="0" w:line="28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PRIORITY TECHNOLOGY HOLDINGS, INC.</w:t>
      </w:r>
    </w:p>
    <w:p>
      <w:pPr>
        <w:spacing w:after="0" w:line="21" w:lineRule="exact"/>
        <w:rPr>
          <w:sz w:val="20"/>
          <w:szCs w:val="20"/>
          <w:color w:val="auto"/>
        </w:rPr>
      </w:pPr>
    </w:p>
    <w:tbl>
      <w:tblPr>
        <w:tblLayout w:type="fixed"/>
        <w:tblInd w:w="2940" w:type="dxa"/>
        <w:tblCellMar>
          <w:top w:w="0" w:type="dxa"/>
          <w:left w:w="0" w:type="dxa"/>
          <w:bottom w:w="0" w:type="dxa"/>
          <w:right w:w="0" w:type="dxa"/>
        </w:tblCellMar>
      </w:tblPr>
      <w:tr>
        <w:trPr>
          <w:trHeight w:val="205"/>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i w:val="1"/>
                <w:iCs w:val="1"/>
                <w:color w:val="auto"/>
              </w:rPr>
              <w:t>/s/ Timothy M. O'Leary</w:t>
            </w:r>
          </w:p>
        </w:tc>
      </w:tr>
      <w:tr>
        <w:trPr>
          <w:trHeight w:val="188"/>
        </w:trPr>
        <w:tc>
          <w:tcPr>
            <w:tcW w:w="7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Name:</w:t>
            </w:r>
          </w:p>
        </w:tc>
        <w:tc>
          <w:tcPr>
            <w:tcW w:w="3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Timothy M. O’Leary</w:t>
            </w:r>
          </w:p>
        </w:tc>
      </w:tr>
      <w:tr>
        <w:trPr>
          <w:trHeight w:val="203"/>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11280"/>
          </w:cols>
          <w:pgMar w:left="300" w:top="936"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POWERS OF ATTORNEY</w:t>
      </w:r>
    </w:p>
    <w:p>
      <w:pPr>
        <w:spacing w:after="0" w:line="147"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6"/>
          <w:szCs w:val="16"/>
          <w:color w:val="auto"/>
        </w:rPr>
        <w:t>Each person whose signature appears below hereby constitute and appoint Thomas C. Priore and Timothy M. O’Leary, or any one of them, his or her true and lawful attorneys-in-fact and agents, with full power of substitution and resubstitution, for him or her and in his or her name, place, and stead, in any and all capacities, to sign any and all amendments to the Registration Statement, including post-effective amendments thereto and any registration statements filed pursuant to Rule 462 under the Securities Act of 1933, as amended, and to file the same, with all exhibits hereto, and other documents in connection therewith, with the Securities and Exchange Commission, and does hereby grant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280"/>
          </w:cols>
          <w:pgMar w:left="300" w:top="1137"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3040" w:type="dxa"/>
            <w:vAlign w:val="bottom"/>
            <w:gridSpan w:val="2"/>
          </w:tcPr>
          <w:p>
            <w:pPr>
              <w:jc w:val="center"/>
              <w:ind w:right="2400"/>
              <w:spacing w:after="0"/>
              <w:rPr>
                <w:sz w:val="20"/>
                <w:szCs w:val="20"/>
                <w:color w:val="auto"/>
              </w:rPr>
            </w:pPr>
            <w:r>
              <w:rPr>
                <w:rFonts w:ascii="Times New Roman" w:cs="Times New Roman" w:eastAsia="Times New Roman" w:hAnsi="Times New Roman"/>
                <w:sz w:val="16"/>
                <w:szCs w:val="16"/>
                <w:b w:val="1"/>
                <w:bCs w:val="1"/>
                <w:color w:val="auto"/>
                <w:w w:val="95"/>
              </w:rPr>
              <w:t>Signature</w:t>
            </w:r>
          </w:p>
        </w:tc>
        <w:tc>
          <w:tcPr>
            <w:tcW w:w="1800" w:type="dxa"/>
            <w:vAlign w:val="bottom"/>
          </w:tcPr>
          <w:p>
            <w:pPr>
              <w:spacing w:after="0"/>
              <w:rPr>
                <w:sz w:val="16"/>
                <w:szCs w:val="16"/>
                <w:color w:val="auto"/>
              </w:rPr>
            </w:pPr>
          </w:p>
        </w:tc>
        <w:tc>
          <w:tcPr>
            <w:tcW w:w="2280" w:type="dxa"/>
            <w:vAlign w:val="bottom"/>
            <w:gridSpan w:val="2"/>
          </w:tcPr>
          <w:p>
            <w:pPr>
              <w:jc w:val="center"/>
              <w:ind w:right="1980"/>
              <w:spacing w:after="0"/>
              <w:rPr>
                <w:sz w:val="20"/>
                <w:szCs w:val="20"/>
                <w:color w:val="auto"/>
              </w:rPr>
            </w:pPr>
            <w:r>
              <w:rPr>
                <w:rFonts w:ascii="Times New Roman" w:cs="Times New Roman" w:eastAsia="Times New Roman" w:hAnsi="Times New Roman"/>
                <w:sz w:val="16"/>
                <w:szCs w:val="16"/>
                <w:b w:val="1"/>
                <w:bCs w:val="1"/>
                <w:color w:val="auto"/>
                <w:w w:val="93"/>
              </w:rPr>
              <w:t>Title</w:t>
            </w:r>
          </w:p>
        </w:tc>
        <w:tc>
          <w:tcPr>
            <w:tcW w:w="640" w:type="dxa"/>
            <w:vAlign w:val="bottom"/>
          </w:tcPr>
          <w:p>
            <w:pPr>
              <w:spacing w:after="0"/>
              <w:rPr>
                <w:sz w:val="16"/>
                <w:szCs w:val="16"/>
                <w:color w:val="auto"/>
              </w:rPr>
            </w:pPr>
          </w:p>
        </w:tc>
        <w:tc>
          <w:tcPr>
            <w:tcW w:w="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Date</w:t>
            </w:r>
          </w:p>
        </w:tc>
      </w:tr>
      <w:tr>
        <w:trPr>
          <w:trHeight w:val="20"/>
        </w:trPr>
        <w:tc>
          <w:tcPr>
            <w:tcW w:w="2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6"/>
        </w:trPr>
        <w:tc>
          <w:tcPr>
            <w:tcW w:w="2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6"/>
              </w:rPr>
              <w:t>President, Chief Executive Officer and Chairman</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7"/>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/s/ Thomas C. Priore</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7"/>
              </w:rPr>
              <w:t>(Principal Executive Officer)</w:t>
            </w:r>
          </w:p>
        </w:tc>
        <w:tc>
          <w:tcPr>
            <w:tcW w:w="1200" w:type="dxa"/>
            <w:vAlign w:val="bottom"/>
            <w:gridSpan w:val="3"/>
          </w:tcPr>
          <w:p>
            <w:pPr>
              <w:jc w:val="center"/>
              <w:ind w:left="282"/>
              <w:spacing w:after="0"/>
              <w:rPr>
                <w:sz w:val="20"/>
                <w:szCs w:val="20"/>
                <w:color w:val="auto"/>
              </w:rPr>
            </w:pPr>
            <w:r>
              <w:rPr>
                <w:rFonts w:ascii="Times New Roman" w:cs="Times New Roman" w:eastAsia="Times New Roman" w:hAnsi="Times New Roman"/>
                <w:sz w:val="16"/>
                <w:szCs w:val="16"/>
                <w:color w:val="auto"/>
                <w:w w:val="96"/>
              </w:rPr>
              <w:t>July 18, 2025</w:t>
            </w:r>
          </w:p>
        </w:tc>
      </w:tr>
      <w:tr>
        <w:trPr>
          <w:trHeight w:val="197"/>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Thomas C. Priore</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3"/>
        </w:trPr>
        <w:tc>
          <w:tcPr>
            <w:tcW w:w="2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7"/>
              </w:rPr>
              <w:t>Chief Financial Officer</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7"/>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/s/ Timothy M. O'Leary</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7"/>
              </w:rPr>
              <w:t>(Principal Financial Officer)</w:t>
            </w:r>
          </w:p>
        </w:tc>
        <w:tc>
          <w:tcPr>
            <w:tcW w:w="1200" w:type="dxa"/>
            <w:vAlign w:val="bottom"/>
            <w:gridSpan w:val="3"/>
          </w:tcPr>
          <w:p>
            <w:pPr>
              <w:jc w:val="center"/>
              <w:ind w:left="282"/>
              <w:spacing w:after="0"/>
              <w:rPr>
                <w:sz w:val="20"/>
                <w:szCs w:val="20"/>
                <w:color w:val="auto"/>
              </w:rPr>
            </w:pPr>
            <w:r>
              <w:rPr>
                <w:rFonts w:ascii="Times New Roman" w:cs="Times New Roman" w:eastAsia="Times New Roman" w:hAnsi="Times New Roman"/>
                <w:sz w:val="16"/>
                <w:szCs w:val="16"/>
                <w:color w:val="auto"/>
                <w:w w:val="96"/>
              </w:rPr>
              <w:t>July 18, 2025</w:t>
            </w:r>
          </w:p>
        </w:tc>
      </w:tr>
      <w:tr>
        <w:trPr>
          <w:trHeight w:val="197"/>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5"/>
              </w:rPr>
              <w:t>Timothy M. O’Leary</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3"/>
        </w:trPr>
        <w:tc>
          <w:tcPr>
            <w:tcW w:w="2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7"/>
              </w:rPr>
              <w:t>Senior Vice President and</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7"/>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/s/ Rajiv Kumar</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6"/>
              </w:rPr>
              <w:t>Chief Accounting Officer (Principal Accounting Officer)</w:t>
            </w:r>
          </w:p>
        </w:tc>
        <w:tc>
          <w:tcPr>
            <w:tcW w:w="1200" w:type="dxa"/>
            <w:vAlign w:val="bottom"/>
            <w:gridSpan w:val="3"/>
          </w:tcPr>
          <w:p>
            <w:pPr>
              <w:jc w:val="center"/>
              <w:ind w:left="282"/>
              <w:spacing w:after="0"/>
              <w:rPr>
                <w:sz w:val="20"/>
                <w:szCs w:val="20"/>
                <w:color w:val="auto"/>
              </w:rPr>
            </w:pPr>
            <w:r>
              <w:rPr>
                <w:rFonts w:ascii="Times New Roman" w:cs="Times New Roman" w:eastAsia="Times New Roman" w:hAnsi="Times New Roman"/>
                <w:sz w:val="16"/>
                <w:szCs w:val="16"/>
                <w:color w:val="auto"/>
                <w:w w:val="96"/>
              </w:rPr>
              <w:t>July 18, 2025</w:t>
            </w:r>
          </w:p>
        </w:tc>
      </w:tr>
      <w:tr>
        <w:trPr>
          <w:trHeight w:val="197"/>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Rajiv Kumar</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94"/>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/s/ Marc Crisafulli</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3"/>
              </w:rPr>
              <w:t>Director</w:t>
            </w:r>
          </w:p>
        </w:tc>
        <w:tc>
          <w:tcPr>
            <w:tcW w:w="1200" w:type="dxa"/>
            <w:vAlign w:val="bottom"/>
            <w:gridSpan w:val="3"/>
          </w:tcPr>
          <w:p>
            <w:pPr>
              <w:jc w:val="center"/>
              <w:ind w:left="282"/>
              <w:spacing w:after="0"/>
              <w:rPr>
                <w:sz w:val="20"/>
                <w:szCs w:val="20"/>
                <w:color w:val="auto"/>
              </w:rPr>
            </w:pPr>
            <w:r>
              <w:rPr>
                <w:rFonts w:ascii="Times New Roman" w:cs="Times New Roman" w:eastAsia="Times New Roman" w:hAnsi="Times New Roman"/>
                <w:sz w:val="16"/>
                <w:szCs w:val="16"/>
                <w:color w:val="auto"/>
                <w:w w:val="96"/>
              </w:rPr>
              <w:t>July 18, 2025</w:t>
            </w:r>
          </w:p>
        </w:tc>
      </w:tr>
      <w:tr>
        <w:trPr>
          <w:trHeight w:val="197"/>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Marc Crisafulli</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94"/>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/s/ Marietta C. Davis</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3"/>
              </w:rPr>
              <w:t>Director</w:t>
            </w:r>
          </w:p>
        </w:tc>
        <w:tc>
          <w:tcPr>
            <w:tcW w:w="1200" w:type="dxa"/>
            <w:vAlign w:val="bottom"/>
            <w:gridSpan w:val="3"/>
          </w:tcPr>
          <w:p>
            <w:pPr>
              <w:jc w:val="center"/>
              <w:ind w:left="282"/>
              <w:spacing w:after="0"/>
              <w:rPr>
                <w:sz w:val="20"/>
                <w:szCs w:val="20"/>
                <w:color w:val="auto"/>
              </w:rPr>
            </w:pPr>
            <w:r>
              <w:rPr>
                <w:rFonts w:ascii="Times New Roman" w:cs="Times New Roman" w:eastAsia="Times New Roman" w:hAnsi="Times New Roman"/>
                <w:sz w:val="16"/>
                <w:szCs w:val="16"/>
                <w:color w:val="auto"/>
                <w:w w:val="96"/>
              </w:rPr>
              <w:t>July 18, 2025</w:t>
            </w:r>
          </w:p>
        </w:tc>
      </w:tr>
      <w:tr>
        <w:trPr>
          <w:trHeight w:val="197"/>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6"/>
              </w:rPr>
              <w:t>Marietta C. Davis</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94"/>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/s/ Christina M. Favilla</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3"/>
              </w:rPr>
              <w:t>Director</w:t>
            </w:r>
          </w:p>
        </w:tc>
        <w:tc>
          <w:tcPr>
            <w:tcW w:w="1200" w:type="dxa"/>
            <w:vAlign w:val="bottom"/>
            <w:gridSpan w:val="3"/>
          </w:tcPr>
          <w:p>
            <w:pPr>
              <w:jc w:val="center"/>
              <w:ind w:left="282"/>
              <w:spacing w:after="0"/>
              <w:rPr>
                <w:sz w:val="20"/>
                <w:szCs w:val="20"/>
                <w:color w:val="auto"/>
              </w:rPr>
            </w:pPr>
            <w:r>
              <w:rPr>
                <w:rFonts w:ascii="Times New Roman" w:cs="Times New Roman" w:eastAsia="Times New Roman" w:hAnsi="Times New Roman"/>
                <w:sz w:val="16"/>
                <w:szCs w:val="16"/>
                <w:color w:val="auto"/>
                <w:w w:val="96"/>
              </w:rPr>
              <w:t>July 18, 2025</w:t>
            </w:r>
          </w:p>
        </w:tc>
      </w:tr>
      <w:tr>
        <w:trPr>
          <w:trHeight w:val="197"/>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Christina M. Favilla</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94"/>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/s/ Clayton Main</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3"/>
              </w:rPr>
              <w:t>Director</w:t>
            </w:r>
          </w:p>
        </w:tc>
        <w:tc>
          <w:tcPr>
            <w:tcW w:w="1200" w:type="dxa"/>
            <w:vAlign w:val="bottom"/>
            <w:gridSpan w:val="3"/>
          </w:tcPr>
          <w:p>
            <w:pPr>
              <w:jc w:val="center"/>
              <w:ind w:left="282"/>
              <w:spacing w:after="0"/>
              <w:rPr>
                <w:sz w:val="20"/>
                <w:szCs w:val="20"/>
                <w:color w:val="auto"/>
              </w:rPr>
            </w:pPr>
            <w:r>
              <w:rPr>
                <w:rFonts w:ascii="Times New Roman" w:cs="Times New Roman" w:eastAsia="Times New Roman" w:hAnsi="Times New Roman"/>
                <w:sz w:val="16"/>
                <w:szCs w:val="16"/>
                <w:color w:val="auto"/>
                <w:w w:val="96"/>
              </w:rPr>
              <w:t>July 18, 2025</w:t>
            </w:r>
          </w:p>
        </w:tc>
      </w:tr>
      <w:tr>
        <w:trPr>
          <w:trHeight w:val="197"/>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Clayton Main</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94"/>
        </w:trPr>
        <w:tc>
          <w:tcPr>
            <w:tcW w:w="5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/s/ Michael Passilla</w:t>
            </w:r>
          </w:p>
        </w:tc>
        <w:tc>
          <w:tcPr>
            <w:tcW w:w="4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3"/>
              </w:rPr>
              <w:t>Director</w:t>
            </w:r>
          </w:p>
        </w:tc>
        <w:tc>
          <w:tcPr>
            <w:tcW w:w="1200" w:type="dxa"/>
            <w:vAlign w:val="bottom"/>
            <w:gridSpan w:val="3"/>
          </w:tcPr>
          <w:p>
            <w:pPr>
              <w:jc w:val="center"/>
              <w:ind w:left="282"/>
              <w:spacing w:after="0"/>
              <w:rPr>
                <w:sz w:val="20"/>
                <w:szCs w:val="20"/>
                <w:color w:val="auto"/>
              </w:rPr>
            </w:pPr>
            <w:r>
              <w:rPr>
                <w:rFonts w:ascii="Times New Roman" w:cs="Times New Roman" w:eastAsia="Times New Roman" w:hAnsi="Times New Roman"/>
                <w:sz w:val="16"/>
                <w:szCs w:val="16"/>
                <w:color w:val="auto"/>
                <w:w w:val="96"/>
              </w:rPr>
              <w:t>July 18, 2025</w:t>
            </w:r>
          </w:p>
        </w:tc>
      </w:tr>
      <w:tr>
        <w:trPr>
          <w:trHeight w:val="197"/>
        </w:trPr>
        <w:tc>
          <w:tcPr>
            <w:tcW w:w="5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6"/>
              </w:rPr>
              <w:t>Michael Passilla</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ectPr>
          <w:pgSz w:w="11900" w:h="16838" w:orient="portrait"/>
          <w:cols w:equalWidth="0" w:num="1">
            <w:col w:w="10720"/>
          </w:cols>
          <w:pgMar w:left="300" w:top="1154" w:right="879" w:bottom="1440" w:gutter="0" w:footer="0" w:header="0"/>
        </w:sectPr>
      </w:pPr>
    </w:p>
    <w:bookmarkStart w:id="8" w:name="page9"/>
    <w:bookmarkEnd w:id="8"/>
    <w:p>
      <w:pPr>
        <w:ind w:left="10580"/>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CALCULATION OF FILING FEE TABLES</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S-8</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Type)</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Priority Technology Holdings,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Table 1: Newly Registered Securities</w:t>
      </w: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920" w:type="dxa"/>
            <w:vAlign w:val="bottom"/>
            <w:tcBorders>
              <w:top w:val="single" w:sz="8" w:color="auto"/>
              <w:left w:val="single" w:sz="8" w:color="auto"/>
              <w:right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spacing w:after="0"/>
              <w:rPr>
                <w:sz w:val="16"/>
                <w:szCs w:val="16"/>
                <w:color w:val="auto"/>
              </w:rPr>
            </w:pPr>
          </w:p>
        </w:tc>
        <w:tc>
          <w:tcPr>
            <w:tcW w:w="1300" w:type="dxa"/>
            <w:vAlign w:val="bottom"/>
            <w:tcBorders>
              <w:top w:val="single" w:sz="8" w:color="auto"/>
              <w:right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500" w:type="dxa"/>
            <w:vAlign w:val="bottom"/>
            <w:tcBorders>
              <w:top w:val="single" w:sz="8" w:color="auto"/>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spacing w:after="0"/>
              <w:rPr>
                <w:sz w:val="16"/>
                <w:szCs w:val="16"/>
                <w:color w:val="auto"/>
              </w:rPr>
            </w:pPr>
          </w:p>
        </w:tc>
        <w:tc>
          <w:tcPr>
            <w:tcW w:w="14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92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5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2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13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8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0" w:type="dxa"/>
            <w:vAlign w:val="bottom"/>
          </w:tcPr>
          <w:p>
            <w:pPr>
              <w:spacing w:after="0"/>
              <w:rPr>
                <w:sz w:val="1"/>
                <w:szCs w:val="1"/>
                <w:color w:val="auto"/>
              </w:rPr>
            </w:pPr>
          </w:p>
        </w:tc>
      </w:tr>
      <w:tr>
        <w:trPr>
          <w:trHeight w:val="49"/>
        </w:trPr>
        <w:tc>
          <w:tcPr>
            <w:tcW w:w="1920" w:type="dxa"/>
            <w:vAlign w:val="bottom"/>
            <w:tcBorders>
              <w:left w:val="single" w:sz="8" w:color="auto"/>
              <w:right w:val="single" w:sz="8" w:color="auto"/>
            </w:tcBorders>
          </w:tcPr>
          <w:p>
            <w:pPr>
              <w:spacing w:after="0"/>
              <w:rPr>
                <w:sz w:val="4"/>
                <w:szCs w:val="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80" w:type="dxa"/>
            <w:vAlign w:val="bottom"/>
            <w:tcBorders>
              <w:right w:val="single" w:sz="8" w:color="auto"/>
            </w:tcBorders>
            <w:vMerge w:val="continue"/>
          </w:tcPr>
          <w:p>
            <w:pPr>
              <w:spacing w:after="0"/>
              <w:rPr>
                <w:sz w:val="4"/>
                <w:szCs w:val="4"/>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80" w:type="dxa"/>
            <w:vAlign w:val="bottom"/>
            <w:tcBorders>
              <w:right w:val="single" w:sz="8" w:color="auto"/>
            </w:tcBorders>
          </w:tcPr>
          <w:p>
            <w:pPr>
              <w:spacing w:after="0"/>
              <w:rPr>
                <w:sz w:val="4"/>
                <w:szCs w:val="4"/>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38"/>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46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30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Fee Rate</w:t>
            </w:r>
          </w:p>
        </w:tc>
        <w:tc>
          <w:tcPr>
            <w:tcW w:w="1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92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Title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2"/>
                <w:szCs w:val="12"/>
                <w:b w:val="1"/>
                <w:bCs w:val="1"/>
                <w:color w:val="auto"/>
              </w:rPr>
              <w:t>(1)</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r>
              <w:rPr>
                <w:rFonts w:ascii="Times New Roman" w:cs="Times New Roman" w:eastAsia="Times New Roman" w:hAnsi="Times New Roman"/>
                <w:sz w:val="12"/>
                <w:szCs w:val="12"/>
                <w:b w:val="1"/>
                <w:bCs w:val="1"/>
                <w:color w:val="auto"/>
                <w:w w:val="98"/>
              </w:rPr>
              <w:t>(2)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r>
              <w:rPr>
                <w:rFonts w:ascii="Times New Roman" w:cs="Times New Roman" w:eastAsia="Times New Roman" w:hAnsi="Times New Roman"/>
                <w:sz w:val="12"/>
                <w:szCs w:val="12"/>
                <w:b w:val="1"/>
                <w:bCs w:val="1"/>
                <w:color w:val="auto"/>
              </w:rPr>
              <w:t>(2)</w:t>
            </w:r>
          </w:p>
        </w:tc>
        <w:tc>
          <w:tcPr>
            <w:tcW w:w="1280" w:type="dxa"/>
            <w:vAlign w:val="bottom"/>
            <w:tcBorders>
              <w:bottom w:val="single" w:sz="8" w:color="auto"/>
              <w:right w:val="single" w:sz="8" w:color="auto"/>
            </w:tcBorders>
            <w:vMerge w:val="continue"/>
          </w:tcPr>
          <w:p>
            <w:pPr>
              <w:spacing w:after="0"/>
              <w:rPr>
                <w:sz w:val="16"/>
                <w:szCs w:val="16"/>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129"/>
        </w:trPr>
        <w:tc>
          <w:tcPr>
            <w:tcW w:w="1920" w:type="dxa"/>
            <w:vAlign w:val="bottom"/>
            <w:tcBorders>
              <w:left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6"/>
              </w:rPr>
              <w:t>Equity</w:t>
            </w:r>
          </w:p>
        </w:tc>
        <w:tc>
          <w:tcPr>
            <w:tcW w:w="146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Common stock, $0.001</w:t>
            </w:r>
          </w:p>
        </w:tc>
        <w:tc>
          <w:tcPr>
            <w:tcW w:w="128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457(c) and 457(h)</w:t>
            </w:r>
          </w:p>
        </w:tc>
        <w:tc>
          <w:tcPr>
            <w:tcW w:w="130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200,000</w:t>
            </w:r>
          </w:p>
        </w:tc>
        <w:tc>
          <w:tcPr>
            <w:tcW w:w="116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$7.23</w:t>
            </w:r>
          </w:p>
        </w:tc>
        <w:tc>
          <w:tcPr>
            <w:tcW w:w="150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$1,446,000</w:t>
            </w:r>
          </w:p>
        </w:tc>
        <w:tc>
          <w:tcPr>
            <w:tcW w:w="1280" w:type="dxa"/>
            <w:vAlign w:val="bottom"/>
            <w:tcBorders>
              <w:right w:val="single" w:sz="8" w:color="auto"/>
            </w:tcBorders>
          </w:tcPr>
          <w:p>
            <w:pPr>
              <w:jc w:val="right"/>
              <w:ind w:right="249"/>
              <w:spacing w:after="0" w:line="129" w:lineRule="exact"/>
              <w:rPr>
                <w:sz w:val="20"/>
                <w:szCs w:val="20"/>
                <w:color w:val="auto"/>
              </w:rPr>
            </w:pPr>
            <w:r>
              <w:rPr>
                <w:rFonts w:ascii="Times New Roman" w:cs="Times New Roman" w:eastAsia="Times New Roman" w:hAnsi="Times New Roman"/>
                <w:sz w:val="14"/>
                <w:szCs w:val="14"/>
                <w:color w:val="auto"/>
              </w:rPr>
              <w:t>0.00015310</w:t>
            </w:r>
          </w:p>
        </w:tc>
        <w:tc>
          <w:tcPr>
            <w:tcW w:w="140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$221.38</w:t>
            </w:r>
          </w:p>
        </w:tc>
        <w:tc>
          <w:tcPr>
            <w:tcW w:w="0" w:type="dxa"/>
            <w:vAlign w:val="bottom"/>
          </w:tcPr>
          <w:p>
            <w:pPr>
              <w:spacing w:after="0"/>
              <w:rPr>
                <w:sz w:val="1"/>
                <w:szCs w:val="1"/>
                <w:color w:val="auto"/>
              </w:rPr>
            </w:pPr>
          </w:p>
        </w:tc>
      </w:tr>
      <w:tr>
        <w:trPr>
          <w:trHeight w:val="187"/>
        </w:trPr>
        <w:tc>
          <w:tcPr>
            <w:tcW w:w="1920" w:type="dxa"/>
            <w:vAlign w:val="bottom"/>
            <w:tcBorders>
              <w:left w:val="single" w:sz="8" w:color="auto"/>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par value per share</w:t>
            </w:r>
          </w:p>
        </w:tc>
        <w:tc>
          <w:tcPr>
            <w:tcW w:w="128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920" w:type="dxa"/>
            <w:vAlign w:val="bottom"/>
            <w:tcBorders>
              <w:left w:val="single" w:sz="8" w:color="auto"/>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5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16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$1,446,000</w:t>
            </w:r>
          </w:p>
        </w:tc>
        <w:tc>
          <w:tcPr>
            <w:tcW w:w="128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$221.38</w:t>
            </w:r>
          </w:p>
        </w:tc>
        <w:tc>
          <w:tcPr>
            <w:tcW w:w="0" w:type="dxa"/>
            <w:vAlign w:val="bottom"/>
          </w:tcPr>
          <w:p>
            <w:pPr>
              <w:spacing w:after="0"/>
              <w:rPr>
                <w:sz w:val="1"/>
                <w:szCs w:val="1"/>
                <w:color w:val="auto"/>
              </w:rPr>
            </w:pPr>
          </w:p>
        </w:tc>
      </w:tr>
      <w:tr>
        <w:trPr>
          <w:trHeight w:val="171"/>
        </w:trPr>
        <w:tc>
          <w:tcPr>
            <w:tcW w:w="1920" w:type="dxa"/>
            <w:vAlign w:val="bottom"/>
            <w:tcBorders>
              <w:left w:val="single" w:sz="8" w:color="auto"/>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16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1920" w:type="dxa"/>
            <w:vAlign w:val="bottom"/>
            <w:tcBorders>
              <w:left w:val="single" w:sz="8" w:color="auto"/>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16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 w:firstLine="5"/>
        <w:spacing w:after="0" w:line="270" w:lineRule="auto"/>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promulgated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this Registration Statement shall also cover any additional shares of common stock, par value $0.001 per share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of Priority Technology Holdings,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that become issuable under the Priority Technology Holdings, Inc. 2021 Employee Stock Purchase Plan (the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by reason of any future stock dividend, stock split, recapitalization or other similar transaction.</w:t>
      </w:r>
    </w:p>
    <w:p>
      <w:pPr>
        <w:spacing w:after="0" w:line="156" w:lineRule="exact"/>
        <w:rPr>
          <w:rFonts w:ascii="Times New Roman" w:cs="Times New Roman" w:eastAsia="Times New Roman" w:hAnsi="Times New Roman"/>
          <w:sz w:val="14"/>
          <w:szCs w:val="14"/>
          <w:color w:val="auto"/>
        </w:rPr>
      </w:pPr>
    </w:p>
    <w:p>
      <w:pPr>
        <w:ind w:right="400" w:firstLine="5"/>
        <w:spacing w:after="0" w:line="287" w:lineRule="auto"/>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 accordance with Rule 457(c) and Rule 457(h) of the Securities Act. The price shown is based upon the average of the high and low prices reported for the common stock on the Nasdaq Global Market on July 14, 2025.</w:t>
      </w:r>
    </w:p>
    <w:p>
      <w:pPr>
        <w:sectPr>
          <w:pgSz w:w="11900" w:h="16838" w:orient="portrait"/>
          <w:cols w:equalWidth="0" w:num="1">
            <w:col w:w="11300"/>
          </w:cols>
          <w:pgMar w:left="300" w:top="823" w:right="299" w:bottom="1440" w:gutter="0" w:footer="0" w:header="0"/>
        </w:sectPr>
      </w:pPr>
    </w:p>
    <w:bookmarkStart w:id="9" w:name="page10"/>
    <w:bookmarkEnd w:id="9"/>
    <w:p>
      <w:pPr>
        <w:spacing w:after="0" w:line="287" w:lineRule="auto"/>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87" w:lineRule="auto"/>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87" w:lineRule="auto"/>
        <w:tabs>
          <w:tab w:leader="none" w:pos="200" w:val="left"/>
        </w:tabs>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ind w:left="10260"/>
        <w:spacing w:after="0"/>
        <w:rPr>
          <w:sz w:val="20"/>
          <w:szCs w:val="20"/>
          <w:color w:val="auto"/>
        </w:rPr>
      </w:pPr>
      <w:r>
        <w:rPr>
          <w:rFonts w:ascii="Times New Roman" w:cs="Times New Roman" w:eastAsia="Times New Roman" w:hAnsi="Times New Roman"/>
          <w:sz w:val="16"/>
          <w:szCs w:val="16"/>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AMENDMENT NO. 2</w:t>
      </w:r>
    </w:p>
    <w:p>
      <w:pPr>
        <w:spacing w:after="0" w:line="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TO THE PRIORITY TECHNOLOGY HOLDINGS,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2021 EMPLOYEE STOCK PURCHASE PLAN</w:t>
      </w:r>
    </w:p>
    <w:p>
      <w:pPr>
        <w:spacing w:after="0" w:line="178" w:lineRule="exact"/>
        <w:rPr>
          <w:sz w:val="20"/>
          <w:szCs w:val="20"/>
          <w:color w:val="auto"/>
        </w:rPr>
      </w:pPr>
    </w:p>
    <w:p>
      <w:pPr>
        <w:ind w:right="280" w:firstLine="156"/>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THIS AMENDMENT NO. 1 </w:t>
      </w:r>
      <w:r>
        <w:rPr>
          <w:rFonts w:ascii="Times New Roman" w:cs="Times New Roman" w:eastAsia="Times New Roman" w:hAnsi="Times New Roman"/>
          <w:sz w:val="16"/>
          <w:szCs w:val="16"/>
          <w:color w:val="auto"/>
        </w:rPr>
        <w:t>to the Priority Technology Holdings, Inc. 2021 Employee Stock Purchase Plan is made as of the 18th day of July, 2025, by Priority Technology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Holdings,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to be effective as set forth herein.</w:t>
      </w:r>
    </w:p>
    <w:p>
      <w:pPr>
        <w:spacing w:after="0" w:line="16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previously established the Priority Technology Holdings, Inc. 2021 Employee Stock Purchase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which was adopted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Board of Directors on April 16, 2021 and approved by the Company’s shareholders on June 9, 2021, and as amended on March 15, 2022, to provide employees of the Company and certain of its Subsidiaries with an opportunity to purchase Common Stock of the Company through payroll deductions;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Plan is intended to qualify as an “employee stock purchase plan” under Section 423 of the Internal Revenue Code (the “</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pursuant to Section 10.9 of the Plan, the Administrator (as defined in the Plan) may amend the Plan at any time, provided that if the Plan is amended in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manner that is considered the adoption of a new plan pursuant to Section 423 of the Code (e.g., increase shares available for issuance under the Plan), such amendment shall not be effective until approved by the Company’s shareholders;</w:t>
      </w:r>
    </w:p>
    <w:p>
      <w:pPr>
        <w:spacing w:after="0" w:line="130"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has determined that it is in the best interest of the Company and its shareholders and now desires to amend the Plan to increase the aggregate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number of shares of Company Common Stock available for issuance under the Plan to 19,587 shares, an increase of 200,000 shares, subject to approval of the Company’s shareholders; and</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the Plan is hereby amended, as follows, subject to and effective as of the date on which the amendment is approved by the Company’s shareholders:</w:t>
      </w:r>
    </w:p>
    <w:p>
      <w:pPr>
        <w:spacing w:after="0" w:line="223" w:lineRule="exact"/>
        <w:rPr>
          <w:sz w:val="20"/>
          <w:szCs w:val="20"/>
          <w:color w:val="auto"/>
        </w:rPr>
      </w:pPr>
    </w:p>
    <w:p>
      <w:pPr>
        <w:ind w:left="1020" w:hanging="506"/>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3.1 of the Plan is hereby amended by deleting the present section in its entirety and substituting the following in lieu thereof:</w:t>
      </w:r>
    </w:p>
    <w:p>
      <w:pPr>
        <w:spacing w:after="0" w:line="185" w:lineRule="exact"/>
        <w:rPr>
          <w:sz w:val="20"/>
          <w:szCs w:val="20"/>
          <w:color w:val="auto"/>
        </w:rPr>
      </w:pPr>
    </w:p>
    <w:p>
      <w:pPr>
        <w:ind w:left="520"/>
        <w:spacing w:after="0"/>
        <w:tabs>
          <w:tab w:leader="none" w:pos="1380" w:val="left"/>
        </w:tabs>
        <w:rPr>
          <w:sz w:val="20"/>
          <w:szCs w:val="20"/>
          <w:color w:val="auto"/>
        </w:rPr>
      </w:pPr>
      <w:r>
        <w:rPr>
          <w:rFonts w:ascii="Times New Roman" w:cs="Times New Roman" w:eastAsia="Times New Roman" w:hAnsi="Times New Roman"/>
          <w:sz w:val="16"/>
          <w:szCs w:val="16"/>
          <w:i w:val="1"/>
          <w:iCs w:val="1"/>
          <w:color w:val="auto"/>
        </w:rPr>
        <w:t>Section 3.1</w:t>
      </w:r>
      <w:r>
        <w:rPr>
          <w:sz w:val="20"/>
          <w:szCs w:val="20"/>
          <w:color w:val="auto"/>
        </w:rPr>
        <w:tab/>
      </w:r>
      <w:r>
        <w:rPr>
          <w:rFonts w:ascii="Times New Roman" w:cs="Times New Roman" w:eastAsia="Times New Roman" w:hAnsi="Times New Roman"/>
          <w:sz w:val="14"/>
          <w:szCs w:val="14"/>
          <w:i w:val="1"/>
          <w:iCs w:val="1"/>
          <w:color w:val="auto"/>
        </w:rPr>
        <w:t>Available Shares</w:t>
      </w:r>
      <w:r>
        <w:rPr>
          <w:rFonts w:ascii="Times New Roman" w:cs="Times New Roman" w:eastAsia="Times New Roman" w:hAnsi="Times New Roman"/>
          <w:sz w:val="14"/>
          <w:szCs w:val="14"/>
          <w:color w:val="auto"/>
        </w:rPr>
        <w:t>.</w:t>
      </w:r>
    </w:p>
    <w:p>
      <w:pPr>
        <w:spacing w:after="0" w:line="21" w:lineRule="exact"/>
        <w:rPr>
          <w:sz w:val="20"/>
          <w:szCs w:val="20"/>
          <w:color w:val="auto"/>
        </w:rPr>
      </w:pPr>
    </w:p>
    <w:p>
      <w:pPr>
        <w:ind w:left="520" w:right="180"/>
        <w:spacing w:after="0" w:line="242" w:lineRule="auto"/>
        <w:rPr>
          <w:sz w:val="20"/>
          <w:szCs w:val="20"/>
          <w:color w:val="auto"/>
        </w:rPr>
      </w:pPr>
      <w:r>
        <w:rPr>
          <w:rFonts w:ascii="Times New Roman" w:cs="Times New Roman" w:eastAsia="Times New Roman" w:hAnsi="Times New Roman"/>
          <w:sz w:val="16"/>
          <w:szCs w:val="16"/>
          <w:color w:val="auto"/>
        </w:rPr>
        <w:t>Subject to adjustments as provided in this Article III, the maximum aggregate number of Shares available for purchase under the Plan after its approval by the Company’s stockholders at the Company’s stockholders meeting scheduled for June 13, 2025 (the “Stockholder Approval Date”) shall be increased by 200,000 Shares, which will increase the number of Shares available for purchase under the Plan from 19,587 Shares to 219,587</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Shares</w:t>
      </w:r>
    </w:p>
    <w:p>
      <w:pPr>
        <w:spacing w:after="0" w:line="1" w:lineRule="exact"/>
        <w:rPr>
          <w:sz w:val="20"/>
          <w:szCs w:val="20"/>
          <w:color w:val="auto"/>
        </w:rPr>
      </w:pPr>
    </w:p>
    <w:p>
      <w:pPr>
        <w:ind w:left="520" w:right="160" w:hanging="6"/>
        <w:spacing w:after="0" w:line="258" w:lineRule="auto"/>
        <w:tabs>
          <w:tab w:leader="none" w:pos="59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Shares available for purchase under the Plan shall be reduced on a one-for-one basis by the number of Shares issued or issuable for Offer Dates prior to the Stockholder Approval Date. Shares issued under the Plan may be authorized but unissued or reacquired shares of Common Stock.</w:t>
      </w:r>
    </w:p>
    <w:p>
      <w:pPr>
        <w:spacing w:after="0" w:line="155" w:lineRule="exact"/>
        <w:rPr>
          <w:sz w:val="20"/>
          <w:szCs w:val="20"/>
          <w:color w:val="auto"/>
        </w:rPr>
      </w:pPr>
    </w:p>
    <w:p>
      <w:pPr>
        <w:ind w:firstLine="514"/>
        <w:spacing w:after="0" w:line="273" w:lineRule="auto"/>
        <w:tabs>
          <w:tab w:leader="none" w:pos="1018"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Amendment No. 2 to the Plan is subject to approval by the shareholders of the Company at a meeting duly called for such purposes. The increase in the number of shares of Company Common Stock available for issuance may not be issued pursuant to the Plan unless and until such</w:t>
      </w:r>
    </w:p>
    <w:p>
      <w:pPr>
        <w:sectPr>
          <w:pgSz w:w="11900" w:h="16838" w:orient="portrait"/>
          <w:cols w:equalWidth="0" w:num="1">
            <w:col w:w="11280"/>
          </w:cols>
          <w:pgMar w:left="300" w:top="108" w:right="31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7"/>
          <w:szCs w:val="17"/>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amendment is approved by the shareholders within twelve months after the date first written above. Except as hereby modified, the Plan shall remain in full force and effect.</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Company has executed this Amendment No. 2 as of the date first written above.</w:t>
      </w:r>
    </w:p>
    <w:p>
      <w:pPr>
        <w:spacing w:after="0" w:line="35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PRIORITY TECHNOLOGY HOLDINGS, INC.</w:t>
      </w:r>
    </w:p>
    <w:p>
      <w:pPr>
        <w:spacing w:after="0" w:line="19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-8890</wp:posOffset>
            </wp:positionV>
            <wp:extent cx="11455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1145540" cy="6985"/>
                    </a:xfrm>
                    <a:prstGeom prst="rect">
                      <a:avLst/>
                    </a:prstGeom>
                    <a:noFill/>
                  </pic:spPr>
                </pic:pic>
              </a:graphicData>
            </a:graphic>
          </wp:anchor>
        </w:drawing>
      </w:r>
    </w:p>
    <w:p>
      <w:pPr>
        <w:ind w:left="3060"/>
        <w:spacing w:after="0"/>
        <w:tabs>
          <w:tab w:leader="none" w:pos="3640" w:val="left"/>
        </w:tabs>
        <w:rPr>
          <w:sz w:val="20"/>
          <w:szCs w:val="20"/>
          <w:color w:val="auto"/>
        </w:rPr>
      </w:pPr>
      <w:r>
        <w:rPr>
          <w:rFonts w:ascii="Times New Roman" w:cs="Times New Roman" w:eastAsia="Times New Roman" w:hAnsi="Times New Roman"/>
          <w:sz w:val="16"/>
          <w:szCs w:val="16"/>
          <w:color w:val="auto"/>
        </w:rPr>
        <w:t>Name:</w:t>
        <w:tab/>
        <w:t>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-21590</wp:posOffset>
            </wp:positionV>
            <wp:extent cx="10922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092200" cy="6985"/>
                    </a:xfrm>
                    <a:prstGeom prst="rect">
                      <a:avLst/>
                    </a:prstGeom>
                    <a:noFill/>
                  </pic:spPr>
                </pic:pic>
              </a:graphicData>
            </a:graphic>
          </wp:anchor>
        </w:drawing>
      </w:r>
    </w:p>
    <w:p>
      <w:pPr>
        <w:ind w:left="3060"/>
        <w:spacing w:after="0"/>
        <w:tabs>
          <w:tab w:leader="none" w:pos="352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4"/>
          <w:szCs w:val="14"/>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-17145</wp:posOffset>
            </wp:positionV>
            <wp:extent cx="11734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173480" cy="6985"/>
                    </a:xfrm>
                    <a:prstGeom prst="rect">
                      <a:avLst/>
                    </a:prstGeom>
                    <a:noFill/>
                  </pic:spPr>
                </pic:pic>
              </a:graphicData>
            </a:graphic>
          </wp:anchor>
        </w:drawing>
      </w:r>
    </w:p>
    <w:p>
      <w:pPr>
        <w:sectPr>
          <w:pgSz w:w="11900" w:h="16838" w:orient="portrait"/>
          <w:cols w:equalWidth="0" w:num="1">
            <w:col w:w="11280"/>
          </w:cols>
          <w:pgMar w:left="300" w:top="108" w:right="31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2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 (Form S-8) pertaining to the 2021 Employee Stock Purchase Plan of Priority Technology Holdings Inc. of our reports dated March 6, 2025, with respect to the consolidated financial statements of Priority Technology Holdings Inc. Company and the effectiveness of internal control over financial reporting of Priority Technology Holdings Inc. Company included in its Annual Report (Form 10-K) for the year ended December 31, 2024, filed with the Securities and Exchange Commission.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Atlanta, GA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18, 2025</w:t>
      </w:r>
    </w:p>
    <w:sectPr>
      <w:pgSz w:w="11900" w:h="16838" w:orient="portrait"/>
      <w:cols w:equalWidth="0" w:num="1">
        <w:col w:w="11260"/>
      </w:cols>
      <w:pgMar w:left="320" w:top="1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9" Type="http://schemas.openxmlformats.org/officeDocument/2006/relationships/hyperlink" Target="https://www.sec.gov/Archives/edgar/data/1652362/000110465918021312/a18-9134_1ex3d1.htm" TargetMode="External"/><Relationship Id="rId10" Type="http://schemas.openxmlformats.org/officeDocument/2006/relationships/hyperlink" Target="https://www.sec.gov/Archives/edgar/data/1653558/000165355821000060/annex1certificateofamendme.htm" TargetMode="External"/><Relationship Id="rId11" Type="http://schemas.openxmlformats.org/officeDocument/2006/relationships/hyperlink" Target="https://www.sec.gov/Archives/edgar/data/1653558/000165355821000065/exhibit31-priorityxcertifi.htm" TargetMode="External"/><Relationship Id="rId12" Type="http://schemas.openxmlformats.org/officeDocument/2006/relationships/hyperlink" Target="https://www.sec.gov/Archives/edgar/data/1653558/000161577416006436/s103712_s1.htm" TargetMode="External"/><Relationship Id="rId13" Type="http://schemas.openxmlformats.org/officeDocument/2006/relationships/hyperlink" Target="https://www.sec.gov/Archives/edgar/data/1652362/000110465918021312/a18-9134_1ex3d2.htm" TargetMode="External"/><Relationship Id="rId14" Type="http://schemas.openxmlformats.org/officeDocument/2006/relationships/hyperlink" Target="https://www.sec.gov/Archives/edgar/data/1653558/000165355821000101/ex1021prioritytechnologyq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2025-07-18T13:16:03Z</dcterms:created>
  <dcterms:modified xsi:type="dcterms:W3CDTF">2025-07-18T13:16:03Z</dcterms:modified>
</cp:coreProperties>
</file>