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May 11, 2023</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3810</wp:posOffset>
            </wp:positionV>
            <wp:extent cx="1691640" cy="782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1640" cy="782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Priority Technology Holdings,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18" w:lineRule="exact"/>
        <w:rPr>
          <w:sz w:val="24"/>
          <w:szCs w:val="24"/>
          <w:color w:val="auto"/>
        </w:rPr>
      </w:pPr>
    </w:p>
    <w:tbl>
      <w:tblPr>
        <w:tblLayout w:type="fixed"/>
        <w:tblInd w:w="8" w:type="dxa"/>
        <w:tblCellMar>
          <w:top w:w="0" w:type="dxa"/>
          <w:left w:w="0" w:type="dxa"/>
          <w:bottom w:w="0" w:type="dxa"/>
          <w:right w:w="0" w:type="dxa"/>
        </w:tblCellMar>
      </w:tblPr>
      <w:tr>
        <w:trPr>
          <w:trHeight w:val="16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40" w:type="dxa"/>
            <w:vAlign w:val="bottom"/>
          </w:tcPr>
          <w:p>
            <w:pPr>
              <w:spacing w:after="0"/>
              <w:rPr>
                <w:sz w:val="14"/>
                <w:szCs w:val="14"/>
                <w:color w:val="auto"/>
              </w:rPr>
            </w:pPr>
          </w:p>
        </w:tc>
        <w:tc>
          <w:tcPr>
            <w:tcW w:w="2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4"/>
                <w:szCs w:val="14"/>
                <w:color w:val="auto"/>
              </w:rPr>
            </w:pPr>
          </w:p>
        </w:tc>
      </w:tr>
      <w:tr>
        <w:trPr>
          <w:trHeight w:val="147"/>
        </w:trPr>
        <w:tc>
          <w:tcPr>
            <w:tcW w:w="4020" w:type="dxa"/>
            <w:vAlign w:val="bottom"/>
            <w:gridSpan w:val="2"/>
          </w:tcPr>
          <w:p>
            <w:pPr>
              <w:jc w:val="center"/>
              <w:ind w:right="380"/>
              <w:spacing w:after="0"/>
              <w:rPr>
                <w:sz w:val="20"/>
                <w:szCs w:val="20"/>
                <w:color w:val="auto"/>
              </w:rPr>
            </w:pPr>
            <w:r>
              <w:rPr>
                <w:rFonts w:ascii="Arial" w:cs="Arial" w:eastAsia="Arial" w:hAnsi="Arial"/>
                <w:sz w:val="12"/>
                <w:szCs w:val="12"/>
                <w:color w:val="auto"/>
                <w:w w:val="93"/>
              </w:rPr>
              <w:t>(State or other jurisdiction of incorporation)</w:t>
            </w:r>
          </w:p>
        </w:tc>
        <w:tc>
          <w:tcPr>
            <w:tcW w:w="3360" w:type="dxa"/>
            <w:vAlign w:val="bottom"/>
            <w:gridSpan w:val="3"/>
          </w:tcPr>
          <w:p>
            <w:pPr>
              <w:jc w:val="center"/>
              <w:ind w:right="40"/>
              <w:spacing w:after="0"/>
              <w:rPr>
                <w:sz w:val="20"/>
                <w:szCs w:val="20"/>
                <w:color w:val="auto"/>
              </w:rPr>
            </w:pPr>
            <w:r>
              <w:rPr>
                <w:rFonts w:ascii="Arial" w:cs="Arial" w:eastAsia="Arial" w:hAnsi="Arial"/>
                <w:sz w:val="12"/>
                <w:szCs w:val="12"/>
                <w:color w:val="auto"/>
                <w:w w:val="92"/>
              </w:rPr>
              <w:t>(Commission File Number)</w:t>
            </w:r>
          </w:p>
        </w:tc>
        <w:tc>
          <w:tcPr>
            <w:tcW w:w="320" w:type="dxa"/>
            <w:vAlign w:val="bottom"/>
          </w:tcPr>
          <w:p>
            <w:pPr>
              <w:spacing w:after="0"/>
              <w:rPr>
                <w:sz w:val="12"/>
                <w:szCs w:val="12"/>
                <w:color w:val="auto"/>
              </w:rPr>
            </w:pP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32"/>
        </w:trPr>
        <w:tc>
          <w:tcPr>
            <w:tcW w:w="4020" w:type="dxa"/>
            <w:vAlign w:val="bottom"/>
            <w:gridSpan w:val="2"/>
          </w:tcPr>
          <w:p>
            <w:pPr>
              <w:jc w:val="center"/>
              <w:ind w:left="1680"/>
              <w:spacing w:after="0"/>
              <w:rPr>
                <w:sz w:val="20"/>
                <w:szCs w:val="20"/>
                <w:color w:val="auto"/>
              </w:rPr>
            </w:pPr>
            <w:r>
              <w:rPr>
                <w:rFonts w:ascii="Arial" w:cs="Arial" w:eastAsia="Arial" w:hAnsi="Arial"/>
                <w:sz w:val="12"/>
                <w:szCs w:val="12"/>
                <w:b w:val="1"/>
                <w:bCs w:val="1"/>
                <w:color w:val="auto"/>
                <w:w w:val="89"/>
              </w:rPr>
              <w:t>2001 Westside Parkway</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4020" w:type="dxa"/>
            <w:vAlign w:val="bottom"/>
            <w:gridSpan w:val="2"/>
          </w:tcPr>
          <w:p>
            <w:pPr>
              <w:jc w:val="center"/>
              <w:ind w:left="1680"/>
              <w:spacing w:after="0"/>
              <w:rPr>
                <w:sz w:val="20"/>
                <w:szCs w:val="20"/>
                <w:color w:val="auto"/>
              </w:rPr>
            </w:pPr>
            <w:r>
              <w:rPr>
                <w:rFonts w:ascii="Arial" w:cs="Arial" w:eastAsia="Arial" w:hAnsi="Arial"/>
                <w:sz w:val="12"/>
                <w:szCs w:val="12"/>
                <w:b w:val="1"/>
                <w:bCs w:val="1"/>
                <w:color w:val="auto"/>
                <w:w w:val="91"/>
              </w:rPr>
              <w:t>Suite 155</w:t>
            </w: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2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360" w:type="dxa"/>
            <w:vAlign w:val="bottom"/>
            <w:gridSpan w:val="3"/>
          </w:tcPr>
          <w:p>
            <w:pPr>
              <w:ind w:left="100"/>
              <w:spacing w:after="0"/>
              <w:rPr>
                <w:sz w:val="20"/>
                <w:szCs w:val="20"/>
                <w:color w:val="auto"/>
              </w:rPr>
            </w:pPr>
            <w:r>
              <w:rPr>
                <w:rFonts w:ascii="Arial" w:cs="Arial" w:eastAsia="Arial" w:hAnsi="Arial"/>
                <w:sz w:val="12"/>
                <w:szCs w:val="12"/>
                <w:b w:val="1"/>
                <w:bCs w:val="1"/>
                <w:color w:val="auto"/>
              </w:rPr>
              <w:t>Georgia</w:t>
            </w:r>
          </w:p>
        </w:tc>
        <w:tc>
          <w:tcPr>
            <w:tcW w:w="3900" w:type="dxa"/>
            <w:vAlign w:val="bottom"/>
            <w:gridSpan w:val="2"/>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13"/>
                <w:szCs w:val="13"/>
                <w:color w:val="auto"/>
              </w:rPr>
            </w:pPr>
          </w:p>
        </w:tc>
      </w:tr>
      <w:tr>
        <w:trPr>
          <w:trHeight w:val="142"/>
        </w:trPr>
        <w:tc>
          <w:tcPr>
            <w:tcW w:w="4020" w:type="dxa"/>
            <w:vAlign w:val="bottom"/>
            <w:tcBorders>
              <w:top w:val="single" w:sz="8" w:color="auto"/>
            </w:tcBorders>
            <w:gridSpan w:val="2"/>
          </w:tcPr>
          <w:p>
            <w:pPr>
              <w:jc w:val="center"/>
              <w:ind w:left="1640"/>
              <w:spacing w:after="0"/>
              <w:rPr>
                <w:sz w:val="20"/>
                <w:szCs w:val="20"/>
                <w:color w:val="auto"/>
              </w:rPr>
            </w:pPr>
            <w:r>
              <w:rPr>
                <w:rFonts w:ascii="Arial" w:cs="Arial" w:eastAsia="Arial" w:hAnsi="Arial"/>
                <w:sz w:val="12"/>
                <w:szCs w:val="12"/>
                <w:color w:val="auto"/>
                <w:w w:val="92"/>
              </w:rPr>
              <w:t>(Address of Principal Executive Offices)</w:t>
            </w:r>
          </w:p>
        </w:tc>
        <w:tc>
          <w:tcPr>
            <w:tcW w:w="1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9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5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140" w:type="dxa"/>
            <w:vAlign w:val="bottom"/>
            <w:gridSpan w:val="4"/>
          </w:tcPr>
          <w:p>
            <w:pPr>
              <w:ind w:left="100"/>
              <w:spacing w:after="0"/>
              <w:rPr>
                <w:sz w:val="20"/>
                <w:szCs w:val="20"/>
                <w:color w:val="auto"/>
              </w:rPr>
            </w:pPr>
            <w:r>
              <w:rPr>
                <w:rFonts w:ascii="Arial" w:cs="Arial" w:eastAsia="Arial" w:hAnsi="Arial"/>
                <w:sz w:val="12"/>
                <w:szCs w:val="12"/>
                <w:color w:val="auto"/>
              </w:rPr>
              <w:t>Securities registered pursuant to Section 12(b) of the Act:</w:t>
            </w:r>
          </w:p>
        </w:tc>
      </w:tr>
      <w:tr>
        <w:trPr>
          <w:trHeight w:val="234"/>
        </w:trPr>
        <w:tc>
          <w:tcPr>
            <w:tcW w:w="54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20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200" w:type="dxa"/>
            <w:vAlign w:val="bottom"/>
          </w:tcPr>
          <w:p>
            <w:pPr>
              <w:spacing w:after="0"/>
              <w:rPr>
                <w:sz w:val="20"/>
                <w:szCs w:val="20"/>
                <w:color w:val="auto"/>
              </w:rPr>
            </w:pP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 of each exchange on which registered</w:t>
            </w:r>
          </w:p>
        </w:tc>
        <w:tc>
          <w:tcPr>
            <w:tcW w:w="560" w:type="dxa"/>
            <w:vAlign w:val="bottom"/>
          </w:tcPr>
          <w:p>
            <w:pPr>
              <w:spacing w:after="0"/>
              <w:rPr>
                <w:sz w:val="20"/>
                <w:szCs w:val="20"/>
                <w:color w:val="auto"/>
              </w:rPr>
            </w:pPr>
          </w:p>
        </w:tc>
      </w:tr>
      <w:tr>
        <w:trPr>
          <w:trHeight w:val="142"/>
        </w:trPr>
        <w:tc>
          <w:tcPr>
            <w:tcW w:w="540" w:type="dxa"/>
            <w:vAlign w:val="bottom"/>
          </w:tcPr>
          <w:p>
            <w:pPr>
              <w:spacing w:after="0"/>
              <w:rPr>
                <w:sz w:val="12"/>
                <w:szCs w:val="12"/>
                <w:color w:val="auto"/>
              </w:rPr>
            </w:pPr>
          </w:p>
        </w:tc>
        <w:tc>
          <w:tcPr>
            <w:tcW w:w="3420" w:type="dxa"/>
            <w:vAlign w:val="bottom"/>
          </w:tcPr>
          <w:p>
            <w:pPr>
              <w:jc w:val="center"/>
              <w:spacing w:after="0"/>
              <w:rPr>
                <w:sz w:val="20"/>
                <w:szCs w:val="20"/>
                <w:color w:val="auto"/>
              </w:rPr>
            </w:pPr>
            <w:r>
              <w:rPr>
                <w:rFonts w:ascii="Arial" w:cs="Arial" w:eastAsia="Arial" w:hAnsi="Arial"/>
                <w:sz w:val="12"/>
                <w:szCs w:val="12"/>
                <w:color w:val="auto"/>
                <w:w w:val="90"/>
              </w:rPr>
              <w:t>Common stock, $0.001 par value</w:t>
            </w:r>
          </w:p>
        </w:tc>
        <w:tc>
          <w:tcPr>
            <w:tcW w:w="20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PRTH</w:t>
            </w:r>
          </w:p>
        </w:tc>
        <w:tc>
          <w:tcPr>
            <w:tcW w:w="200" w:type="dxa"/>
            <w:vAlign w:val="bottom"/>
          </w:tcPr>
          <w:p>
            <w:pPr>
              <w:spacing w:after="0"/>
              <w:rPr>
                <w:sz w:val="12"/>
                <w:szCs w:val="12"/>
                <w:color w:val="auto"/>
              </w:rPr>
            </w:pPr>
          </w:p>
        </w:tc>
        <w:tc>
          <w:tcPr>
            <w:tcW w:w="4960" w:type="dxa"/>
            <w:vAlign w:val="bottom"/>
            <w:gridSpan w:val="2"/>
          </w:tcPr>
          <w:p>
            <w:pPr>
              <w:ind w:left="1660"/>
              <w:spacing w:after="0"/>
              <w:rPr>
                <w:sz w:val="20"/>
                <w:szCs w:val="20"/>
                <w:color w:val="auto"/>
              </w:rPr>
            </w:pPr>
            <w:r>
              <w:rPr>
                <w:rFonts w:ascii="Arial" w:cs="Arial" w:eastAsia="Arial" w:hAnsi="Arial"/>
                <w:sz w:val="12"/>
                <w:szCs w:val="12"/>
                <w:color w:val="auto"/>
              </w:rPr>
              <w:t>Nasdaq Global Market</w:t>
            </w:r>
          </w:p>
        </w:tc>
      </w:tr>
      <w:tr>
        <w:trPr>
          <w:trHeight w:val="810"/>
        </w:trPr>
        <w:tc>
          <w:tcPr>
            <w:tcW w:w="5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2" w:lineRule="exact"/>
        <w:rPr>
          <w:sz w:val="20"/>
          <w:szCs w:val="20"/>
          <w:color w:val="auto"/>
        </w:rPr>
      </w:pPr>
    </w:p>
    <w:p>
      <w:pPr>
        <w:ind w:left="120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8" w:lineRule="exact"/>
        <w:rPr>
          <w:sz w:val="20"/>
          <w:szCs w:val="20"/>
          <w:color w:val="auto"/>
        </w:rPr>
      </w:pPr>
    </w:p>
    <w:p>
      <w:pPr>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2" w:name="page3"/>
    <w:bookmarkEnd w:id="2"/>
    <w:p>
      <w:pPr>
        <w:spacing w:after="0"/>
        <w:tabs>
          <w:tab w:leader="none" w:pos="66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May 11, 2023, Priority Technology Holdings, Inc. ("Priority") issued a press release announcing its financial results for the quarter ended March 31, 2023. A copy of that press release is attached as Exhibit 99.1 to this Current Report on Form 8-K.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May 11, 2023, Priority will hold an earnings conference call and webcast at 11:00 a.m. (Eastern Time) to discuss the financial results for the quarter ended March 31, 2023.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www.prth.com under the "Investor Relations" section.</w:t>
      </w:r>
    </w:p>
    <w:p>
      <w:pPr>
        <w:spacing w:after="0" w:line="12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88"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Description</w:t>
            </w:r>
          </w:p>
        </w:tc>
      </w:tr>
      <w:tr>
        <w:trPr>
          <w:trHeight w:val="142"/>
        </w:trPr>
        <w:tc>
          <w:tcPr>
            <w:tcW w:w="1260" w:type="dxa"/>
            <w:vAlign w:val="bottom"/>
          </w:tcPr>
          <w:p>
            <w:pPr>
              <w:spacing w:after="0"/>
              <w:rPr>
                <w:sz w:val="20"/>
                <w:szCs w:val="20"/>
                <w:color w:val="auto"/>
              </w:rPr>
            </w:pPr>
            <w:r>
              <w:rPr>
                <w:rFonts w:ascii="Arial" w:cs="Arial" w:eastAsia="Arial" w:hAnsi="Arial"/>
                <w:sz w:val="12"/>
                <w:szCs w:val="12"/>
                <w:color w:val="0000FF"/>
              </w:rPr>
              <w:t>99.1</w:t>
            </w:r>
          </w:p>
        </w:tc>
        <w:tc>
          <w:tcPr>
            <w:tcW w:w="10040" w:type="dxa"/>
            <w:vAlign w:val="bottom"/>
          </w:tcPr>
          <w:p>
            <w:pPr>
              <w:ind w:left="400"/>
              <w:spacing w:after="0"/>
              <w:rPr>
                <w:sz w:val="20"/>
                <w:szCs w:val="20"/>
                <w:color w:val="auto"/>
              </w:rPr>
            </w:pPr>
            <w:r>
              <w:rPr>
                <w:rFonts w:ascii="Arial" w:cs="Arial" w:eastAsia="Arial" w:hAnsi="Arial"/>
                <w:sz w:val="12"/>
                <w:szCs w:val="12"/>
                <w:color w:val="0000FF"/>
              </w:rPr>
              <w:t>Press Release of Priority Technology Holdings, Inc. dated May 11, 2023</w:t>
            </w:r>
          </w:p>
        </w:tc>
      </w:tr>
      <w:tr>
        <w:trPr>
          <w:trHeight w:val="162"/>
        </w:trPr>
        <w:tc>
          <w:tcPr>
            <w:tcW w:w="1260" w:type="dxa"/>
            <w:vAlign w:val="bottom"/>
          </w:tcPr>
          <w:p>
            <w:pPr>
              <w:spacing w:after="0"/>
              <w:rPr>
                <w:sz w:val="20"/>
                <w:szCs w:val="20"/>
                <w:color w:val="auto"/>
              </w:rPr>
            </w:pPr>
            <w:r>
              <w:rPr>
                <w:rFonts w:ascii="Arial" w:cs="Arial" w:eastAsia="Arial" w:hAnsi="Arial"/>
                <w:sz w:val="12"/>
                <w:szCs w:val="12"/>
                <w:color w:val="0000FF"/>
              </w:rPr>
              <w:t>99.2</w:t>
            </w:r>
          </w:p>
        </w:tc>
        <w:tc>
          <w:tcPr>
            <w:tcW w:w="10040" w:type="dxa"/>
            <w:vAlign w:val="bottom"/>
          </w:tcPr>
          <w:p>
            <w:pPr>
              <w:ind w:left="400"/>
              <w:spacing w:after="0"/>
              <w:rPr>
                <w:sz w:val="20"/>
                <w:szCs w:val="20"/>
                <w:color w:val="auto"/>
              </w:rPr>
            </w:pPr>
            <w:r>
              <w:rPr>
                <w:rFonts w:ascii="Arial" w:cs="Arial" w:eastAsia="Arial" w:hAnsi="Arial"/>
                <w:sz w:val="12"/>
                <w:szCs w:val="12"/>
                <w:color w:val="0000FF"/>
              </w:rPr>
              <w:t>Supplemental Slide Presentation</w:t>
            </w: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104</w:t>
            </w:r>
          </w:p>
        </w:tc>
        <w:tc>
          <w:tcPr>
            <w:tcW w:w="10040" w:type="dxa"/>
            <w:vAlign w:val="bottom"/>
          </w:tcPr>
          <w:p>
            <w:pPr>
              <w:ind w:left="400"/>
              <w:spacing w:after="0"/>
              <w:rPr>
                <w:sz w:val="20"/>
                <w:szCs w:val="20"/>
                <w:color w:val="auto"/>
              </w:rPr>
            </w:pPr>
            <w:r>
              <w:rPr>
                <w:rFonts w:ascii="Arial" w:cs="Arial" w:eastAsia="Arial" w:hAnsi="Arial"/>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Dated: May 11, 2023</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77"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Timothy O'Leary</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Timothy O'Leary</w:t>
      </w:r>
    </w:p>
    <w:p>
      <w:pPr>
        <w:spacing w:after="0" w:line="24"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1300"/>
          </w:cols>
          <w:pgMar w:left="300" w:top="640" w:right="299" w:bottom="1440" w:gutter="0" w:footer="0" w:header="0"/>
        </w:sectPr>
      </w:pPr>
    </w:p>
    <w:bookmarkStart w:id="3" w:name="page4"/>
    <w:bookmarkEnd w:id="3"/>
    <w:p>
      <w:pPr>
        <w:ind w:left="9980"/>
        <w:spacing w:after="0"/>
        <w:rPr>
          <w:sz w:val="20"/>
          <w:szCs w:val="20"/>
          <w:color w:val="auto"/>
        </w:rPr>
      </w:pPr>
      <w:r>
        <w:rPr>
          <w:rFonts w:ascii="Arial" w:cs="Arial" w:eastAsia="Arial" w:hAnsi="Arial"/>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15240</wp:posOffset>
            </wp:positionV>
            <wp:extent cx="1177290" cy="417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Chris Kettmann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chris.kettmann@dentonsglobaladvisors.com</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(773) 497-7575</w:t>
      </w:r>
    </w:p>
    <w:p>
      <w:pPr>
        <w:spacing w:after="0" w:line="182"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Priority Technology Holdings, Inc. Announces First Quarter 2023 Financial Results</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4"/>
          <w:szCs w:val="14"/>
          <w:i w:val="1"/>
          <w:iCs w:val="1"/>
          <w:color w:val="auto"/>
        </w:rPr>
        <w:t>Strong First Quarter Growth Driven by Performance Across Diverse Business Segments</w:t>
      </w:r>
    </w:p>
    <w:p>
      <w:pPr>
        <w:spacing w:after="0" w:line="167" w:lineRule="exact"/>
        <w:rPr>
          <w:sz w:val="20"/>
          <w:szCs w:val="20"/>
          <w:color w:val="auto"/>
        </w:rPr>
      </w:pPr>
    </w:p>
    <w:p>
      <w:pPr>
        <w:ind w:right="60"/>
        <w:spacing w:after="0" w:line="314" w:lineRule="auto"/>
        <w:rPr>
          <w:sz w:val="20"/>
          <w:szCs w:val="20"/>
          <w:color w:val="auto"/>
        </w:rPr>
      </w:pPr>
      <w:r>
        <w:rPr>
          <w:rFonts w:ascii="Arial" w:cs="Arial" w:eastAsia="Arial" w:hAnsi="Arial"/>
          <w:sz w:val="13"/>
          <w:szCs w:val="13"/>
          <w:color w:val="auto"/>
        </w:rPr>
        <w:t>ALPHARETTA, GA - May 11, 2023 -- Priority Technology Holdings, Inc. (NASDAQ: PRTH) ("Priority" or the "Company"), the platform for unified commerce that delivers integrated payments and banking services at scale, today announced its first quarter 2023 financial results including strong quarter-over-quarter diversified revenue growth.</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u w:val="single" w:color="auto"/>
          <w:color w:val="auto"/>
        </w:rPr>
        <w:t>Highlights of Consolidated Results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First Quarter 2023, Compared with First Quarter 2022</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Financial highlights of the first quarter of 2023 compared with the first quarter of 2022, are as follows:</w:t>
      </w:r>
    </w:p>
    <w:p>
      <w:pPr>
        <w:spacing w:after="0" w:line="184"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Revenue of $185.0 million increased 20.8% from $153.2 million.</w:t>
      </w:r>
    </w:p>
    <w:p>
      <w:pPr>
        <w:spacing w:after="0" w:line="25"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gross profit (a non-GAAP measure</w:t>
      </w:r>
      <w:r>
        <w:rPr>
          <w:rFonts w:ascii="Arial" w:cs="Arial" w:eastAsia="Arial" w:hAnsi="Arial"/>
          <w:sz w:val="17"/>
          <w:szCs w:val="17"/>
          <w:color w:val="auto"/>
          <w:vertAlign w:val="superscript"/>
        </w:rPr>
        <w:t>1</w:t>
      </w:r>
      <w:r>
        <w:rPr>
          <w:rFonts w:ascii="Arial" w:cs="Arial" w:eastAsia="Arial" w:hAnsi="Arial"/>
          <w:sz w:val="13"/>
          <w:szCs w:val="13"/>
          <w:color w:val="auto"/>
        </w:rPr>
        <w:t>) of $63.1 million increased 21.8% from $51.8 million.</w:t>
      </w:r>
    </w:p>
    <w:p>
      <w:pPr>
        <w:ind w:left="420" w:hanging="212"/>
        <w:spacing w:after="0" w:line="232" w:lineRule="auto"/>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gross profit margin (a non-GAAP measure</w:t>
      </w:r>
      <w:r>
        <w:rPr>
          <w:rFonts w:ascii="Arial" w:cs="Arial" w:eastAsia="Arial" w:hAnsi="Arial"/>
          <w:sz w:val="17"/>
          <w:szCs w:val="17"/>
          <w:color w:val="auto"/>
          <w:vertAlign w:val="superscript"/>
        </w:rPr>
        <w:t>1</w:t>
      </w:r>
      <w:r>
        <w:rPr>
          <w:rFonts w:ascii="Arial" w:cs="Arial" w:eastAsia="Arial" w:hAnsi="Arial"/>
          <w:sz w:val="13"/>
          <w:szCs w:val="13"/>
          <w:color w:val="auto"/>
        </w:rPr>
        <w:t>) of 34.1% increased 30 basis points from 33.8%.</w:t>
      </w: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Operating income of $16.8 million increased 55.6% from $10.8 million.</w:t>
      </w:r>
    </w:p>
    <w:p>
      <w:pPr>
        <w:spacing w:after="0" w:line="20"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EBITDA (a non-GAAP measure</w:t>
      </w:r>
      <w:r>
        <w:rPr>
          <w:rFonts w:ascii="Arial" w:cs="Arial" w:eastAsia="Arial" w:hAnsi="Arial"/>
          <w:sz w:val="17"/>
          <w:szCs w:val="17"/>
          <w:color w:val="auto"/>
          <w:vertAlign w:val="superscript"/>
        </w:rPr>
        <w:t>1</w:t>
      </w:r>
      <w:r>
        <w:rPr>
          <w:rFonts w:ascii="Arial" w:cs="Arial" w:eastAsia="Arial" w:hAnsi="Arial"/>
          <w:sz w:val="13"/>
          <w:szCs w:val="13"/>
          <w:color w:val="auto"/>
        </w:rPr>
        <w:t>) of $37.6 million increased 24.1% from $30.3 million</w:t>
      </w:r>
    </w:p>
    <w:p>
      <w:pPr>
        <w:spacing w:after="0" w:line="200" w:lineRule="exact"/>
        <w:rPr>
          <w:sz w:val="20"/>
          <w:szCs w:val="20"/>
          <w:color w:val="auto"/>
        </w:rPr>
      </w:pPr>
    </w:p>
    <w:p>
      <w:pPr>
        <w:spacing w:after="0" w:line="262"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"We once again delivered excellent results, driven by the strength of our diverse business lines, particularly our counter cyclical businesses that are positioned to benefit from higher interest rates and the current economic conditions," said Tom Priore, Chairman &amp; CEO of Priority. "We are continuing to invest prudently in our vision for the convergence of payments and banking features that are essential to delivering a modern commerce experience for our acquiring and B2B customers, reselling and ISV partners, and long term value to our shareholders."</w:t>
      </w:r>
    </w:p>
    <w:p>
      <w:pPr>
        <w:spacing w:after="0" w:line="293" w:lineRule="exact"/>
        <w:rPr>
          <w:sz w:val="20"/>
          <w:szCs w:val="20"/>
          <w:color w:val="auto"/>
        </w:rPr>
      </w:pPr>
    </w:p>
    <w:p>
      <w:pPr>
        <w:ind w:left="420" w:right="40" w:hanging="212"/>
        <w:spacing w:after="0"/>
        <w:tabs>
          <w:tab w:leader="none" w:pos="42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i w:val="1"/>
          <w:iCs w:val="1"/>
          <w:color w:val="auto"/>
        </w:rPr>
        <w:t>See "Non-GAAP Financial Measures" and the reconciliations of Adjusted Gross Profit (non-GAAP),Adjusted Gross Profit Margin (non-GAAP), and Adjusted EBITDA, to their most comparable GAAP measures provided below for additional information.</w:t>
      </w:r>
    </w:p>
    <w:p>
      <w:pPr>
        <w:spacing w:after="0" w:line="200" w:lineRule="exact"/>
        <w:rPr>
          <w:sz w:val="20"/>
          <w:szCs w:val="20"/>
          <w:color w:val="auto"/>
        </w:rPr>
      </w:pP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040"/>
          </w:cols>
          <w:pgMar w:left="300" w:top="653" w:right="559" w:bottom="1440" w:gutter="0" w:footer="0" w:header="0"/>
        </w:sectPr>
      </w:pPr>
    </w:p>
    <w:bookmarkStart w:id="4" w:name="page5"/>
    <w:bookmarkEnd w:id="4"/>
    <w:p>
      <w:pPr>
        <w:jc w:val="center"/>
        <w:ind w:right="-259"/>
        <w:spacing w:after="0"/>
        <w:rPr>
          <w:sz w:val="20"/>
          <w:szCs w:val="20"/>
          <w:color w:val="auto"/>
        </w:rPr>
      </w:pPr>
      <w:r>
        <w:rPr>
          <w:rFonts w:ascii="Arial" w:cs="Arial" w:eastAsia="Arial" w:hAnsi="Arial"/>
          <w:sz w:val="13"/>
          <w:szCs w:val="13"/>
          <w:b w:val="1"/>
          <w:bCs w:val="1"/>
          <w:u w:val="single" w:color="auto"/>
          <w:color w:val="auto"/>
        </w:rPr>
        <w:t>Full Year 2023 Financial Guidance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070707"/>
        </w:rPr>
        <w:t>Priority's outlook remains strong and we are reaffirming our full year 2023 guidance:</w:t>
      </w:r>
    </w:p>
    <w:p>
      <w:pPr>
        <w:spacing w:after="0" w:line="175"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Revenue forecasted to range between $740 million to $755 million, a growth rate of 12% to 14%.</w:t>
      </w:r>
    </w:p>
    <w:p>
      <w:pPr>
        <w:spacing w:after="0" w:line="39"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Adjusted EBITDA (a non-GAAP measure) is forecasted to range between $160 million to $165 million, a growth rate of 14% to 18%.</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3"/>
          <w:szCs w:val="13"/>
          <w:b w:val="1"/>
          <w:bCs w:val="1"/>
          <w:u w:val="single" w:color="auto"/>
          <w:color w:val="auto"/>
        </w:rPr>
        <w:t>Conference Call</w:t>
      </w:r>
    </w:p>
    <w:p>
      <w:pPr>
        <w:spacing w:after="0" w:line="188" w:lineRule="exact"/>
        <w:rPr>
          <w:sz w:val="20"/>
          <w:szCs w:val="20"/>
          <w:color w:val="auto"/>
        </w:rPr>
      </w:pPr>
    </w:p>
    <w:p>
      <w:pPr>
        <w:ind w:right="60"/>
        <w:spacing w:after="0" w:line="314" w:lineRule="auto"/>
        <w:rPr>
          <w:sz w:val="20"/>
          <w:szCs w:val="20"/>
          <w:color w:val="auto"/>
        </w:rPr>
      </w:pPr>
      <w:r>
        <w:rPr>
          <w:rFonts w:ascii="Arial" w:cs="Arial" w:eastAsia="Arial" w:hAnsi="Arial"/>
          <w:sz w:val="13"/>
          <w:szCs w:val="13"/>
          <w:color w:val="070707"/>
        </w:rPr>
        <w:t>Priority's leadership will host a conference call on Thursday, May 11, 2023 at 11:00 a.m. EDT to discuss its first quarter 2023 financial results. Participants can access the call by p</w:t>
      </w:r>
      <w:r>
        <w:rPr>
          <w:rFonts w:ascii="Arial" w:cs="Arial" w:eastAsia="Arial" w:hAnsi="Arial"/>
          <w:sz w:val="13"/>
          <w:szCs w:val="13"/>
          <w:color w:val="000000"/>
        </w:rPr>
        <w:t>hone in the U.S. or Canada at</w:t>
      </w:r>
      <w:r>
        <w:rPr>
          <w:rFonts w:ascii="Arial" w:cs="Arial" w:eastAsia="Arial" w:hAnsi="Arial"/>
          <w:sz w:val="13"/>
          <w:szCs w:val="13"/>
          <w:color w:val="070707"/>
        </w:rPr>
        <w:t xml:space="preserve"> </w:t>
      </w:r>
      <w:r>
        <w:rPr>
          <w:rFonts w:ascii="Arial" w:cs="Arial" w:eastAsia="Arial" w:hAnsi="Arial"/>
          <w:sz w:val="13"/>
          <w:szCs w:val="13"/>
          <w:color w:val="000000"/>
        </w:rPr>
        <w:t>(833) 636-1319 or internationally at (412) 902-4286.</w:t>
      </w:r>
    </w:p>
    <w:p>
      <w:pPr>
        <w:spacing w:after="0" w:line="87" w:lineRule="exact"/>
        <w:rPr>
          <w:sz w:val="20"/>
          <w:szCs w:val="20"/>
          <w:color w:val="auto"/>
        </w:rPr>
      </w:pPr>
    </w:p>
    <w:p>
      <w:pPr>
        <w:ind w:right="300"/>
        <w:spacing w:after="0" w:line="279" w:lineRule="auto"/>
        <w:rPr>
          <w:sz w:val="20"/>
          <w:szCs w:val="20"/>
          <w:color w:val="auto"/>
        </w:rPr>
      </w:pPr>
      <w:r>
        <w:rPr>
          <w:rFonts w:ascii="Arial" w:cs="Arial" w:eastAsia="Arial" w:hAnsi="Arial"/>
          <w:sz w:val="13"/>
          <w:szCs w:val="13"/>
          <w:color w:val="auto"/>
        </w:rPr>
        <w:t xml:space="preserve">The Internet webcast link and accompanying slide presentation can be accessed at </w:t>
      </w:r>
      <w:r>
        <w:rPr>
          <w:rFonts w:ascii="Arial" w:cs="Arial" w:eastAsia="Arial" w:hAnsi="Arial"/>
          <w:sz w:val="14"/>
          <w:szCs w:val="14"/>
          <w:b w:val="1"/>
          <w:bCs w:val="1"/>
          <w:color w:val="242424"/>
        </w:rPr>
        <w:t>https://edge.media-server.com/mmc/p/mp3ggx5e</w:t>
      </w:r>
      <w:r>
        <w:rPr>
          <w:rFonts w:ascii="Arial" w:cs="Arial" w:eastAsia="Arial" w:hAnsi="Arial"/>
          <w:sz w:val="13"/>
          <w:szCs w:val="13"/>
          <w:color w:val="auto"/>
        </w:rPr>
        <w:t xml:space="preserve"> and will also be posted in the "Investor Relations" section of the Company's website at www.prioritycommerce.com.</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3"/>
          <w:szCs w:val="13"/>
          <w:color w:val="auto"/>
        </w:rPr>
        <w:t xml:space="preserve">An audio replay of the call will be available shortly after the conference call until May 18, 2023 at 2:00 p.m. EDT. To listen to the audio replay, dial (877) 344-7529 or (412) 317-0088 and enter conference ID number </w:t>
      </w:r>
      <w:r>
        <w:rPr>
          <w:rFonts w:ascii="Arial" w:cs="Arial" w:eastAsia="Arial" w:hAnsi="Arial"/>
          <w:sz w:val="14"/>
          <w:szCs w:val="14"/>
          <w:b w:val="1"/>
          <w:bCs w:val="1"/>
          <w:color w:val="auto"/>
        </w:rPr>
        <w:t>3738244</w:t>
      </w:r>
      <w:r>
        <w:rPr>
          <w:rFonts w:ascii="Arial" w:cs="Arial" w:eastAsia="Arial" w:hAnsi="Arial"/>
          <w:sz w:val="13"/>
          <w:szCs w:val="13"/>
          <w:color w:val="auto"/>
        </w:rPr>
        <w:t>. Alternatively, you may access the webcast replay in the "Investor Relations" section of the Company's website at www.prioritycommerce.com.</w:t>
      </w:r>
    </w:p>
    <w:p>
      <w:pPr>
        <w:spacing w:after="0" w:line="159" w:lineRule="exact"/>
        <w:rPr>
          <w:sz w:val="20"/>
          <w:szCs w:val="20"/>
          <w:color w:val="auto"/>
        </w:rPr>
      </w:pPr>
    </w:p>
    <w:p>
      <w:pPr>
        <w:jc w:val="center"/>
        <w:ind w:right="-259"/>
        <w:spacing w:after="0"/>
        <w:rPr>
          <w:sz w:val="20"/>
          <w:szCs w:val="20"/>
          <w:color w:val="auto"/>
        </w:rPr>
      </w:pPr>
      <w:r>
        <w:rPr>
          <w:rFonts w:ascii="Arial" w:cs="Arial" w:eastAsia="Arial" w:hAnsi="Arial"/>
          <w:sz w:val="13"/>
          <w:szCs w:val="13"/>
          <w:b w:val="1"/>
          <w:bCs w:val="1"/>
          <w:u w:val="single" w:color="auto"/>
          <w:color w:val="0A0A0A"/>
        </w:rPr>
        <w:t>Non-GAAP Financial Measures</w:t>
      </w:r>
    </w:p>
    <w:p>
      <w:pPr>
        <w:spacing w:after="0" w:line="179" w:lineRule="exact"/>
        <w:rPr>
          <w:sz w:val="20"/>
          <w:szCs w:val="20"/>
          <w:color w:val="auto"/>
        </w:rPr>
      </w:pPr>
    </w:p>
    <w:p>
      <w:pPr>
        <w:spacing w:after="0" w:line="334" w:lineRule="auto"/>
        <w:rPr>
          <w:sz w:val="20"/>
          <w:szCs w:val="20"/>
          <w:color w:val="auto"/>
        </w:rPr>
      </w:pPr>
      <w:r>
        <w:rPr>
          <w:rFonts w:ascii="Arial" w:cs="Arial" w:eastAsia="Arial" w:hAnsi="Arial"/>
          <w:sz w:val="12"/>
          <w:szCs w:val="12"/>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040"/>
          </w:cols>
          <w:pgMar w:left="300" w:top="656" w:right="55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i w:val="1"/>
          <w:iCs w:val="1"/>
          <w:color w:val="auto"/>
        </w:rPr>
        <w:t>Adjusted Gross Profit and Adjusted Gross Profit Margin</w:t>
      </w:r>
    </w:p>
    <w:p>
      <w:pPr>
        <w:spacing w:after="0" w:line="148" w:lineRule="exact"/>
        <w:rPr>
          <w:sz w:val="20"/>
          <w:szCs w:val="20"/>
          <w:color w:val="auto"/>
        </w:rPr>
      </w:pPr>
    </w:p>
    <w:p>
      <w:pPr>
        <w:ind w:right="60"/>
        <w:spacing w:after="0" w:line="285" w:lineRule="auto"/>
        <w:rPr>
          <w:sz w:val="20"/>
          <w:szCs w:val="20"/>
          <w:color w:val="auto"/>
        </w:rPr>
      </w:pPr>
      <w:r>
        <w:rPr>
          <w:rFonts w:ascii="Arial" w:cs="Arial" w:eastAsia="Arial" w:hAnsi="Arial"/>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ectPr>
          <w:pgSz w:w="11900" w:h="16838" w:orient="portrait"/>
          <w:cols w:equalWidth="0" w:num="1">
            <w:col w:w="11280"/>
          </w:cols>
          <w:pgMar w:left="300" w:top="948" w:right="31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thousands)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Revenues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Cost of revenue (excluding depreciation and amortization)</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Adjusted gross profit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Adjusted gross profit margin</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Depreciation and amortization of revenue generating assets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Gross profit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Gross profit margin</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EBITDA and Adjusted EBITDA</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3"/>
                <w:szCs w:val="13"/>
                <w:b w:val="1"/>
                <w:bCs w:val="1"/>
                <w:color w:val="auto"/>
              </w:rPr>
              <w:t>2022</w:t>
            </w:r>
          </w:p>
        </w:tc>
      </w:tr>
      <w:tr>
        <w:trPr>
          <w:trHeight w:val="149"/>
        </w:trPr>
        <w:tc>
          <w:tcPr>
            <w:tcW w:w="440" w:type="dxa"/>
            <w:vAlign w:val="bottom"/>
          </w:tcPr>
          <w:p>
            <w:pPr>
              <w:jc w:val="right"/>
              <w:ind w:right="294"/>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ind w:right="94"/>
              <w:spacing w:after="0"/>
              <w:rPr>
                <w:sz w:val="20"/>
                <w:szCs w:val="20"/>
                <w:color w:val="auto"/>
              </w:rPr>
            </w:pPr>
            <w:r>
              <w:rPr>
                <w:rFonts w:ascii="Arial" w:cs="Arial" w:eastAsia="Arial" w:hAnsi="Arial"/>
                <w:sz w:val="13"/>
                <w:szCs w:val="13"/>
                <w:color w:val="auto"/>
              </w:rPr>
              <w:t>185,028</w:t>
            </w:r>
          </w:p>
        </w:tc>
        <w:tc>
          <w:tcPr>
            <w:tcW w:w="400" w:type="dxa"/>
            <w:vAlign w:val="bottom"/>
          </w:tcPr>
          <w:p>
            <w:pPr>
              <w:spacing w:after="0"/>
              <w:rPr>
                <w:sz w:val="12"/>
                <w:szCs w:val="12"/>
                <w:color w:val="auto"/>
              </w:rPr>
            </w:pP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ind w:right="74"/>
              <w:spacing w:after="0"/>
              <w:rPr>
                <w:sz w:val="20"/>
                <w:szCs w:val="20"/>
                <w:color w:val="auto"/>
              </w:rPr>
            </w:pPr>
            <w:r>
              <w:rPr>
                <w:rFonts w:ascii="Arial" w:cs="Arial" w:eastAsia="Arial" w:hAnsi="Arial"/>
                <w:sz w:val="13"/>
                <w:szCs w:val="13"/>
                <w:color w:val="auto"/>
              </w:rPr>
              <w:t>153,239</w:t>
            </w:r>
          </w:p>
        </w:tc>
      </w:tr>
      <w:tr>
        <w:trPr>
          <w:trHeight w:val="169"/>
        </w:trPr>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(121,966)</w:t>
            </w:r>
          </w:p>
        </w:tc>
        <w:tc>
          <w:tcPr>
            <w:tcW w:w="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(101,480)</w:t>
            </w:r>
          </w:p>
        </w:tc>
      </w:tr>
      <w:tr>
        <w:trPr>
          <w:trHeight w:val="163"/>
        </w:trPr>
        <w:tc>
          <w:tcPr>
            <w:tcW w:w="4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63,062</w:t>
            </w:r>
          </w:p>
        </w:tc>
        <w:tc>
          <w:tcPr>
            <w:tcW w:w="40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51,759</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37"/>
        </w:trPr>
        <w:tc>
          <w:tcPr>
            <w:tcW w:w="440" w:type="dxa"/>
            <w:vAlign w:val="bottom"/>
          </w:tcPr>
          <w:p>
            <w:pPr>
              <w:spacing w:after="0"/>
              <w:rPr>
                <w:sz w:val="11"/>
                <w:szCs w:val="11"/>
                <w:color w:val="auto"/>
              </w:rPr>
            </w:pPr>
          </w:p>
        </w:tc>
        <w:tc>
          <w:tcPr>
            <w:tcW w:w="1380" w:type="dxa"/>
            <w:vAlign w:val="bottom"/>
          </w:tcPr>
          <w:p>
            <w:pPr>
              <w:jc w:val="right"/>
              <w:spacing w:after="0" w:line="138" w:lineRule="exact"/>
              <w:rPr>
                <w:sz w:val="20"/>
                <w:szCs w:val="20"/>
                <w:color w:val="auto"/>
              </w:rPr>
            </w:pPr>
            <w:r>
              <w:rPr>
                <w:rFonts w:ascii="Arial" w:cs="Arial" w:eastAsia="Arial" w:hAnsi="Arial"/>
                <w:sz w:val="13"/>
                <w:szCs w:val="13"/>
                <w:color w:val="auto"/>
              </w:rPr>
              <w:t>34.1 %</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80" w:type="dxa"/>
            <w:vAlign w:val="bottom"/>
          </w:tcPr>
          <w:p>
            <w:pPr>
              <w:jc w:val="right"/>
              <w:spacing w:after="0" w:line="138" w:lineRule="exact"/>
              <w:rPr>
                <w:sz w:val="20"/>
                <w:szCs w:val="20"/>
                <w:color w:val="auto"/>
              </w:rPr>
            </w:pPr>
            <w:r>
              <w:rPr>
                <w:rFonts w:ascii="Arial" w:cs="Arial" w:eastAsia="Arial" w:hAnsi="Arial"/>
                <w:sz w:val="13"/>
                <w:szCs w:val="13"/>
                <w:color w:val="auto"/>
              </w:rPr>
              <w:t>33.8 %</w:t>
            </w:r>
          </w:p>
        </w:tc>
      </w:tr>
      <w:tr>
        <w:trPr>
          <w:trHeight w:val="173"/>
        </w:trPr>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(2,959)</w:t>
            </w:r>
          </w:p>
        </w:tc>
        <w:tc>
          <w:tcPr>
            <w:tcW w:w="400" w:type="dxa"/>
            <w:vAlign w:val="bottom"/>
          </w:tcPr>
          <w:p>
            <w:pPr>
              <w:jc w:val="right"/>
              <w:spacing w:after="0"/>
              <w:rPr>
                <w:sz w:val="20"/>
                <w:szCs w:val="20"/>
                <w:color w:val="auto"/>
              </w:rPr>
            </w:pPr>
            <w:r>
              <w:rPr>
                <w:rFonts w:ascii="Arial" w:cs="Arial" w:eastAsia="Arial" w:hAnsi="Arial"/>
                <w:sz w:val="13"/>
                <w:szCs w:val="13"/>
                <w:color w:val="auto"/>
                <w:w w:val="87"/>
              </w:rPr>
              <w:t>(2,449)</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(2,449)</w:t>
            </w:r>
          </w:p>
        </w:tc>
      </w:tr>
      <w:tr>
        <w:trPr>
          <w:trHeight w:val="159"/>
        </w:trPr>
        <w:tc>
          <w:tcPr>
            <w:tcW w:w="4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60,103</w:t>
            </w:r>
          </w:p>
        </w:tc>
        <w:tc>
          <w:tcPr>
            <w:tcW w:w="400" w:type="dxa"/>
            <w:vAlign w:val="bottom"/>
          </w:tcPr>
          <w:p>
            <w:pPr>
              <w:spacing w:after="0"/>
              <w:rPr>
                <w:sz w:val="13"/>
                <w:szCs w:val="13"/>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49,310</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42"/>
        </w:trPr>
        <w:tc>
          <w:tcPr>
            <w:tcW w:w="44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Arial" w:cs="Arial" w:eastAsia="Arial" w:hAnsi="Arial"/>
                <w:sz w:val="13"/>
                <w:szCs w:val="13"/>
                <w:color w:val="auto"/>
              </w:rPr>
              <w:t>32.5 %</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Arial" w:cs="Arial" w:eastAsia="Arial" w:hAnsi="Arial"/>
                <w:sz w:val="13"/>
                <w:szCs w:val="13"/>
                <w:color w:val="auto"/>
              </w:rPr>
              <w:t>32.2 %</w:t>
            </w:r>
          </w:p>
        </w:tc>
      </w:tr>
    </w:tbl>
    <w:p>
      <w:pPr>
        <w:spacing w:after="0" w:line="715" w:lineRule="exact"/>
        <w:rPr>
          <w:sz w:val="20"/>
          <w:szCs w:val="20"/>
          <w:color w:val="auto"/>
        </w:rPr>
      </w:pPr>
    </w:p>
    <w:p>
      <w:pPr>
        <w:sectPr>
          <w:pgSz w:w="11900" w:h="16838" w:orient="portrait"/>
          <w:cols w:equalWidth="0" w:num="2">
            <w:col w:w="6540" w:space="720"/>
            <w:col w:w="4020"/>
          </w:cols>
          <w:pgMar w:left="300" w:top="948" w:right="319" w:bottom="1440" w:gutter="0" w:footer="0" w:header="0"/>
          <w:type w:val="continuous"/>
        </w:sectPr>
      </w:pPr>
    </w:p>
    <w:p>
      <w:pPr>
        <w:jc w:val="both"/>
        <w:ind w:right="60"/>
        <w:spacing w:after="0" w:line="302" w:lineRule="auto"/>
        <w:rPr>
          <w:sz w:val="20"/>
          <w:szCs w:val="20"/>
          <w:color w:val="auto"/>
        </w:rPr>
      </w:pPr>
      <w:r>
        <w:rPr>
          <w:rFonts w:ascii="Arial" w:cs="Arial" w:eastAsia="Arial" w:hAnsi="Arial"/>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400" w:type="dxa"/>
            <w:vAlign w:val="bottom"/>
          </w:tcPr>
          <w:p>
            <w:pPr>
              <w:spacing w:after="0"/>
              <w:rPr>
                <w:sz w:val="20"/>
                <w:szCs w:val="20"/>
                <w:color w:val="auto"/>
              </w:rPr>
            </w:pPr>
            <w:r>
              <w:rPr>
                <w:rFonts w:ascii="Arial" w:cs="Arial" w:eastAsia="Arial" w:hAnsi="Arial"/>
                <w:sz w:val="13"/>
                <w:szCs w:val="13"/>
                <w:color w:val="auto"/>
                <w:w w:val="96"/>
              </w:rPr>
              <w:t>The reconciliation of adjusted EBITDA to its most comparable GAAP measure is provided below:</w:t>
            </w: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540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2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1"/>
        </w:trPr>
        <w:tc>
          <w:tcPr>
            <w:tcW w:w="5400" w:type="dxa"/>
            <w:vAlign w:val="bottom"/>
          </w:tcPr>
          <w:p>
            <w:pPr>
              <w:spacing w:after="0"/>
              <w:rPr>
                <w:sz w:val="20"/>
                <w:szCs w:val="20"/>
                <w:color w:val="auto"/>
              </w:rPr>
            </w:pPr>
            <w:r>
              <w:rPr>
                <w:rFonts w:ascii="Arial" w:cs="Arial" w:eastAsia="Arial" w:hAnsi="Arial"/>
                <w:sz w:val="13"/>
                <w:szCs w:val="13"/>
                <w:color w:val="auto"/>
              </w:rPr>
              <w:t>Net loss</w:t>
            </w:r>
          </w:p>
        </w:tc>
        <w:tc>
          <w:tcPr>
            <w:tcW w:w="226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(506)</w:t>
            </w:r>
          </w:p>
        </w:tc>
        <w:tc>
          <w:tcPr>
            <w:tcW w:w="8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66"/>
        </w:trPr>
        <w:tc>
          <w:tcPr>
            <w:tcW w:w="540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17,699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11,535</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Arial" w:cs="Arial" w:eastAsia="Arial" w:hAnsi="Arial"/>
                <w:sz w:val="13"/>
                <w:szCs w:val="13"/>
                <w:color w:val="auto"/>
              </w:rPr>
              <w:t>Income tax benefit</w:t>
            </w: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69"/>
        </w:trPr>
        <w:tc>
          <w:tcPr>
            <w:tcW w:w="54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2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18,048</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17,353</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20"/>
                <w:szCs w:val="20"/>
                <w:color w:val="auto"/>
              </w:rPr>
            </w:pPr>
            <w:r>
              <w:rPr>
                <w:rFonts w:ascii="Arial" w:cs="Arial" w:eastAsia="Arial" w:hAnsi="Arial"/>
                <w:sz w:val="13"/>
                <w:szCs w:val="13"/>
                <w:color w:val="auto"/>
              </w:rPr>
              <w:t>EBITDA</w:t>
            </w:r>
          </w:p>
        </w:tc>
        <w:tc>
          <w:tcPr>
            <w:tcW w:w="2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35,108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28,230</w:t>
            </w:r>
          </w:p>
        </w:tc>
        <w:tc>
          <w:tcPr>
            <w:tcW w:w="0" w:type="dxa"/>
            <w:vAlign w:val="bottom"/>
          </w:tcPr>
          <w:p>
            <w:pPr>
              <w:spacing w:after="0"/>
              <w:rPr>
                <w:sz w:val="1"/>
                <w:szCs w:val="1"/>
                <w:color w:val="auto"/>
              </w:rPr>
            </w:pPr>
          </w:p>
        </w:tc>
      </w:tr>
      <w:tr>
        <w:trPr>
          <w:trHeight w:val="166"/>
        </w:trPr>
        <w:tc>
          <w:tcPr>
            <w:tcW w:w="5400" w:type="dxa"/>
            <w:vAlign w:val="bottom"/>
          </w:tcPr>
          <w:p>
            <w:pPr>
              <w:ind w:left="140"/>
              <w:spacing w:after="0"/>
              <w:rPr>
                <w:sz w:val="20"/>
                <w:szCs w:val="20"/>
                <w:color w:val="auto"/>
              </w:rPr>
            </w:pPr>
            <w:r>
              <w:rPr>
                <w:rFonts w:ascii="Arial" w:cs="Arial" w:eastAsia="Arial" w:hAnsi="Arial"/>
                <w:sz w:val="13"/>
                <w:szCs w:val="13"/>
                <w:color w:val="auto"/>
              </w:rPr>
              <w:t>Selling, general and administrative (non-recurring)</w:t>
            </w: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437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66"/>
        </w:trPr>
        <w:tc>
          <w:tcPr>
            <w:tcW w:w="5400" w:type="dxa"/>
            <w:vAlign w:val="bottom"/>
          </w:tcPr>
          <w:p>
            <w:pPr>
              <w:ind w:left="140"/>
              <w:spacing w:after="0"/>
              <w:rPr>
                <w:sz w:val="20"/>
                <w:szCs w:val="20"/>
                <w:color w:val="auto"/>
              </w:rPr>
            </w:pPr>
            <w:r>
              <w:rPr>
                <w:rFonts w:ascii="Arial" w:cs="Arial" w:eastAsia="Arial" w:hAnsi="Arial"/>
                <w:sz w:val="13"/>
                <w:szCs w:val="13"/>
                <w:color w:val="auto"/>
              </w:rPr>
              <w:t>Non-cash stock-based compensation</w:t>
            </w:r>
          </w:p>
        </w:tc>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1,936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1,558</w:t>
            </w:r>
          </w:p>
        </w:tc>
        <w:tc>
          <w:tcPr>
            <w:tcW w:w="0" w:type="dxa"/>
            <w:vAlign w:val="bottom"/>
          </w:tcPr>
          <w:p>
            <w:pPr>
              <w:spacing w:after="0"/>
              <w:rPr>
                <w:sz w:val="1"/>
                <w:szCs w:val="1"/>
                <w:color w:val="auto"/>
              </w:rPr>
            </w:pPr>
          </w:p>
        </w:tc>
      </w:tr>
      <w:tr>
        <w:trPr>
          <w:trHeight w:val="178"/>
        </w:trPr>
        <w:tc>
          <w:tcPr>
            <w:tcW w:w="5400" w:type="dxa"/>
            <w:vAlign w:val="bottom"/>
          </w:tcPr>
          <w:p>
            <w:pPr>
              <w:ind w:left="140"/>
              <w:spacing w:after="0"/>
              <w:rPr>
                <w:sz w:val="20"/>
                <w:szCs w:val="20"/>
                <w:color w:val="auto"/>
              </w:rPr>
            </w:pPr>
            <w:r>
              <w:rPr>
                <w:rFonts w:ascii="Arial" w:cs="Arial" w:eastAsia="Arial" w:hAnsi="Arial"/>
                <w:sz w:val="13"/>
                <w:szCs w:val="13"/>
                <w:color w:val="auto"/>
              </w:rPr>
              <w:t>Other nonrecurring expense</w:t>
            </w:r>
          </w:p>
        </w:tc>
        <w:tc>
          <w:tcPr>
            <w:tcW w:w="2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1"/>
        </w:trPr>
        <w:tc>
          <w:tcPr>
            <w:tcW w:w="5400" w:type="dxa"/>
            <w:vAlign w:val="bottom"/>
          </w:tcPr>
          <w:p>
            <w:pPr>
              <w:spacing w:after="0"/>
              <w:rPr>
                <w:sz w:val="20"/>
                <w:szCs w:val="20"/>
                <w:color w:val="auto"/>
              </w:rPr>
            </w:pPr>
            <w:r>
              <w:rPr>
                <w:rFonts w:ascii="Arial" w:cs="Arial" w:eastAsia="Arial" w:hAnsi="Arial"/>
                <w:sz w:val="13"/>
                <w:szCs w:val="13"/>
                <w:b w:val="1"/>
                <w:bCs w:val="1"/>
                <w:color w:val="auto"/>
              </w:rPr>
              <w:t>Adjusted EBITDA</w:t>
            </w:r>
          </w:p>
        </w:tc>
        <w:tc>
          <w:tcPr>
            <w:tcW w:w="2260" w:type="dxa"/>
            <w:vAlign w:val="bottom"/>
          </w:tcPr>
          <w:p>
            <w:pPr>
              <w:spacing w:after="0"/>
              <w:rPr>
                <w:sz w:val="13"/>
                <w:szCs w:val="13"/>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37,640</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30,323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60" w:type="dxa"/>
            <w:vAlign w:val="bottom"/>
            <w:vMerge w:val="restart"/>
          </w:tcPr>
          <w:p>
            <w:pPr>
              <w:jc w:val="right"/>
              <w:ind w:right="1920"/>
              <w:spacing w:after="0"/>
              <w:rPr>
                <w:sz w:val="20"/>
                <w:szCs w:val="20"/>
                <w:color w:val="auto"/>
              </w:rPr>
            </w:pPr>
            <w:r>
              <w:rPr>
                <w:rFonts w:ascii="Arial" w:cs="Arial" w:eastAsia="Arial" w:hAnsi="Arial"/>
                <w:sz w:val="12"/>
                <w:szCs w:val="12"/>
                <w:color w:val="auto"/>
              </w:rPr>
              <w:t>3</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4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48" w:right="3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color w:val="auto"/>
        </w:rPr>
        <w:t>Further detail of certain of these adjustments, and where these items are recorded in our consolidated statements of operations, is provided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6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4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3"/>
                <w:szCs w:val="13"/>
                <w:b w:val="1"/>
                <w:bCs w:val="1"/>
                <w:color w:val="auto"/>
              </w:rPr>
              <w:t>Three Months Ended March 31,</w:t>
            </w:r>
          </w:p>
        </w:tc>
      </w:tr>
      <w:tr>
        <w:trPr>
          <w:trHeight w:val="151"/>
        </w:trPr>
        <w:tc>
          <w:tcPr>
            <w:tcW w:w="76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b w:val="1"/>
                <w:bCs w:val="1"/>
                <w:color w:val="auto"/>
              </w:rPr>
              <w:t>2022</w:t>
            </w:r>
          </w:p>
        </w:tc>
      </w:tr>
      <w:tr>
        <w:trPr>
          <w:trHeight w:val="149"/>
        </w:trPr>
        <w:tc>
          <w:tcPr>
            <w:tcW w:w="7660" w:type="dxa"/>
            <w:vAlign w:val="bottom"/>
          </w:tcPr>
          <w:p>
            <w:pPr>
              <w:spacing w:after="0"/>
              <w:rPr>
                <w:sz w:val="20"/>
                <w:szCs w:val="20"/>
                <w:color w:val="auto"/>
              </w:rPr>
            </w:pPr>
            <w:r>
              <w:rPr>
                <w:rFonts w:ascii="Arial" w:cs="Arial" w:eastAsia="Arial" w:hAnsi="Arial"/>
                <w:sz w:val="13"/>
                <w:szCs w:val="13"/>
                <w:b w:val="1"/>
                <w:bCs w:val="1"/>
                <w:color w:val="auto"/>
              </w:rPr>
              <w:t>Selling, general and administrative expenses (non-recurring):</w:t>
            </w: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6"/>
        </w:trPr>
        <w:tc>
          <w:tcPr>
            <w:tcW w:w="7660" w:type="dxa"/>
            <w:vAlign w:val="bottom"/>
          </w:tcPr>
          <w:p>
            <w:pPr>
              <w:ind w:left="140"/>
              <w:spacing w:after="0"/>
              <w:rPr>
                <w:sz w:val="20"/>
                <w:szCs w:val="20"/>
                <w:color w:val="auto"/>
              </w:rPr>
            </w:pPr>
            <w:r>
              <w:rPr>
                <w:rFonts w:ascii="Arial" w:cs="Arial" w:eastAsia="Arial" w:hAnsi="Arial"/>
                <w:sz w:val="13"/>
                <w:szCs w:val="13"/>
                <w:color w:val="auto"/>
              </w:rPr>
              <w:t>Certain legal fees</w:t>
            </w: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376</w:t>
            </w:r>
          </w:p>
        </w:tc>
        <w:tc>
          <w:tcPr>
            <w:tcW w:w="500" w:type="dxa"/>
            <w:vAlign w:val="bottom"/>
            <w:gridSpan w:val="2"/>
          </w:tcPr>
          <w:p>
            <w:pPr>
              <w:jc w:val="right"/>
              <w:ind w:right="274"/>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169"/>
        </w:trPr>
        <w:tc>
          <w:tcPr>
            <w:tcW w:w="7660" w:type="dxa"/>
            <w:vAlign w:val="bottom"/>
          </w:tcPr>
          <w:p>
            <w:pPr>
              <w:ind w:left="140"/>
              <w:spacing w:after="0"/>
              <w:rPr>
                <w:sz w:val="20"/>
                <w:szCs w:val="20"/>
                <w:color w:val="auto"/>
              </w:rPr>
            </w:pPr>
            <w:r>
              <w:rPr>
                <w:rFonts w:ascii="Arial" w:cs="Arial" w:eastAsia="Arial" w:hAnsi="Arial"/>
                <w:sz w:val="13"/>
                <w:szCs w:val="13"/>
                <w:color w:val="auto"/>
              </w:rPr>
              <w:t>Professional, accounting and consulting fees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r>
      <w:tr>
        <w:trPr>
          <w:trHeight w:val="159"/>
        </w:trPr>
        <w:tc>
          <w:tcPr>
            <w:tcW w:w="7660" w:type="dxa"/>
            <w:vAlign w:val="bottom"/>
          </w:tcPr>
          <w:p>
            <w:pPr>
              <w:spacing w:after="0"/>
              <w:rPr>
                <w:sz w:val="13"/>
                <w:szCs w:val="13"/>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437</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310</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160"/>
        <w:spacing w:after="0" w:line="325" w:lineRule="auto"/>
        <w:rPr>
          <w:sz w:val="20"/>
          <w:szCs w:val="20"/>
          <w:color w:val="auto"/>
        </w:rPr>
      </w:pPr>
      <w:r>
        <w:rPr>
          <w:rFonts w:ascii="Arial" w:cs="Arial" w:eastAsia="Arial" w:hAnsi="Arial"/>
          <w:sz w:val="12"/>
          <w:szCs w:val="12"/>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660"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u w:val="single" w:color="auto"/>
          <w:color w:val="auto"/>
        </w:rPr>
        <w:t>About Priority Technology Holdings, Inc.</w:t>
      </w:r>
    </w:p>
    <w:p>
      <w:pPr>
        <w:spacing w:after="0" w:line="152" w:lineRule="exact"/>
        <w:rPr>
          <w:sz w:val="20"/>
          <w:szCs w:val="20"/>
          <w:color w:val="auto"/>
        </w:rPr>
      </w:pPr>
    </w:p>
    <w:p>
      <w:pPr>
        <w:ind w:right="40"/>
        <w:spacing w:after="0" w:line="259" w:lineRule="auto"/>
        <w:rPr>
          <w:sz w:val="20"/>
          <w:szCs w:val="20"/>
          <w:color w:val="auto"/>
        </w:rPr>
      </w:pPr>
      <w:r>
        <w:rPr>
          <w:rFonts w:ascii="Arial" w:cs="Arial" w:eastAsia="Arial" w:hAnsi="Arial"/>
          <w:sz w:val="13"/>
          <w:szCs w:val="13"/>
          <w:color w:val="auto"/>
        </w:rPr>
        <w:t>Priority is a payments technology company that leverages a purpose-built platform to enable clients to collect, store and send money, operating at scale. Priority helps its customers take and make payments while managing business and consumer operating accounts to monetize payment networks. Priority's tailored, agile technology powers high-value payments products bolstered by industry-leading personalized support, and delivers value to its partners by leveraging its payments and embedded finance technology to deliver solutions that power modern commerce. The Company's approach is simple – Priority handles the complexities of payments and embedded finance to free its partners to focus on their core business objectives. Priority's solutions are offered via API or proprietary applications with nationwide money transmission licenses, providing end-to-end operational support including automated risk management and underwriting, full compliance and industry leading customer service. Additional information can be found at www.prioritycommerce.com.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0A0A0A"/>
        </w:rPr>
        <w:t>Forward-Looking Statements</w:t>
      </w:r>
    </w:p>
    <w:p>
      <w:pPr>
        <w:spacing w:after="0" w:line="170" w:lineRule="exact"/>
        <w:rPr>
          <w:sz w:val="20"/>
          <w:szCs w:val="20"/>
          <w:color w:val="auto"/>
        </w:rPr>
      </w:pPr>
    </w:p>
    <w:p>
      <w:pPr>
        <w:spacing w:after="0" w:line="328"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2023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9" w:lineRule="exact"/>
        <w:rPr>
          <w:sz w:val="20"/>
          <w:szCs w:val="20"/>
          <w:color w:val="auto"/>
        </w:rPr>
      </w:pPr>
    </w:p>
    <w:p>
      <w:pPr>
        <w:jc w:val="both"/>
        <w:ind w:right="60"/>
        <w:spacing w:after="0" w:line="337" w:lineRule="auto"/>
        <w:rPr>
          <w:sz w:val="20"/>
          <w:szCs w:val="20"/>
          <w:color w:val="auto"/>
        </w:rPr>
      </w:pPr>
      <w:r>
        <w:rPr>
          <w:rFonts w:ascii="Arial" w:cs="Arial" w:eastAsia="Arial" w:hAnsi="Arial"/>
          <w:sz w:val="12"/>
          <w:szCs w:val="12"/>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23, 2023. These filings are available online at www.sec.gov or www.prioritycommerce.com.</w:t>
      </w:r>
    </w:p>
    <w:p>
      <w:pPr>
        <w:spacing w:after="0" w:line="112" w:lineRule="exact"/>
        <w:rPr>
          <w:sz w:val="20"/>
          <w:szCs w:val="20"/>
          <w:color w:val="auto"/>
        </w:rPr>
      </w:pPr>
    </w:p>
    <w:p>
      <w:pPr>
        <w:spacing w:after="0" w:line="328" w:lineRule="auto"/>
        <w:rPr>
          <w:sz w:val="20"/>
          <w:szCs w:val="20"/>
          <w:color w:val="auto"/>
        </w:rPr>
      </w:pPr>
      <w:r>
        <w:rPr>
          <w:rFonts w:ascii="Arial" w:cs="Arial" w:eastAsia="Arial" w:hAnsi="Arial"/>
          <w:sz w:val="12"/>
          <w:szCs w:val="12"/>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638"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Priority Technology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20" w:type="dxa"/>
            <w:vAlign w:val="bottom"/>
          </w:tcPr>
          <w:p>
            <w:pPr>
              <w:spacing w:after="0"/>
              <w:rPr>
                <w:sz w:val="20"/>
                <w:szCs w:val="20"/>
                <w:color w:val="auto"/>
              </w:rPr>
            </w:pPr>
            <w:r>
              <w:rPr>
                <w:rFonts w:ascii="Arial" w:cs="Arial" w:eastAsia="Arial" w:hAnsi="Arial"/>
                <w:sz w:val="12"/>
                <w:szCs w:val="12"/>
                <w:i w:val="1"/>
                <w:iCs w:val="1"/>
                <w:color w:val="auto"/>
              </w:rPr>
              <w:t>(in thousands, except per share amounts)</w:t>
            </w:r>
          </w:p>
        </w:tc>
        <w:tc>
          <w:tcPr>
            <w:tcW w:w="27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2"/>
                <w:szCs w:val="12"/>
                <w:b w:val="1"/>
                <w:bCs w:val="1"/>
                <w:color w:val="auto"/>
              </w:rPr>
              <w:t>Three Months Ended March 31,</w:t>
            </w: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0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43"/>
        </w:trPr>
        <w:tc>
          <w:tcPr>
            <w:tcW w:w="492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31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185,028</w:t>
            </w:r>
          </w:p>
        </w:tc>
        <w:tc>
          <w:tcPr>
            <w:tcW w:w="520" w:type="dxa"/>
            <w:vAlign w:val="bottom"/>
            <w:gridSpan w:val="2"/>
          </w:tcPr>
          <w:p>
            <w:pPr>
              <w:jc w:val="right"/>
              <w:ind w:right="312"/>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153,239</w:t>
            </w:r>
          </w:p>
        </w:tc>
        <w:tc>
          <w:tcPr>
            <w:tcW w:w="0" w:type="dxa"/>
            <w:vAlign w:val="bottom"/>
          </w:tcPr>
          <w:p>
            <w:pPr>
              <w:spacing w:after="0"/>
              <w:rPr>
                <w:sz w:val="1"/>
                <w:szCs w:val="1"/>
                <w:color w:val="auto"/>
              </w:rPr>
            </w:pPr>
          </w:p>
        </w:tc>
      </w:tr>
      <w:tr>
        <w:trPr>
          <w:trHeight w:val="137"/>
        </w:trPr>
        <w:tc>
          <w:tcPr>
            <w:tcW w:w="4920" w:type="dxa"/>
            <w:vAlign w:val="bottom"/>
          </w:tcPr>
          <w:p>
            <w:pPr>
              <w:spacing w:after="0" w:line="137" w:lineRule="exact"/>
              <w:rPr>
                <w:sz w:val="20"/>
                <w:szCs w:val="20"/>
                <w:color w:val="auto"/>
              </w:rPr>
            </w:pPr>
            <w:r>
              <w:rPr>
                <w:rFonts w:ascii="Arial" w:cs="Arial" w:eastAsia="Arial" w:hAnsi="Arial"/>
                <w:sz w:val="12"/>
                <w:szCs w:val="12"/>
                <w:b w:val="1"/>
                <w:bCs w:val="1"/>
                <w:color w:val="auto"/>
              </w:rPr>
              <w:t>Operating expenses</w:t>
            </w:r>
          </w:p>
        </w:tc>
        <w:tc>
          <w:tcPr>
            <w:tcW w:w="27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920" w:type="dxa"/>
            <w:vAlign w:val="bottom"/>
          </w:tcPr>
          <w:p>
            <w:pPr>
              <w:ind w:left="80"/>
              <w:spacing w:after="0"/>
              <w:rPr>
                <w:sz w:val="20"/>
                <w:szCs w:val="20"/>
                <w:color w:val="auto"/>
              </w:rPr>
            </w:pPr>
            <w:r>
              <w:rPr>
                <w:rFonts w:ascii="Arial" w:cs="Arial" w:eastAsia="Arial" w:hAnsi="Arial"/>
                <w:sz w:val="12"/>
                <w:szCs w:val="12"/>
                <w:color w:val="auto"/>
              </w:rPr>
              <w:t>Cost of revenue (excludes depreciation and amortization)</w:t>
            </w:r>
          </w:p>
        </w:tc>
        <w:tc>
          <w:tcPr>
            <w:tcW w:w="2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121,966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101,480</w:t>
            </w:r>
          </w:p>
        </w:tc>
        <w:tc>
          <w:tcPr>
            <w:tcW w:w="0" w:type="dxa"/>
            <w:vAlign w:val="bottom"/>
          </w:tcPr>
          <w:p>
            <w:pPr>
              <w:spacing w:after="0"/>
              <w:rPr>
                <w:sz w:val="1"/>
                <w:szCs w:val="1"/>
                <w:color w:val="auto"/>
              </w:rPr>
            </w:pPr>
          </w:p>
        </w:tc>
      </w:tr>
      <w:tr>
        <w:trPr>
          <w:trHeight w:val="153"/>
        </w:trPr>
        <w:tc>
          <w:tcPr>
            <w:tcW w:w="4920" w:type="dxa"/>
            <w:vAlign w:val="bottom"/>
          </w:tcPr>
          <w:p>
            <w:pPr>
              <w:ind w:left="80"/>
              <w:spacing w:after="0"/>
              <w:rPr>
                <w:sz w:val="20"/>
                <w:szCs w:val="20"/>
                <w:color w:val="auto"/>
              </w:rPr>
            </w:pPr>
            <w:r>
              <w:rPr>
                <w:rFonts w:ascii="Arial" w:cs="Arial" w:eastAsia="Arial" w:hAnsi="Arial"/>
                <w:sz w:val="12"/>
                <w:szCs w:val="12"/>
                <w:color w:val="auto"/>
              </w:rPr>
              <w:t>Salary and employee benefits</w:t>
            </w:r>
          </w:p>
        </w:tc>
        <w:tc>
          <w:tcPr>
            <w:tcW w:w="2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19,048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16,077</w:t>
            </w:r>
          </w:p>
        </w:tc>
        <w:tc>
          <w:tcPr>
            <w:tcW w:w="0" w:type="dxa"/>
            <w:vAlign w:val="bottom"/>
          </w:tcPr>
          <w:p>
            <w:pPr>
              <w:spacing w:after="0"/>
              <w:rPr>
                <w:sz w:val="1"/>
                <w:szCs w:val="1"/>
                <w:color w:val="auto"/>
              </w:rPr>
            </w:pPr>
          </w:p>
        </w:tc>
      </w:tr>
      <w:tr>
        <w:trPr>
          <w:trHeight w:val="153"/>
        </w:trPr>
        <w:tc>
          <w:tcPr>
            <w:tcW w:w="492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2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18,048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17,353</w:t>
            </w:r>
          </w:p>
        </w:tc>
        <w:tc>
          <w:tcPr>
            <w:tcW w:w="0" w:type="dxa"/>
            <w:vAlign w:val="bottom"/>
          </w:tcPr>
          <w:p>
            <w:pPr>
              <w:spacing w:after="0"/>
              <w:rPr>
                <w:sz w:val="1"/>
                <w:szCs w:val="1"/>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2"/>
                <w:szCs w:val="12"/>
                <w:color w:val="auto"/>
              </w:rPr>
              <w:t>Selling, general and administrative</w:t>
            </w:r>
          </w:p>
        </w:tc>
        <w:tc>
          <w:tcPr>
            <w:tcW w:w="27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9,118</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7,503</w:t>
            </w:r>
          </w:p>
        </w:tc>
        <w:tc>
          <w:tcPr>
            <w:tcW w:w="0" w:type="dxa"/>
            <w:vAlign w:val="bottom"/>
          </w:tcPr>
          <w:p>
            <w:pPr>
              <w:spacing w:after="0"/>
              <w:rPr>
                <w:sz w:val="1"/>
                <w:szCs w:val="1"/>
                <w:color w:val="auto"/>
              </w:rPr>
            </w:pPr>
          </w:p>
        </w:tc>
      </w:tr>
      <w:tr>
        <w:trPr>
          <w:trHeight w:val="142"/>
        </w:trPr>
        <w:tc>
          <w:tcPr>
            <w:tcW w:w="4920" w:type="dxa"/>
            <w:vAlign w:val="bottom"/>
          </w:tcPr>
          <w:p>
            <w:pPr>
              <w:ind w:left="160"/>
              <w:spacing w:after="0"/>
              <w:rPr>
                <w:sz w:val="20"/>
                <w:szCs w:val="20"/>
                <w:color w:val="auto"/>
              </w:rPr>
            </w:pPr>
            <w:r>
              <w:rPr>
                <w:rFonts w:ascii="Arial" w:cs="Arial" w:eastAsia="Arial" w:hAnsi="Arial"/>
                <w:sz w:val="12"/>
                <w:szCs w:val="12"/>
                <w:color w:val="auto"/>
              </w:rPr>
              <w:t>Total operating expenses</w:t>
            </w:r>
          </w:p>
        </w:tc>
        <w:tc>
          <w:tcPr>
            <w:tcW w:w="27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168,180</w:t>
            </w: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142,413</w:t>
            </w:r>
          </w:p>
        </w:tc>
        <w:tc>
          <w:tcPr>
            <w:tcW w:w="0" w:type="dxa"/>
            <w:vAlign w:val="bottom"/>
          </w:tcPr>
          <w:p>
            <w:pPr>
              <w:spacing w:after="0"/>
              <w:rPr>
                <w:sz w:val="1"/>
                <w:szCs w:val="1"/>
                <w:color w:val="auto"/>
              </w:rPr>
            </w:pPr>
          </w:p>
        </w:tc>
      </w:tr>
      <w:tr>
        <w:trPr>
          <w:trHeight w:val="151"/>
        </w:trPr>
        <w:tc>
          <w:tcPr>
            <w:tcW w:w="4920" w:type="dxa"/>
            <w:vAlign w:val="bottom"/>
          </w:tcPr>
          <w:p>
            <w:pPr>
              <w:spacing w:after="0"/>
              <w:rPr>
                <w:sz w:val="20"/>
                <w:szCs w:val="20"/>
                <w:color w:val="auto"/>
              </w:rPr>
            </w:pPr>
            <w:r>
              <w:rPr>
                <w:rFonts w:ascii="Arial" w:cs="Arial" w:eastAsia="Arial" w:hAnsi="Arial"/>
                <w:sz w:val="12"/>
                <w:szCs w:val="12"/>
                <w:b w:val="1"/>
                <w:bCs w:val="1"/>
                <w:color w:val="auto"/>
              </w:rPr>
              <w:t>Operating income</w:t>
            </w:r>
          </w:p>
        </w:tc>
        <w:tc>
          <w:tcPr>
            <w:tcW w:w="27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16,848</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10,826</w:t>
            </w:r>
          </w:p>
        </w:tc>
        <w:tc>
          <w:tcPr>
            <w:tcW w:w="0" w:type="dxa"/>
            <w:vAlign w:val="bottom"/>
          </w:tcPr>
          <w:p>
            <w:pPr>
              <w:spacing w:after="0"/>
              <w:rPr>
                <w:sz w:val="1"/>
                <w:szCs w:val="1"/>
                <w:color w:val="auto"/>
              </w:rPr>
            </w:pPr>
          </w:p>
        </w:tc>
      </w:tr>
      <w:tr>
        <w:trPr>
          <w:trHeight w:val="137"/>
        </w:trPr>
        <w:tc>
          <w:tcPr>
            <w:tcW w:w="4920" w:type="dxa"/>
            <w:vAlign w:val="bottom"/>
          </w:tcPr>
          <w:p>
            <w:pPr>
              <w:spacing w:after="0" w:line="137" w:lineRule="exact"/>
              <w:rPr>
                <w:sz w:val="20"/>
                <w:szCs w:val="20"/>
                <w:color w:val="auto"/>
              </w:rPr>
            </w:pPr>
            <w:r>
              <w:rPr>
                <w:rFonts w:ascii="Arial" w:cs="Arial" w:eastAsia="Arial" w:hAnsi="Arial"/>
                <w:sz w:val="12"/>
                <w:szCs w:val="12"/>
                <w:b w:val="1"/>
                <w:bCs w:val="1"/>
                <w:color w:val="auto"/>
              </w:rPr>
              <w:t>Other (expense) income</w:t>
            </w:r>
          </w:p>
        </w:tc>
        <w:tc>
          <w:tcPr>
            <w:tcW w:w="2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92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2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(17,699)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(11,535)</w:t>
            </w:r>
          </w:p>
        </w:tc>
        <w:tc>
          <w:tcPr>
            <w:tcW w:w="0" w:type="dxa"/>
            <w:vAlign w:val="bottom"/>
          </w:tcPr>
          <w:p>
            <w:pPr>
              <w:spacing w:after="0"/>
              <w:rPr>
                <w:sz w:val="1"/>
                <w:szCs w:val="1"/>
                <w:color w:val="auto"/>
              </w:rPr>
            </w:pPr>
          </w:p>
        </w:tc>
      </w:tr>
      <w:tr>
        <w:trPr>
          <w:trHeight w:val="153"/>
        </w:trPr>
        <w:tc>
          <w:tcPr>
            <w:tcW w:w="4920" w:type="dxa"/>
            <w:vAlign w:val="bottom"/>
          </w:tcPr>
          <w:p>
            <w:pPr>
              <w:ind w:left="80"/>
              <w:spacing w:after="0"/>
              <w:rPr>
                <w:sz w:val="20"/>
                <w:szCs w:val="20"/>
                <w:color w:val="auto"/>
              </w:rPr>
            </w:pPr>
            <w:r>
              <w:rPr>
                <w:rFonts w:ascii="Arial" w:cs="Arial" w:eastAsia="Arial" w:hAnsi="Arial"/>
                <w:sz w:val="12"/>
                <w:szCs w:val="12"/>
                <w:color w:val="auto"/>
              </w:rPr>
              <w:t>Other income, net</w:t>
            </w:r>
          </w:p>
        </w:tc>
        <w:tc>
          <w:tcPr>
            <w:tcW w:w="27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212</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51"/>
        </w:trPr>
        <w:tc>
          <w:tcPr>
            <w:tcW w:w="4920" w:type="dxa"/>
            <w:vAlign w:val="bottom"/>
          </w:tcPr>
          <w:p>
            <w:pPr>
              <w:ind w:left="160"/>
              <w:spacing w:after="0"/>
              <w:rPr>
                <w:sz w:val="20"/>
                <w:szCs w:val="20"/>
                <w:color w:val="auto"/>
              </w:rPr>
            </w:pPr>
            <w:r>
              <w:rPr>
                <w:rFonts w:ascii="Arial" w:cs="Arial" w:eastAsia="Arial" w:hAnsi="Arial"/>
                <w:sz w:val="12"/>
                <w:szCs w:val="12"/>
                <w:color w:val="auto"/>
              </w:rPr>
              <w:t>Total other expense, net</w:t>
            </w:r>
          </w:p>
        </w:tc>
        <w:tc>
          <w:tcPr>
            <w:tcW w:w="27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(17,487)</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(11,484)</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(639)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(658)</w:t>
            </w:r>
          </w:p>
        </w:tc>
        <w:tc>
          <w:tcPr>
            <w:tcW w:w="0" w:type="dxa"/>
            <w:vAlign w:val="bottom"/>
          </w:tcPr>
          <w:p>
            <w:pPr>
              <w:spacing w:after="0"/>
              <w:rPr>
                <w:sz w:val="1"/>
                <w:szCs w:val="1"/>
                <w:color w:val="auto"/>
              </w:rPr>
            </w:pPr>
          </w:p>
        </w:tc>
      </w:tr>
      <w:tr>
        <w:trPr>
          <w:trHeight w:val="153"/>
        </w:trPr>
        <w:tc>
          <w:tcPr>
            <w:tcW w:w="4920" w:type="dxa"/>
            <w:vAlign w:val="bottom"/>
          </w:tcPr>
          <w:p>
            <w:pPr>
              <w:spacing w:after="0"/>
              <w:rPr>
                <w:sz w:val="20"/>
                <w:szCs w:val="20"/>
                <w:color w:val="auto"/>
              </w:rPr>
            </w:pPr>
            <w:r>
              <w:rPr>
                <w:rFonts w:ascii="Arial" w:cs="Arial" w:eastAsia="Arial" w:hAnsi="Arial"/>
                <w:sz w:val="12"/>
                <w:szCs w:val="12"/>
                <w:color w:val="auto"/>
              </w:rPr>
              <w:t>Income tax benefit</w:t>
            </w:r>
          </w:p>
        </w:tc>
        <w:tc>
          <w:tcPr>
            <w:tcW w:w="27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(133)</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(325)</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20"/>
                <w:szCs w:val="20"/>
                <w:color w:val="auto"/>
              </w:rPr>
            </w:pPr>
            <w:r>
              <w:rPr>
                <w:rFonts w:ascii="Arial" w:cs="Arial" w:eastAsia="Arial" w:hAnsi="Arial"/>
                <w:sz w:val="12"/>
                <w:szCs w:val="12"/>
                <w:b w:val="1"/>
                <w:bCs w:val="1"/>
                <w:color w:val="auto"/>
              </w:rPr>
              <w:t>Net loss</w:t>
            </w: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ind w:right="40"/>
              <w:spacing w:after="0"/>
              <w:rPr>
                <w:sz w:val="20"/>
                <w:szCs w:val="20"/>
                <w:color w:val="auto"/>
              </w:rPr>
            </w:pPr>
            <w:r>
              <w:rPr>
                <w:rFonts w:ascii="Arial" w:cs="Arial" w:eastAsia="Arial" w:hAnsi="Arial"/>
                <w:sz w:val="12"/>
                <w:szCs w:val="12"/>
                <w:color w:val="auto"/>
              </w:rPr>
              <w:t>(506)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(333)</w:t>
            </w:r>
          </w:p>
        </w:tc>
        <w:tc>
          <w:tcPr>
            <w:tcW w:w="0" w:type="dxa"/>
            <w:vAlign w:val="bottom"/>
          </w:tcPr>
          <w:p>
            <w:pPr>
              <w:spacing w:after="0"/>
              <w:rPr>
                <w:sz w:val="1"/>
                <w:szCs w:val="1"/>
                <w:color w:val="auto"/>
              </w:rPr>
            </w:pPr>
          </w:p>
        </w:tc>
      </w:tr>
      <w:tr>
        <w:trPr>
          <w:trHeight w:val="153"/>
        </w:trPr>
        <w:tc>
          <w:tcPr>
            <w:tcW w:w="4920" w:type="dxa"/>
            <w:vAlign w:val="bottom"/>
          </w:tcPr>
          <w:p>
            <w:pPr>
              <w:ind w:left="80"/>
              <w:spacing w:after="0"/>
              <w:rPr>
                <w:sz w:val="20"/>
                <w:szCs w:val="20"/>
                <w:color w:val="auto"/>
              </w:rPr>
            </w:pPr>
            <w:r>
              <w:rPr>
                <w:rFonts w:ascii="Arial" w:cs="Arial" w:eastAsia="Arial" w:hAnsi="Arial"/>
                <w:sz w:val="12"/>
                <w:szCs w:val="12"/>
                <w:color w:val="auto"/>
              </w:rPr>
              <w:t>Less: Dividends and accretion attributable to redeemable senior preferred stockholders</w:t>
            </w:r>
          </w:p>
        </w:tc>
        <w:tc>
          <w:tcPr>
            <w:tcW w:w="27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(11,295)</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(8,400)</w:t>
            </w:r>
          </w:p>
        </w:tc>
        <w:tc>
          <w:tcPr>
            <w:tcW w:w="0" w:type="dxa"/>
            <w:vAlign w:val="bottom"/>
          </w:tcPr>
          <w:p>
            <w:pPr>
              <w:spacing w:after="0"/>
              <w:rPr>
                <w:sz w:val="1"/>
                <w:szCs w:val="1"/>
                <w:color w:val="auto"/>
              </w:rPr>
            </w:pPr>
          </w:p>
        </w:tc>
      </w:tr>
      <w:tr>
        <w:trPr>
          <w:trHeight w:val="146"/>
        </w:trPr>
        <w:tc>
          <w:tcPr>
            <w:tcW w:w="4920" w:type="dxa"/>
            <w:vAlign w:val="bottom"/>
          </w:tcPr>
          <w:p>
            <w:pPr>
              <w:spacing w:after="0"/>
              <w:rPr>
                <w:sz w:val="20"/>
                <w:szCs w:val="20"/>
                <w:color w:val="auto"/>
              </w:rPr>
            </w:pPr>
            <w:r>
              <w:rPr>
                <w:rFonts w:ascii="Arial" w:cs="Arial" w:eastAsia="Arial" w:hAnsi="Arial"/>
                <w:sz w:val="12"/>
                <w:szCs w:val="12"/>
                <w:b w:val="1"/>
                <w:bCs w:val="1"/>
                <w:color w:val="auto"/>
              </w:rPr>
              <w:t>Loss attributable to common stockholders</w:t>
            </w:r>
          </w:p>
        </w:tc>
        <w:tc>
          <w:tcPr>
            <w:tcW w:w="2720" w:type="dxa"/>
            <w:vAlign w:val="bottom"/>
          </w:tcPr>
          <w:p>
            <w:pPr>
              <w:spacing w:after="0"/>
              <w:rPr>
                <w:sz w:val="12"/>
                <w:szCs w:val="12"/>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2"/>
                <w:szCs w:val="12"/>
                <w:b w:val="1"/>
                <w:bCs w:val="1"/>
                <w:color w:val="auto"/>
              </w:rPr>
              <w:t>(11,801)</w:t>
            </w:r>
          </w:p>
        </w:tc>
        <w:tc>
          <w:tcPr>
            <w:tcW w:w="100" w:type="dxa"/>
            <w:vAlign w:val="bottom"/>
          </w:tcPr>
          <w:p>
            <w:pPr>
              <w:spacing w:after="0"/>
              <w:rPr>
                <w:sz w:val="12"/>
                <w:szCs w:val="12"/>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Pr>
          <w:p>
            <w:pPr>
              <w:jc w:val="right"/>
              <w:ind w:right="20"/>
              <w:spacing w:after="0"/>
              <w:rPr>
                <w:sz w:val="20"/>
                <w:szCs w:val="20"/>
                <w:color w:val="auto"/>
              </w:rPr>
            </w:pPr>
            <w:r>
              <w:rPr>
                <w:rFonts w:ascii="Arial" w:cs="Arial" w:eastAsia="Arial" w:hAnsi="Arial"/>
                <w:sz w:val="12"/>
                <w:szCs w:val="12"/>
                <w:b w:val="1"/>
                <w:bCs w:val="1"/>
                <w:color w:val="auto"/>
              </w:rPr>
              <w:t>(8,733)</w:t>
            </w:r>
          </w:p>
        </w:tc>
        <w:tc>
          <w:tcPr>
            <w:tcW w:w="0" w:type="dxa"/>
            <w:vAlign w:val="bottom"/>
          </w:tcPr>
          <w:p>
            <w:pPr>
              <w:spacing w:after="0"/>
              <w:rPr>
                <w:sz w:val="1"/>
                <w:szCs w:val="1"/>
                <w:color w:val="auto"/>
              </w:rPr>
            </w:pPr>
          </w:p>
        </w:tc>
      </w:tr>
      <w:tr>
        <w:trPr>
          <w:trHeight w:val="158"/>
        </w:trPr>
        <w:tc>
          <w:tcPr>
            <w:tcW w:w="4920" w:type="dxa"/>
            <w:vAlign w:val="bottom"/>
          </w:tcPr>
          <w:p>
            <w:pPr>
              <w:spacing w:after="0"/>
              <w:rPr>
                <w:sz w:val="20"/>
                <w:szCs w:val="20"/>
                <w:color w:val="auto"/>
              </w:rPr>
            </w:pPr>
            <w:r>
              <w:rPr>
                <w:rFonts w:ascii="Arial" w:cs="Arial" w:eastAsia="Arial" w:hAnsi="Arial"/>
                <w:sz w:val="12"/>
                <w:szCs w:val="12"/>
                <w:b w:val="1"/>
                <w:bCs w:val="1"/>
                <w:color w:val="auto"/>
              </w:rPr>
              <w:t>Other comprehensive income (loss)</w:t>
            </w:r>
          </w:p>
        </w:tc>
        <w:tc>
          <w:tcPr>
            <w:tcW w:w="2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20" w:type="dxa"/>
            <w:vAlign w:val="bottom"/>
          </w:tcPr>
          <w:p>
            <w:pPr>
              <w:ind w:left="80"/>
              <w:spacing w:after="0"/>
              <w:rPr>
                <w:sz w:val="20"/>
                <w:szCs w:val="20"/>
                <w:color w:val="auto"/>
              </w:rPr>
            </w:pPr>
            <w:r>
              <w:rPr>
                <w:rFonts w:ascii="Arial" w:cs="Arial" w:eastAsia="Arial" w:hAnsi="Arial"/>
                <w:sz w:val="12"/>
                <w:szCs w:val="12"/>
                <w:color w:val="auto"/>
              </w:rPr>
              <w:t>Foreign currency translation adjustments</w:t>
            </w:r>
          </w:p>
        </w:tc>
        <w:tc>
          <w:tcPr>
            <w:tcW w:w="27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4920" w:type="dxa"/>
            <w:vAlign w:val="bottom"/>
          </w:tcPr>
          <w:p>
            <w:pPr>
              <w:spacing w:after="0"/>
              <w:rPr>
                <w:sz w:val="20"/>
                <w:szCs w:val="20"/>
                <w:color w:val="auto"/>
              </w:rPr>
            </w:pPr>
            <w:r>
              <w:rPr>
                <w:rFonts w:ascii="Arial" w:cs="Arial" w:eastAsia="Arial" w:hAnsi="Arial"/>
                <w:sz w:val="12"/>
                <w:szCs w:val="12"/>
                <w:b w:val="1"/>
                <w:bCs w:val="1"/>
                <w:color w:val="auto"/>
              </w:rPr>
              <w:t>Comprehensive loss</w:t>
            </w:r>
          </w:p>
        </w:tc>
        <w:tc>
          <w:tcPr>
            <w:tcW w:w="2720" w:type="dxa"/>
            <w:vAlign w:val="bottom"/>
          </w:tcPr>
          <w:p>
            <w:pPr>
              <w:spacing w:after="0"/>
              <w:rPr>
                <w:sz w:val="13"/>
                <w:szCs w:val="13"/>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(11,777)</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(8,733)</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2"/>
                <w:szCs w:val="12"/>
                <w:b w:val="1"/>
                <w:bCs w:val="1"/>
                <w:color w:val="auto"/>
              </w:rPr>
              <w:t>Loss per common share:</w:t>
            </w:r>
          </w:p>
        </w:tc>
        <w:tc>
          <w:tcPr>
            <w:tcW w:w="2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20" w:type="dxa"/>
            <w:vAlign w:val="bottom"/>
            <w:vMerge w:val="continue"/>
          </w:tcPr>
          <w:p>
            <w:pPr>
              <w:spacing w:after="0"/>
              <w:rPr>
                <w:sz w:val="24"/>
                <w:szCs w:val="24"/>
                <w:color w:val="auto"/>
              </w:rPr>
            </w:pP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920" w:type="dxa"/>
            <w:vAlign w:val="bottom"/>
          </w:tcPr>
          <w:p>
            <w:pPr>
              <w:ind w:left="80"/>
              <w:spacing w:after="0"/>
              <w:rPr>
                <w:sz w:val="20"/>
                <w:szCs w:val="20"/>
                <w:color w:val="auto"/>
              </w:rPr>
            </w:pPr>
            <w:r>
              <w:rPr>
                <w:rFonts w:ascii="Arial" w:cs="Arial" w:eastAsia="Arial" w:hAnsi="Arial"/>
                <w:sz w:val="12"/>
                <w:szCs w:val="12"/>
                <w:color w:val="auto"/>
              </w:rPr>
              <w:t>Basic</w:t>
            </w:r>
          </w:p>
        </w:tc>
        <w:tc>
          <w:tcPr>
            <w:tcW w:w="31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(0.15)</w:t>
            </w:r>
          </w:p>
        </w:tc>
        <w:tc>
          <w:tcPr>
            <w:tcW w:w="520" w:type="dxa"/>
            <w:vAlign w:val="bottom"/>
            <w:gridSpan w:val="2"/>
          </w:tcPr>
          <w:p>
            <w:pPr>
              <w:jc w:val="right"/>
              <w:ind w:right="312"/>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153"/>
        </w:trPr>
        <w:tc>
          <w:tcPr>
            <w:tcW w:w="4920" w:type="dxa"/>
            <w:vAlign w:val="bottom"/>
          </w:tcPr>
          <w:p>
            <w:pPr>
              <w:ind w:left="80"/>
              <w:spacing w:after="0"/>
              <w:rPr>
                <w:sz w:val="20"/>
                <w:szCs w:val="20"/>
                <w:color w:val="auto"/>
              </w:rPr>
            </w:pPr>
            <w:r>
              <w:rPr>
                <w:rFonts w:ascii="Arial" w:cs="Arial" w:eastAsia="Arial" w:hAnsi="Arial"/>
                <w:sz w:val="12"/>
                <w:szCs w:val="12"/>
                <w:color w:val="auto"/>
              </w:rPr>
              <w:t>Diluted</w:t>
            </w:r>
          </w:p>
        </w:tc>
        <w:tc>
          <w:tcPr>
            <w:tcW w:w="31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(0.15)</w:t>
            </w:r>
          </w:p>
        </w:tc>
        <w:tc>
          <w:tcPr>
            <w:tcW w:w="520" w:type="dxa"/>
            <w:vAlign w:val="bottom"/>
            <w:gridSpan w:val="2"/>
          </w:tcPr>
          <w:p>
            <w:pPr>
              <w:jc w:val="right"/>
              <w:ind w:right="312"/>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342"/>
        </w:trPr>
        <w:tc>
          <w:tcPr>
            <w:tcW w:w="4920" w:type="dxa"/>
            <w:vAlign w:val="bottom"/>
          </w:tcPr>
          <w:p>
            <w:pPr>
              <w:spacing w:after="0"/>
              <w:rPr>
                <w:sz w:val="20"/>
                <w:szCs w:val="20"/>
                <w:color w:val="auto"/>
              </w:rPr>
            </w:pPr>
            <w:r>
              <w:rPr>
                <w:rFonts w:ascii="Arial" w:cs="Arial" w:eastAsia="Arial" w:hAnsi="Arial"/>
                <w:sz w:val="12"/>
                <w:szCs w:val="12"/>
                <w:b w:val="1"/>
                <w:bCs w:val="1"/>
                <w:color w:val="auto"/>
              </w:rPr>
              <w:t>Weighted-average common shares outstanding:</w:t>
            </w: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92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2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78,133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78,597</w:t>
            </w:r>
          </w:p>
        </w:tc>
        <w:tc>
          <w:tcPr>
            <w:tcW w:w="0" w:type="dxa"/>
            <w:vAlign w:val="bottom"/>
          </w:tcPr>
          <w:p>
            <w:pPr>
              <w:spacing w:after="0"/>
              <w:rPr>
                <w:sz w:val="1"/>
                <w:szCs w:val="1"/>
                <w:color w:val="auto"/>
              </w:rPr>
            </w:pPr>
          </w:p>
        </w:tc>
      </w:tr>
      <w:tr>
        <w:trPr>
          <w:trHeight w:val="153"/>
        </w:trPr>
        <w:tc>
          <w:tcPr>
            <w:tcW w:w="4920" w:type="dxa"/>
            <w:vAlign w:val="bottom"/>
          </w:tcPr>
          <w:p>
            <w:pPr>
              <w:ind w:left="80"/>
              <w:spacing w:after="0"/>
              <w:rPr>
                <w:sz w:val="20"/>
                <w:szCs w:val="20"/>
                <w:color w:val="auto"/>
              </w:rPr>
            </w:pPr>
            <w:r>
              <w:rPr>
                <w:rFonts w:ascii="Arial" w:cs="Arial" w:eastAsia="Arial" w:hAnsi="Arial"/>
                <w:sz w:val="12"/>
                <w:szCs w:val="12"/>
                <w:color w:val="auto"/>
              </w:rPr>
              <w:t>Diluted</w:t>
            </w:r>
          </w:p>
        </w:tc>
        <w:tc>
          <w:tcPr>
            <w:tcW w:w="2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78,133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78,597</w:t>
            </w:r>
          </w:p>
        </w:tc>
        <w:tc>
          <w:tcPr>
            <w:tcW w:w="0" w:type="dxa"/>
            <w:vAlign w:val="bottom"/>
          </w:tcPr>
          <w:p>
            <w:pPr>
              <w:spacing w:after="0"/>
              <w:rPr>
                <w:sz w:val="1"/>
                <w:szCs w:val="1"/>
                <w:color w:val="auto"/>
              </w:rPr>
            </w:pPr>
          </w:p>
        </w:tc>
      </w:tr>
      <w:tr>
        <w:trPr>
          <w:trHeight w:val="1044"/>
        </w:trPr>
        <w:tc>
          <w:tcPr>
            <w:tcW w:w="4920" w:type="dxa"/>
            <w:vAlign w:val="bottom"/>
          </w:tcPr>
          <w:p>
            <w:pPr>
              <w:spacing w:after="0"/>
              <w:rPr>
                <w:sz w:val="24"/>
                <w:szCs w:val="24"/>
                <w:color w:val="auto"/>
              </w:rPr>
            </w:pPr>
          </w:p>
        </w:tc>
        <w:tc>
          <w:tcPr>
            <w:tcW w:w="2720" w:type="dxa"/>
            <w:vAlign w:val="bottom"/>
          </w:tcPr>
          <w:p>
            <w:pPr>
              <w:jc w:val="right"/>
              <w:ind w:right="1900"/>
              <w:spacing w:after="0"/>
              <w:rPr>
                <w:sz w:val="20"/>
                <w:szCs w:val="20"/>
                <w:color w:val="auto"/>
              </w:rPr>
            </w:pPr>
            <w:r>
              <w:rPr>
                <w:rFonts w:ascii="Arial" w:cs="Arial" w:eastAsia="Arial" w:hAnsi="Arial"/>
                <w:sz w:val="12"/>
                <w:szCs w:val="12"/>
                <w:color w:val="auto"/>
              </w:rPr>
              <w:t>6</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b w:val="1"/>
          <w:bCs w:val="1"/>
          <w:color w:val="auto"/>
        </w:rPr>
        <w:t>Priority Technology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Consolidated Balance Sheets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2440" w:type="dxa"/>
            <w:vAlign w:val="bottom"/>
          </w:tcPr>
          <w:p>
            <w:pPr>
              <w:spacing w:after="0"/>
              <w:rPr>
                <w:sz w:val="13"/>
                <w:szCs w:val="13"/>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2"/>
                <w:szCs w:val="12"/>
                <w:b w:val="1"/>
                <w:bCs w:val="1"/>
                <w:color w:val="auto"/>
              </w:rPr>
              <w:t>March 31, 2023</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vMerge w:val="restart"/>
          </w:tcPr>
          <w:p>
            <w:pPr>
              <w:jc w:val="right"/>
              <w:ind w:right="440"/>
              <w:spacing w:after="0"/>
              <w:rPr>
                <w:sz w:val="20"/>
                <w:szCs w:val="20"/>
                <w:color w:val="auto"/>
              </w:rPr>
            </w:pPr>
            <w:r>
              <w:rPr>
                <w:rFonts w:ascii="Arial" w:cs="Arial" w:eastAsia="Arial" w:hAnsi="Arial"/>
                <w:sz w:val="12"/>
                <w:szCs w:val="12"/>
                <w:b w:val="1"/>
                <w:bCs w:val="1"/>
                <w:color w:val="auto"/>
              </w:rPr>
              <w:t>December 31, 2022</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Current assets:</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3900" w:type="dxa"/>
            <w:vAlign w:val="bottom"/>
            <w:gridSpan w:val="2"/>
          </w:tcPr>
          <w:p>
            <w:pPr>
              <w:jc w:val="right"/>
              <w:ind w:right="1348"/>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15,882</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18,454</w:t>
            </w: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11,012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10,582</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Accounts receivable, net of allowances</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78,042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78,113</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10,443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11,832</w:t>
            </w: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Current portion of notes receivable</w:t>
            </w:r>
          </w:p>
        </w:tc>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1,471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Settlement assets and customer/subscriber account balances</w:t>
            </w:r>
          </w:p>
        </w:tc>
        <w:tc>
          <w:tcPr>
            <w:tcW w:w="244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612,146</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532,018</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Arial" w:cs="Arial" w:eastAsia="Arial" w:hAnsi="Arial"/>
                <w:sz w:val="12"/>
                <w:szCs w:val="12"/>
                <w:color w:val="auto"/>
              </w:rPr>
              <w:t>Total current assets</w:t>
            </w:r>
          </w:p>
        </w:tc>
        <w:tc>
          <w:tcPr>
            <w:tcW w:w="2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729,106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652,470</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2"/>
                <w:szCs w:val="12"/>
                <w:color w:val="auto"/>
              </w:rPr>
              <w:t>Notes receivable, less current portion</w:t>
            </w:r>
          </w:p>
        </w:tc>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3,066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3,191</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Property, equipment and software, net</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36,976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34,687</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Goodwill</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368,740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369,337</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2"/>
                <w:szCs w:val="12"/>
                <w:color w:val="auto"/>
              </w:rPr>
              <w:t>Intangible assets, net</w:t>
            </w:r>
          </w:p>
        </w:tc>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277,478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288,794</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Deferred income taxes, net</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22,163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16,447</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24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8,456</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8,437</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Arial" w:cs="Arial" w:eastAsia="Arial" w:hAnsi="Arial"/>
                <w:sz w:val="12"/>
                <w:szCs w:val="12"/>
                <w:b w:val="1"/>
                <w:bCs w:val="1"/>
                <w:color w:val="auto"/>
              </w:rPr>
              <w:t>Total assets</w:t>
            </w:r>
          </w:p>
        </w:tc>
        <w:tc>
          <w:tcPr>
            <w:tcW w:w="2440" w:type="dxa"/>
            <w:vAlign w:val="bottom"/>
          </w:tcPr>
          <w:p>
            <w:pPr>
              <w:spacing w:after="0"/>
              <w:rPr>
                <w:sz w:val="12"/>
                <w:szCs w:val="12"/>
                <w:color w:val="auto"/>
              </w:rPr>
            </w:pPr>
          </w:p>
        </w:tc>
        <w:tc>
          <w:tcPr>
            <w:tcW w:w="1460" w:type="dxa"/>
            <w:vAlign w:val="bottom"/>
            <w:tcBorders>
              <w:bottom w:val="single" w:sz="8" w:color="auto"/>
            </w:tcBorders>
          </w:tcPr>
          <w:p>
            <w:pPr>
              <w:jc w:val="right"/>
              <w:ind w:right="1348"/>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1,445,985</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1,373,363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2"/>
                <w:szCs w:val="12"/>
                <w:b w:val="1"/>
                <w:bCs w:val="1"/>
                <w:color w:val="auto"/>
              </w:rPr>
              <w:t>Liabilities, Redeemable Senior Preferred Stock and Stockholders' Deficit</w:t>
            </w:r>
          </w:p>
        </w:tc>
        <w:tc>
          <w:tcPr>
            <w:tcW w:w="24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74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Current liabilities:</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Accounts payable and accrued expenses</w:t>
            </w:r>
          </w:p>
        </w:tc>
        <w:tc>
          <w:tcPr>
            <w:tcW w:w="3900" w:type="dxa"/>
            <w:vAlign w:val="bottom"/>
            <w:gridSpan w:val="2"/>
          </w:tcPr>
          <w:p>
            <w:pPr>
              <w:jc w:val="right"/>
              <w:ind w:right="1348"/>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57,110</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80" w:type="dxa"/>
            <w:vAlign w:val="bottom"/>
          </w:tcPr>
          <w:p>
            <w:pPr>
              <w:jc w:val="right"/>
              <w:spacing w:after="0"/>
              <w:rPr>
                <w:sz w:val="20"/>
                <w:szCs w:val="20"/>
                <w:color w:val="auto"/>
              </w:rPr>
            </w:pPr>
            <w:r>
              <w:rPr>
                <w:rFonts w:ascii="Arial" w:cs="Arial" w:eastAsia="Arial" w:hAnsi="Arial"/>
                <w:sz w:val="12"/>
                <w:szCs w:val="12"/>
                <w:color w:val="auto"/>
              </w:rPr>
              <w:t>51,864</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Accrued residual commissions</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41,049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35,979</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Customer deposits and advance payments</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2,868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2,618</w:t>
            </w: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Current portion of long-term debt</w:t>
            </w:r>
          </w:p>
        </w:tc>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6,200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6,200</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Settlement and customer/subscriber account obligations</w:t>
            </w:r>
          </w:p>
        </w:tc>
        <w:tc>
          <w:tcPr>
            <w:tcW w:w="244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612,953</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533,340</w:t>
            </w:r>
          </w:p>
        </w:tc>
        <w:tc>
          <w:tcPr>
            <w:tcW w:w="0" w:type="dxa"/>
            <w:vAlign w:val="bottom"/>
          </w:tcPr>
          <w:p>
            <w:pPr>
              <w:spacing w:after="0"/>
              <w:rPr>
                <w:sz w:val="1"/>
                <w:szCs w:val="1"/>
                <w:color w:val="auto"/>
              </w:rPr>
            </w:pPr>
          </w:p>
        </w:tc>
      </w:tr>
      <w:tr>
        <w:trPr>
          <w:trHeight w:val="142"/>
        </w:trPr>
        <w:tc>
          <w:tcPr>
            <w:tcW w:w="4740" w:type="dxa"/>
            <w:vAlign w:val="bottom"/>
          </w:tcPr>
          <w:p>
            <w:pPr>
              <w:ind w:left="300"/>
              <w:spacing w:after="0"/>
              <w:rPr>
                <w:sz w:val="20"/>
                <w:szCs w:val="20"/>
                <w:color w:val="auto"/>
              </w:rPr>
            </w:pPr>
            <w:r>
              <w:rPr>
                <w:rFonts w:ascii="Arial" w:cs="Arial" w:eastAsia="Arial" w:hAnsi="Arial"/>
                <w:sz w:val="12"/>
                <w:szCs w:val="12"/>
                <w:color w:val="auto"/>
              </w:rPr>
              <w:t>Total current liabilities</w:t>
            </w:r>
          </w:p>
        </w:tc>
        <w:tc>
          <w:tcPr>
            <w:tcW w:w="2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720,180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630,001</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2"/>
                <w:szCs w:val="12"/>
                <w:color w:val="auto"/>
              </w:rPr>
              <w:t>Long-term debt, net of current portion, discounts and debt issuance costs</w:t>
            </w:r>
          </w:p>
        </w:tc>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592,279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598,926</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244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11,857</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11,643</w:t>
            </w:r>
          </w:p>
        </w:tc>
        <w:tc>
          <w:tcPr>
            <w:tcW w:w="0" w:type="dxa"/>
            <w:vAlign w:val="bottom"/>
          </w:tcPr>
          <w:p>
            <w:pPr>
              <w:spacing w:after="0"/>
              <w:rPr>
                <w:sz w:val="1"/>
                <w:szCs w:val="1"/>
                <w:color w:val="auto"/>
              </w:rPr>
            </w:pPr>
          </w:p>
        </w:tc>
      </w:tr>
      <w:tr>
        <w:trPr>
          <w:trHeight w:val="151"/>
        </w:trPr>
        <w:tc>
          <w:tcPr>
            <w:tcW w:w="4740" w:type="dxa"/>
            <w:vAlign w:val="bottom"/>
          </w:tcPr>
          <w:p>
            <w:pPr>
              <w:ind w:left="300"/>
              <w:spacing w:after="0"/>
              <w:rPr>
                <w:sz w:val="20"/>
                <w:szCs w:val="20"/>
                <w:color w:val="auto"/>
              </w:rPr>
            </w:pPr>
            <w:r>
              <w:rPr>
                <w:rFonts w:ascii="Arial" w:cs="Arial" w:eastAsia="Arial" w:hAnsi="Arial"/>
                <w:sz w:val="12"/>
                <w:szCs w:val="12"/>
                <w:color w:val="auto"/>
              </w:rPr>
              <w:t>Total noncurrent liabilities</w:t>
            </w:r>
          </w:p>
        </w:tc>
        <w:tc>
          <w:tcPr>
            <w:tcW w:w="244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604,136</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610,569</w:t>
            </w:r>
          </w:p>
        </w:tc>
        <w:tc>
          <w:tcPr>
            <w:tcW w:w="0" w:type="dxa"/>
            <w:vAlign w:val="bottom"/>
          </w:tcPr>
          <w:p>
            <w:pPr>
              <w:spacing w:after="0"/>
              <w:rPr>
                <w:sz w:val="1"/>
                <w:szCs w:val="1"/>
                <w:color w:val="auto"/>
              </w:rPr>
            </w:pPr>
          </w:p>
        </w:tc>
      </w:tr>
      <w:tr>
        <w:trPr>
          <w:trHeight w:val="142"/>
        </w:trPr>
        <w:tc>
          <w:tcPr>
            <w:tcW w:w="4740" w:type="dxa"/>
            <w:vAlign w:val="bottom"/>
          </w:tcPr>
          <w:p>
            <w:pPr>
              <w:ind w:left="440"/>
              <w:spacing w:after="0"/>
              <w:rPr>
                <w:sz w:val="20"/>
                <w:szCs w:val="20"/>
                <w:color w:val="auto"/>
              </w:rPr>
            </w:pPr>
            <w:r>
              <w:rPr>
                <w:rFonts w:ascii="Arial" w:cs="Arial" w:eastAsia="Arial" w:hAnsi="Arial"/>
                <w:sz w:val="12"/>
                <w:szCs w:val="12"/>
                <w:b w:val="1"/>
                <w:bCs w:val="1"/>
                <w:color w:val="auto"/>
              </w:rPr>
              <w:t>Total liabilities</w:t>
            </w:r>
          </w:p>
        </w:tc>
        <w:tc>
          <w:tcPr>
            <w:tcW w:w="244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1,324,316</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1,240,570</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20"/>
                <w:szCs w:val="20"/>
                <w:color w:val="auto"/>
              </w:rPr>
            </w:pPr>
            <w:r>
              <w:rPr>
                <w:rFonts w:ascii="Arial" w:cs="Arial" w:eastAsia="Arial" w:hAnsi="Arial"/>
                <w:sz w:val="12"/>
                <w:szCs w:val="12"/>
                <w:color w:val="auto"/>
              </w:rPr>
              <w:t>Redeemable senior preferred stock</w:t>
            </w:r>
          </w:p>
        </w:tc>
        <w:tc>
          <w:tcPr>
            <w:tcW w:w="2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235,439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235,579</w:t>
            </w:r>
          </w:p>
        </w:tc>
        <w:tc>
          <w:tcPr>
            <w:tcW w:w="0" w:type="dxa"/>
            <w:vAlign w:val="bottom"/>
          </w:tcPr>
          <w:p>
            <w:pPr>
              <w:spacing w:after="0"/>
              <w:rPr>
                <w:sz w:val="1"/>
                <w:szCs w:val="1"/>
                <w:color w:val="auto"/>
              </w:rPr>
            </w:pPr>
          </w:p>
        </w:tc>
      </w:tr>
      <w:tr>
        <w:trPr>
          <w:trHeight w:val="153"/>
        </w:trPr>
        <w:tc>
          <w:tcPr>
            <w:tcW w:w="4740" w:type="dxa"/>
            <w:vAlign w:val="bottom"/>
          </w:tcPr>
          <w:p>
            <w:pPr>
              <w:spacing w:after="0"/>
              <w:rPr>
                <w:sz w:val="20"/>
                <w:szCs w:val="20"/>
                <w:color w:val="auto"/>
              </w:rPr>
            </w:pPr>
            <w:r>
              <w:rPr>
                <w:rFonts w:ascii="Arial" w:cs="Arial" w:eastAsia="Arial" w:hAnsi="Arial"/>
                <w:sz w:val="12"/>
                <w:szCs w:val="12"/>
                <w:color w:val="auto"/>
              </w:rPr>
              <w:t>Stockholders' deficit:</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Preferred stock</w:t>
            </w:r>
          </w:p>
        </w:tc>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Treasury stock, at cost</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(12,336)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(11,559)</w:t>
            </w: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Additional paid-in capital</w:t>
            </w:r>
          </w:p>
        </w:tc>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9,650</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Accumulated other comprehensive income</w:t>
            </w:r>
          </w:p>
        </w:tc>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4740" w:type="dxa"/>
            <w:vAlign w:val="bottom"/>
          </w:tcPr>
          <w:p>
            <w:pPr>
              <w:ind w:left="80"/>
              <w:spacing w:after="0"/>
              <w:rPr>
                <w:sz w:val="20"/>
                <w:szCs w:val="20"/>
                <w:color w:val="auto"/>
              </w:rPr>
            </w:pPr>
            <w:r>
              <w:rPr>
                <w:rFonts w:ascii="Arial" w:cs="Arial" w:eastAsia="Arial" w:hAnsi="Arial"/>
                <w:sz w:val="12"/>
                <w:szCs w:val="12"/>
                <w:color w:val="auto"/>
              </w:rPr>
              <w:t>Accumulated deficit</w:t>
            </w:r>
          </w:p>
        </w:tc>
        <w:tc>
          <w:tcPr>
            <w:tcW w:w="24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(102,714)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(102,208)</w:t>
            </w:r>
          </w:p>
        </w:tc>
        <w:tc>
          <w:tcPr>
            <w:tcW w:w="0" w:type="dxa"/>
            <w:vAlign w:val="bottom"/>
          </w:tcPr>
          <w:p>
            <w:pPr>
              <w:spacing w:after="0"/>
              <w:rPr>
                <w:sz w:val="1"/>
                <w:szCs w:val="1"/>
                <w:color w:val="auto"/>
              </w:rPr>
            </w:pPr>
          </w:p>
        </w:tc>
      </w:tr>
      <w:tr>
        <w:trPr>
          <w:trHeight w:val="142"/>
        </w:trPr>
        <w:tc>
          <w:tcPr>
            <w:tcW w:w="4740" w:type="dxa"/>
            <w:vAlign w:val="bottom"/>
          </w:tcPr>
          <w:p>
            <w:pPr>
              <w:ind w:left="360"/>
              <w:spacing w:after="0"/>
              <w:rPr>
                <w:sz w:val="20"/>
                <w:szCs w:val="20"/>
                <w:color w:val="auto"/>
              </w:rPr>
            </w:pPr>
            <w:r>
              <w:rPr>
                <w:rFonts w:ascii="Arial" w:cs="Arial" w:eastAsia="Arial" w:hAnsi="Arial"/>
                <w:sz w:val="12"/>
                <w:szCs w:val="12"/>
                <w:b w:val="1"/>
                <w:bCs w:val="1"/>
                <w:color w:val="auto"/>
              </w:rPr>
              <w:t>Total stockholders' deficit attributable to stockholders of PRTH</w:t>
            </w:r>
          </w:p>
        </w:tc>
        <w:tc>
          <w:tcPr>
            <w:tcW w:w="2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(114,622)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(104,041)</w:t>
            </w:r>
          </w:p>
        </w:tc>
        <w:tc>
          <w:tcPr>
            <w:tcW w:w="0" w:type="dxa"/>
            <w:vAlign w:val="bottom"/>
          </w:tcPr>
          <w:p>
            <w:pPr>
              <w:spacing w:after="0"/>
              <w:rPr>
                <w:sz w:val="1"/>
                <w:szCs w:val="1"/>
                <w:color w:val="auto"/>
              </w:rPr>
            </w:pPr>
          </w:p>
        </w:tc>
      </w:tr>
      <w:tr>
        <w:trPr>
          <w:trHeight w:val="153"/>
        </w:trPr>
        <w:tc>
          <w:tcPr>
            <w:tcW w:w="4740" w:type="dxa"/>
            <w:vAlign w:val="bottom"/>
          </w:tcPr>
          <w:p>
            <w:pPr>
              <w:ind w:left="80"/>
              <w:spacing w:after="0"/>
              <w:rPr>
                <w:sz w:val="20"/>
                <w:szCs w:val="20"/>
                <w:color w:val="auto"/>
              </w:rPr>
            </w:pPr>
            <w:r>
              <w:rPr>
                <w:rFonts w:ascii="Arial" w:cs="Arial" w:eastAsia="Arial" w:hAnsi="Arial"/>
                <w:sz w:val="12"/>
                <w:szCs w:val="12"/>
                <w:color w:val="auto"/>
              </w:rPr>
              <w:t>Non-controlling interest</w:t>
            </w:r>
          </w:p>
        </w:tc>
        <w:tc>
          <w:tcPr>
            <w:tcW w:w="244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852</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1,255</w:t>
            </w:r>
          </w:p>
        </w:tc>
        <w:tc>
          <w:tcPr>
            <w:tcW w:w="0" w:type="dxa"/>
            <w:vAlign w:val="bottom"/>
          </w:tcPr>
          <w:p>
            <w:pPr>
              <w:spacing w:after="0"/>
              <w:rPr>
                <w:sz w:val="1"/>
                <w:szCs w:val="1"/>
                <w:color w:val="auto"/>
              </w:rPr>
            </w:pPr>
          </w:p>
        </w:tc>
      </w:tr>
      <w:tr>
        <w:trPr>
          <w:trHeight w:val="142"/>
        </w:trPr>
        <w:tc>
          <w:tcPr>
            <w:tcW w:w="4740" w:type="dxa"/>
            <w:vAlign w:val="bottom"/>
          </w:tcPr>
          <w:p>
            <w:pPr>
              <w:ind w:left="20"/>
              <w:spacing w:after="0"/>
              <w:rPr>
                <w:sz w:val="20"/>
                <w:szCs w:val="20"/>
                <w:color w:val="auto"/>
              </w:rPr>
            </w:pPr>
            <w:r>
              <w:rPr>
                <w:rFonts w:ascii="Arial" w:cs="Arial" w:eastAsia="Arial" w:hAnsi="Arial"/>
                <w:sz w:val="12"/>
                <w:szCs w:val="12"/>
                <w:b w:val="1"/>
                <w:bCs w:val="1"/>
                <w:color w:val="auto"/>
              </w:rPr>
              <w:t>Total stockholders' deficit</w:t>
            </w:r>
          </w:p>
        </w:tc>
        <w:tc>
          <w:tcPr>
            <w:tcW w:w="244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(113,770)</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(102,786)</w:t>
            </w:r>
          </w:p>
        </w:tc>
        <w:tc>
          <w:tcPr>
            <w:tcW w:w="0" w:type="dxa"/>
            <w:vAlign w:val="bottom"/>
          </w:tcPr>
          <w:p>
            <w:pPr>
              <w:spacing w:after="0"/>
              <w:rPr>
                <w:sz w:val="1"/>
                <w:szCs w:val="1"/>
                <w:color w:val="auto"/>
              </w:rPr>
            </w:pPr>
          </w:p>
        </w:tc>
      </w:tr>
      <w:tr>
        <w:trPr>
          <w:trHeight w:val="151"/>
        </w:trPr>
        <w:tc>
          <w:tcPr>
            <w:tcW w:w="4740" w:type="dxa"/>
            <w:vAlign w:val="bottom"/>
          </w:tcPr>
          <w:p>
            <w:pPr>
              <w:ind w:left="20"/>
              <w:spacing w:after="0"/>
              <w:rPr>
                <w:sz w:val="20"/>
                <w:szCs w:val="20"/>
                <w:color w:val="auto"/>
              </w:rPr>
            </w:pPr>
            <w:r>
              <w:rPr>
                <w:rFonts w:ascii="Arial" w:cs="Arial" w:eastAsia="Arial" w:hAnsi="Arial"/>
                <w:sz w:val="12"/>
                <w:szCs w:val="12"/>
                <w:b w:val="1"/>
                <w:bCs w:val="1"/>
                <w:color w:val="auto"/>
              </w:rPr>
              <w:t>Total liabilities, redeemable senior preferred stock and stockholders' deficit</w:t>
            </w:r>
          </w:p>
        </w:tc>
        <w:tc>
          <w:tcPr>
            <w:tcW w:w="2440" w:type="dxa"/>
            <w:vAlign w:val="bottom"/>
          </w:tcPr>
          <w:p>
            <w:pPr>
              <w:spacing w:after="0"/>
              <w:rPr>
                <w:sz w:val="13"/>
                <w:szCs w:val="13"/>
                <w:color w:val="auto"/>
              </w:rPr>
            </w:pPr>
          </w:p>
        </w:tc>
        <w:tc>
          <w:tcPr>
            <w:tcW w:w="1460" w:type="dxa"/>
            <w:vAlign w:val="bottom"/>
            <w:tcBorders>
              <w:bottom w:val="single" w:sz="8" w:color="auto"/>
            </w:tcBorders>
          </w:tcPr>
          <w:p>
            <w:pPr>
              <w:jc w:val="right"/>
              <w:ind w:right="1348"/>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1,445,985</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1,373,363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40" w:type="dxa"/>
            <w:vAlign w:val="bottom"/>
            <w:vMerge w:val="restart"/>
          </w:tcPr>
          <w:p>
            <w:pPr>
              <w:jc w:val="right"/>
              <w:ind w:right="1440"/>
              <w:spacing w:after="0"/>
              <w:rPr>
                <w:sz w:val="20"/>
                <w:szCs w:val="20"/>
                <w:color w:val="auto"/>
              </w:rPr>
            </w:pPr>
            <w:r>
              <w:rPr>
                <w:rFonts w:ascii="Arial" w:cs="Arial" w:eastAsia="Arial" w:hAnsi="Arial"/>
                <w:sz w:val="12"/>
                <w:szCs w:val="12"/>
                <w:color w:val="auto"/>
              </w:rPr>
              <w:t>7</w:t>
            </w: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Priority Technology Holdings, Inc</w:t>
      </w:r>
      <w:r>
        <w:rPr>
          <w:rFonts w:ascii="Arial" w:cs="Arial" w:eastAsia="Arial" w:hAnsi="Arial"/>
          <w:sz w:val="13"/>
          <w:szCs w:val="13"/>
          <w:color w:val="auto"/>
        </w:rPr>
        <w: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Consolidated Statements of Cash Flows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0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28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2"/>
                <w:szCs w:val="12"/>
                <w:b w:val="1"/>
                <w:bCs w:val="1"/>
                <w:color w:val="auto"/>
              </w:rPr>
              <w:t>Three Months Ended March 31,</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Net loss</w:t>
            </w:r>
          </w:p>
        </w:tc>
        <w:tc>
          <w:tcPr>
            <w:tcW w:w="324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(506)</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(333)</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Adjustments to reconcile net loss to net cash provided by operating activities:</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2"/>
                <w:szCs w:val="12"/>
                <w:color w:val="auto"/>
              </w:rPr>
              <w:t>Depreciation and amortization of assets</w:t>
            </w: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18,048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17,353</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1,936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1,558</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Amortization of debt issuance costs and discounts</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903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848</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2"/>
                <w:szCs w:val="12"/>
                <w:color w:val="auto"/>
              </w:rPr>
              <w:t>Deferred income tax</w:t>
            </w: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(5,716)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(3,227)</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Change in contingent consideration</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229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Arial" w:cs="Arial" w:eastAsia="Arial" w:hAnsi="Arial"/>
                <w:sz w:val="12"/>
                <w:szCs w:val="12"/>
                <w:color w:val="auto"/>
              </w:rPr>
              <w:t>Other non-cash items, net</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5200" w:type="dxa"/>
            <w:vAlign w:val="bottom"/>
          </w:tcPr>
          <w:p>
            <w:pPr>
              <w:ind w:left="80"/>
              <w:spacing w:after="0"/>
              <w:rPr>
                <w:sz w:val="20"/>
                <w:szCs w:val="20"/>
                <w:color w:val="auto"/>
              </w:rPr>
            </w:pPr>
            <w:r>
              <w:rPr>
                <w:rFonts w:ascii="Arial" w:cs="Arial" w:eastAsia="Arial" w:hAnsi="Arial"/>
                <w:sz w:val="12"/>
                <w:szCs w:val="12"/>
                <w:color w:val="auto"/>
              </w:rPr>
              <w:t>Change in operating assets and liabilities:</w:t>
            </w: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Accounts receivable</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(14,440)</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481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2"/>
                <w:szCs w:val="12"/>
                <w:color w:val="auto"/>
              </w:rPr>
              <w:t>Income taxes (receivable) payable</w:t>
            </w: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8,666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2,913</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Notes receivable</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Accounts payable and other accrued liabilities</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3,916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5,316</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2"/>
                <w:szCs w:val="12"/>
                <w:color w:val="auto"/>
              </w:rPr>
              <w:t>Customer deposits and advance payments</w:t>
            </w: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250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Arial" w:cs="Arial" w:eastAsia="Arial" w:hAnsi="Arial"/>
                <w:sz w:val="12"/>
                <w:szCs w:val="12"/>
                <w:color w:val="auto"/>
              </w:rPr>
              <w:t>Other assets and liabilities, net</w:t>
            </w:r>
          </w:p>
        </w:tc>
        <w:tc>
          <w:tcPr>
            <w:tcW w:w="28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(462)</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(624)</w:t>
            </w:r>
          </w:p>
        </w:tc>
        <w:tc>
          <w:tcPr>
            <w:tcW w:w="0" w:type="dxa"/>
            <w:vAlign w:val="bottom"/>
          </w:tcPr>
          <w:p>
            <w:pPr>
              <w:spacing w:after="0"/>
              <w:rPr>
                <w:sz w:val="1"/>
                <w:szCs w:val="1"/>
                <w:color w:val="auto"/>
              </w:rPr>
            </w:pPr>
          </w:p>
        </w:tc>
      </w:tr>
      <w:tr>
        <w:trPr>
          <w:trHeight w:val="151"/>
        </w:trPr>
        <w:tc>
          <w:tcPr>
            <w:tcW w:w="5200" w:type="dxa"/>
            <w:vAlign w:val="bottom"/>
          </w:tcPr>
          <w:p>
            <w:pPr>
              <w:ind w:left="80"/>
              <w:spacing w:after="0"/>
              <w:rPr>
                <w:sz w:val="20"/>
                <w:szCs w:val="20"/>
                <w:color w:val="auto"/>
              </w:rPr>
            </w:pPr>
            <w:r>
              <w:rPr>
                <w:rFonts w:ascii="Arial" w:cs="Arial" w:eastAsia="Arial" w:hAnsi="Arial"/>
                <w:sz w:val="12"/>
                <w:szCs w:val="12"/>
                <w:b w:val="1"/>
                <w:bCs w:val="1"/>
                <w:color w:val="auto"/>
              </w:rPr>
              <w:t>Net cash provided by operating activities</w:t>
            </w:r>
          </w:p>
        </w:tc>
        <w:tc>
          <w:tcPr>
            <w:tcW w:w="28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27,677</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9,613</w:t>
            </w:r>
          </w:p>
        </w:tc>
        <w:tc>
          <w:tcPr>
            <w:tcW w:w="0" w:type="dxa"/>
            <w:vAlign w:val="bottom"/>
          </w:tcPr>
          <w:p>
            <w:pPr>
              <w:spacing w:after="0"/>
              <w:rPr>
                <w:sz w:val="1"/>
                <w:szCs w:val="1"/>
                <w:color w:val="auto"/>
              </w:rPr>
            </w:pPr>
          </w:p>
        </w:tc>
      </w:tr>
      <w:tr>
        <w:trPr>
          <w:trHeight w:val="137"/>
        </w:trPr>
        <w:tc>
          <w:tcPr>
            <w:tcW w:w="5200" w:type="dxa"/>
            <w:vAlign w:val="bottom"/>
          </w:tcPr>
          <w:p>
            <w:pPr>
              <w:spacing w:after="0" w:line="137" w:lineRule="exact"/>
              <w:rPr>
                <w:sz w:val="20"/>
                <w:szCs w:val="20"/>
                <w:color w:val="auto"/>
              </w:rPr>
            </w:pPr>
            <w:r>
              <w:rPr>
                <w:rFonts w:ascii="Arial" w:cs="Arial" w:eastAsia="Arial" w:hAnsi="Arial"/>
                <w:sz w:val="12"/>
                <w:szCs w:val="12"/>
                <w:b w:val="1"/>
                <w:bCs w:val="1"/>
                <w:color w:val="auto"/>
              </w:rPr>
              <w:t>Cash flows from investing activities:</w:t>
            </w:r>
          </w:p>
        </w:tc>
        <w:tc>
          <w:tcPr>
            <w:tcW w:w="2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200" w:type="dxa"/>
            <w:vAlign w:val="bottom"/>
          </w:tcPr>
          <w:p>
            <w:pPr>
              <w:ind w:left="80"/>
              <w:spacing w:after="0"/>
              <w:rPr>
                <w:sz w:val="20"/>
                <w:szCs w:val="20"/>
                <w:color w:val="auto"/>
              </w:rPr>
            </w:pPr>
            <w:r>
              <w:rPr>
                <w:rFonts w:ascii="Arial" w:cs="Arial" w:eastAsia="Arial" w:hAnsi="Arial"/>
                <w:sz w:val="12"/>
                <w:szCs w:val="12"/>
                <w:color w:val="auto"/>
              </w:rPr>
              <w:t>Additions to property, equipment and software</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(5,046)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(2,370)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Notes receivable, net</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(2,400)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Acquisitions of assets and other investing activities</w:t>
            </w:r>
          </w:p>
        </w:tc>
        <w:tc>
          <w:tcPr>
            <w:tcW w:w="28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(2,715)</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(941)</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Arial" w:cs="Arial" w:eastAsia="Arial" w:hAnsi="Arial"/>
                <w:sz w:val="12"/>
                <w:szCs w:val="12"/>
                <w:b w:val="1"/>
                <w:bCs w:val="1"/>
                <w:color w:val="auto"/>
              </w:rPr>
              <w:t>Net cash used in investing activities</w:t>
            </w:r>
          </w:p>
        </w:tc>
        <w:tc>
          <w:tcPr>
            <w:tcW w:w="28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(7,583)</w:t>
            </w: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(5,711)</w:t>
            </w:r>
          </w:p>
        </w:tc>
        <w:tc>
          <w:tcPr>
            <w:tcW w:w="0" w:type="dxa"/>
            <w:vAlign w:val="bottom"/>
          </w:tcPr>
          <w:p>
            <w:pPr>
              <w:spacing w:after="0"/>
              <w:rPr>
                <w:sz w:val="1"/>
                <w:szCs w:val="1"/>
                <w:color w:val="auto"/>
              </w:rPr>
            </w:pPr>
          </w:p>
        </w:tc>
      </w:tr>
      <w:tr>
        <w:trPr>
          <w:trHeight w:val="142"/>
        </w:trPr>
        <w:tc>
          <w:tcPr>
            <w:tcW w:w="520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Repayments of long-term debt</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(1,550)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(1,550)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Repayments of borrowings under revolving credit facility</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(6,000)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r>
        <w:trPr>
          <w:trHeight w:val="162"/>
        </w:trPr>
        <w:tc>
          <w:tcPr>
            <w:tcW w:w="5200" w:type="dxa"/>
            <w:vAlign w:val="bottom"/>
          </w:tcPr>
          <w:p>
            <w:pPr>
              <w:ind w:left="80"/>
              <w:spacing w:after="0"/>
              <w:rPr>
                <w:sz w:val="20"/>
                <w:szCs w:val="20"/>
                <w:color w:val="auto"/>
              </w:rPr>
            </w:pPr>
            <w:r>
              <w:rPr>
                <w:rFonts w:ascii="Arial" w:cs="Arial" w:eastAsia="Arial" w:hAnsi="Arial"/>
                <w:sz w:val="12"/>
                <w:szCs w:val="12"/>
                <w:color w:val="auto"/>
              </w:rPr>
              <w:t>Shares withheld for taxes on vested stock-based compensation</w:t>
            </w: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(777)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Dividends paid to redeemable senior preferred stockholders</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(11,435)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(3,505)</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Settlement and customer/subscriber accounts obligations, net</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79,258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12,749</w:t>
            </w:r>
          </w:p>
        </w:tc>
        <w:tc>
          <w:tcPr>
            <w:tcW w:w="0" w:type="dxa"/>
            <w:vAlign w:val="bottom"/>
          </w:tcPr>
          <w:p>
            <w:pPr>
              <w:spacing w:after="0"/>
              <w:rPr>
                <w:sz w:val="1"/>
                <w:szCs w:val="1"/>
                <w:color w:val="auto"/>
              </w:rPr>
            </w:pPr>
          </w:p>
        </w:tc>
      </w:tr>
      <w:tr>
        <w:trPr>
          <w:trHeight w:val="162"/>
        </w:trPr>
        <w:tc>
          <w:tcPr>
            <w:tcW w:w="5200" w:type="dxa"/>
            <w:vAlign w:val="bottom"/>
          </w:tcPr>
          <w:p>
            <w:pPr>
              <w:ind w:left="80"/>
              <w:spacing w:after="0"/>
              <w:rPr>
                <w:sz w:val="20"/>
                <w:szCs w:val="20"/>
                <w:color w:val="auto"/>
              </w:rPr>
            </w:pPr>
            <w:r>
              <w:rPr>
                <w:rFonts w:ascii="Arial" w:cs="Arial" w:eastAsia="Arial" w:hAnsi="Arial"/>
                <w:sz w:val="12"/>
                <w:szCs w:val="12"/>
                <w:color w:val="auto"/>
              </w:rPr>
              <w:t>Payment of contingent consideration related to business combination</w:t>
            </w:r>
          </w:p>
        </w:tc>
        <w:tc>
          <w:tcPr>
            <w:tcW w:w="2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(1,959)</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8"/>
        </w:trPr>
        <w:tc>
          <w:tcPr>
            <w:tcW w:w="5200" w:type="dxa"/>
            <w:vAlign w:val="bottom"/>
          </w:tcPr>
          <w:p>
            <w:pPr>
              <w:ind w:left="80"/>
              <w:spacing w:after="0"/>
              <w:rPr>
                <w:sz w:val="20"/>
                <w:szCs w:val="20"/>
                <w:color w:val="auto"/>
              </w:rPr>
            </w:pPr>
            <w:r>
              <w:rPr>
                <w:rFonts w:ascii="Arial" w:cs="Arial" w:eastAsia="Arial" w:hAnsi="Arial"/>
                <w:sz w:val="12"/>
                <w:szCs w:val="12"/>
                <w:b w:val="1"/>
                <w:bCs w:val="1"/>
                <w:color w:val="auto"/>
              </w:rPr>
              <w:t>Net cash provided by financing activities</w:t>
            </w: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57,537</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2,538</w:t>
            </w:r>
          </w:p>
        </w:tc>
        <w:tc>
          <w:tcPr>
            <w:tcW w:w="0" w:type="dxa"/>
            <w:vAlign w:val="bottom"/>
          </w:tcPr>
          <w:p>
            <w:pPr>
              <w:spacing w:after="0"/>
              <w:rPr>
                <w:sz w:val="1"/>
                <w:szCs w:val="1"/>
                <w:color w:val="auto"/>
              </w:rPr>
            </w:pPr>
          </w:p>
        </w:tc>
      </w:tr>
      <w:tr>
        <w:trPr>
          <w:trHeight w:val="157"/>
        </w:trPr>
        <w:tc>
          <w:tcPr>
            <w:tcW w:w="5200" w:type="dxa"/>
            <w:vAlign w:val="bottom"/>
          </w:tcPr>
          <w:p>
            <w:pPr>
              <w:ind w:left="20"/>
              <w:spacing w:after="0"/>
              <w:rPr>
                <w:sz w:val="20"/>
                <w:szCs w:val="20"/>
                <w:color w:val="auto"/>
              </w:rPr>
            </w:pPr>
            <w:r>
              <w:rPr>
                <w:rFonts w:ascii="Arial" w:cs="Arial" w:eastAsia="Arial" w:hAnsi="Arial"/>
                <w:sz w:val="12"/>
                <w:szCs w:val="12"/>
                <w:b w:val="1"/>
                <w:bCs w:val="1"/>
                <w:color w:val="auto"/>
              </w:rPr>
              <w:t>Net change in cash and cash equivalents, and restricted cash:</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Net increase in cash and cash equivalents, and restricted cash</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77,631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6,440</w:t>
            </w:r>
          </w:p>
        </w:tc>
        <w:tc>
          <w:tcPr>
            <w:tcW w:w="0" w:type="dxa"/>
            <w:vAlign w:val="bottom"/>
          </w:tcPr>
          <w:p>
            <w:pPr>
              <w:spacing w:after="0"/>
              <w:rPr>
                <w:sz w:val="1"/>
                <w:szCs w:val="1"/>
                <w:color w:val="auto"/>
              </w:rPr>
            </w:pPr>
          </w:p>
        </w:tc>
      </w:tr>
      <w:tr>
        <w:trPr>
          <w:trHeight w:val="162"/>
        </w:trPr>
        <w:tc>
          <w:tcPr>
            <w:tcW w:w="5200" w:type="dxa"/>
            <w:vAlign w:val="bottom"/>
          </w:tcPr>
          <w:p>
            <w:pPr>
              <w:ind w:left="80"/>
              <w:spacing w:after="0"/>
              <w:rPr>
                <w:sz w:val="20"/>
                <w:szCs w:val="20"/>
                <w:color w:val="auto"/>
              </w:rPr>
            </w:pPr>
            <w:r>
              <w:rPr>
                <w:rFonts w:ascii="Arial" w:cs="Arial" w:eastAsia="Arial" w:hAnsi="Arial"/>
                <w:sz w:val="12"/>
                <w:szCs w:val="12"/>
                <w:color w:val="auto"/>
              </w:rPr>
              <w:t>Cash and cash equivalents, and restricted cash at beginning of period</w:t>
            </w:r>
          </w:p>
        </w:tc>
        <w:tc>
          <w:tcPr>
            <w:tcW w:w="2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560,610</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518,093</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2"/>
                <w:szCs w:val="12"/>
                <w:b w:val="1"/>
                <w:bCs w:val="1"/>
                <w:color w:val="auto"/>
              </w:rPr>
              <w:t>Cash and cash equivalents, and restricted cash equivalents at end of period</w:t>
            </w:r>
          </w:p>
        </w:tc>
        <w:tc>
          <w:tcPr>
            <w:tcW w:w="2880" w:type="dxa"/>
            <w:vAlign w:val="bottom"/>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638,241</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524,533</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2"/>
                <w:szCs w:val="12"/>
                <w:b w:val="1"/>
                <w:bCs w:val="1"/>
                <w:color w:val="auto"/>
              </w:rPr>
              <w:t>Reconciliation of cash and cash equivalents, and restricted cash:</w:t>
            </w:r>
          </w:p>
        </w:tc>
        <w:tc>
          <w:tcPr>
            <w:tcW w:w="2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200" w:type="dxa"/>
            <w:vAlign w:val="bottom"/>
            <w:vMerge w:val="continue"/>
          </w:tcPr>
          <w:p>
            <w:pPr>
              <w:spacing w:after="0"/>
              <w:rPr>
                <w:sz w:val="19"/>
                <w:szCs w:val="19"/>
                <w:color w:val="auto"/>
              </w:rPr>
            </w:pP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3240" w:type="dxa"/>
            <w:vAlign w:val="bottom"/>
            <w:gridSpan w:val="2"/>
          </w:tcPr>
          <w:p>
            <w:pPr>
              <w:jc w:val="right"/>
              <w:ind w:right="252"/>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15,882</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13,557</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11,012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13,588</w:t>
            </w:r>
          </w:p>
        </w:tc>
        <w:tc>
          <w:tcPr>
            <w:tcW w:w="0" w:type="dxa"/>
            <w:vAlign w:val="bottom"/>
          </w:tcPr>
          <w:p>
            <w:pPr>
              <w:spacing w:after="0"/>
              <w:rPr>
                <w:sz w:val="1"/>
                <w:szCs w:val="1"/>
                <w:color w:val="auto"/>
              </w:rPr>
            </w:pPr>
          </w:p>
        </w:tc>
      </w:tr>
      <w:tr>
        <w:trPr>
          <w:trHeight w:val="162"/>
        </w:trPr>
        <w:tc>
          <w:tcPr>
            <w:tcW w:w="5200" w:type="dxa"/>
            <w:vAlign w:val="bottom"/>
          </w:tcPr>
          <w:p>
            <w:pPr>
              <w:ind w:left="80"/>
              <w:spacing w:after="0"/>
              <w:rPr>
                <w:sz w:val="20"/>
                <w:szCs w:val="20"/>
                <w:color w:val="auto"/>
              </w:rPr>
            </w:pPr>
            <w:r>
              <w:rPr>
                <w:rFonts w:ascii="Arial" w:cs="Arial" w:eastAsia="Arial" w:hAnsi="Arial"/>
                <w:sz w:val="12"/>
                <w:szCs w:val="12"/>
                <w:color w:val="auto"/>
                <w:w w:val="95"/>
              </w:rPr>
              <w:t>Cash and cash equivalents included in settlement assets and customer/subscriber account balances</w:t>
            </w:r>
          </w:p>
        </w:tc>
        <w:tc>
          <w:tcPr>
            <w:tcW w:w="2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611,347</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497,388</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2"/>
                <w:szCs w:val="12"/>
                <w:b w:val="1"/>
                <w:bCs w:val="1"/>
                <w:color w:val="auto"/>
              </w:rPr>
              <w:t>Total cash and cash equivalents, and restricted cash</w:t>
            </w:r>
          </w:p>
        </w:tc>
        <w:tc>
          <w:tcPr>
            <w:tcW w:w="2880" w:type="dxa"/>
            <w:vAlign w:val="bottom"/>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638,241</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524,533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80" w:type="dxa"/>
            <w:vAlign w:val="bottom"/>
            <w:vMerge w:val="restart"/>
          </w:tcPr>
          <w:p>
            <w:pPr>
              <w:jc w:val="right"/>
              <w:ind w:right="2340"/>
              <w:spacing w:after="0"/>
              <w:rPr>
                <w:sz w:val="20"/>
                <w:szCs w:val="20"/>
                <w:color w:val="auto"/>
              </w:rPr>
            </w:pPr>
            <w:r>
              <w:rPr>
                <w:rFonts w:ascii="Arial" w:cs="Arial" w:eastAsia="Arial" w:hAnsi="Arial"/>
                <w:sz w:val="12"/>
                <w:szCs w:val="12"/>
                <w:color w:val="auto"/>
              </w:rPr>
              <w:t>8</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2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Priority Technology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Reportable Segments' Results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34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4"/>
              </w:rPr>
              <w:t>Three Months Ended March 31,</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2023</w:t>
            </w:r>
          </w:p>
        </w:tc>
        <w:tc>
          <w:tcPr>
            <w:tcW w:w="7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20"/>
                <w:szCs w:val="20"/>
                <w:color w:val="auto"/>
              </w:rPr>
            </w:pPr>
            <w:r>
              <w:rPr>
                <w:rFonts w:ascii="Arial" w:cs="Arial" w:eastAsia="Arial" w:hAnsi="Arial"/>
                <w:sz w:val="12"/>
                <w:szCs w:val="12"/>
                <w:b w:val="1"/>
                <w:bCs w:val="1"/>
                <w:color w:val="auto"/>
              </w:rPr>
              <w:t>SMB Payments:</w:t>
            </w:r>
          </w:p>
        </w:tc>
        <w:tc>
          <w:tcPr>
            <w:tcW w:w="3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80"/>
              <w:spacing w:after="0"/>
              <w:rPr>
                <w:sz w:val="20"/>
                <w:szCs w:val="20"/>
                <w:color w:val="auto"/>
              </w:rPr>
            </w:pPr>
            <w:r>
              <w:rPr>
                <w:rFonts w:ascii="Arial" w:cs="Arial" w:eastAsia="Arial" w:hAnsi="Arial"/>
                <w:sz w:val="12"/>
                <w:szCs w:val="12"/>
                <w:color w:val="auto"/>
              </w:rPr>
              <w:t>Revenue</w:t>
            </w:r>
          </w:p>
        </w:tc>
        <w:tc>
          <w:tcPr>
            <w:tcW w:w="4560" w:type="dxa"/>
            <w:vAlign w:val="bottom"/>
            <w:gridSpan w:val="2"/>
          </w:tcPr>
          <w:p>
            <w:pPr>
              <w:jc w:val="right"/>
              <w:ind w:right="97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154,933</w:t>
            </w:r>
          </w:p>
        </w:tc>
        <w:tc>
          <w:tcPr>
            <w:tcW w:w="280" w:type="dxa"/>
            <w:vAlign w:val="bottom"/>
          </w:tcPr>
          <w:p>
            <w:pPr>
              <w:spacing w:after="0"/>
              <w:rPr>
                <w:sz w:val="14"/>
                <w:szCs w:val="14"/>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129,959</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34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142,922</w:t>
            </w:r>
          </w:p>
        </w:tc>
        <w:tc>
          <w:tcPr>
            <w:tcW w:w="2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117,473</w:t>
            </w:r>
          </w:p>
        </w:tc>
        <w:tc>
          <w:tcPr>
            <w:tcW w:w="0" w:type="dxa"/>
            <w:vAlign w:val="bottom"/>
          </w:tcPr>
          <w:p>
            <w:pPr>
              <w:spacing w:after="0"/>
              <w:rPr>
                <w:sz w:val="1"/>
                <w:szCs w:val="1"/>
                <w:color w:val="auto"/>
              </w:rPr>
            </w:pPr>
          </w:p>
        </w:tc>
      </w:tr>
      <w:tr>
        <w:trPr>
          <w:trHeight w:val="151"/>
        </w:trPr>
        <w:tc>
          <w:tcPr>
            <w:tcW w:w="3880" w:type="dxa"/>
            <w:vAlign w:val="bottom"/>
          </w:tcPr>
          <w:p>
            <w:pPr>
              <w:ind w:left="80"/>
              <w:spacing w:after="0"/>
              <w:rPr>
                <w:sz w:val="20"/>
                <w:szCs w:val="20"/>
                <w:color w:val="auto"/>
              </w:rPr>
            </w:pPr>
            <w:r>
              <w:rPr>
                <w:rFonts w:ascii="Arial" w:cs="Arial" w:eastAsia="Arial" w:hAnsi="Arial"/>
                <w:sz w:val="12"/>
                <w:szCs w:val="12"/>
                <w:b w:val="1"/>
                <w:bCs w:val="1"/>
                <w:color w:val="auto"/>
              </w:rPr>
              <w:t>Operating income</w:t>
            </w:r>
          </w:p>
        </w:tc>
        <w:tc>
          <w:tcPr>
            <w:tcW w:w="3480" w:type="dxa"/>
            <w:vAlign w:val="bottom"/>
          </w:tcPr>
          <w:p>
            <w:pPr>
              <w:spacing w:after="0"/>
              <w:rPr>
                <w:sz w:val="13"/>
                <w:szCs w:val="13"/>
                <w:color w:val="auto"/>
              </w:rPr>
            </w:pP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12,011</w:t>
            </w: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12,486</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3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7.8 %</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Arial" w:cs="Arial" w:eastAsia="Arial" w:hAnsi="Arial"/>
                <w:sz w:val="12"/>
                <w:szCs w:val="12"/>
                <w:color w:val="auto"/>
              </w:rPr>
              <w:t>9.6 %</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4560" w:type="dxa"/>
            <w:vAlign w:val="bottom"/>
            <w:gridSpan w:val="2"/>
          </w:tcPr>
          <w:p>
            <w:pPr>
              <w:jc w:val="right"/>
              <w:ind w:right="97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10,846</w:t>
            </w:r>
          </w:p>
        </w:tc>
        <w:tc>
          <w:tcPr>
            <w:tcW w:w="280" w:type="dxa"/>
            <w:vAlign w:val="bottom"/>
          </w:tcPr>
          <w:p>
            <w:pPr>
              <w:spacing w:after="0"/>
              <w:rPr>
                <w:sz w:val="13"/>
                <w:szCs w:val="13"/>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10,824</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Arial" w:cs="Arial" w:eastAsia="Arial" w:hAnsi="Arial"/>
                <w:sz w:val="12"/>
                <w:szCs w:val="12"/>
                <w:color w:val="auto"/>
              </w:rPr>
              <w:t>Key indicators:</w:t>
            </w:r>
          </w:p>
        </w:tc>
        <w:tc>
          <w:tcPr>
            <w:tcW w:w="3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80"/>
              <w:spacing w:after="0"/>
              <w:rPr>
                <w:sz w:val="20"/>
                <w:szCs w:val="20"/>
                <w:color w:val="auto"/>
              </w:rPr>
            </w:pPr>
            <w:r>
              <w:rPr>
                <w:rFonts w:ascii="Arial" w:cs="Arial" w:eastAsia="Arial" w:hAnsi="Arial"/>
                <w:sz w:val="12"/>
                <w:szCs w:val="12"/>
                <w:color w:val="auto"/>
              </w:rPr>
              <w:t>Merchant bankcard processing dollar value</w:t>
            </w:r>
          </w:p>
        </w:tc>
        <w:tc>
          <w:tcPr>
            <w:tcW w:w="4560" w:type="dxa"/>
            <w:vAlign w:val="bottom"/>
            <w:gridSpan w:val="2"/>
          </w:tcPr>
          <w:p>
            <w:pPr>
              <w:jc w:val="right"/>
              <w:ind w:right="97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0"/>
              <w:spacing w:after="0"/>
              <w:rPr>
                <w:sz w:val="20"/>
                <w:szCs w:val="20"/>
                <w:color w:val="auto"/>
              </w:rPr>
            </w:pPr>
            <w:r>
              <w:rPr>
                <w:rFonts w:ascii="Arial" w:cs="Arial" w:eastAsia="Arial" w:hAnsi="Arial"/>
                <w:sz w:val="12"/>
                <w:szCs w:val="12"/>
                <w:color w:val="auto"/>
                <w:w w:val="96"/>
              </w:rPr>
              <w:t>15,220,715</w:t>
            </w:r>
          </w:p>
        </w:tc>
        <w:tc>
          <w:tcPr>
            <w:tcW w:w="280" w:type="dxa"/>
            <w:vAlign w:val="bottom"/>
          </w:tcPr>
          <w:p>
            <w:pPr>
              <w:spacing w:after="0"/>
              <w:rPr>
                <w:sz w:val="14"/>
                <w:szCs w:val="14"/>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14,076,847</w:t>
            </w:r>
          </w:p>
        </w:tc>
        <w:tc>
          <w:tcPr>
            <w:tcW w:w="0" w:type="dxa"/>
            <w:vAlign w:val="bottom"/>
          </w:tcPr>
          <w:p>
            <w:pPr>
              <w:spacing w:after="0"/>
              <w:rPr>
                <w:sz w:val="1"/>
                <w:szCs w:val="1"/>
                <w:color w:val="auto"/>
              </w:rPr>
            </w:pPr>
          </w:p>
        </w:tc>
      </w:tr>
      <w:tr>
        <w:trPr>
          <w:trHeight w:val="149"/>
        </w:trPr>
        <w:tc>
          <w:tcPr>
            <w:tcW w:w="3880" w:type="dxa"/>
            <w:vAlign w:val="bottom"/>
          </w:tcPr>
          <w:p>
            <w:pPr>
              <w:ind w:left="80"/>
              <w:spacing w:after="0"/>
              <w:rPr>
                <w:sz w:val="20"/>
                <w:szCs w:val="20"/>
                <w:color w:val="auto"/>
              </w:rPr>
            </w:pPr>
            <w:r>
              <w:rPr>
                <w:rFonts w:ascii="Arial" w:cs="Arial" w:eastAsia="Arial" w:hAnsi="Arial"/>
                <w:sz w:val="12"/>
                <w:szCs w:val="12"/>
                <w:color w:val="auto"/>
              </w:rPr>
              <w:t>Merchant bankcard transaction count</w:t>
            </w:r>
          </w:p>
        </w:tc>
        <w:tc>
          <w:tcPr>
            <w:tcW w:w="3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163,406</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145,948</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Arial" w:cs="Arial" w:eastAsia="Arial" w:hAnsi="Arial"/>
                <w:sz w:val="12"/>
                <w:szCs w:val="12"/>
                <w:b w:val="1"/>
                <w:bCs w:val="1"/>
                <w:color w:val="auto"/>
              </w:rPr>
              <w:t>B2B Payments:</w:t>
            </w:r>
          </w:p>
        </w:tc>
        <w:tc>
          <w:tcPr>
            <w:tcW w:w="3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80"/>
              <w:spacing w:after="0"/>
              <w:rPr>
                <w:sz w:val="20"/>
                <w:szCs w:val="20"/>
                <w:color w:val="auto"/>
              </w:rPr>
            </w:pPr>
            <w:r>
              <w:rPr>
                <w:rFonts w:ascii="Arial" w:cs="Arial" w:eastAsia="Arial" w:hAnsi="Arial"/>
                <w:sz w:val="12"/>
                <w:szCs w:val="12"/>
                <w:color w:val="auto"/>
              </w:rPr>
              <w:t>Revenue</w:t>
            </w:r>
          </w:p>
        </w:tc>
        <w:tc>
          <w:tcPr>
            <w:tcW w:w="4560" w:type="dxa"/>
            <w:vAlign w:val="bottom"/>
            <w:gridSpan w:val="2"/>
          </w:tcPr>
          <w:p>
            <w:pPr>
              <w:jc w:val="right"/>
              <w:ind w:right="97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2,786</w:t>
            </w:r>
          </w:p>
        </w:tc>
        <w:tc>
          <w:tcPr>
            <w:tcW w:w="280" w:type="dxa"/>
            <w:vAlign w:val="bottom"/>
          </w:tcPr>
          <w:p>
            <w:pPr>
              <w:spacing w:after="0"/>
              <w:rPr>
                <w:sz w:val="14"/>
                <w:szCs w:val="14"/>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5,925</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34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3,635</w:t>
            </w:r>
          </w:p>
        </w:tc>
        <w:tc>
          <w:tcPr>
            <w:tcW w:w="2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5,516</w:t>
            </w:r>
          </w:p>
        </w:tc>
        <w:tc>
          <w:tcPr>
            <w:tcW w:w="0" w:type="dxa"/>
            <w:vAlign w:val="bottom"/>
          </w:tcPr>
          <w:p>
            <w:pPr>
              <w:spacing w:after="0"/>
              <w:rPr>
                <w:sz w:val="1"/>
                <w:szCs w:val="1"/>
                <w:color w:val="auto"/>
              </w:rPr>
            </w:pPr>
          </w:p>
        </w:tc>
      </w:tr>
      <w:tr>
        <w:trPr>
          <w:trHeight w:val="151"/>
        </w:trPr>
        <w:tc>
          <w:tcPr>
            <w:tcW w:w="3880" w:type="dxa"/>
            <w:vAlign w:val="bottom"/>
          </w:tcPr>
          <w:p>
            <w:pPr>
              <w:ind w:left="80"/>
              <w:spacing w:after="0"/>
              <w:rPr>
                <w:sz w:val="20"/>
                <w:szCs w:val="20"/>
                <w:color w:val="auto"/>
              </w:rPr>
            </w:pPr>
            <w:r>
              <w:rPr>
                <w:rFonts w:ascii="Arial" w:cs="Arial" w:eastAsia="Arial" w:hAnsi="Arial"/>
                <w:sz w:val="12"/>
                <w:szCs w:val="12"/>
                <w:b w:val="1"/>
                <w:bCs w:val="1"/>
                <w:color w:val="auto"/>
              </w:rPr>
              <w:t>Operating income (loss)</w:t>
            </w:r>
          </w:p>
        </w:tc>
        <w:tc>
          <w:tcPr>
            <w:tcW w:w="3480" w:type="dxa"/>
            <w:vAlign w:val="bottom"/>
          </w:tcPr>
          <w:p>
            <w:pPr>
              <w:spacing w:after="0"/>
              <w:rPr>
                <w:sz w:val="13"/>
                <w:szCs w:val="13"/>
                <w:color w:val="auto"/>
              </w:rPr>
            </w:pP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(849)</w:t>
            </w: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409</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3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(30.5)%</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Arial" w:cs="Arial" w:eastAsia="Arial" w:hAnsi="Arial"/>
                <w:sz w:val="12"/>
                <w:szCs w:val="12"/>
                <w:color w:val="auto"/>
              </w:rPr>
              <w:t>6.9 %</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4560" w:type="dxa"/>
            <w:vAlign w:val="bottom"/>
            <w:gridSpan w:val="2"/>
          </w:tcPr>
          <w:p>
            <w:pPr>
              <w:jc w:val="right"/>
              <w:ind w:right="97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125</w:t>
            </w:r>
          </w:p>
        </w:tc>
        <w:tc>
          <w:tcPr>
            <w:tcW w:w="280" w:type="dxa"/>
            <w:vAlign w:val="bottom"/>
          </w:tcPr>
          <w:p>
            <w:pPr>
              <w:spacing w:after="0"/>
              <w:rPr>
                <w:sz w:val="13"/>
                <w:szCs w:val="13"/>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Arial" w:cs="Arial" w:eastAsia="Arial" w:hAnsi="Arial"/>
                <w:sz w:val="12"/>
                <w:szCs w:val="12"/>
                <w:color w:val="auto"/>
              </w:rPr>
              <w:t>Key indicators:</w:t>
            </w:r>
          </w:p>
        </w:tc>
        <w:tc>
          <w:tcPr>
            <w:tcW w:w="3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80"/>
              <w:spacing w:after="0"/>
              <w:rPr>
                <w:sz w:val="20"/>
                <w:szCs w:val="20"/>
                <w:color w:val="auto"/>
              </w:rPr>
            </w:pPr>
            <w:r>
              <w:rPr>
                <w:rFonts w:ascii="Arial" w:cs="Arial" w:eastAsia="Arial" w:hAnsi="Arial"/>
                <w:sz w:val="12"/>
                <w:szCs w:val="12"/>
                <w:color w:val="auto"/>
              </w:rPr>
              <w:t>B2B issuing dollar volume</w:t>
            </w:r>
          </w:p>
        </w:tc>
        <w:tc>
          <w:tcPr>
            <w:tcW w:w="4560" w:type="dxa"/>
            <w:vAlign w:val="bottom"/>
            <w:gridSpan w:val="2"/>
          </w:tcPr>
          <w:p>
            <w:pPr>
              <w:jc w:val="right"/>
              <w:ind w:right="97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198,546</w:t>
            </w:r>
          </w:p>
        </w:tc>
        <w:tc>
          <w:tcPr>
            <w:tcW w:w="280" w:type="dxa"/>
            <w:vAlign w:val="bottom"/>
          </w:tcPr>
          <w:p>
            <w:pPr>
              <w:spacing w:after="0"/>
              <w:rPr>
                <w:sz w:val="14"/>
                <w:szCs w:val="14"/>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186,380</w:t>
            </w:r>
          </w:p>
        </w:tc>
        <w:tc>
          <w:tcPr>
            <w:tcW w:w="0" w:type="dxa"/>
            <w:vAlign w:val="bottom"/>
          </w:tcPr>
          <w:p>
            <w:pPr>
              <w:spacing w:after="0"/>
              <w:rPr>
                <w:sz w:val="1"/>
                <w:szCs w:val="1"/>
                <w:color w:val="auto"/>
              </w:rPr>
            </w:pPr>
          </w:p>
        </w:tc>
      </w:tr>
      <w:tr>
        <w:trPr>
          <w:trHeight w:val="149"/>
        </w:trPr>
        <w:tc>
          <w:tcPr>
            <w:tcW w:w="3880" w:type="dxa"/>
            <w:vAlign w:val="bottom"/>
          </w:tcPr>
          <w:p>
            <w:pPr>
              <w:ind w:left="80"/>
              <w:spacing w:after="0"/>
              <w:rPr>
                <w:sz w:val="20"/>
                <w:szCs w:val="20"/>
                <w:color w:val="auto"/>
              </w:rPr>
            </w:pPr>
            <w:r>
              <w:rPr>
                <w:rFonts w:ascii="Arial" w:cs="Arial" w:eastAsia="Arial" w:hAnsi="Arial"/>
                <w:sz w:val="12"/>
                <w:szCs w:val="12"/>
                <w:color w:val="auto"/>
              </w:rPr>
              <w:t>B2B issuing transaction count</w:t>
            </w:r>
          </w:p>
        </w:tc>
        <w:tc>
          <w:tcPr>
            <w:tcW w:w="3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280</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Arial" w:cs="Arial" w:eastAsia="Arial" w:hAnsi="Arial"/>
                <w:sz w:val="12"/>
                <w:szCs w:val="12"/>
                <w:b w:val="1"/>
                <w:bCs w:val="1"/>
                <w:color w:val="auto"/>
              </w:rPr>
              <w:t>Enterprise Payments:</w:t>
            </w:r>
          </w:p>
        </w:tc>
        <w:tc>
          <w:tcPr>
            <w:tcW w:w="3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80"/>
              <w:spacing w:after="0"/>
              <w:rPr>
                <w:sz w:val="20"/>
                <w:szCs w:val="20"/>
                <w:color w:val="auto"/>
              </w:rPr>
            </w:pPr>
            <w:r>
              <w:rPr>
                <w:rFonts w:ascii="Arial" w:cs="Arial" w:eastAsia="Arial" w:hAnsi="Arial"/>
                <w:sz w:val="12"/>
                <w:szCs w:val="12"/>
                <w:color w:val="auto"/>
              </w:rPr>
              <w:t>Revenue</w:t>
            </w:r>
          </w:p>
        </w:tc>
        <w:tc>
          <w:tcPr>
            <w:tcW w:w="4560" w:type="dxa"/>
            <w:vAlign w:val="bottom"/>
            <w:gridSpan w:val="2"/>
          </w:tcPr>
          <w:p>
            <w:pPr>
              <w:jc w:val="right"/>
              <w:ind w:right="97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27,309</w:t>
            </w:r>
          </w:p>
        </w:tc>
        <w:tc>
          <w:tcPr>
            <w:tcW w:w="280" w:type="dxa"/>
            <w:vAlign w:val="bottom"/>
          </w:tcPr>
          <w:p>
            <w:pPr>
              <w:spacing w:after="0"/>
              <w:rPr>
                <w:sz w:val="14"/>
                <w:szCs w:val="14"/>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17,355</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Arial" w:cs="Arial" w:eastAsia="Arial" w:hAnsi="Arial"/>
                <w:sz w:val="12"/>
                <w:szCs w:val="12"/>
                <w:color w:val="auto"/>
              </w:rPr>
              <w:t>Operating expenses</w:t>
            </w:r>
          </w:p>
        </w:tc>
        <w:tc>
          <w:tcPr>
            <w:tcW w:w="34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14,646</w:t>
            </w:r>
          </w:p>
        </w:tc>
        <w:tc>
          <w:tcPr>
            <w:tcW w:w="2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12,861</w:t>
            </w:r>
          </w:p>
        </w:tc>
        <w:tc>
          <w:tcPr>
            <w:tcW w:w="0" w:type="dxa"/>
            <w:vAlign w:val="bottom"/>
          </w:tcPr>
          <w:p>
            <w:pPr>
              <w:spacing w:after="0"/>
              <w:rPr>
                <w:sz w:val="1"/>
                <w:szCs w:val="1"/>
                <w:color w:val="auto"/>
              </w:rPr>
            </w:pPr>
          </w:p>
        </w:tc>
      </w:tr>
      <w:tr>
        <w:trPr>
          <w:trHeight w:val="151"/>
        </w:trPr>
        <w:tc>
          <w:tcPr>
            <w:tcW w:w="3880" w:type="dxa"/>
            <w:vAlign w:val="bottom"/>
          </w:tcPr>
          <w:p>
            <w:pPr>
              <w:ind w:left="80"/>
              <w:spacing w:after="0"/>
              <w:rPr>
                <w:sz w:val="20"/>
                <w:szCs w:val="20"/>
                <w:color w:val="auto"/>
              </w:rPr>
            </w:pPr>
            <w:r>
              <w:rPr>
                <w:rFonts w:ascii="Arial" w:cs="Arial" w:eastAsia="Arial" w:hAnsi="Arial"/>
                <w:sz w:val="12"/>
                <w:szCs w:val="12"/>
                <w:b w:val="1"/>
                <w:bCs w:val="1"/>
                <w:color w:val="auto"/>
              </w:rPr>
              <w:t>Operating income</w:t>
            </w:r>
          </w:p>
        </w:tc>
        <w:tc>
          <w:tcPr>
            <w:tcW w:w="3480" w:type="dxa"/>
            <w:vAlign w:val="bottom"/>
          </w:tcPr>
          <w:p>
            <w:pPr>
              <w:spacing w:after="0"/>
              <w:rPr>
                <w:sz w:val="13"/>
                <w:szCs w:val="13"/>
                <w:color w:val="auto"/>
              </w:rPr>
            </w:pP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12,663</w:t>
            </w: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4,494</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80"/>
              <w:spacing w:after="0"/>
              <w:rPr>
                <w:sz w:val="20"/>
                <w:szCs w:val="20"/>
                <w:color w:val="auto"/>
              </w:rPr>
            </w:pPr>
            <w:r>
              <w:rPr>
                <w:rFonts w:ascii="Arial" w:cs="Arial" w:eastAsia="Arial" w:hAnsi="Arial"/>
                <w:sz w:val="12"/>
                <w:szCs w:val="12"/>
                <w:color w:val="auto"/>
              </w:rPr>
              <w:t>Operating margin</w:t>
            </w:r>
          </w:p>
        </w:tc>
        <w:tc>
          <w:tcPr>
            <w:tcW w:w="3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46.4 %</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Arial" w:cs="Arial" w:eastAsia="Arial" w:hAnsi="Arial"/>
                <w:sz w:val="12"/>
                <w:szCs w:val="12"/>
                <w:color w:val="auto"/>
              </w:rPr>
              <w:t>25.9 %</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4560" w:type="dxa"/>
            <w:vAlign w:val="bottom"/>
            <w:gridSpan w:val="2"/>
          </w:tcPr>
          <w:p>
            <w:pPr>
              <w:jc w:val="right"/>
              <w:ind w:right="97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6,690</w:t>
            </w:r>
          </w:p>
        </w:tc>
        <w:tc>
          <w:tcPr>
            <w:tcW w:w="280" w:type="dxa"/>
            <w:vAlign w:val="bottom"/>
          </w:tcPr>
          <w:p>
            <w:pPr>
              <w:spacing w:after="0"/>
              <w:rPr>
                <w:sz w:val="13"/>
                <w:szCs w:val="13"/>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6,197</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Arial" w:cs="Arial" w:eastAsia="Arial" w:hAnsi="Arial"/>
                <w:sz w:val="12"/>
                <w:szCs w:val="12"/>
                <w:color w:val="auto"/>
              </w:rPr>
              <w:t>Key indicators:</w:t>
            </w:r>
          </w:p>
        </w:tc>
        <w:tc>
          <w:tcPr>
            <w:tcW w:w="3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80" w:type="dxa"/>
            <w:vAlign w:val="bottom"/>
          </w:tcPr>
          <w:p>
            <w:pPr>
              <w:ind w:left="60"/>
              <w:spacing w:after="0"/>
              <w:rPr>
                <w:sz w:val="20"/>
                <w:szCs w:val="20"/>
                <w:color w:val="auto"/>
              </w:rPr>
            </w:pPr>
            <w:r>
              <w:rPr>
                <w:rFonts w:ascii="Arial" w:cs="Arial" w:eastAsia="Arial" w:hAnsi="Arial"/>
                <w:sz w:val="12"/>
                <w:szCs w:val="12"/>
                <w:color w:val="auto"/>
              </w:rPr>
              <w:t>Average billed clients</w:t>
            </w:r>
          </w:p>
        </w:tc>
        <w:tc>
          <w:tcPr>
            <w:tcW w:w="3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465,219</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346,394</w:t>
            </w:r>
          </w:p>
        </w:tc>
        <w:tc>
          <w:tcPr>
            <w:tcW w:w="0" w:type="dxa"/>
            <w:vAlign w:val="bottom"/>
          </w:tcPr>
          <w:p>
            <w:pPr>
              <w:spacing w:after="0"/>
              <w:rPr>
                <w:sz w:val="1"/>
                <w:szCs w:val="1"/>
                <w:color w:val="auto"/>
              </w:rPr>
            </w:pPr>
          </w:p>
        </w:tc>
      </w:tr>
      <w:tr>
        <w:trPr>
          <w:trHeight w:val="162"/>
        </w:trPr>
        <w:tc>
          <w:tcPr>
            <w:tcW w:w="3880" w:type="dxa"/>
            <w:vAlign w:val="bottom"/>
          </w:tcPr>
          <w:p>
            <w:pPr>
              <w:ind w:left="60"/>
              <w:spacing w:after="0"/>
              <w:rPr>
                <w:sz w:val="20"/>
                <w:szCs w:val="20"/>
                <w:color w:val="auto"/>
              </w:rPr>
            </w:pPr>
            <w:r>
              <w:rPr>
                <w:rFonts w:ascii="Arial" w:cs="Arial" w:eastAsia="Arial" w:hAnsi="Arial"/>
                <w:sz w:val="12"/>
                <w:szCs w:val="12"/>
                <w:color w:val="auto"/>
              </w:rPr>
              <w:t>Average new enrollments</w:t>
            </w:r>
          </w:p>
        </w:tc>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45,948</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23,441</w:t>
            </w: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0"/>
                <w:szCs w:val="20"/>
                <w:color w:val="auto"/>
              </w:rPr>
            </w:pPr>
            <w:r>
              <w:rPr>
                <w:rFonts w:ascii="Arial" w:cs="Arial" w:eastAsia="Arial" w:hAnsi="Arial"/>
                <w:sz w:val="12"/>
                <w:szCs w:val="12"/>
                <w:b w:val="1"/>
                <w:bCs w:val="1"/>
                <w:color w:val="auto"/>
              </w:rPr>
              <w:t>Operating income of reportable segments</w:t>
            </w:r>
          </w:p>
        </w:tc>
        <w:tc>
          <w:tcPr>
            <w:tcW w:w="4560" w:type="dxa"/>
            <w:vAlign w:val="bottom"/>
            <w:gridSpan w:val="2"/>
          </w:tcPr>
          <w:p>
            <w:pPr>
              <w:jc w:val="right"/>
              <w:ind w:right="97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23,825</w:t>
            </w:r>
          </w:p>
        </w:tc>
        <w:tc>
          <w:tcPr>
            <w:tcW w:w="280" w:type="dxa"/>
            <w:vAlign w:val="bottom"/>
          </w:tcPr>
          <w:p>
            <w:pPr>
              <w:spacing w:after="0"/>
              <w:rPr>
                <w:sz w:val="24"/>
                <w:szCs w:val="24"/>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17,389</w:t>
            </w:r>
          </w:p>
        </w:tc>
        <w:tc>
          <w:tcPr>
            <w:tcW w:w="0" w:type="dxa"/>
            <w:vAlign w:val="bottom"/>
          </w:tcPr>
          <w:p>
            <w:pPr>
              <w:spacing w:after="0"/>
              <w:rPr>
                <w:sz w:val="1"/>
                <w:szCs w:val="1"/>
                <w:color w:val="auto"/>
              </w:rPr>
            </w:pPr>
          </w:p>
        </w:tc>
      </w:tr>
      <w:tr>
        <w:trPr>
          <w:trHeight w:val="153"/>
        </w:trPr>
        <w:tc>
          <w:tcPr>
            <w:tcW w:w="3880" w:type="dxa"/>
            <w:vAlign w:val="bottom"/>
          </w:tcPr>
          <w:p>
            <w:pPr>
              <w:ind w:left="80"/>
              <w:spacing w:after="0"/>
              <w:rPr>
                <w:sz w:val="20"/>
                <w:szCs w:val="20"/>
                <w:color w:val="auto"/>
              </w:rPr>
            </w:pPr>
            <w:r>
              <w:rPr>
                <w:rFonts w:ascii="Arial" w:cs="Arial" w:eastAsia="Arial" w:hAnsi="Arial"/>
                <w:sz w:val="12"/>
                <w:szCs w:val="12"/>
                <w:color w:val="auto"/>
              </w:rPr>
              <w:t>Less: Corporate expense</w:t>
            </w:r>
          </w:p>
        </w:tc>
        <w:tc>
          <w:tcPr>
            <w:tcW w:w="34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(6,977)</w:t>
            </w:r>
          </w:p>
        </w:tc>
        <w:tc>
          <w:tcPr>
            <w:tcW w:w="2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(6,563)</w:t>
            </w:r>
          </w:p>
        </w:tc>
        <w:tc>
          <w:tcPr>
            <w:tcW w:w="0" w:type="dxa"/>
            <w:vAlign w:val="bottom"/>
          </w:tcPr>
          <w:p>
            <w:pPr>
              <w:spacing w:after="0"/>
              <w:rPr>
                <w:sz w:val="1"/>
                <w:szCs w:val="1"/>
                <w:color w:val="auto"/>
              </w:rPr>
            </w:pPr>
          </w:p>
        </w:tc>
      </w:tr>
      <w:tr>
        <w:trPr>
          <w:trHeight w:val="151"/>
        </w:trPr>
        <w:tc>
          <w:tcPr>
            <w:tcW w:w="3880" w:type="dxa"/>
            <w:vAlign w:val="bottom"/>
          </w:tcPr>
          <w:p>
            <w:pPr>
              <w:spacing w:after="0"/>
              <w:rPr>
                <w:sz w:val="20"/>
                <w:szCs w:val="20"/>
                <w:color w:val="auto"/>
              </w:rPr>
            </w:pPr>
            <w:r>
              <w:rPr>
                <w:rFonts w:ascii="Arial" w:cs="Arial" w:eastAsia="Arial" w:hAnsi="Arial"/>
                <w:sz w:val="12"/>
                <w:szCs w:val="12"/>
                <w:b w:val="1"/>
                <w:bCs w:val="1"/>
                <w:color w:val="auto"/>
              </w:rPr>
              <w:t>Consolidated operating income</w:t>
            </w:r>
          </w:p>
        </w:tc>
        <w:tc>
          <w:tcPr>
            <w:tcW w:w="3480" w:type="dxa"/>
            <w:vAlign w:val="bottom"/>
          </w:tcPr>
          <w:p>
            <w:pPr>
              <w:spacing w:after="0"/>
              <w:rPr>
                <w:sz w:val="13"/>
                <w:szCs w:val="13"/>
                <w:color w:val="auto"/>
              </w:rPr>
            </w:pP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16,848</w:t>
            </w: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w w:val="89"/>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10,826</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2"/>
                <w:szCs w:val="12"/>
                <w:color w:val="auto"/>
              </w:rPr>
              <w:t>Corporate depreciation and amortization</w:t>
            </w:r>
          </w:p>
        </w:tc>
        <w:tc>
          <w:tcPr>
            <w:tcW w:w="3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w w:val="82"/>
              </w:rPr>
              <w:t>$387</w:t>
            </w: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vMerge w:val="continue"/>
          </w:tcPr>
          <w:p>
            <w:pPr>
              <w:spacing w:after="0"/>
              <w:rPr>
                <w:sz w:val="11"/>
                <w:szCs w:val="11"/>
                <w:color w:val="auto"/>
              </w:rPr>
            </w:pPr>
          </w:p>
        </w:tc>
        <w:tc>
          <w:tcPr>
            <w:tcW w:w="4560" w:type="dxa"/>
            <w:vAlign w:val="bottom"/>
            <w:gridSpan w:val="2"/>
          </w:tcPr>
          <w:p>
            <w:pPr>
              <w:jc w:val="right"/>
              <w:ind w:right="970"/>
              <w:spacing w:after="0" w:line="129"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80"/>
              <w:spacing w:after="0" w:line="129" w:lineRule="exact"/>
              <w:rPr>
                <w:sz w:val="20"/>
                <w:szCs w:val="20"/>
                <w:color w:val="auto"/>
              </w:rPr>
            </w:pPr>
            <w:r>
              <w:rPr>
                <w:rFonts w:ascii="Arial" w:cs="Arial" w:eastAsia="Arial" w:hAnsi="Arial"/>
                <w:sz w:val="12"/>
                <w:szCs w:val="12"/>
                <w:color w:val="auto"/>
              </w:rPr>
              <w:t>387</w:t>
            </w:r>
          </w:p>
        </w:tc>
        <w:tc>
          <w:tcPr>
            <w:tcW w:w="280" w:type="dxa"/>
            <w:vAlign w:val="bottom"/>
            <w:vMerge w:val="continue"/>
          </w:tcPr>
          <w:p>
            <w:pPr>
              <w:spacing w:after="0"/>
              <w:rPr>
                <w:sz w:val="11"/>
                <w:szCs w:val="11"/>
                <w:color w:val="auto"/>
              </w:rPr>
            </w:pPr>
          </w:p>
        </w:tc>
        <w:tc>
          <w:tcPr>
            <w:tcW w:w="740" w:type="dxa"/>
            <w:vAlign w:val="bottom"/>
          </w:tcPr>
          <w:p>
            <w:pPr>
              <w:jc w:val="right"/>
              <w:ind w:right="600"/>
              <w:spacing w:after="0" w:line="129" w:lineRule="exact"/>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line="129" w:lineRule="exact"/>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882"/>
        </w:trPr>
        <w:tc>
          <w:tcPr>
            <w:tcW w:w="3880" w:type="dxa"/>
            <w:vAlign w:val="bottom"/>
          </w:tcPr>
          <w:p>
            <w:pPr>
              <w:spacing w:after="0"/>
              <w:rPr>
                <w:sz w:val="24"/>
                <w:szCs w:val="24"/>
                <w:color w:val="auto"/>
              </w:rPr>
            </w:pPr>
          </w:p>
        </w:tc>
        <w:tc>
          <w:tcPr>
            <w:tcW w:w="3480" w:type="dxa"/>
            <w:vAlign w:val="bottom"/>
          </w:tcPr>
          <w:p>
            <w:pPr>
              <w:jc w:val="right"/>
              <w:ind w:right="1620"/>
              <w:spacing w:after="0"/>
              <w:rPr>
                <w:sz w:val="20"/>
                <w:szCs w:val="20"/>
                <w:color w:val="auto"/>
              </w:rPr>
            </w:pPr>
            <w:r>
              <w:rPr>
                <w:rFonts w:ascii="Arial" w:cs="Arial" w:eastAsia="Arial" w:hAnsi="Arial"/>
                <w:sz w:val="12"/>
                <w:szCs w:val="12"/>
                <w:color w:val="auto"/>
              </w:rPr>
              <w:t>9</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8" w:right="31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549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549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2023-05-11T07:19:07Z</dcterms:created>
  <dcterms:modified xsi:type="dcterms:W3CDTF">2023-05-11T07:19:07Z</dcterms:modified>
</cp:coreProperties>
</file>