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72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MILLER BRADLEY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 and CRO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-2436495</wp:posOffset>
            </wp:positionH>
            <wp:positionV relativeFrom="paragraph">
              <wp:posOffset>204470</wp:posOffset>
            </wp:positionV>
            <wp:extent cx="6969760" cy="10756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5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104,602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104,602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104,602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104,602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209,204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-1646555</wp:posOffset>
            </wp:positionV>
            <wp:extent cx="7034530" cy="16497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64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6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18, 2020, the Reporting Person was granted 209,204 restricted stock units which vest 50% on February 18, 2021 and 50% on February 18, 2022 subject to the Reporting Person's continued employment with the Issuer.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Miller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02/18/2021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2597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2021-02-18T15:12:03Z</dcterms:created>
  <dcterms:modified xsi:type="dcterms:W3CDTF">2021-02-18T15:12:03Z</dcterms:modified>
</cp:coreProperties>
</file>