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March 10,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3" w:lineRule="exact"/>
        <w:rPr>
          <w:sz w:val="20"/>
          <w:szCs w:val="20"/>
          <w:color w:val="auto"/>
        </w:rPr>
      </w:pPr>
    </w:p>
    <w:p>
      <w:pPr>
        <w:spacing w:after="0" w:line="232" w:lineRule="auto"/>
        <w:rPr>
          <w:sz w:val="20"/>
          <w:szCs w:val="20"/>
          <w:color w:val="auto"/>
        </w:rPr>
      </w:pPr>
      <w:r>
        <w:rPr>
          <w:rFonts w:ascii="Arial" w:cs="Arial" w:eastAsia="Arial" w:hAnsi="Arial"/>
          <w:sz w:val="12"/>
          <w:szCs w:val="12"/>
          <w:color w:val="auto"/>
        </w:rPr>
        <w:t>On March 10, 2021, Priority Technology Holdings, Inc. (the “Company”) issued a Press Release announcing that executives of Priority Technology Holdings, Inc. (the “Company”) will present to various investors at the 33</w:t>
      </w:r>
      <w:r>
        <w:rPr>
          <w:rFonts w:ascii="Arial" w:cs="Arial" w:eastAsia="Arial" w:hAnsi="Arial"/>
          <w:sz w:val="18"/>
          <w:szCs w:val="18"/>
          <w:color w:val="auto"/>
          <w:vertAlign w:val="superscript"/>
        </w:rPr>
        <w:t>rd</w:t>
      </w:r>
      <w:r>
        <w:rPr>
          <w:rFonts w:ascii="Arial" w:cs="Arial" w:eastAsia="Arial" w:hAnsi="Arial"/>
          <w:sz w:val="12"/>
          <w:szCs w:val="12"/>
          <w:color w:val="auto"/>
        </w:rPr>
        <w:t xml:space="preserve"> Annual Roth Conference on March 15, 2021. A copy of the Press Release and Presentation are furnished herewith as Exhibit 99.1 and 99.2, respectively.</w:t>
      </w:r>
    </w:p>
    <w:p>
      <w:pPr>
        <w:spacing w:after="0" w:line="150"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4220" w:type="dxa"/>
            <w:vAlign w:val="bottom"/>
          </w:tcPr>
          <w:p>
            <w:pPr>
              <w:ind w:left="280"/>
              <w:spacing w:after="0"/>
              <w:rPr>
                <w:sz w:val="20"/>
                <w:szCs w:val="20"/>
                <w:color w:val="auto"/>
              </w:rPr>
            </w:pPr>
            <w:r>
              <w:rPr>
                <w:rFonts w:ascii="Arial" w:cs="Arial" w:eastAsia="Arial" w:hAnsi="Arial"/>
                <w:sz w:val="12"/>
                <w:szCs w:val="12"/>
                <w:b w:val="1"/>
                <w:bCs w:val="1"/>
                <w:color w:val="auto"/>
              </w:rPr>
              <w:t>Description of Exhibit</w:t>
            </w:r>
          </w:p>
        </w:tc>
      </w:tr>
      <w:tr>
        <w:trPr>
          <w:trHeight w:val="162"/>
        </w:trPr>
        <w:tc>
          <w:tcPr>
            <w:tcW w:w="88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99.1</w:t>
              </w:r>
            </w:hyperlink>
          </w:p>
        </w:tc>
        <w:tc>
          <w:tcPr>
            <w:tcW w:w="4220" w:type="dxa"/>
            <w:vAlign w:val="bottom"/>
          </w:tcPr>
          <w:p>
            <w:pPr>
              <w:ind w:left="280"/>
              <w:spacing w:after="0"/>
              <w:rPr>
                <w:rFonts w:ascii="Arial" w:cs="Arial" w:eastAsia="Arial" w:hAnsi="Arial"/>
                <w:sz w:val="12"/>
                <w:szCs w:val="12"/>
                <w:u w:val="single" w:color="auto"/>
                <w:color w:val="0000FF"/>
                <w:w w:val="99"/>
              </w:rPr>
            </w:pPr>
            <w:hyperlink w:anchor="page3">
              <w:r>
                <w:rPr>
                  <w:rFonts w:ascii="Arial" w:cs="Arial" w:eastAsia="Arial" w:hAnsi="Arial"/>
                  <w:sz w:val="12"/>
                  <w:szCs w:val="12"/>
                  <w:u w:val="single" w:color="auto"/>
                  <w:color w:val="0000FF"/>
                  <w:w w:val="99"/>
                </w:rPr>
                <w:t>Press Release of Priority Technology Holdings, Inc. dated March 10, 2021</w:t>
              </w:r>
            </w:hyperlink>
          </w:p>
        </w:tc>
      </w:tr>
      <w:tr>
        <w:trPr>
          <w:trHeight w:val="171"/>
        </w:trPr>
        <w:tc>
          <w:tcPr>
            <w:tcW w:w="880" w:type="dxa"/>
            <w:vAlign w:val="bottom"/>
          </w:tcPr>
          <w:p>
            <w:pPr>
              <w:spacing w:after="0"/>
              <w:rPr>
                <w:rFonts w:ascii="Arial" w:cs="Arial" w:eastAsia="Arial" w:hAnsi="Arial"/>
                <w:sz w:val="12"/>
                <w:szCs w:val="12"/>
                <w:u w:val="single" w:color="auto"/>
                <w:color w:val="0000FF"/>
              </w:rPr>
            </w:pPr>
            <w:hyperlink w:anchor="page13">
              <w:r>
                <w:rPr>
                  <w:rFonts w:ascii="Arial" w:cs="Arial" w:eastAsia="Arial" w:hAnsi="Arial"/>
                  <w:sz w:val="12"/>
                  <w:szCs w:val="12"/>
                  <w:u w:val="single" w:color="auto"/>
                  <w:color w:val="0000FF"/>
                </w:rPr>
                <w:t>99.2</w:t>
              </w:r>
            </w:hyperlink>
          </w:p>
        </w:tc>
        <w:tc>
          <w:tcPr>
            <w:tcW w:w="4220" w:type="dxa"/>
            <w:vAlign w:val="bottom"/>
          </w:tcPr>
          <w:p>
            <w:pPr>
              <w:ind w:left="280"/>
              <w:spacing w:after="0"/>
              <w:rPr>
                <w:rFonts w:ascii="Arial" w:cs="Arial" w:eastAsia="Arial" w:hAnsi="Arial"/>
                <w:sz w:val="12"/>
                <w:szCs w:val="12"/>
                <w:u w:val="single" w:color="auto"/>
                <w:color w:val="0000FF"/>
              </w:rPr>
            </w:pPr>
            <w:hyperlink w:anchor="page13">
              <w:r>
                <w:rPr>
                  <w:rFonts w:ascii="Arial" w:cs="Arial" w:eastAsia="Arial" w:hAnsi="Arial"/>
                  <w:sz w:val="12"/>
                  <w:szCs w:val="12"/>
                  <w:u w:val="single" w:color="auto"/>
                  <w:color w:val="0000FF"/>
                </w:rPr>
                <w:t>33rd Annual Roth Conference Investor Presentation</w:t>
              </w:r>
            </w:hyperlink>
          </w:p>
        </w:tc>
      </w:tr>
      <w:tr>
        <w:trPr>
          <w:trHeight w:val="153"/>
        </w:trPr>
        <w:tc>
          <w:tcPr>
            <w:tcW w:w="880" w:type="dxa"/>
            <w:vAlign w:val="bottom"/>
          </w:tcPr>
          <w:p>
            <w:pPr>
              <w:spacing w:after="0"/>
              <w:rPr>
                <w:sz w:val="20"/>
                <w:szCs w:val="20"/>
                <w:color w:val="auto"/>
              </w:rPr>
            </w:pPr>
            <w:r>
              <w:rPr>
                <w:rFonts w:ascii="Arial" w:cs="Arial" w:eastAsia="Arial" w:hAnsi="Arial"/>
                <w:sz w:val="12"/>
                <w:szCs w:val="12"/>
                <w:color w:val="auto"/>
              </w:rPr>
              <w:t>104</w:t>
            </w:r>
          </w:p>
        </w:tc>
        <w:tc>
          <w:tcPr>
            <w:tcW w:w="4220" w:type="dxa"/>
            <w:vAlign w:val="bottom"/>
          </w:tcPr>
          <w:p>
            <w:pPr>
              <w:ind w:left="280"/>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March 10,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Bradley J. Miller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Bradley J. Miller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General Counsel and Chief Risk Officer</w:t>
      </w:r>
    </w:p>
    <w:p>
      <w:pPr>
        <w:sectPr>
          <w:pgSz w:w="11900" w:h="16838" w:orient="portrait"/>
          <w:cols w:equalWidth="0" w:num="1">
            <w:col w:w="11300"/>
          </w:cols>
          <w:pgMar w:left="300" w:top="883"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8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6310" cy="7918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2021-03-10T15:45:50Z</dcterms:created>
  <dcterms:modified xsi:type="dcterms:W3CDTF">2021-03-10T15:45:50Z</dcterms:modified>
</cp:coreProperties>
</file>