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22,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5715</wp:posOffset>
            </wp:positionV>
            <wp:extent cx="2537460" cy="1174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37460" cy="11747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Priority Technology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2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001-37872</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47-4257046</w:t>
            </w:r>
          </w:p>
        </w:tc>
        <w:tc>
          <w:tcPr>
            <w:tcW w:w="20" w:type="dxa"/>
            <w:vAlign w:val="bottom"/>
          </w:tcPr>
          <w:p>
            <w:pPr>
              <w:spacing w:after="0"/>
              <w:rPr>
                <w:sz w:val="20"/>
                <w:szCs w:val="20"/>
                <w:color w:val="auto"/>
              </w:rPr>
            </w:pPr>
          </w:p>
        </w:tc>
      </w:tr>
      <w:tr>
        <w:trPr>
          <w:trHeight w:val="228"/>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40" w:type="dxa"/>
            <w:vAlign w:val="bottom"/>
          </w:tcPr>
          <w:p>
            <w:pPr>
              <w:spacing w:after="0"/>
              <w:rPr>
                <w:sz w:val="19"/>
                <w:szCs w:val="19"/>
                <w:color w:val="auto"/>
              </w:rPr>
            </w:pPr>
          </w:p>
        </w:tc>
        <w:tc>
          <w:tcPr>
            <w:tcW w:w="3320" w:type="dxa"/>
            <w:vAlign w:val="bottom"/>
            <w:tcBorders>
              <w:top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40" w:type="dxa"/>
            <w:vAlign w:val="bottom"/>
          </w:tcPr>
          <w:p>
            <w:pPr>
              <w:spacing w:after="0"/>
              <w:rPr>
                <w:sz w:val="19"/>
                <w:szCs w:val="19"/>
                <w:color w:val="auto"/>
              </w:rPr>
            </w:pPr>
          </w:p>
        </w:tc>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20" w:type="dxa"/>
            <w:vAlign w:val="bottom"/>
          </w:tcPr>
          <w:p>
            <w:pPr>
              <w:spacing w:after="0"/>
              <w:rPr>
                <w:sz w:val="19"/>
                <w:szCs w:val="19"/>
                <w:color w:val="auto"/>
              </w:rPr>
            </w:pPr>
          </w:p>
        </w:tc>
      </w:tr>
      <w:tr>
        <w:trPr>
          <w:trHeight w:val="648"/>
        </w:trPr>
        <w:tc>
          <w:tcPr>
            <w:tcW w:w="400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2001 Westside Parkway</w:t>
            </w: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400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Suite 155</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8"/>
        </w:trPr>
        <w:tc>
          <w:tcPr>
            <w:tcW w:w="400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Alpharetta,</w:t>
            </w:r>
          </w:p>
        </w:tc>
        <w:tc>
          <w:tcPr>
            <w:tcW w:w="3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Georgia</w:t>
            </w:r>
          </w:p>
        </w:tc>
        <w:tc>
          <w:tcPr>
            <w:tcW w:w="3560" w:type="dxa"/>
            <w:vAlign w:val="bottom"/>
          </w:tcPr>
          <w:p>
            <w:pPr>
              <w:jc w:val="right"/>
              <w:ind w:right="2250"/>
              <w:spacing w:after="0"/>
              <w:rPr>
                <w:sz w:val="20"/>
                <w:szCs w:val="20"/>
                <w:color w:val="auto"/>
              </w:rPr>
            </w:pPr>
            <w:r>
              <w:rPr>
                <w:rFonts w:ascii="Times New Roman" w:cs="Times New Roman" w:eastAsia="Times New Roman" w:hAnsi="Times New Roman"/>
                <w:sz w:val="18"/>
                <w:szCs w:val="18"/>
                <w:b w:val="1"/>
                <w:bCs w:val="1"/>
                <w:color w:val="auto"/>
              </w:rPr>
              <w:t>30004</w:t>
            </w:r>
          </w:p>
        </w:tc>
        <w:tc>
          <w:tcPr>
            <w:tcW w:w="20" w:type="dxa"/>
            <w:vAlign w:val="bottom"/>
          </w:tcPr>
          <w:p>
            <w:pPr>
              <w:spacing w:after="0"/>
              <w:rPr>
                <w:sz w:val="20"/>
                <w:szCs w:val="20"/>
                <w:color w:val="auto"/>
              </w:rPr>
            </w:pPr>
          </w:p>
        </w:tc>
      </w:tr>
      <w:tr>
        <w:trPr>
          <w:trHeight w:val="228"/>
        </w:trPr>
        <w:tc>
          <w:tcPr>
            <w:tcW w:w="57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0" w:type="dxa"/>
            <w:vAlign w:val="bottom"/>
          </w:tcPr>
          <w:p>
            <w:pPr>
              <w:spacing w:after="0"/>
              <w:rPr>
                <w:sz w:val="19"/>
                <w:szCs w:val="19"/>
                <w:color w:val="auto"/>
              </w:rPr>
            </w:pPr>
          </w:p>
        </w:tc>
        <w:tc>
          <w:tcPr>
            <w:tcW w:w="1600" w:type="dxa"/>
            <w:vAlign w:val="bottom"/>
            <w:tcBorders>
              <w:top w:val="single" w:sz="8" w:color="auto"/>
            </w:tcBorders>
            <w:gridSpan w:val="2"/>
          </w:tcPr>
          <w:p>
            <w:pPr>
              <w:spacing w:after="0"/>
              <w:rPr>
                <w:sz w:val="19"/>
                <w:szCs w:val="19"/>
                <w:color w:val="auto"/>
              </w:rPr>
            </w:pPr>
          </w:p>
        </w:tc>
        <w:tc>
          <w:tcPr>
            <w:tcW w:w="3560" w:type="dxa"/>
            <w:vAlign w:val="bottom"/>
            <w:tcBorders>
              <w:top w:val="single" w:sz="8" w:color="auto"/>
            </w:tcBorders>
          </w:tcPr>
          <w:p>
            <w:pPr>
              <w:jc w:val="center"/>
              <w:ind w:right="1530"/>
              <w:spacing w:after="0"/>
              <w:rPr>
                <w:sz w:val="20"/>
                <w:szCs w:val="20"/>
                <w:color w:val="auto"/>
              </w:rPr>
            </w:pPr>
            <w:r>
              <w:rPr>
                <w:rFonts w:ascii="Times New Roman" w:cs="Times New Roman" w:eastAsia="Times New Roman" w:hAnsi="Times New Roman"/>
                <w:sz w:val="18"/>
                <w:szCs w:val="18"/>
                <w:color w:val="auto"/>
                <w:w w:val="98"/>
              </w:rPr>
              <w:t>(Zip Code)</w:t>
            </w:r>
          </w:p>
        </w:tc>
        <w:tc>
          <w:tcPr>
            <w:tcW w:w="20" w:type="dxa"/>
            <w:vAlign w:val="bottom"/>
            <w:tcBorders>
              <w:top w:val="single" w:sz="8" w:color="auto"/>
            </w:tcBorders>
          </w:tcPr>
          <w:p>
            <w:pPr>
              <w:spacing w:after="0"/>
              <w:rPr>
                <w:sz w:val="19"/>
                <w:szCs w:val="19"/>
                <w:color w:val="auto"/>
              </w:rPr>
            </w:pPr>
          </w:p>
        </w:tc>
      </w:tr>
    </w:tbl>
    <w:p>
      <w:pPr>
        <w:spacing w:after="0" w:line="27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58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00" w:type="dxa"/>
            <w:vAlign w:val="bottom"/>
          </w:tcPr>
          <w:p>
            <w:pPr>
              <w:spacing w:after="0"/>
              <w:rPr>
                <w:sz w:val="19"/>
                <w:szCs w:val="19"/>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PRTH</w:t>
            </w:r>
          </w:p>
        </w:tc>
        <w:tc>
          <w:tcPr>
            <w:tcW w:w="220" w:type="dxa"/>
            <w:vAlign w:val="bottom"/>
          </w:tcPr>
          <w:p>
            <w:pPr>
              <w:spacing w:after="0"/>
              <w:rPr>
                <w:sz w:val="19"/>
                <w:szCs w:val="19"/>
                <w:color w:val="auto"/>
              </w:rPr>
            </w:pPr>
          </w:p>
        </w:tc>
        <w:tc>
          <w:tcPr>
            <w:tcW w:w="4360" w:type="dxa"/>
            <w:vAlign w:val="bottom"/>
            <w:tcBorders>
              <w:top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Nasdaq Global Market</w:t>
            </w:r>
          </w:p>
        </w:tc>
        <w:tc>
          <w:tcPr>
            <w:tcW w:w="560" w:type="dxa"/>
            <w:vAlign w:val="bottom"/>
          </w:tcPr>
          <w:p>
            <w:pPr>
              <w:spacing w:after="0"/>
              <w:rPr>
                <w:sz w:val="19"/>
                <w:szCs w:val="19"/>
                <w:color w:val="auto"/>
              </w:rPr>
            </w:pPr>
          </w:p>
        </w:tc>
      </w:tr>
      <w:tr>
        <w:trPr>
          <w:trHeight w:val="1217"/>
        </w:trPr>
        <w:tc>
          <w:tcPr>
            <w:tcW w:w="5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 w:name="page2"/>
    <w:bookmarkEnd w:id="1"/>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0"/>
          <w:szCs w:val="20"/>
          <w:color w:val="auto"/>
        </w:rPr>
      </w:pPr>
    </w:p>
    <w:p>
      <w:pPr>
        <w:ind w:left="18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00" w:lineRule="exact"/>
        <w:rPr>
          <w:sz w:val="20"/>
          <w:szCs w:val="20"/>
          <w:color w:val="auto"/>
        </w:rPr>
      </w:pPr>
    </w:p>
    <w:p>
      <w:pPr>
        <w:spacing w:after="0" w:line="3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22, 2024, Priority Technology Holdings, Inc. (the “Company”) held its 2024 annual meeting of stockholders (the “Annual Meeting”). A total of 53,960,790 shares, or 71.19% of the Company’s outstanding shares of common stock as of the record date for the Annual Meeting, were represented in person through virtual attendance or by proxy at the Annual Meeting constituting a quorum.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256"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The Company’s stockholders elected each of the persons listed below to served as director until the next annual meeting in 2025 or until his earlier resignation, death, or removal. The votes were cast as follows:</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1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Name of Nominee</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For</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8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37"/>
        </w:trPr>
        <w:tc>
          <w:tcPr>
            <w:tcW w:w="2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Thomas Priore</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51,036,903</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14,738</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1,072</w:t>
            </w:r>
          </w:p>
        </w:tc>
        <w:tc>
          <w:tcPr>
            <w:tcW w:w="1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2,908,077</w:t>
            </w: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37"/>
        </w:trPr>
        <w:tc>
          <w:tcPr>
            <w:tcW w:w="2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John Priore</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50,088,706</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962,789</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1,218</w:t>
            </w:r>
          </w:p>
        </w:tc>
        <w:tc>
          <w:tcPr>
            <w:tcW w:w="1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2,908,077</w:t>
            </w: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37"/>
        </w:trPr>
        <w:tc>
          <w:tcPr>
            <w:tcW w:w="2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Marc Crisafulli</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50,999,724</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51,731</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1,258</w:t>
            </w:r>
          </w:p>
        </w:tc>
        <w:tc>
          <w:tcPr>
            <w:tcW w:w="1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2,908,077</w:t>
            </w: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37"/>
        </w:trPr>
        <w:tc>
          <w:tcPr>
            <w:tcW w:w="2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Marietta Davis</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50,708,502</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342,998</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1,213</w:t>
            </w:r>
          </w:p>
        </w:tc>
        <w:tc>
          <w:tcPr>
            <w:tcW w:w="1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2,908,077</w:t>
            </w: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37"/>
        </w:trPr>
        <w:tc>
          <w:tcPr>
            <w:tcW w:w="2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Christina Favilla</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50,636,620</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414,880</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1,213</w:t>
            </w:r>
          </w:p>
        </w:tc>
        <w:tc>
          <w:tcPr>
            <w:tcW w:w="1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2,908,077</w:t>
            </w: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37"/>
        </w:trPr>
        <w:tc>
          <w:tcPr>
            <w:tcW w:w="2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Michael Passilla</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50,999,633</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51,867</w:t>
            </w: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1,213</w:t>
            </w:r>
          </w:p>
        </w:tc>
        <w:tc>
          <w:tcPr>
            <w:tcW w:w="1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2,908,077</w:t>
            </w: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 Approval of Advisory Vote on Named Executive Officer Compensation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the advisory vote on Named Executive Officer Compensation. The votes were cast as follows:</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2800" w:type="dxa"/>
            <w:vAlign w:val="bottom"/>
            <w:tcBorders>
              <w:left w:val="single" w:sz="8" w:color="auto"/>
              <w:right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50,957,487</w:t>
            </w:r>
          </w:p>
        </w:tc>
        <w:tc>
          <w:tcPr>
            <w:tcW w:w="2800" w:type="dxa"/>
            <w:vAlign w:val="bottom"/>
            <w:tcBorders>
              <w:right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95,226</w:t>
            </w:r>
          </w:p>
        </w:tc>
        <w:tc>
          <w:tcPr>
            <w:tcW w:w="2800" w:type="dxa"/>
            <w:vAlign w:val="bottom"/>
            <w:tcBorders>
              <w:right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rPr>
              <w:t>0</w:t>
            </w:r>
          </w:p>
        </w:tc>
        <w:tc>
          <w:tcPr>
            <w:tcW w:w="2800" w:type="dxa"/>
            <w:vAlign w:val="bottom"/>
            <w:tcBorders>
              <w:right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2,908,077</w:t>
            </w: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5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Proposal 3 – Ratify the appointment of Ernst &amp; Young LLP as independent registered public accounting firm for the year ending December 31, 2024.</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900" w:type="dxa"/>
            <w:vAlign w:val="bottom"/>
            <w:tcBorders>
              <w:top w:val="single" w:sz="8" w:color="auto"/>
            </w:tcBorders>
          </w:tcPr>
          <w:p>
            <w:pPr>
              <w:spacing w:after="0"/>
              <w:rPr>
                <w:sz w:val="22"/>
                <w:szCs w:val="22"/>
                <w:color w:val="auto"/>
              </w:rPr>
            </w:pPr>
          </w:p>
        </w:tc>
        <w:tc>
          <w:tcPr>
            <w:tcW w:w="1900" w:type="dxa"/>
            <w:vAlign w:val="bottom"/>
            <w:tcBorders>
              <w:top w:val="single" w:sz="8" w:color="auto"/>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64"/>
        </w:trPr>
        <w:tc>
          <w:tcPr>
            <w:tcW w:w="2800" w:type="dxa"/>
            <w:vAlign w:val="bottom"/>
            <w:tcBorders>
              <w:left w:val="single" w:sz="8" w:color="auto"/>
              <w:bottom w:val="single" w:sz="8" w:color="auto"/>
              <w:right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53,900,657</w:t>
            </w:r>
          </w:p>
        </w:tc>
        <w:tc>
          <w:tcPr>
            <w:tcW w:w="900" w:type="dxa"/>
            <w:vAlign w:val="bottom"/>
            <w:tcBorders>
              <w:bottom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60,133</w:t>
            </w:r>
          </w:p>
        </w:tc>
        <w:tc>
          <w:tcPr>
            <w:tcW w:w="2800" w:type="dxa"/>
            <w:vAlign w:val="bottom"/>
            <w:tcBorders>
              <w:bottom w:val="single" w:sz="8" w:color="auto"/>
              <w:right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rPr>
              <w:t>0</w:t>
            </w:r>
          </w:p>
        </w:tc>
        <w:tc>
          <w:tcPr>
            <w:tcW w:w="2800" w:type="dxa"/>
            <w:vAlign w:val="bottom"/>
            <w:tcBorders>
              <w:bottom w:val="single" w:sz="8" w:color="auto"/>
              <w:right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0</w:t>
            </w:r>
          </w:p>
        </w:tc>
      </w:tr>
      <w:tr>
        <w:trPr>
          <w:trHeight w:val="588"/>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19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 – The following exhibit is furnished as part of this Current Report on Form 8-K.</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8"/>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Dated: May 22, 2024</w:t>
      </w:r>
    </w:p>
    <w:p>
      <w:pPr>
        <w:spacing w:after="0" w:line="25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PRIORITY TECHNOLOGY HOLDINGS, INC.</w:t>
      </w:r>
    </w:p>
    <w:p>
      <w:pPr>
        <w:spacing w:after="0" w:line="25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u w:val="single" w:color="auto"/>
          <w:color w:val="auto"/>
        </w:rPr>
        <w:t>By: /s/ Timothy O'Leary</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Timothy O'Leary</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Title: Chief Financial Officer</w:t>
      </w:r>
    </w:p>
    <w:sectPr>
      <w:pgSz w:w="11900" w:h="16838" w:orient="portrait"/>
      <w:cols w:equalWidth="0" w:num="1">
        <w:col w:w="10119"/>
      </w:cols>
      <w:pgMar w:left="340" w:top="10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2024-05-22T13:09:30Z</dcterms:created>
  <dcterms:modified xsi:type="dcterms:W3CDTF">2024-05-22T13:09:30Z</dcterms:modified>
</cp:coreProperties>
</file>