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39"/>
        <w:spacing w:after="0" w:line="276" w:lineRule="auto"/>
        <w:rPr>
          <w:sz w:val="20"/>
          <w:szCs w:val="20"/>
          <w:color w:val="auto"/>
        </w:rPr>
      </w:pPr>
      <w:r>
        <w:rPr>
          <w:rFonts w:ascii="Arial" w:cs="Arial" w:eastAsia="Arial" w:hAnsi="Arial"/>
          <w:sz w:val="17"/>
          <w:szCs w:val="17"/>
          <w:b w:val="1"/>
          <w:bCs w:val="1"/>
          <w:color w:val="auto"/>
        </w:rPr>
        <w:t>Confidentially submitted to the Securities and Exchange Commission on December 22, 2015 This draft registration statement has not been publicly filed with the U.S. Securities and Exchange Commission and all information herein remains strictly confidential.</w:t>
      </w:r>
    </w:p>
    <w:p>
      <w:pPr>
        <w:spacing w:after="0" w:line="1" w:lineRule="exact"/>
        <w:rPr>
          <w:sz w:val="24"/>
          <w:szCs w:val="24"/>
          <w:color w:val="auto"/>
        </w:rPr>
      </w:pPr>
    </w:p>
    <w:p>
      <w:pPr>
        <w:ind w:left="630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83185</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126365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 I Acquisitions, Inc.</w:t>
      </w: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69"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6770</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47-4257046</w:t>
            </w:r>
          </w:p>
        </w:tc>
      </w:tr>
      <w:tr>
        <w:trPr>
          <w:trHeight w:val="22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Hanover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Sason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Hanover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8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Mitchell S. Nussbaum</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Robert H. Cohen</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Giovanni Caruso</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6"/>
              </w:rPr>
              <w:t>McDermott Will &amp; Emery</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Loeb &amp; Loeb LLP</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340 Madison Avenue</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345 Park Avenue</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New York, NY 10173-1922</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New York, New York 10154</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547-5885</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(212) 407-4000</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547-5444 — Facsimile</w:t>
            </w:r>
          </w:p>
        </w:tc>
      </w:tr>
      <w:tr>
        <w:trPr>
          <w:trHeight w:val="234"/>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(212) 407-4990 — Facsimile</w:t>
            </w:r>
          </w:p>
        </w:tc>
        <w:tc>
          <w:tcPr>
            <w:tcW w:w="3900" w:type="dxa"/>
            <w:vAlign w:val="bottom"/>
          </w:tcPr>
          <w:p>
            <w:pPr>
              <w:spacing w:after="0"/>
              <w:rPr>
                <w:sz w:val="20"/>
                <w:szCs w:val="20"/>
                <w:color w:val="auto"/>
              </w:rPr>
            </w:pPr>
          </w:p>
        </w:tc>
      </w:tr>
      <w:tr>
        <w:trPr>
          <w:trHeight w:val="392"/>
        </w:trPr>
        <w:tc>
          <w:tcPr>
            <w:tcW w:w="2340" w:type="dxa"/>
            <w:vAlign w:val="bottom"/>
          </w:tcPr>
          <w:p>
            <w:pPr>
              <w:spacing w:after="0"/>
              <w:rPr>
                <w:sz w:val="24"/>
                <w:szCs w:val="24"/>
                <w:color w:val="auto"/>
              </w:rPr>
            </w:pPr>
          </w:p>
        </w:tc>
        <w:tc>
          <w:tcPr>
            <w:tcW w:w="3900" w:type="dxa"/>
            <w:vAlign w:val="bottom"/>
          </w:tcPr>
          <w:p>
            <w:pPr>
              <w:jc w:val="right"/>
              <w:ind w:right="2430"/>
              <w:spacing w:after="0"/>
              <w:rPr>
                <w:sz w:val="20"/>
                <w:szCs w:val="20"/>
                <w:color w:val="auto"/>
              </w:rPr>
            </w:pPr>
            <w:r>
              <w:rPr>
                <w:rFonts w:ascii="Arial" w:cs="Arial" w:eastAsia="Arial" w:hAnsi="Arial"/>
                <w:sz w:val="18"/>
                <w:szCs w:val="18"/>
                <w:b w:val="1"/>
                <w:bCs w:val="1"/>
                <w:color w:val="auto"/>
              </w:rPr>
              <w:t>_____________</w:t>
            </w:r>
          </w:p>
        </w:tc>
      </w:tr>
    </w:tbl>
    <w:p>
      <w:pPr>
        <w:spacing w:after="0" w:line="80"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the effective date of this registration statement.</w:t>
      </w:r>
    </w:p>
    <w:p>
      <w:pPr>
        <w:spacing w:after="0" w:line="49"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35"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40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400" w:type="dxa"/>
            <w:vAlign w:val="bottom"/>
          </w:tcPr>
          <w:p>
            <w:pPr>
              <w:ind w:left="3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4400" w:type="dxa"/>
            <w:vAlign w:val="bottom"/>
          </w:tcPr>
          <w:p>
            <w:pPr>
              <w:spacing w:after="0"/>
              <w:rPr>
                <w:sz w:val="20"/>
                <w:szCs w:val="20"/>
                <w:color w:val="auto"/>
              </w:rPr>
            </w:pPr>
          </w:p>
        </w:tc>
      </w:tr>
      <w:tr>
        <w:trPr>
          <w:trHeight w:val="392"/>
        </w:trPr>
        <w:tc>
          <w:tcPr>
            <w:tcW w:w="3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6" w:right="1440" w:bottom="31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Proposed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maximum</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offering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to be</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price per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6"/>
                <w:szCs w:val="16"/>
                <w:b w:val="1"/>
                <w:bCs w:val="1"/>
                <w:color w:val="auto"/>
                <w:w w:val="96"/>
              </w:rPr>
              <w:t>Offering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6"/>
                <w:szCs w:val="16"/>
                <w:b w:val="1"/>
                <w:bCs w:val="1"/>
                <w:color w:val="auto"/>
              </w:rPr>
              <w:t>Title of Class of Security being registered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160" w:type="dxa"/>
            <w:vAlign w:val="bottom"/>
          </w:tcPr>
          <w:p>
            <w:pPr>
              <w:spacing w:after="0"/>
              <w:rPr>
                <w:sz w:val="19"/>
                <w:szCs w:val="19"/>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5"/>
              <w:spacing w:after="0" w:line="228" w:lineRule="exact"/>
              <w:rPr>
                <w:sz w:val="20"/>
                <w:szCs w:val="20"/>
                <w:color w:val="auto"/>
              </w:rPr>
            </w:pPr>
            <w:r>
              <w:rPr>
                <w:rFonts w:ascii="Arial" w:cs="Arial" w:eastAsia="Arial" w:hAnsi="Arial"/>
                <w:sz w:val="26"/>
                <w:szCs w:val="26"/>
                <w:b w:val="1"/>
                <w:bCs w:val="1"/>
                <w:color w:val="auto"/>
                <w:w w:val="92"/>
                <w:vertAlign w:val="subscript"/>
              </w:rPr>
              <w:t>Price</w:t>
            </w:r>
            <w:r>
              <w:rPr>
                <w:rFonts w:ascii="Arial" w:cs="Arial" w:eastAsia="Arial" w:hAnsi="Arial"/>
                <w:sz w:val="10"/>
                <w:szCs w:val="10"/>
                <w:b w:val="1"/>
                <w:bCs w:val="1"/>
                <w:color w:val="auto"/>
                <w:w w:val="92"/>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Units, each consisting of one share of Common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2"/>
              </w:rPr>
              <w:t>Stock, $0.001 par value and one Warrant entitling</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6"/>
              </w:rPr>
              <w:t>the holder to receive one-half (1/2) of a share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Warrants 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8"/>
              </w:rPr>
              <w:t>underlying the Warrants included as part of the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34,500,000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3,474.15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Representative’s Unit Purchase Option</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Units underlying the Representative’s Unit</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Purchase Option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w w:val="97"/>
              </w:rPr>
              <w:t>Warrants included as part of the Representative’s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underlying Warrants included as part of</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860" w:type="dxa"/>
            <w:vAlign w:val="bottom"/>
          </w:tcPr>
          <w:p>
            <w:pPr>
              <w:ind w:left="180"/>
              <w:spacing w:after="0" w:line="30" w:lineRule="exact"/>
              <w:rPr>
                <w:sz w:val="20"/>
                <w:szCs w:val="20"/>
                <w:color w:val="auto"/>
              </w:rPr>
            </w:pPr>
            <w:r>
              <w:rPr>
                <w:rFonts w:ascii="Arial" w:cs="Arial" w:eastAsia="Arial" w:hAnsi="Arial"/>
                <w:sz w:val="3"/>
                <w:szCs w:val="3"/>
                <w:color w:val="auto"/>
              </w:rPr>
              <w:t>Representative’s Units</w:t>
            </w:r>
          </w:p>
        </w:tc>
        <w:tc>
          <w:tcPr>
            <w:tcW w:w="10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52"/>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101,000,100</w:t>
            </w:r>
          </w:p>
        </w:tc>
        <w:tc>
          <w:tcPr>
            <w:tcW w:w="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10,170.71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-3970020</wp:posOffset>
            </wp:positionV>
            <wp:extent cx="5145405" cy="381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816350"/>
                    </a:xfrm>
                    <a:prstGeom prst="rect">
                      <a:avLst/>
                    </a:prstGeom>
                    <a:noFill/>
                  </pic:spPr>
                </pic:pic>
              </a:graphicData>
            </a:graphic>
          </wp:anchor>
        </w:drawing>
      </w:r>
    </w:p>
    <w:p>
      <w:pPr>
        <w:ind w:left="780" w:right="459" w:hanging="318"/>
        <w:spacing w:after="0" w:line="250" w:lineRule="auto"/>
        <w:tabs>
          <w:tab w:leader="none" w:pos="87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ind w:left="780" w:right="459" w:hanging="318"/>
        <w:spacing w:after="0" w:line="250" w:lineRule="auto"/>
        <w:tabs>
          <w:tab w:leader="none" w:pos="8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180"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109855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152400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426720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59"/>
        <w:spacing w:after="0" w:line="355" w:lineRule="auto"/>
        <w:rPr>
          <w:sz w:val="20"/>
          <w:szCs w:val="20"/>
          <w:color w:val="auto"/>
        </w:rPr>
      </w:pPr>
      <w:r>
        <w:rPr>
          <w:rFonts w:ascii="Arial" w:cs="Arial" w:eastAsia="Arial" w:hAnsi="Arial"/>
          <w:sz w:val="14"/>
          <w:szCs w:val="14"/>
          <w:color w:val="D8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DECEMBER 22, 2015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40"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11" w:lineRule="exact"/>
        <w:rPr>
          <w:sz w:val="20"/>
          <w:szCs w:val="20"/>
          <w:color w:val="auto"/>
        </w:rPr>
      </w:pPr>
    </w:p>
    <w:p>
      <w:pPr>
        <w:jc w:val="both"/>
        <w:ind w:left="460" w:right="459"/>
        <w:spacing w:after="0" w:line="351"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one-half of one share of our common stock. We will not issue fractional shares. As a result, you must exercise warrants in multiples of two warrants, at a price of $12.00 per full share of common stock, subject to adjustment as described in this prospectus, to validly exercise your warrants.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and such business combination has not yet been consummated within such 18-month period,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21" w:lineRule="exact"/>
        <w:rPr>
          <w:sz w:val="20"/>
          <w:szCs w:val="20"/>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250,000 units, or “private units,” at $10.00 per unit, (for a total purchase price of $2,500,000).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22,500 private units) that is necessary to maintain in the trust account described below an amount equal to $10.00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33"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There is presently no public market for our units, shares of common stock or warrants. We have applied to have our units listed on the Nasdaq Capital Market, or Nasdaq, under the symbol “_________”. We cannot guarantee that our securities will be approved for listing on</w:t>
      </w:r>
    </w:p>
    <w:p>
      <w:pPr>
        <w:spacing w:after="0" w:line="1" w:lineRule="exact"/>
        <w:rPr>
          <w:sz w:val="20"/>
          <w:szCs w:val="20"/>
          <w:color w:val="auto"/>
        </w:rPr>
      </w:pPr>
    </w:p>
    <w:p>
      <w:pPr>
        <w:jc w:val="both"/>
        <w:ind w:left="460" w:right="459"/>
        <w:spacing w:after="0" w:line="322" w:lineRule="auto"/>
        <w:rPr>
          <w:sz w:val="20"/>
          <w:szCs w:val="20"/>
          <w:color w:val="auto"/>
        </w:rPr>
      </w:pPr>
      <w:r>
        <w:rPr>
          <w:rFonts w:ascii="Arial" w:cs="Arial" w:eastAsia="Arial" w:hAnsi="Arial"/>
          <w:sz w:val="13"/>
          <w:szCs w:val="13"/>
          <w:color w:val="auto"/>
        </w:rPr>
        <w:t>Nasdaq. The common stock and warrants comprising the units will begin separate trading on the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“____”and</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“_____,” respectively. We cannot assure you that our securities will continue to be listed on Nasdaq after this offering.</w:t>
      </w:r>
    </w:p>
    <w:p>
      <w:pPr>
        <w:spacing w:after="0" w:line="109"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18" w:lineRule="exact"/>
        <w:rPr>
          <w:sz w:val="20"/>
          <w:szCs w:val="20"/>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Underwriting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Discounts and</w:t>
            </w:r>
          </w:p>
        </w:tc>
        <w:tc>
          <w:tcPr>
            <w:tcW w:w="14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5"/>
              </w:rPr>
              <w:t>Proceeds, Before</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Price to Public</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line="176" w:lineRule="exact"/>
              <w:rPr>
                <w:sz w:val="20"/>
                <w:szCs w:val="20"/>
                <w:color w:val="auto"/>
              </w:rPr>
            </w:pPr>
            <w:r>
              <w:rPr>
                <w:rFonts w:ascii="Arial" w:cs="Arial" w:eastAsia="Arial" w:hAnsi="Arial"/>
                <w:sz w:val="13"/>
                <w:szCs w:val="13"/>
                <w:b w:val="1"/>
                <w:bCs w:val="1"/>
                <w:color w:val="auto"/>
                <w:w w:val="86"/>
              </w:rPr>
              <w:t>Commissions</w:t>
            </w:r>
            <w:r>
              <w:rPr>
                <w:rFonts w:ascii="Arial" w:cs="Arial" w:eastAsia="Arial" w:hAnsi="Arial"/>
                <w:sz w:val="20"/>
                <w:szCs w:val="20"/>
                <w:b w:val="1"/>
                <w:bCs w:val="1"/>
                <w:color w:val="auto"/>
                <w:w w:val="86"/>
                <w:vertAlign w:val="superscript"/>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46"/>
        </w:trPr>
        <w:tc>
          <w:tcPr>
            <w:tcW w:w="2740" w:type="dxa"/>
            <w:vAlign w:val="bottom"/>
            <w:vMerge w:val="continue"/>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960" w:type="dxa"/>
            <w:vAlign w:val="bottom"/>
          </w:tcPr>
          <w:p>
            <w:pPr>
              <w:jc w:val="right"/>
              <w:spacing w:after="0" w:line="46" w:lineRule="exact"/>
              <w:rPr>
                <w:sz w:val="20"/>
                <w:szCs w:val="20"/>
                <w:color w:val="auto"/>
              </w:rPr>
            </w:pPr>
            <w:r>
              <w:rPr>
                <w:rFonts w:ascii="Arial" w:cs="Arial" w:eastAsia="Arial" w:hAnsi="Arial"/>
                <w:sz w:val="5"/>
                <w:szCs w:val="5"/>
                <w:color w:val="auto"/>
              </w:rPr>
              <w:t>10.00</w:t>
            </w:r>
          </w:p>
        </w:tc>
        <w:tc>
          <w:tcPr>
            <w:tcW w:w="14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ind w:right="79"/>
              <w:spacing w:after="0" w:line="46" w:lineRule="exact"/>
              <w:rPr>
                <w:sz w:val="20"/>
                <w:szCs w:val="20"/>
                <w:color w:val="auto"/>
              </w:rPr>
            </w:pPr>
            <w:r>
              <w:rPr>
                <w:rFonts w:ascii="Arial" w:cs="Arial" w:eastAsia="Arial" w:hAnsi="Arial"/>
                <w:sz w:val="5"/>
                <w:szCs w:val="5"/>
                <w:color w:val="auto"/>
              </w:rPr>
              <w:t>0.50</w:t>
            </w:r>
          </w:p>
        </w:tc>
        <w:tc>
          <w:tcPr>
            <w:tcW w:w="14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spacing w:after="0" w:line="46" w:lineRule="exact"/>
              <w:rPr>
                <w:sz w:val="20"/>
                <w:szCs w:val="20"/>
                <w:color w:val="auto"/>
              </w:rPr>
            </w:pPr>
            <w:r>
              <w:rPr>
                <w:rFonts w:ascii="Arial" w:cs="Arial" w:eastAsia="Arial" w:hAnsi="Arial"/>
                <w:sz w:val="5"/>
                <w:szCs w:val="5"/>
                <w:color w:val="auto"/>
              </w:rPr>
              <w:t>9.50</w:t>
            </w: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2,500,000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47,500,000</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20"/>
                <w:szCs w:val="20"/>
                <w:color w:val="auto"/>
              </w:rPr>
            </w:pPr>
            <w:r>
              <w:rPr>
                <w:rFonts w:ascii="Arial" w:cs="Arial" w:eastAsia="Arial" w:hAnsi="Arial"/>
                <w:sz w:val="14"/>
                <w:szCs w:val="14"/>
                <w:color w:val="auto"/>
              </w:rPr>
              <w:t>____________</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80" w:right="459" w:hanging="318"/>
        <w:spacing w:after="0" w:line="271" w:lineRule="auto"/>
        <w:tabs>
          <w:tab w:leader="none" w:pos="7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1" w:lineRule="exact"/>
        <w:rPr>
          <w:rFonts w:ascii="Arial" w:cs="Arial" w:eastAsia="Arial" w:hAnsi="Arial"/>
          <w:sz w:val="14"/>
          <w:szCs w:val="14"/>
          <w:color w:val="auto"/>
        </w:rPr>
      </w:pPr>
    </w:p>
    <w:p>
      <w:pPr>
        <w:jc w:val="both"/>
        <w:ind w:left="780" w:right="459" w:hanging="318"/>
        <w:spacing w:after="0" w:line="360" w:lineRule="auto"/>
        <w:tabs>
          <w:tab w:leader="none" w:pos="758"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3"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$10.00 per unit sold to the public in this offering (whether or not the underwriters’ over-allotment option has been exercised in full or part) will be deposited into a United States-based trust account at Morgan Stanley Bank, N.A.,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31"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 2015.</w:t>
      </w:r>
    </w:p>
    <w:p>
      <w:pPr>
        <w:sectPr>
          <w:pgSz w:w="11900" w:h="16838" w:orient="portrait"/>
          <w:cols w:equalWidth="0" w:num="1">
            <w:col w:w="9019"/>
          </w:cols>
          <w:pgMar w:left="1440" w:top="319" w:right="1440" w:bottom="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Sole Book-Running Manager</w:t>
      </w:r>
    </w:p>
    <w:p>
      <w:pPr>
        <w:sectPr>
          <w:pgSz w:w="11900" w:h="16838" w:orient="portrait"/>
          <w:cols w:equalWidth="0" w:num="1">
            <w:col w:w="9019"/>
          </w:cols>
          <w:pgMar w:left="1440" w:top="319" w:right="1440" w:bottom="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24"/>
          <w:szCs w:val="24"/>
          <w:b w:val="1"/>
          <w:bCs w:val="1"/>
          <w:color w:val="auto"/>
        </w:rPr>
        <w:t>Chardan Capital Markets, LLC</w:t>
      </w:r>
    </w:p>
    <w:p>
      <w:pPr>
        <w:sectPr>
          <w:pgSz w:w="11900" w:h="16838" w:orient="portrait"/>
          <w:cols w:equalWidth="0" w:num="1">
            <w:col w:w="9019"/>
          </w:cols>
          <w:pgMar w:left="1440" w:top="76" w:right="1440" w:bottom="1440" w:gutter="0" w:footer="0" w:header="0"/>
        </w:sectPr>
      </w:pPr>
    </w:p>
    <w:p>
      <w:pPr>
        <w:spacing w:after="0" w:line="53"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__________,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259080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center"/>
              <w:ind w:left="69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2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7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SUMMARY FINANCIAL DATA</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DILUTION</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MANAGEMENT’S DISCUSSION AND ANALYSIS OF FINANCIAL CONDITION AND</w:t>
              </w:r>
            </w:hyperlink>
          </w:p>
        </w:tc>
        <w:tc>
          <w:tcPr>
            <w:tcW w:w="122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RESULTS OF OPERATIONS</w:t>
              </w:r>
            </w:hyperlink>
          </w:p>
        </w:tc>
        <w:tc>
          <w:tcPr>
            <w:tcW w:w="122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65</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71</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73</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76</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SHARES ELIGIBLE FOR FUTURE SALE</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81</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83</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87</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87</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3">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87</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88"/>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-3352800</wp:posOffset>
            </wp:positionV>
            <wp:extent cx="626110" cy="339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10" cy="339598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units” refer to the 250,000 units (or 272,500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59" w:hanging="324"/>
        <w:spacing w:after="0" w:line="257" w:lineRule="auto"/>
        <w:tabs>
          <w:tab w:leader="none" w:pos="1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39" w:hanging="324"/>
        <w:spacing w:after="0" w:line="277" w:lineRule="auto"/>
        <w:tabs>
          <w:tab w:leader="none" w:pos="119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Our executive officers and directors have extensive experience in technology, media and telecommunications industries as managers, principals, advisors or directors of companies operating in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w:t>
      </w:r>
    </w:p>
    <w:p>
      <w:pPr>
        <w:sectPr>
          <w:pgSz w:w="11900" w:h="16838" w:orient="portrait"/>
          <w:cols w:equalWidth="0" w:num="1">
            <w:col w:w="9019"/>
          </w:cols>
          <w:pgMar w:left="1440" w:top="540" w:right="1440"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60" w:right="53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in the technology, media and telecommunications industries, although we will not be limited to the technology, media and telecommunications industries and may consider opportunities in other industries. 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48"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6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our working capital requirements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132"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47"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$10.00 per share, regardless of whether the over-allotment option is exercised. However, we may not be able to distribute such amounts as a result of claims of creditors which may take priority over the claims of our public stockholders.</w:t>
      </w:r>
    </w:p>
    <w:p>
      <w:pPr>
        <w:spacing w:after="0" w:line="13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w:t>
      </w:r>
    </w:p>
    <w:p>
      <w:pPr>
        <w:sectPr>
          <w:pgSz w:w="11900" w:h="16838" w:orient="portrait"/>
          <w:cols w:equalWidth="0" w:num="1">
            <w:col w:w="9019"/>
          </w:cols>
          <w:pgMar w:left="1440" w:top="503" w:right="1440"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7" w:name="page8"/>
    <w:bookmarkEnd w:id="7"/>
    <w:p>
      <w:pPr>
        <w:jc w:val="both"/>
        <w:ind w:left="56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78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9178290"/>
                    </a:xfrm>
                    <a:prstGeom prst="rect">
                      <a:avLst/>
                    </a:prstGeom>
                    <a:noFill/>
                  </pic:spPr>
                </pic:pic>
              </a:graphicData>
            </a:graphic>
          </wp:anchor>
        </w:drawing>
        <w:t>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66"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53" w:lineRule="exact"/>
        <w:rPr>
          <w:sz w:val="20"/>
          <w:szCs w:val="20"/>
          <w:color w:val="auto"/>
        </w:rPr>
      </w:pPr>
    </w:p>
    <w:p>
      <w:pPr>
        <w:jc w:val="both"/>
        <w:ind w:left="560" w:right="539"/>
        <w:spacing w:after="0" w:line="295"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w:t>
      </w:r>
    </w:p>
    <w:p>
      <w:pPr>
        <w:jc w:val="both"/>
        <w:ind w:left="560" w:right="539"/>
        <w:spacing w:after="0" w:line="243" w:lineRule="auto"/>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Private Placements</w:t>
      </w:r>
    </w:p>
    <w:p>
      <w:pPr>
        <w:spacing w:after="0" w:line="202"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April 2015, our insiders purchased an aggregate of 1,437,500 shares of our common stock for an aggregate purchase price of $25,000, or approximately $.02 per share.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38"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w:t>
      </w:r>
    </w:p>
    <w:p>
      <w:pPr>
        <w:sectPr>
          <w:pgSz w:w="11900" w:h="16838" w:orient="portrait"/>
          <w:cols w:equalWidth="0" w:num="1">
            <w:col w:w="9019"/>
          </w:cols>
          <w:pgMar w:left="1440" w:top="503"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jc w:val="both"/>
        <w:ind w:left="56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69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9169400"/>
                    </a:xfrm>
                    <a:prstGeom prst="rect">
                      <a:avLst/>
                    </a:prstGeom>
                    <a:noFill/>
                  </pic:spPr>
                </pic:pic>
              </a:graphicData>
            </a:graphic>
          </wp:anchor>
        </w:drawing>
        <w:t>(or 21 months, as applicable), and (D) that the insider shares shall not be entitled to be redeemed for a pro rata portion of the funds held in the trust account if a business combination is not consummated.</w:t>
      </w:r>
    </w:p>
    <w:p>
      <w:pPr>
        <w:spacing w:after="0" w:line="10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61"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an entity controlled by Joshua Sason, our Chief Executive Officer, (and/or its designees) has committed to purchase an aggregate of 250,000 private units at a price of $10.00 per unit ($2,500,000 in the aggregate) in a private placement that will occur simultaneously with the closing of this offering. Our insiders have also agreed that if the over-allotment option is exercised by the underwriters, they will purchase from us at a price of $10.00 per unit the number of private units (up to a maximum of 22,500 private units) that is necessary to maintain in the trust account an amount equal to $10.00 per share of common stock sold to the public in this offering. These additional private units will be purchased in a private placement that will occur simultaneously with the purchase of units resulting from the exercise of the over-allotment option. It is anticipated that the private units will be purchased by M SPAC LLC, an entity controlled by our insiders. The proceeds from the private placement of the private units will be added to the proceeds of this offering and placed in the trust account.</w:t>
      </w:r>
    </w:p>
    <w:p>
      <w:pPr>
        <w:spacing w:after="0" w:line="142"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41"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w:t>
      </w:r>
    </w:p>
    <w:p>
      <w:pPr>
        <w:spacing w:after="0" w:line="160"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Our executive offices are located at 5 Hanover Square, New York, NY 10004 and our telephone number is (347) 491-4240.</w:t>
      </w:r>
    </w:p>
    <w:p>
      <w:pPr>
        <w:sectPr>
          <w:pgSz w:w="11900" w:h="16838" w:orient="portrait"/>
          <w:cols w:equalWidth="0" w:num="1">
            <w:col w:w="9019"/>
          </w:cols>
          <w:pgMar w:left="1440" w:top="503"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605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1605915"/>
                    </a:xfrm>
                    <a:prstGeom prst="rect">
                      <a:avLst/>
                    </a:prstGeom>
                    <a:noFill/>
                  </pic:spPr>
                </pic:pic>
              </a:graphicData>
            </a:graphic>
          </wp:anchor>
        </w:drawing>
        <w:t>Directed Unit Program</w:t>
      </w:r>
    </w:p>
    <w:p>
      <w:pPr>
        <w:spacing w:after="0" w:line="189" w:lineRule="exact"/>
        <w:rPr>
          <w:sz w:val="20"/>
          <w:szCs w:val="20"/>
          <w:color w:val="auto"/>
        </w:rPr>
      </w:pPr>
    </w:p>
    <w:p>
      <w:pPr>
        <w:jc w:val="both"/>
        <w:ind w:left="560" w:right="539"/>
        <w:spacing w:after="0" w:line="272" w:lineRule="auto"/>
        <w:rPr>
          <w:sz w:val="20"/>
          <w:szCs w:val="20"/>
          <w:color w:val="auto"/>
        </w:rPr>
      </w:pPr>
      <w:r>
        <w:rPr>
          <w:rFonts w:ascii="Arial" w:cs="Arial" w:eastAsia="Arial" w:hAnsi="Arial"/>
          <w:sz w:val="17"/>
          <w:szCs w:val="17"/>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895540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ectPr>
          <w:pgSz w:w="11900" w:h="16838" w:orient="portrait"/>
          <w:cols w:equalWidth="0" w:num="1">
            <w:col w:w="9019"/>
          </w:cols>
          <w:pgMar w:left="1440" w:top="540" w:right="1440" w:bottom="1440" w:gutter="0" w:footer="0" w:header="0"/>
        </w:sectPr>
      </w:pP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52" w:lineRule="exact"/>
        <w:rPr>
          <w:sz w:val="20"/>
          <w:szCs w:val="20"/>
          <w:color w:val="auto"/>
        </w:rPr>
      </w:pPr>
    </w:p>
    <w:p>
      <w:pPr>
        <w:ind w:left="920" w:right="28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189" w:lineRule="exact"/>
        <w:rPr>
          <w:sz w:val="20"/>
          <w:szCs w:val="20"/>
          <w:color w:val="auto"/>
        </w:rPr>
      </w:pPr>
    </w:p>
    <w:p>
      <w:pPr>
        <w:ind w:left="920" w:right="40" w:hanging="179"/>
        <w:spacing w:after="0" w:line="293" w:lineRule="auto"/>
        <w:rPr>
          <w:sz w:val="20"/>
          <w:szCs w:val="20"/>
          <w:color w:val="auto"/>
        </w:rPr>
      </w:pPr>
      <w:r>
        <w:rPr>
          <w:rFonts w:ascii="Arial" w:cs="Arial" w:eastAsia="Arial" w:hAnsi="Arial"/>
          <w:sz w:val="16"/>
          <w:szCs w:val="16"/>
          <w:b w:val="1"/>
          <w:bCs w:val="1"/>
          <w:color w:val="auto"/>
        </w:rPr>
        <w:t>Number outstanding after this offering and sale of private units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5,000,000 Units, at $10.00 per unit, each unit consisting of one share of common stock and one warrant entitling the holder thereof to purchase one-half of one share of our common stock at a price of $12.00 per full share, subject to adjustment as described in this prospectus.</w:t>
      </w:r>
    </w:p>
    <w:p>
      <w:pPr>
        <w:spacing w:after="0" w:line="215" w:lineRule="exact"/>
        <w:rPr>
          <w:sz w:val="20"/>
          <w:szCs w:val="20"/>
          <w:color w:val="auto"/>
        </w:rPr>
      </w:pPr>
    </w:p>
    <w:p>
      <w:pPr>
        <w:jc w:val="both"/>
        <w:ind w:right="559"/>
        <w:spacing w:after="0" w:line="271" w:lineRule="auto"/>
        <w:rPr>
          <w:sz w:val="20"/>
          <w:szCs w:val="20"/>
          <w:color w:val="auto"/>
        </w:rPr>
      </w:pPr>
      <w:r>
        <w:rPr>
          <w:rFonts w:ascii="Arial" w:cs="Arial" w:eastAsia="Arial" w:hAnsi="Arial"/>
          <w:sz w:val="17"/>
          <w:szCs w:val="17"/>
          <w:color w:val="auto"/>
        </w:rPr>
        <w:t>We anticipate the units, and the shares of common stock and warrants once they begin separate trading, will be listed on Nasdaq under the symbols “[__________],” “[__________]” and</w:t>
      </w:r>
    </w:p>
    <w:p>
      <w:pPr>
        <w:spacing w:after="0"/>
        <w:rPr>
          <w:sz w:val="20"/>
          <w:szCs w:val="20"/>
          <w:color w:val="auto"/>
        </w:rPr>
      </w:pPr>
      <w:r>
        <w:rPr>
          <w:rFonts w:ascii="Arial" w:cs="Arial" w:eastAsia="Arial" w:hAnsi="Arial"/>
          <w:sz w:val="18"/>
          <w:szCs w:val="18"/>
          <w:color w:val="auto"/>
        </w:rPr>
        <w:t>“[__________],” respectively.</w:t>
      </w:r>
    </w:p>
    <w:p>
      <w:pPr>
        <w:spacing w:after="0" w:line="200" w:lineRule="exact"/>
        <w:rPr>
          <w:sz w:val="20"/>
          <w:szCs w:val="20"/>
          <w:color w:val="auto"/>
        </w:rPr>
      </w:pPr>
    </w:p>
    <w:p>
      <w:pPr>
        <w:spacing w:after="0" w:line="254"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5,250,000</w:t>
      </w:r>
      <w:r>
        <w:rPr>
          <w:rFonts w:ascii="Arial" w:cs="Arial" w:eastAsia="Arial" w:hAnsi="Arial"/>
          <w:sz w:val="30"/>
          <w:szCs w:val="30"/>
          <w:color w:val="auto"/>
          <w:vertAlign w:val="superscript"/>
        </w:rPr>
        <w:t>(1)</w:t>
      </w:r>
    </w:p>
    <w:p>
      <w:pPr>
        <w:spacing w:after="0" w:line="138" w:lineRule="exact"/>
        <w:rPr>
          <w:sz w:val="20"/>
          <w:szCs w:val="20"/>
          <w:color w:val="auto"/>
        </w:rPr>
      </w:pPr>
    </w:p>
    <w:p>
      <w:pPr>
        <w:sectPr>
          <w:pgSz w:w="11900" w:h="16838" w:orient="portrait"/>
          <w:cols w:equalWidth="0" w:num="2">
            <w:col w:w="3440" w:space="200"/>
            <w:col w:w="537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421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1042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6,500,000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480" w:space="160"/>
            <w:col w:w="5379"/>
          </w:cols>
          <w:pgMar w:left="1440" w:top="324" w:right="1440" w:bottom="0"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8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right="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250,000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5,250,000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Each public warrant and private warrant is exercisable to purchase one-half of one share of our common stock. Because the warrants may only be exercised for whole numbers of shares, only an even number of warrants may be exercised at any given time.</w:t>
      </w:r>
    </w:p>
    <w:p>
      <w:pPr>
        <w:spacing w:after="0" w:line="177" w:lineRule="exact"/>
        <w:rPr>
          <w:sz w:val="20"/>
          <w:szCs w:val="20"/>
          <w:color w:val="auto"/>
        </w:rPr>
      </w:pPr>
    </w:p>
    <w:p>
      <w:pPr>
        <w:sectPr>
          <w:pgSz w:w="11900" w:h="16838" w:orient="portrait"/>
          <w:cols w:equalWidth="0" w:num="2">
            <w:col w:w="3500" w:space="140"/>
            <w:col w:w="5379"/>
          </w:cols>
          <w:pgMar w:left="1440" w:top="324" w:right="1440" w:bottom="0" w:gutter="0" w:footer="0" w:header="0"/>
          <w:type w:val="continuous"/>
        </w:sectPr>
      </w:pPr>
    </w:p>
    <w:p>
      <w:pPr>
        <w:ind w:left="74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00" w:lineRule="exact"/>
        <w:rPr>
          <w:sz w:val="20"/>
          <w:szCs w:val="20"/>
          <w:color w:val="auto"/>
        </w:rPr>
      </w:pP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$12.00 per whole share, subject to adjustments as described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9"/>
        <w:spacing w:after="0" w:line="277" w:lineRule="auto"/>
        <w:tabs>
          <w:tab w:leader="none" w:pos="626"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20" w:hanging="199"/>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52" w:lineRule="exact"/>
        <w:rPr>
          <w:sz w:val="20"/>
          <w:szCs w:val="20"/>
          <w:color w:val="auto"/>
        </w:rPr>
      </w:pPr>
    </w:p>
    <w:p>
      <w:pPr>
        <w:jc w:val="both"/>
        <w:ind w:right="55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right="559"/>
        <w:spacing w:after="0" w:line="301"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1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spacing w:after="0" w:line="179" w:lineRule="exact"/>
        <w:rPr>
          <w:sz w:val="20"/>
          <w:szCs w:val="20"/>
          <w:color w:val="auto"/>
        </w:rPr>
      </w:pPr>
    </w:p>
    <w:p>
      <w:pPr>
        <w:sectPr>
          <w:pgSz w:w="11900" w:h="16838" w:orient="portrait"/>
          <w:cols w:equalWidth="0" w:num="2">
            <w:col w:w="3440" w:space="200"/>
            <w:col w:w="5379"/>
          </w:cols>
          <w:pgMar w:left="1440" w:top="324" w:right="1440" w:bottom="0" w:gutter="0" w:footer="0" w:header="0"/>
          <w:type w:val="continuous"/>
        </w:sectPr>
      </w:pPr>
    </w:p>
    <w:p>
      <w:pPr>
        <w:ind w:left="880" w:right="559" w:hanging="328"/>
        <w:spacing w:after="0" w:line="250"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Once</w:t>
            </w:r>
          </w:p>
        </w:tc>
        <w:tc>
          <w:tcPr>
            <w:tcW w:w="4400" w:type="dxa"/>
            <w:vAlign w:val="bottom"/>
          </w:tcPr>
          <w:p>
            <w:pPr>
              <w:jc w:val="right"/>
              <w:spacing w:after="0"/>
              <w:rPr>
                <w:sz w:val="20"/>
                <w:szCs w:val="20"/>
                <w:color w:val="auto"/>
              </w:rPr>
            </w:pPr>
            <w:r>
              <w:rPr>
                <w:rFonts w:ascii="Arial" w:cs="Arial" w:eastAsia="Arial" w:hAnsi="Arial"/>
                <w:sz w:val="18"/>
                <w:szCs w:val="18"/>
                <w:color w:val="auto"/>
              </w:rPr>
              <w:t>the warrants become exercisable, we may redeem the</w:t>
            </w:r>
          </w:p>
        </w:tc>
      </w:tr>
      <w:tr>
        <w:trPr>
          <w:trHeight w:val="230"/>
        </w:trPr>
        <w:tc>
          <w:tcPr>
            <w:tcW w:w="2480" w:type="dxa"/>
            <w:vAlign w:val="bottom"/>
          </w:tcPr>
          <w:p>
            <w:pPr>
              <w:spacing w:after="0"/>
              <w:rPr>
                <w:sz w:val="20"/>
                <w:szCs w:val="20"/>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r>
      <w:tr>
        <w:trPr>
          <w:trHeight w:val="445"/>
        </w:trPr>
        <w:tc>
          <w:tcPr>
            <w:tcW w:w="2480" w:type="dxa"/>
            <w:vAlign w:val="bottom"/>
          </w:tcPr>
          <w:p>
            <w:pPr>
              <w:spacing w:after="0"/>
              <w:rPr>
                <w:sz w:val="24"/>
                <w:szCs w:val="24"/>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r>
      <w:tr>
        <w:trPr>
          <w:trHeight w:val="216"/>
        </w:trPr>
        <w:tc>
          <w:tcPr>
            <w:tcW w:w="2480" w:type="dxa"/>
            <w:vAlign w:val="bottom"/>
          </w:tcPr>
          <w:p>
            <w:pPr>
              <w:spacing w:after="0"/>
              <w:rPr>
                <w:sz w:val="18"/>
                <w:szCs w:val="18"/>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at a price of $0.01 per warrant;</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upon a minimum of 30 days’ prior written notice of</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8"/>
              </w:rPr>
              <w:t>redemption, which we refer to as the 30-day redemption</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period; and</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if, and only if, the last sale price of our common stock</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2"/>
              </w:rPr>
              <w:t>equals or exceeds $16.00 per share for any 20 trading days</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7"/>
              </w:rPr>
              <w:t>within a 30-trading day period ending on the third trading</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redemption to the warrant holders.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09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409430"/>
                    </a:xfrm>
                    <a:prstGeom prst="rect">
                      <a:avLst/>
                    </a:prstGeom>
                    <a:noFill/>
                  </pic:spPr>
                </pic:pic>
              </a:graphicData>
            </a:graphic>
          </wp:anchor>
        </w:drawing>
      </w:r>
    </w:p>
    <w:p>
      <w:pPr>
        <w:jc w:val="both"/>
        <w:ind w:left="3640" w:right="55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59" w:firstLine="5"/>
        <w:spacing w:after="0" w:line="281" w:lineRule="auto"/>
        <w:tabs>
          <w:tab w:leader="none" w:pos="3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Offering proceeds to be held in the</w:t>
      </w:r>
    </w:p>
    <w:p>
      <w:pPr>
        <w:spacing w:after="0" w:line="39" w:lineRule="exact"/>
        <w:rPr>
          <w:sz w:val="20"/>
          <w:szCs w:val="20"/>
          <w:color w:val="auto"/>
        </w:rPr>
      </w:pPr>
    </w:p>
    <w:p>
      <w:pPr>
        <w:jc w:val="both"/>
        <w:ind w:left="3640" w:right="559" w:hanging="2912"/>
        <w:spacing w:after="0" w:line="306"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5"/>
          <w:szCs w:val="15"/>
          <w:color w:val="auto"/>
        </w:rPr>
        <w:t>$50,000,000 (or $57,500,000 if the over-allotment option is exercised in full) of the net proceeds of this offering and the proceeds we will receive from the sale of the private units, or $10.00 per unit sold to the public in this offering, will be placed in a trust account in the United States at Morgan Stanley Bank, N.A.,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1002"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02" w:gutter="0" w:footer="0" w:header="0"/>
          <w:type w:val="continuous"/>
        </w:sectPr>
      </w:pPr>
    </w:p>
    <w:bookmarkStart w:id="14" w:name="page15"/>
    <w:bookmarkEnd w:id="14"/>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3"/>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5"/>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3"/>
              </w:rPr>
              <w:t>the trust account (1) any interest earned on the funds in the trust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7"/>
              </w:rPr>
              <w:t>and (2) any remaining interest earned on the funds in the trust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account that we need for our working capital requirements. With</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these exceptions, expenses incurred by us may be paid prior to a</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business combination only from the net proceeds of this offering</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1"/>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1"/>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1"/>
              </w:rPr>
              <w:t>account and interest earned on the funds held in the trust account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available to us are insufficient, our insiders, officers and directors</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1"/>
              </w:rPr>
              <w:t>or their affiliates may, but are not obligated to, loan us funds, from</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time to time or at any time, in whatever amount they deem</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1"/>
              </w:rPr>
              <w:t>reasonable in their sole discretion. Each loan would be evidenced</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by a promissory note. The notes would either be paid upon</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9"/>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2"/>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3"/>
              </w:rPr>
              <w:t>business  combination,  any  other  outstanding  loans  from  our</w:t>
            </w:r>
          </w:p>
        </w:tc>
      </w:tr>
      <w:tr>
        <w:trPr>
          <w:trHeight w:val="216"/>
        </w:trPr>
        <w:tc>
          <w:tcPr>
            <w:tcW w:w="210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8"/>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In April 2015, our insiders purchased an aggregate of 1,437,500</w:t>
            </w:r>
          </w:p>
        </w:tc>
      </w:tr>
      <w:tr>
        <w:trPr>
          <w:trHeight w:val="230"/>
        </w:trPr>
        <w:tc>
          <w:tcPr>
            <w:tcW w:w="2100" w:type="dxa"/>
            <w:vAlign w:val="bottom"/>
          </w:tcPr>
          <w:p>
            <w:pPr>
              <w:spacing w:after="0"/>
              <w:rPr>
                <w:sz w:val="20"/>
                <w:szCs w:val="20"/>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w w:val="94"/>
              </w:rPr>
              <w:t>shares of our common stock for an aggregate purchase price of</w:t>
            </w:r>
          </w:p>
        </w:tc>
      </w:tr>
    </w:tbl>
    <w:p>
      <w:pPr>
        <w:jc w:val="both"/>
        <w:ind w:left="3640" w:right="55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78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9478645"/>
                    </a:xfrm>
                    <a:prstGeom prst="rect">
                      <a:avLst/>
                    </a:prstGeom>
                    <a:noFill/>
                  </pic:spPr>
                </pic:pic>
              </a:graphicData>
            </a:graphic>
          </wp:anchor>
        </w:drawing>
        <w:t>$25,000, or approximately $.02 per share.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 approximately 23.1%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ectPr>
          <w:pgSz w:w="11900" w:h="16838" w:orient="portrait"/>
          <w:cols w:equalWidth="0" w:num="1">
            <w:col w:w="9019"/>
          </w:cols>
          <w:pgMar w:left="1440" w:top="328" w:right="1440" w:bottom="894"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94" w:gutter="0" w:footer="0" w:header="0"/>
          <w:type w:val="continuous"/>
        </w:sectPr>
      </w:pPr>
    </w:p>
    <w:bookmarkStart w:id="15" w:name="page16"/>
    <w:bookmarkEnd w:id="15"/>
    <w:p>
      <w:pPr>
        <w:ind w:left="364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3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135110"/>
                    </a:xfrm>
                    <a:prstGeom prst="rect">
                      <a:avLst/>
                    </a:prstGeom>
                    <a:noFill/>
                  </pic:spPr>
                </pic:pic>
              </a:graphicData>
            </a:graphic>
          </wp:anchor>
        </w:drawing>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tabs>
          <w:tab w:leader="none" w:pos="4060" w:val="left"/>
        </w:tabs>
        <w:rPr>
          <w:sz w:val="20"/>
          <w:szCs w:val="20"/>
          <w:color w:val="auto"/>
        </w:rPr>
      </w:pPr>
      <w:r>
        <w:rPr>
          <w:rFonts w:ascii="Arial" w:cs="Arial" w:eastAsia="Arial" w:hAnsi="Arial"/>
          <w:sz w:val="18"/>
          <w:szCs w:val="18"/>
          <w:color w:val="auto"/>
        </w:rPr>
        <w:t>•</w:t>
        <w:tab/>
        <w:t>the insider shares are subject to certain transfer restrictions, as described in more detail below, and</w:t>
      </w:r>
    </w:p>
    <w:p>
      <w:pPr>
        <w:spacing w:after="0" w:line="197" w:lineRule="exact"/>
        <w:rPr>
          <w:sz w:val="20"/>
          <w:szCs w:val="20"/>
          <w:color w:val="auto"/>
        </w:rPr>
      </w:pPr>
    </w:p>
    <w:p>
      <w:pPr>
        <w:jc w:val="both"/>
        <w:ind w:left="4080" w:right="55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5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Continental Stock Transfer &amp; Trust Company during the period in</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0"/>
              </w:rPr>
              <w:t>which they are subject to the transfer restrictions described above.</w:t>
            </w:r>
          </w:p>
        </w:tc>
      </w:tr>
      <w:tr>
        <w:trPr>
          <w:trHeight w:val="431"/>
        </w:trPr>
        <w:tc>
          <w:tcPr>
            <w:tcW w:w="266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240" w:type="dxa"/>
            <w:vAlign w:val="bottom"/>
          </w:tcPr>
          <w:p>
            <w:pPr>
              <w:ind w:left="420"/>
              <w:spacing w:after="0"/>
              <w:rPr>
                <w:sz w:val="20"/>
                <w:szCs w:val="20"/>
                <w:color w:val="auto"/>
              </w:rPr>
            </w:pPr>
            <w:r>
              <w:rPr>
                <w:rFonts w:ascii="Arial" w:cs="Arial" w:eastAsia="Arial" w:hAnsi="Arial"/>
                <w:sz w:val="18"/>
                <w:szCs w:val="18"/>
                <w:color w:val="auto"/>
                <w:w w:val="97"/>
              </w:rPr>
              <w:t>M SPAC LLC, an entity controlled by Joshua Sason, our Chief</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Executive Officer, (and/or its designees) has committed, pursuant</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9"/>
              </w:rPr>
              <w:t>to a written agreement, to purchase an aggregate of 250,000</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3"/>
              </w:rPr>
              <w:t>private units (or 272,500 if the over-allotment option is exercised</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5"/>
              </w:rPr>
              <w:t>in full) at a price of $10.00 per unit ($2,500,000 or $2,725,000 if</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8"/>
              </w:rPr>
              <w:t>the  over-allotment  option  is  exercised  in  full)  in  a  private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5"/>
              </w:rPr>
              <w:t>placement that will occur simultaneously with the closing of this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4"/>
              </w:rPr>
              <w:t>offering. The purchase price of the private units will be added to</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8"/>
              </w:rPr>
              <w:t>the proceeds from this offering to pay for the expenses of this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offering and to be held in the trust account. If we do not complete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our initial business combination within 18 months from the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1"/>
              </w:rPr>
              <w:t>closing of this offering (or 21 months, as applicable), the proceeds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of the sale of the private units will be used to fund the redemption</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0"/>
              </w:rPr>
              <w:t>of our public shares (subject to the requirements of applicable law)</w:t>
            </w:r>
          </w:p>
        </w:tc>
      </w:t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and the private units will be worthless.</w:t>
            </w:r>
          </w:p>
        </w:tc>
      </w:tr>
      <w:tr>
        <w:trPr>
          <w:trHeight w:val="445"/>
        </w:trPr>
        <w:tc>
          <w:tcPr>
            <w:tcW w:w="2660" w:type="dxa"/>
            <w:vAlign w:val="bottom"/>
          </w:tcPr>
          <w:p>
            <w:pPr>
              <w:spacing w:after="0"/>
              <w:rPr>
                <w:sz w:val="20"/>
                <w:szCs w:val="20"/>
                <w:color w:val="auto"/>
              </w:rPr>
            </w:pPr>
            <w:r>
              <w:rPr>
                <w:rFonts w:ascii="Arial" w:cs="Arial" w:eastAsia="Arial" w:hAnsi="Arial"/>
                <w:sz w:val="18"/>
                <w:szCs w:val="18"/>
                <w:b w:val="1"/>
                <w:bCs w:val="1"/>
                <w:color w:val="auto"/>
              </w:rPr>
              <w:t>Limited payments to insiders</w:t>
            </w:r>
          </w:p>
        </w:tc>
        <w:tc>
          <w:tcPr>
            <w:tcW w:w="5240" w:type="dxa"/>
            <w:vAlign w:val="bottom"/>
          </w:tcPr>
          <w:p>
            <w:pPr>
              <w:ind w:left="420"/>
              <w:spacing w:after="0"/>
              <w:rPr>
                <w:sz w:val="20"/>
                <w:szCs w:val="20"/>
                <w:color w:val="auto"/>
              </w:rPr>
            </w:pPr>
            <w:r>
              <w:rPr>
                <w:rFonts w:ascii="Arial" w:cs="Arial" w:eastAsia="Arial" w:hAnsi="Arial"/>
                <w:sz w:val="18"/>
                <w:szCs w:val="18"/>
                <w:color w:val="auto"/>
                <w:w w:val="89"/>
              </w:rPr>
              <w:t>There will be no fees, reimbursements or other cash payments paid</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88"/>
              </w:rPr>
              <w:t>to our insiders or any of the members of our management team prior</w:t>
            </w:r>
          </w:p>
        </w:tc>
      </w:t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 or for any services they render in order to effectuate, the</w:t>
            </w:r>
          </w:p>
        </w:tc>
      </w:tr>
    </w:tbl>
    <w:p>
      <w:pPr>
        <w:ind w:left="3640" w:right="559"/>
        <w:spacing w:after="0" w:line="261" w:lineRule="auto"/>
        <w:rPr>
          <w:sz w:val="20"/>
          <w:szCs w:val="20"/>
          <w:color w:val="auto"/>
        </w:rPr>
      </w:pPr>
      <w:r>
        <w:rPr>
          <w:rFonts w:ascii="Arial" w:cs="Arial" w:eastAsia="Arial" w:hAnsi="Arial"/>
          <w:sz w:val="18"/>
          <w:szCs w:val="18"/>
          <w:color w:val="auto"/>
        </w:rPr>
        <w:t>consummation of our initial business combination (regardless of the type of transaction that it is) other than:</w:t>
      </w:r>
    </w:p>
    <w:p>
      <w:pPr>
        <w:sectPr>
          <w:pgSz w:w="11900" w:h="16838" w:orient="portrait"/>
          <w:cols w:equalWidth="0" w:num="1">
            <w:col w:w="9019"/>
          </w:cols>
          <w:pgMar w:left="1440" w:top="328" w:right="1440"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6" w:name="page17"/>
    <w:bookmarkEnd w:id="16"/>
    <w:p>
      <w:pPr>
        <w:jc w:val="both"/>
        <w:ind w:left="4080" w:right="559" w:hanging="219"/>
        <w:spacing w:after="0" w:line="259" w:lineRule="auto"/>
        <w:tabs>
          <w:tab w:leader="none" w:pos="417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312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8312150"/>
                    </a:xfrm>
                    <a:prstGeom prst="rect">
                      <a:avLst/>
                    </a:prstGeom>
                    <a:noFill/>
                  </pic:spPr>
                </pic:pic>
              </a:graphicData>
            </a:graphic>
          </wp:anchor>
        </w:drawing>
        <w:t>repayment at the closing of this offering of non-interest bearing loans in an amount of $35,000 made by M SPAC LLC, an entity controlled by Joshua Sason, our Chief Executive Officer;</w:t>
      </w:r>
    </w:p>
    <w:p>
      <w:pPr>
        <w:spacing w:after="0" w:line="213" w:lineRule="exact"/>
        <w:rPr>
          <w:rFonts w:ascii="Arial" w:cs="Arial" w:eastAsia="Arial" w:hAnsi="Arial"/>
          <w:sz w:val="18"/>
          <w:szCs w:val="18"/>
          <w:color w:val="auto"/>
        </w:rPr>
      </w:pPr>
    </w:p>
    <w:p>
      <w:pPr>
        <w:jc w:val="both"/>
        <w:ind w:left="4080" w:right="559" w:hanging="219"/>
        <w:spacing w:after="0" w:line="312" w:lineRule="auto"/>
        <w:tabs>
          <w:tab w:leader="none" w:pos="4065"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payment of $10,000 per month to Magna Management LLC, a company wholly owned by our insiders, for office space and related services, subject to deferral as described herein;</w:t>
      </w:r>
    </w:p>
    <w:p>
      <w:pPr>
        <w:spacing w:after="0" w:line="173" w:lineRule="exact"/>
        <w:rPr>
          <w:rFonts w:ascii="Arial" w:cs="Arial" w:eastAsia="Arial" w:hAnsi="Arial"/>
          <w:sz w:val="16"/>
          <w:szCs w:val="16"/>
          <w:color w:val="auto"/>
        </w:rPr>
      </w:pPr>
    </w:p>
    <w:p>
      <w:pPr>
        <w:jc w:val="both"/>
        <w:ind w:left="4080" w:right="559" w:hanging="219"/>
        <w:spacing w:after="0" w:line="257" w:lineRule="auto"/>
        <w:tabs>
          <w:tab w:leader="none" w:pos="4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of out-of-pocket expenses incurred by insiders, officers, directors or any of its or their affiliates in connection with certain activities on our behalf, such as identifying and investigating possible business targets and business combinations; and</w:t>
      </w:r>
    </w:p>
    <w:p>
      <w:pPr>
        <w:spacing w:after="0" w:line="215" w:lineRule="exact"/>
        <w:rPr>
          <w:rFonts w:ascii="Arial" w:cs="Arial" w:eastAsia="Arial" w:hAnsi="Arial"/>
          <w:sz w:val="18"/>
          <w:szCs w:val="18"/>
          <w:color w:val="auto"/>
        </w:rPr>
      </w:pPr>
    </w:p>
    <w:p>
      <w:pPr>
        <w:jc w:val="both"/>
        <w:ind w:left="4080" w:right="559" w:hanging="219"/>
        <w:spacing w:after="0" w:line="302" w:lineRule="auto"/>
        <w:tabs>
          <w:tab w:leader="none" w:pos="416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81" w:lineRule="exact"/>
        <w:rPr>
          <w:sz w:val="20"/>
          <w:szCs w:val="20"/>
          <w:color w:val="auto"/>
        </w:rPr>
      </w:pPr>
    </w:p>
    <w:p>
      <w:pPr>
        <w:jc w:val="both"/>
        <w:ind w:left="3640" w:right="559"/>
        <w:spacing w:after="0" w:line="286"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Potential revisions to agreements with</w:t>
      </w:r>
    </w:p>
    <w:p>
      <w:pPr>
        <w:spacing w:after="0" w:line="50" w:lineRule="exact"/>
        <w:rPr>
          <w:sz w:val="20"/>
          <w:szCs w:val="20"/>
          <w:color w:val="auto"/>
        </w:rPr>
      </w:pPr>
    </w:p>
    <w:p>
      <w:pPr>
        <w:jc w:val="both"/>
        <w:ind w:left="3640" w:right="559" w:hanging="2899"/>
        <w:spacing w:after="0" w:line="266" w:lineRule="auto"/>
        <w:tabs>
          <w:tab w:leader="none" w:pos="3620" w:val="left"/>
        </w:tabs>
        <w:rPr>
          <w:sz w:val="20"/>
          <w:szCs w:val="20"/>
          <w:color w:val="auto"/>
        </w:rPr>
      </w:pPr>
      <w:r>
        <w:rPr>
          <w:rFonts w:ascii="Arial" w:cs="Arial" w:eastAsia="Arial" w:hAnsi="Arial"/>
          <w:sz w:val="17"/>
          <w:szCs w:val="17"/>
          <w:b w:val="1"/>
          <w:bCs w:val="1"/>
          <w:color w:val="auto"/>
        </w:rPr>
        <w:t>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7" w:name="page18"/>
    <w:bookmarkEnd w:id="17"/>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8655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r>
    </w:p>
    <w:p>
      <w:pPr>
        <w:spacing w:after="0" w:line="398"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59" w:firstLine="5"/>
        <w:spacing w:after="0" w:line="283" w:lineRule="auto"/>
        <w:tabs>
          <w:tab w:leader="none" w:pos="272"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a significant number of public stockholders properly seek to convert their public shares in connection with a proposed business combination, our insiders, officers, directors or their affiliates could purchase some or all of such shares in the open market or in private transactions in order to seek to satisfy the cash conditions. Notwithstanding the foregoing, our insiders, officers, directors and their affiliates will not make purchases of shares of common stock if the purchases would violate Section 9(a)(2) or Rule 10b-5 of the Exchange Act, which are rules that prohibit manipulation of a company’s stock.</w:t>
      </w:r>
    </w:p>
    <w:p>
      <w:pPr>
        <w:spacing w:after="0" w:line="200" w:lineRule="exact"/>
        <w:rPr>
          <w:sz w:val="20"/>
          <w:szCs w:val="20"/>
          <w:color w:val="auto"/>
        </w:rPr>
      </w:pPr>
    </w:p>
    <w:p>
      <w:pPr>
        <w:sectPr>
          <w:pgSz w:w="11900" w:h="16838" w:orient="portrait"/>
          <w:cols w:equalWidth="0" w:num="2">
            <w:col w:w="3220" w:space="420"/>
            <w:col w:w="5379"/>
          </w:cols>
          <w:pgMar w:left="1440" w:top="324" w:right="1440"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8" w:name="page19"/>
    <w:bookmarkEnd w:id="18"/>
    <w:p>
      <w:pPr>
        <w:jc w:val="both"/>
        <w:ind w:left="3640" w:right="55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2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8929370"/>
                    </a:xfrm>
                    <a:prstGeom prst="rect">
                      <a:avLst/>
                    </a:prstGeom>
                    <a:noFill/>
                  </pic:spPr>
                </pic:pic>
              </a:graphicData>
            </a:graphic>
          </wp:anchor>
        </w:drawing>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125,001, or 1.9% (if the approval requirement was a majority of shares voted and the minimum number of shares required for a quorum attended the meeting), and a maximum of approximately 1,750,001, or 26.9%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0" w:lineRule="exact"/>
        <w:rPr>
          <w:sz w:val="20"/>
          <w:szCs w:val="20"/>
          <w:color w:val="auto"/>
        </w:rPr>
      </w:pPr>
    </w:p>
    <w:p>
      <w:pPr>
        <w:spacing w:after="0" w:line="218" w:lineRule="exact"/>
        <w:rPr>
          <w:sz w:val="20"/>
          <w:szCs w:val="20"/>
          <w:color w:val="auto"/>
        </w:rPr>
      </w:pPr>
    </w:p>
    <w:p>
      <w:pPr>
        <w:jc w:val="both"/>
        <w:ind w:left="3640" w:right="559"/>
        <w:spacing w:after="0" w:line="286"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However, our officers, directors and their affiliates could purchase shares in this offering pursuant to the directed unit program.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9" w:name="page20"/>
    <w:bookmarkEnd w:id="19"/>
    <w:tbl>
      <w:tblPr>
        <w:tblLayout w:type="fixed"/>
        <w:tblInd w:w="56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8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through loans in connection with our initial business combination.</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8"/>
              </w:rPr>
              <w:t>Our initial business combination must occur with one or more</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88"/>
              </w:rPr>
              <w:t>target businesses that together have an aggregate fair market value</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6"/>
              </w:rPr>
              <w:t>of at least 80% of the value of the trust account (excluding any</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0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00" w:type="dxa"/>
            <w:vAlign w:val="bottom"/>
          </w:tcPr>
          <w:p>
            <w:pPr>
              <w:spacing w:after="0"/>
              <w:rPr>
                <w:sz w:val="24"/>
                <w:szCs w:val="24"/>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1"/>
              </w:rPr>
              <w:t>market value of the target business or businesses, we may obtain</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accounting firm as to the fair market value of the target business.</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shares will own or acquire 50% or more of the outstanding voting</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7"/>
              </w:rPr>
              <w:t>in the target sufficient for it not to be required to register as an</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investment company under the Investment Company Act. Even if</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8"/>
              </w:rPr>
              <w:t>securities of the target, our stockholders prior to the business</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combination may collectively own a minority interest in the post</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0"/>
              </w:rPr>
              <w:t>business combination company, depending on valuations ascribed</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6"/>
              </w:rPr>
              <w:t>to the target and us in the business combination transaction. If</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business or businesses are owned or acquired by the post-</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2"/>
              </w:rPr>
              <w:t>transaction company, the portion of such business or businesses</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that is owned or acquired is what will be valued for purposes of</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the  80%  test,  provided  that  in  the  event  that  the  business</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0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businesses.</w:t>
            </w:r>
          </w:p>
        </w:tc>
      </w:tr>
      <w:tr>
        <w:trPr>
          <w:trHeight w:val="445"/>
        </w:trPr>
        <w:tc>
          <w:tcPr>
            <w:tcW w:w="290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In connection with a business combination, public stockholders</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(1) the number of public shares being converted by such public</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4"/>
              </w:rPr>
              <w:t>holder divided by the total number of public shares multiplied by</w:t>
            </w:r>
          </w:p>
        </w:tc>
      </w:tr>
      <w:tr>
        <w:trPr>
          <w:trHeight w:val="216"/>
        </w:trPr>
        <w:tc>
          <w:tcPr>
            <w:tcW w:w="290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(2) the amount then in the trust account (initially $10.00 per</w:t>
            </w:r>
          </w:p>
        </w:tc>
      </w:tr>
      <w:tr>
        <w:trPr>
          <w:trHeight w:val="230"/>
        </w:trPr>
        <w:tc>
          <w:tcPr>
            <w:tcW w:w="290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1"/>
              </w:rPr>
              <w:t>share), which includes the deferred underwriting commission, plus</w:t>
            </w:r>
          </w:p>
        </w:tc>
      </w:tr>
    </w:tbl>
    <w:p>
      <w:pPr>
        <w:jc w:val="both"/>
        <w:ind w:left="3640" w:right="559"/>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a pro rata portion of any interest earned on the funds held in the trust account and not previously released to us or necessary to pay our taxes. At any meeting called to approve an initial business combination, public stockholders may elect to convert their share regardless of whether or not they vote to approve the business combination.</w:t>
      </w:r>
    </w:p>
    <w:p>
      <w:pPr>
        <w:spacing w:after="0" w:line="221"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Chardan Capital Markets, LLC in an amount equal to 2% of the total gross proceeds raised in the offering as described elsewhere</w:t>
      </w:r>
    </w:p>
    <w:p>
      <w:pPr>
        <w:sectPr>
          <w:pgSz w:w="11900" w:h="16838" w:orient="portrait"/>
          <w:cols w:equalWidth="0" w:num="1">
            <w:col w:w="9019"/>
          </w:cols>
          <w:pgMar w:left="1440" w:top="324" w:right="1440" w:bottom="1095"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95" w:gutter="0" w:footer="0" w:header="0"/>
          <w:type w:val="continuous"/>
        </w:sectPr>
      </w:pPr>
    </w:p>
    <w:bookmarkStart w:id="20" w:name="page21"/>
    <w:bookmarkEnd w:id="20"/>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5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1" w:name="page22"/>
    <w:bookmarkEnd w:id="21"/>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243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8243570"/>
                    </a:xfrm>
                    <a:prstGeom prst="rect">
                      <a:avLst/>
                    </a:prstGeom>
                    <a:noFill/>
                  </pic:spPr>
                </pic:pic>
              </a:graphicData>
            </a:graphic>
          </wp:anchor>
        </w:drawing>
        <w:t>Release of funds in trust account 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closing of our initial</w:t>
      </w:r>
    </w:p>
    <w:p>
      <w:pPr>
        <w:spacing w:after="0" w:line="9" w:lineRule="exact"/>
        <w:rPr>
          <w:sz w:val="20"/>
          <w:szCs w:val="20"/>
          <w:color w:val="auto"/>
        </w:rPr>
      </w:pPr>
    </w:p>
    <w:p>
      <w:pPr>
        <w:jc w:val="both"/>
        <w:ind w:left="3640" w:right="559" w:hanging="2912"/>
        <w:spacing w:after="0" w:line="284" w:lineRule="auto"/>
        <w:tabs>
          <w:tab w:leader="none" w:pos="362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the underwriters their deferred underwriting commissions,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Liquidation</w:t>
            </w:r>
          </w:p>
        </w:tc>
        <w:tc>
          <w:tcPr>
            <w:tcW w:w="440" w:type="dxa"/>
            <w:vAlign w:val="bottom"/>
          </w:tcPr>
          <w:p>
            <w:pPr>
              <w:ind w:left="160"/>
              <w:spacing w:after="0"/>
              <w:rPr>
                <w:sz w:val="20"/>
                <w:szCs w:val="20"/>
                <w:color w:val="auto"/>
              </w:rPr>
            </w:pPr>
            <w:r>
              <w:rPr>
                <w:rFonts w:ascii="Arial" w:cs="Arial" w:eastAsia="Arial" w:hAnsi="Arial"/>
                <w:sz w:val="18"/>
                <w:szCs w:val="18"/>
                <w:b w:val="1"/>
                <w:bCs w:val="1"/>
                <w:color w:val="auto"/>
              </w:rPr>
              <w:t>if</w:t>
            </w: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no</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w w:val="99"/>
              </w:rPr>
              <w:t xml:space="preserve">business  </w:t>
            </w:r>
            <w:r>
              <w:rPr>
                <w:rFonts w:ascii="Arial" w:cs="Arial" w:eastAsia="Arial" w:hAnsi="Arial"/>
                <w:sz w:val="18"/>
                <w:szCs w:val="18"/>
                <w:color w:val="auto"/>
                <w:w w:val="99"/>
              </w:rPr>
              <w:t>If we are unable to complete our initial business combination</w:t>
            </w:r>
          </w:p>
        </w:tc>
      </w:tr>
      <w:tr>
        <w:trPr>
          <w:trHeight w:val="220"/>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combination</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8"/>
              </w:rPr>
              <w:t>within 18 months from the closing of this offering (or 21 months</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from the closing of this offering if we have executed a letter of</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7"/>
              </w:rPr>
              <w:t>intent or definitive agreement for a business combination within</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18  months  from  the  closing  of  this  offering  but  have  not</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4"/>
              </w:rPr>
              <w:t>completed such business combination with the 18-month period),</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we will (i) cease all operations except for the purpose of winding</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up, (ii) as promptly as reasonably possible but not more than ten</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4"/>
              </w:rPr>
              <w:t>business days thereafter, redeem 100% of the outstanding public</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5"/>
              </w:rPr>
              <w:t>shares for a pro rata portion of the funds held in the trust account</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which redemption will completely extinguish public stockholders’</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rights as stockholders (including the right to receive further</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5"/>
              </w:rPr>
              <w:t>liquidation distributions, if any), subject to applicable law, and (iii)</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8"/>
              </w:rPr>
              <w:t>as promptly as reasonably possible following such redemption,</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4"/>
              </w:rPr>
              <w:t>subject to the approval of our remaining holders of common stock</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and our board of directors, dissolve and liquidate, subject (in the</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5"/>
              </w:rPr>
              <w:t>case of (ii) and (iii) above) to our obligations under Delaware law</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9"/>
              </w:rPr>
              <w:t>to provide for claims of creditors and the requirements of other</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applicable law. If we execute a letter of intent or definitive</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agreement for our initial business combination within 18 months</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2"/>
              </w:rPr>
              <w:t>and we are unable to consummate that transaction for any reason,</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2"/>
              </w:rPr>
              <w:t>we would be free to consummate another business combination so</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long as we complete such transaction within 21 months from the</w:t>
            </w:r>
          </w:p>
        </w:tc>
      </w:tr>
      <w:tr>
        <w:trPr>
          <w:trHeight w:val="230"/>
        </w:trPr>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closing of this offering.</w:t>
            </w:r>
          </w:p>
        </w:tc>
      </w:tr>
      <w:tr>
        <w:trPr>
          <w:trHeight w:val="445"/>
        </w:trPr>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In connection with our redemption of 100% of our outstanding</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4"/>
              </w:rPr>
              <w:t>public shares, each holder will receive an amount equal to (1) the</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8"/>
              </w:rPr>
              <w:t>number of public shares being converted by such public holder</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6"/>
              </w:rPr>
              <w:t>divided by the total number of public shares multiplied by (2) the</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3"/>
              </w:rPr>
              <w:t>amount then in the trust account (initially $10.00 per share), which</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9"/>
              </w:rPr>
              <w:t>includes the deferred underwriting commission, plus a pro rata</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2"/>
              </w:rPr>
              <w:t>portion of any interest earned on the funds held in the trust account</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7"/>
              </w:rPr>
              <w:t>and not previously released to us or necessary to pay our taxes</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9"/>
              </w:rPr>
              <w:t>(subject in each case to our obligations under Delaware law to</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3"/>
              </w:rPr>
              <w:t>provide for claims of creditors). Holders of warrants will receive no</w:t>
            </w:r>
          </w:p>
        </w:tc>
      </w:tr>
      <w:tr>
        <w:trPr>
          <w:trHeight w:val="216"/>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w w:val="97"/>
              </w:rPr>
              <w:t>proceeds in connection with the liquidation with respect to such</w:t>
            </w:r>
          </w:p>
        </w:tc>
      </w:tr>
      <w:tr>
        <w:trPr>
          <w:trHeight w:val="230"/>
        </w:trPr>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tcPr>
          <w:p>
            <w:pPr>
              <w:ind w:left="960"/>
              <w:spacing w:after="0"/>
              <w:rPr>
                <w:sz w:val="20"/>
                <w:szCs w:val="20"/>
                <w:color w:val="auto"/>
              </w:rPr>
            </w:pPr>
            <w:r>
              <w:rPr>
                <w:rFonts w:ascii="Arial" w:cs="Arial" w:eastAsia="Arial" w:hAnsi="Arial"/>
                <w:sz w:val="18"/>
                <w:szCs w:val="18"/>
                <w:color w:val="auto"/>
              </w:rPr>
              <w:t>warrants, which will expire worthless.</w:t>
            </w:r>
          </w:p>
        </w:tc>
      </w:tr>
      <w:tr>
        <w:trPr>
          <w:trHeight w:val="172"/>
        </w:trPr>
        <w:tc>
          <w:tcPr>
            <w:tcW w:w="1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r>
      <w:tr>
        <w:trPr>
          <w:trHeight w:val="348"/>
        </w:trPr>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9019"/>
          </w:cols>
          <w:pgMar w:left="1440" w:top="324" w:right="1440" w:bottom="1440" w:gutter="0" w:footer="0" w:header="0"/>
        </w:sectPr>
      </w:pPr>
    </w:p>
    <w:bookmarkStart w:id="22" w:name="page23"/>
    <w:bookmarkEnd w:id="22"/>
    <w:p>
      <w:pPr>
        <w:jc w:val="both"/>
        <w:ind w:left="3640" w:right="559"/>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219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9850" cy="6219190"/>
                    </a:xfrm>
                    <a:prstGeom prst="rect">
                      <a:avLst/>
                    </a:prstGeom>
                    <a:noFill/>
                  </pic:spPr>
                </pic:pic>
              </a:graphicData>
            </a:graphic>
          </wp:anchor>
        </w:drawing>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$10.00.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5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5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430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9850" cy="5430520"/>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68"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September 11, 2015</w:t>
      </w:r>
    </w:p>
    <w:p>
      <w:pPr>
        <w:spacing w:after="0" w:line="32"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40" w:type="dxa"/>
            <w:vAlign w:val="bottom"/>
          </w:tcPr>
          <w:p>
            <w:pPr>
              <w:jc w:val="right"/>
              <w:ind w:right="482"/>
              <w:spacing w:after="0"/>
              <w:rPr>
                <w:sz w:val="20"/>
                <w:szCs w:val="20"/>
                <w:color w:val="auto"/>
              </w:rPr>
            </w:pPr>
            <w:r>
              <w:rPr>
                <w:rFonts w:ascii="Arial" w:cs="Arial" w:eastAsia="Arial" w:hAnsi="Arial"/>
                <w:sz w:val="16"/>
                <w:szCs w:val="16"/>
                <w:b w:val="1"/>
                <w:bCs w:val="1"/>
                <w:color w:val="auto"/>
              </w:rPr>
              <w:t>As</w:t>
            </w:r>
          </w:p>
        </w:tc>
      </w:tr>
      <w:tr>
        <w:trPr>
          <w:trHeight w:val="251"/>
        </w:trPr>
        <w:tc>
          <w:tcPr>
            <w:tcW w:w="5140" w:type="dxa"/>
            <w:vAlign w:val="bottom"/>
          </w:tcPr>
          <w:p>
            <w:pPr>
              <w:spacing w:after="0"/>
              <w:rPr>
                <w:sz w:val="21"/>
                <w:szCs w:val="21"/>
                <w:color w:val="auto"/>
              </w:rPr>
            </w:pPr>
          </w:p>
        </w:tc>
        <w:tc>
          <w:tcPr>
            <w:tcW w:w="1620" w:type="dxa"/>
            <w:vAlign w:val="bottom"/>
          </w:tcPr>
          <w:p>
            <w:pPr>
              <w:jc w:val="right"/>
              <w:ind w:right="361"/>
              <w:spacing w:after="0"/>
              <w:rPr>
                <w:sz w:val="20"/>
                <w:szCs w:val="20"/>
                <w:color w:val="auto"/>
              </w:rPr>
            </w:pPr>
            <w:r>
              <w:rPr>
                <w:rFonts w:ascii="Arial" w:cs="Arial" w:eastAsia="Arial" w:hAnsi="Arial"/>
                <w:sz w:val="16"/>
                <w:szCs w:val="16"/>
                <w:b w:val="1"/>
                <w:bCs w:val="1"/>
                <w:color w:val="auto"/>
              </w:rPr>
              <w:t>Actual</w:t>
            </w:r>
          </w:p>
        </w:tc>
        <w:tc>
          <w:tcPr>
            <w:tcW w:w="1140" w:type="dxa"/>
            <w:vAlign w:val="bottom"/>
          </w:tcPr>
          <w:p>
            <w:pPr>
              <w:jc w:val="right"/>
              <w:ind w:right="182"/>
              <w:spacing w:after="0" w:line="251" w:lineRule="exact"/>
              <w:rPr>
                <w:sz w:val="20"/>
                <w:szCs w:val="20"/>
                <w:color w:val="auto"/>
              </w:rPr>
            </w:pPr>
            <w:r>
              <w:rPr>
                <w:rFonts w:ascii="Arial" w:cs="Arial" w:eastAsia="Arial" w:hAnsi="Arial"/>
                <w:sz w:val="16"/>
                <w:szCs w:val="16"/>
                <w:b w:val="1"/>
                <w:bCs w:val="1"/>
                <w:color w:val="auto"/>
                <w:w w:val="95"/>
              </w:rPr>
              <w:t>Adjusted</w:t>
            </w:r>
            <w:r>
              <w:rPr>
                <w:rFonts w:ascii="Arial" w:cs="Arial" w:eastAsia="Arial" w:hAnsi="Arial"/>
                <w:sz w:val="27"/>
                <w:szCs w:val="27"/>
                <w:b w:val="1"/>
                <w:bCs w:val="1"/>
                <w:color w:val="auto"/>
                <w:w w:val="95"/>
                <w:vertAlign w:val="superscript"/>
              </w:rPr>
              <w:t>(1)</w:t>
            </w:r>
          </w:p>
        </w:tc>
      </w:t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(85,000)</w:t>
            </w:r>
          </w:p>
        </w:tc>
        <w:tc>
          <w:tcPr>
            <w:tcW w:w="1140" w:type="dxa"/>
            <w:vAlign w:val="bottom"/>
          </w:tcPr>
          <w:p>
            <w:pPr>
              <w:jc w:val="right"/>
              <w:ind w:right="82"/>
              <w:spacing w:after="0"/>
              <w:rPr>
                <w:sz w:val="20"/>
                <w:szCs w:val="20"/>
                <w:color w:val="auto"/>
              </w:rPr>
            </w:pPr>
            <w:r>
              <w:rPr>
                <w:rFonts w:ascii="Arial" w:cs="Arial" w:eastAsia="Arial" w:hAnsi="Arial"/>
                <w:sz w:val="18"/>
                <w:szCs w:val="18"/>
                <w:color w:val="auto"/>
              </w:rPr>
              <w:t>49,549,057</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1620" w:type="dxa"/>
            <w:vAlign w:val="bottom"/>
          </w:tcPr>
          <w:p>
            <w:pPr>
              <w:jc w:val="right"/>
              <w:ind w:right="101"/>
              <w:spacing w:after="0"/>
              <w:rPr>
                <w:sz w:val="20"/>
                <w:szCs w:val="20"/>
                <w:color w:val="auto"/>
              </w:rPr>
            </w:pPr>
            <w:r>
              <w:rPr>
                <w:rFonts w:ascii="Arial" w:cs="Arial" w:eastAsia="Arial" w:hAnsi="Arial"/>
                <w:sz w:val="18"/>
                <w:szCs w:val="18"/>
                <w:color w:val="auto"/>
              </w:rPr>
              <w:t>113,957</w:t>
            </w:r>
          </w:p>
        </w:tc>
        <w:tc>
          <w:tcPr>
            <w:tcW w:w="1140" w:type="dxa"/>
            <w:vAlign w:val="bottom"/>
          </w:tcPr>
          <w:p>
            <w:pPr>
              <w:jc w:val="right"/>
              <w:ind w:right="82"/>
              <w:spacing w:after="0"/>
              <w:rPr>
                <w:sz w:val="20"/>
                <w:szCs w:val="20"/>
                <w:color w:val="auto"/>
              </w:rPr>
            </w:pPr>
            <w:r>
              <w:rPr>
                <w:rFonts w:ascii="Arial" w:cs="Arial" w:eastAsia="Arial" w:hAnsi="Arial"/>
                <w:sz w:val="18"/>
                <w:szCs w:val="18"/>
                <w:color w:val="auto"/>
              </w:rPr>
              <w:t>50,549,057</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Total liabilities</w:t>
            </w:r>
          </w:p>
        </w:tc>
        <w:tc>
          <w:tcPr>
            <w:tcW w:w="1620" w:type="dxa"/>
            <w:vAlign w:val="bottom"/>
          </w:tcPr>
          <w:p>
            <w:pPr>
              <w:jc w:val="right"/>
              <w:ind w:right="101"/>
              <w:spacing w:after="0"/>
              <w:rPr>
                <w:sz w:val="20"/>
                <w:szCs w:val="20"/>
                <w:color w:val="auto"/>
              </w:rPr>
            </w:pPr>
            <w:r>
              <w:rPr>
                <w:rFonts w:ascii="Arial" w:cs="Arial" w:eastAsia="Arial" w:hAnsi="Arial"/>
                <w:sz w:val="18"/>
                <w:szCs w:val="18"/>
                <w:color w:val="auto"/>
              </w:rPr>
              <w:t>90,000</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r>
      <w:tr>
        <w:trPr>
          <w:trHeight w:val="55"/>
        </w:trPr>
        <w:tc>
          <w:tcPr>
            <w:tcW w:w="5140" w:type="dxa"/>
            <w:vAlign w:val="bottom"/>
          </w:tcPr>
          <w:p>
            <w:pPr>
              <w:spacing w:after="0" w:line="56" w:lineRule="exact"/>
              <w:rPr>
                <w:sz w:val="20"/>
                <w:szCs w:val="20"/>
                <w:color w:val="auto"/>
              </w:rPr>
            </w:pPr>
            <w:r>
              <w:rPr>
                <w:rFonts w:ascii="Arial" w:cs="Arial" w:eastAsia="Arial" w:hAnsi="Arial"/>
                <w:sz w:val="6"/>
                <w:szCs w:val="6"/>
                <w:color w:val="auto"/>
              </w:rPr>
              <w:t>Value of common stock subject to possible conversion/tender</w:t>
            </w:r>
          </w:p>
        </w:tc>
        <w:tc>
          <w:tcPr>
            <w:tcW w:w="1620" w:type="dxa"/>
            <w:vAlign w:val="bottom"/>
          </w:tcPr>
          <w:p>
            <w:pPr>
              <w:jc w:val="right"/>
              <w:ind w:right="101"/>
              <w:spacing w:after="0" w:line="56" w:lineRule="exact"/>
              <w:rPr>
                <w:sz w:val="20"/>
                <w:szCs w:val="20"/>
                <w:color w:val="auto"/>
              </w:rPr>
            </w:pPr>
            <w:r>
              <w:rPr>
                <w:rFonts w:ascii="Arial" w:cs="Arial" w:eastAsia="Arial" w:hAnsi="Arial"/>
                <w:sz w:val="6"/>
                <w:szCs w:val="6"/>
                <w:color w:val="auto"/>
              </w:rPr>
              <w:t>—</w:t>
            </w:r>
          </w:p>
        </w:tc>
        <w:tc>
          <w:tcPr>
            <w:tcW w:w="1140" w:type="dxa"/>
            <w:vAlign w:val="bottom"/>
          </w:tcPr>
          <w:p>
            <w:pPr>
              <w:jc w:val="right"/>
              <w:ind w:right="82"/>
              <w:spacing w:after="0" w:line="56" w:lineRule="exact"/>
              <w:rPr>
                <w:sz w:val="20"/>
                <w:szCs w:val="20"/>
                <w:color w:val="auto"/>
              </w:rPr>
            </w:pPr>
            <w:r>
              <w:rPr>
                <w:rFonts w:ascii="Arial" w:cs="Arial" w:eastAsia="Arial" w:hAnsi="Arial"/>
                <w:sz w:val="6"/>
                <w:szCs w:val="6"/>
                <w:color w:val="auto"/>
              </w:rPr>
              <w:t>44,549,050</w:t>
            </w:r>
          </w:p>
        </w:tc>
      </w:tr>
      <w:tr>
        <w:trPr>
          <w:trHeight w:val="190"/>
        </w:trPr>
        <w:tc>
          <w:tcPr>
            <w:tcW w:w="5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68"/>
        </w:trPr>
        <w:tc>
          <w:tcPr>
            <w:tcW w:w="5140" w:type="dxa"/>
            <w:vAlign w:val="bottom"/>
          </w:tcPr>
          <w:p>
            <w:pPr>
              <w:spacing w:after="0"/>
              <w:rPr>
                <w:sz w:val="20"/>
                <w:szCs w:val="20"/>
                <w:color w:val="auto"/>
              </w:rPr>
            </w:pPr>
            <w:r>
              <w:rPr>
                <w:rFonts w:ascii="Arial" w:cs="Arial" w:eastAsia="Arial" w:hAnsi="Arial"/>
                <w:sz w:val="18"/>
                <w:szCs w:val="18"/>
                <w:color w:val="auto"/>
              </w:rPr>
              <w:t>Stockholders’ equity</w:t>
            </w:r>
          </w:p>
        </w:tc>
        <w:tc>
          <w:tcPr>
            <w:tcW w:w="1620" w:type="dxa"/>
            <w:vAlign w:val="bottom"/>
          </w:tcPr>
          <w:p>
            <w:pPr>
              <w:jc w:val="right"/>
              <w:ind w:right="101"/>
              <w:spacing w:after="0"/>
              <w:rPr>
                <w:sz w:val="20"/>
                <w:szCs w:val="20"/>
                <w:color w:val="auto"/>
              </w:rPr>
            </w:pPr>
            <w:r>
              <w:rPr>
                <w:rFonts w:ascii="Arial" w:cs="Arial" w:eastAsia="Arial" w:hAnsi="Arial"/>
                <w:sz w:val="18"/>
                <w:szCs w:val="18"/>
                <w:color w:val="auto"/>
              </w:rPr>
              <w:t>23,957</w:t>
            </w:r>
          </w:p>
        </w:tc>
        <w:tc>
          <w:tcPr>
            <w:tcW w:w="1140" w:type="dxa"/>
            <w:vAlign w:val="bottom"/>
          </w:tcPr>
          <w:p>
            <w:pPr>
              <w:jc w:val="right"/>
              <w:ind w:right="82"/>
              <w:spacing w:after="0"/>
              <w:rPr>
                <w:sz w:val="20"/>
                <w:szCs w:val="20"/>
                <w:color w:val="auto"/>
              </w:rPr>
            </w:pPr>
            <w:r>
              <w:rPr>
                <w:rFonts w:ascii="Arial" w:cs="Arial" w:eastAsia="Arial" w:hAnsi="Arial"/>
                <w:sz w:val="18"/>
                <w:szCs w:val="18"/>
                <w:color w:val="auto"/>
              </w:rPr>
              <w:t>5,000,007</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____________</w:t>
            </w:r>
          </w:p>
        </w:tc>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$2,500,000 we will receive from the sale of the private units.</w:t>
      </w:r>
    </w:p>
    <w:p>
      <w:pPr>
        <w:spacing w:after="0" w:line="9" w:lineRule="exact"/>
        <w:rPr>
          <w:rFonts w:ascii="Arial" w:cs="Arial" w:eastAsia="Arial" w:hAnsi="Arial"/>
          <w:sz w:val="18"/>
          <w:szCs w:val="18"/>
          <w:color w:val="auto"/>
        </w:rPr>
      </w:pPr>
    </w:p>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4,454,905 shares of common stock which may be converted, representing the maximum number of shares that may be converted or sold while maintaining at least $5,000,001 in net tangible assets after this offering, multiplied by a conversion price of $10.00.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$50,000,000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$50,000,000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As of September 11, 2015, we had $5,000 in cash and a working capital deficiency of $85,000.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6" w:name="page27"/>
    <w:bookmarkEnd w:id="26"/>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determine to amend certain agreements made by our management team, many of the disclosures contained in this prospectus regarding our those agreements would no longer apply.</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7" w:name="page28"/>
    <w:bookmarkEnd w:id="27"/>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8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approximately 40,125,000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64" w:lineRule="exact"/>
        <w:rPr>
          <w:rFonts w:ascii="Arial" w:cs="Arial" w:eastAsia="Arial" w:hAnsi="Arial"/>
          <w:sz w:val="18"/>
          <w:szCs w:val="18"/>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178" w:val="left"/>
        </w:tabs>
        <w:numPr>
          <w:ilvl w:val="1"/>
          <w:numId w:val="10"/>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25" w:lineRule="exact"/>
        <w:rPr>
          <w:sz w:val="20"/>
          <w:szCs w:val="20"/>
          <w:color w:val="auto"/>
        </w:rPr>
      </w:pPr>
    </w:p>
    <w:p>
      <w:pPr>
        <w:ind w:left="1120" w:right="459" w:hanging="333"/>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funds held in the trust account may not earn significant interest and, as a result, we may be limited to the funds held outside of the trust account to fund our search for target businesses, to pay our tax obligations and to complete our initial business combination.</w:t>
      </w:r>
    </w:p>
    <w:p>
      <w:pPr>
        <w:spacing w:after="0" w:line="14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Of the net proceeds of this offering, $525,000 is anticipated to be available to us initially outside the trust account to fund our working capital requirements. We will depend on sufficient interest being earned on the proceeds held in the trust account to provide us with additional working capital we will need to identify one or more target businesses and to complete our initial business combination, as well as to pay any tax obligations that we may owe. Interest rates on permissible investments for us have been less than 1% over the last several years. Accordingly, if we do not earn a sufficient amount of interest on the funds held in the trust account and use all of the funds held outside of the trust account, we may not have sufficient funds available</w:t>
      </w:r>
    </w:p>
    <w:p>
      <w:pPr>
        <w:sectPr>
          <w:pgSz w:w="11900" w:h="16838" w:orient="portrait"/>
          <w:cols w:equalWidth="0" w:num="1">
            <w:col w:w="9019"/>
          </w:cols>
          <w:pgMar w:left="1440" w:top="341"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8" w:name="page29"/>
    <w:bookmarkEnd w:id="28"/>
    <w:p>
      <w:pPr>
        <w:jc w:val="both"/>
        <w:ind w:left="460" w:right="459"/>
        <w:spacing w:after="0" w:line="257" w:lineRule="auto"/>
        <w:rPr>
          <w:sz w:val="20"/>
          <w:szCs w:val="20"/>
          <w:color w:val="auto"/>
        </w:rPr>
      </w:pPr>
      <w:r>
        <w:rPr>
          <w:rFonts w:ascii="Arial" w:cs="Arial" w:eastAsia="Arial" w:hAnsi="Arial"/>
          <w:sz w:val="18"/>
          <w:szCs w:val="18"/>
          <w:color w:val="auto"/>
        </w:rPr>
        <w:t>with which to structure, negotiate or close our initial business combination. In such event, we would need to borrow funds from our 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and any interest earned on the funds in the trust account remaining after interest is released to pay our income or other tax obligations.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7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or interest released to us from the trust account for our working capital requirements.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75"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$10.00.</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w:t>
      </w:r>
    </w:p>
    <w:p>
      <w:pPr>
        <w:sectPr>
          <w:pgSz w:w="11900" w:h="16838" w:orient="portrait"/>
          <w:cols w:equalWidth="0" w:num="1">
            <w:col w:w="9019"/>
          </w:cols>
          <w:pgMar w:left="1440" w:top="30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72" w:lineRule="auto"/>
        <w:rPr>
          <w:sz w:val="20"/>
          <w:szCs w:val="20"/>
          <w:color w:val="auto"/>
        </w:rPr>
      </w:pPr>
      <w:r>
        <w:rPr>
          <w:rFonts w:ascii="Arial" w:cs="Arial" w:eastAsia="Arial" w:hAnsi="Arial"/>
          <w:sz w:val="17"/>
          <w:szCs w:val="17"/>
          <w:color w:val="auto"/>
        </w:rPr>
        <w:t>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 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$10.00 due to such claims.</w:t>
      </w:r>
    </w:p>
    <w:p>
      <w:pPr>
        <w:spacing w:after="0" w:line="15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have not completed our initial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but the business combination has not been consummated within such 18-month period),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6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6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0" w:name="page31"/>
    <w:bookmarkEnd w:id="30"/>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1" w:name="page32"/>
    <w:bookmarkEnd w:id="31"/>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3" w:name="page34"/>
    <w:bookmarkEnd w:id="33"/>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4" w:name="page35"/>
    <w:bookmarkEnd w:id="34"/>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5" w:name="page36"/>
    <w:bookmarkEnd w:id="35"/>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However, our officers, directors and their affiliates could purchase shares in this offering pursuant to the directed unit program.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w:t>
      </w:r>
    </w:p>
    <w:p>
      <w:pPr>
        <w:sectPr>
          <w:pgSz w:w="11900" w:h="16838" w:orient="portrait"/>
          <w:cols w:equalWidth="0" w:num="1">
            <w:col w:w="9019"/>
          </w:cols>
          <w:pgMar w:left="1440" w:top="34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460" w:right="459"/>
        <w:spacing w:after="0" w:line="264" w:lineRule="auto"/>
        <w:rPr>
          <w:sz w:val="20"/>
          <w:szCs w:val="20"/>
          <w:color w:val="auto"/>
        </w:rPr>
      </w:pPr>
      <w:r>
        <w:rPr>
          <w:rFonts w:ascii="Arial" w:cs="Arial" w:eastAsia="Arial" w:hAnsi="Arial"/>
          <w:sz w:val="18"/>
          <w:szCs w:val="18"/>
          <w:color w:val="auto"/>
        </w:rPr>
        <w:t>immediately before this offering as well as the private shares and any shares of common stock acquired in this offering or in the aftermarket in favor of such proposed business combination, and therefore will have a significant influence on the vote.</w:t>
      </w:r>
    </w:p>
    <w:p>
      <w:pPr>
        <w:spacing w:after="0" w:line="18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3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75.6% or $7.56 per share (the difference between the pro forma net tangible book value per share of $2.44, and the initial offering price of $10.00 per share), taking into account that the net tangible book value per share prior to this offering was ($0.07). This is because investors in this offering will be contributing approximately 95.2% of the total amount paid to us for our outstanding shares of common stock after this offering but will only own 76.9%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5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01"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7" w:name="page38"/>
    <w:bookmarkEnd w:id="37"/>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8" w:name="page39"/>
    <w:bookmarkEnd w:id="38"/>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$10.00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49"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have 18 months from the closing of this offering (or 21 months from the closing of this offering if we have executed a letter of intent or definitive agreement for an initial business combination within 18 months from the closing of this offering but have not completed the business combination within such 18-month period)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6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9" w:name="page40"/>
    <w:bookmarkEnd w:id="39"/>
    <w:p>
      <w:pPr>
        <w:jc w:val="both"/>
        <w:ind w:left="460" w:right="459"/>
        <w:spacing w:after="0" w:line="277" w:lineRule="auto"/>
        <w:rPr>
          <w:sz w:val="20"/>
          <w:szCs w:val="20"/>
          <w:color w:val="auto"/>
        </w:rPr>
      </w:pPr>
      <w:r>
        <w:rPr>
          <w:rFonts w:ascii="Arial" w:cs="Arial" w:eastAsia="Arial" w:hAnsi="Arial"/>
          <w:sz w:val="18"/>
          <w:szCs w:val="18"/>
          <w:color w:val="auto"/>
        </w:rPr>
        <w:t>Such standards used will be disclosed in our tender offer documents or proxy solicitation materials, as applicable, related to our initial business combination</w:t>
      </w:r>
    </w:p>
    <w:p>
      <w:pPr>
        <w:spacing w:after="0" w:line="17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161"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5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01"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0" w:name="page41"/>
    <w:bookmarkEnd w:id="40"/>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1" w:name="page42"/>
    <w:bookmarkEnd w:id="41"/>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5"/>
              </w:rPr>
              <w:t>Over-Allotment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Over-Allotment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3"/>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Gross proceeds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From offering</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50,000,000</w:t>
            </w:r>
          </w:p>
        </w:tc>
        <w:tc>
          <w:tcPr>
            <w:tcW w:w="140" w:type="dxa"/>
            <w:vAlign w:val="bottom"/>
          </w:tcPr>
          <w:p>
            <w:pPr>
              <w:spacing w:after="0"/>
              <w:rPr>
                <w:sz w:val="22"/>
                <w:szCs w:val="22"/>
                <w:color w:val="auto"/>
              </w:rPr>
            </w:pPr>
          </w:p>
        </w:tc>
        <w:tc>
          <w:tcPr>
            <w:tcW w:w="3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380" w:type="dxa"/>
            <w:vAlign w:val="bottom"/>
            <w:vMerge w:val="restart"/>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52,500,000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60,225,000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80" w:type="dxa"/>
            <w:vAlign w:val="bottom"/>
            <w:vMerge w:val="restart"/>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21"/>
                <w:szCs w:val="21"/>
                <w:color w:val="auto"/>
                <w:vertAlign w:val="superscript"/>
              </w:rPr>
              <w:t>(1)</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Non-contingent underwriting discount (3.0% of gross proceeds from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1,725,000</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w w:val="96"/>
              </w:rPr>
              <w:t>Deferred underwriting discount (2.0% of gross proceeds from offering)</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20,769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20,769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380" w:type="dxa"/>
            <w:vAlign w:val="bottom"/>
            <w:vMerge w:val="restart"/>
          </w:tcPr>
          <w:p>
            <w:pPr>
              <w:spacing w:after="0"/>
              <w:rPr>
                <w:sz w:val="20"/>
                <w:szCs w:val="20"/>
                <w:color w:val="auto"/>
              </w:rPr>
            </w:pPr>
            <w:r>
              <w:rPr>
                <w:rFonts w:ascii="Arial" w:cs="Arial" w:eastAsia="Arial" w:hAnsi="Arial"/>
                <w:sz w:val="18"/>
                <w:szCs w:val="18"/>
                <w:color w:val="auto"/>
              </w:rPr>
              <w:t>Total offering expenses</w:t>
            </w: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380" w:type="dxa"/>
            <w:vAlign w:val="bottom"/>
          </w:tcPr>
          <w:p>
            <w:pPr>
              <w:spacing w:after="0"/>
              <w:rPr>
                <w:sz w:val="20"/>
                <w:szCs w:val="20"/>
                <w:color w:val="auto"/>
              </w:rPr>
            </w:pPr>
            <w:r>
              <w:rPr>
                <w:rFonts w:ascii="Arial" w:cs="Arial" w:eastAsia="Arial" w:hAnsi="Arial"/>
                <w:sz w:val="18"/>
                <w:szCs w:val="18"/>
                <w:color w:val="auto"/>
              </w:rPr>
              <w:t>Net proceeds</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49,525,000</w:t>
            </w:r>
          </w:p>
        </w:tc>
        <w:tc>
          <w:tcPr>
            <w:tcW w:w="140" w:type="dxa"/>
            <w:vAlign w:val="bottom"/>
          </w:tcPr>
          <w:p>
            <w:pPr>
              <w:spacing w:after="0"/>
              <w:rPr>
                <w:sz w:val="24"/>
                <w:szCs w:val="24"/>
                <w:color w:val="auto"/>
              </w:rPr>
            </w:pPr>
          </w:p>
        </w:tc>
        <w:tc>
          <w:tcPr>
            <w:tcW w:w="3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56,875,000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21"/>
                <w:szCs w:val="21"/>
                <w:color w:val="auto"/>
                <w:vertAlign w:val="superscript"/>
              </w:rPr>
              <w:t>(3)</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50,000,000</w:t>
            </w: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20"/>
                <w:szCs w:val="20"/>
                <w:color w:val="auto"/>
              </w:rPr>
            </w:pPr>
          </w:p>
        </w:tc>
        <w:tc>
          <w:tcPr>
            <w:tcW w:w="3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380" w:type="dxa"/>
            <w:vAlign w:val="bottom"/>
          </w:tcPr>
          <w:p>
            <w:pPr>
              <w:spacing w:after="0"/>
              <w:rPr>
                <w:sz w:val="20"/>
                <w:szCs w:val="20"/>
                <w:color w:val="auto"/>
              </w:rPr>
            </w:pPr>
            <w:r>
              <w:rPr>
                <w:rFonts w:ascii="Arial" w:cs="Arial" w:eastAsia="Arial" w:hAnsi="Arial"/>
                <w:sz w:val="18"/>
                <w:szCs w:val="18"/>
                <w:color w:val="auto"/>
                <w:w w:val="93"/>
              </w:rPr>
              <w:t>Use of net proceeds not held in the trust account and amounts available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from interest income earned on the trust account</w:t>
            </w:r>
            <w:r>
              <w:rPr>
                <w:rFonts w:ascii="Arial" w:cs="Arial" w:eastAsia="Arial" w:hAnsi="Arial"/>
                <w:sz w:val="21"/>
                <w:szCs w:val="21"/>
                <w:color w:val="auto"/>
                <w:vertAlign w:val="superscript"/>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2"/>
              </w:rPr>
              <w:t>Legal, accounting and other third party expenses attendant to the search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w w:val="92"/>
              </w:rPr>
              <w:t>for target businesses and to the due diligence investigation, structuring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and negotiation of our initial business combination</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18"/>
                <w:szCs w:val="18"/>
                <w:color w:val="auto"/>
                <w:w w:val="93"/>
              </w:rPr>
              <w:t>Due diligence of prospective target businesses by officers, directors and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18"/>
                <w:szCs w:val="18"/>
                <w:color w:val="auto"/>
                <w:w w:val="93"/>
              </w:rPr>
              <w:t>Payment of administrative fee to Magna Management LLC ($10,000 per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w w:val="97"/>
              </w:rPr>
              <w:t>month for up to 21 months), subject to deferral as described herein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18"/>
                <w:szCs w:val="18"/>
                <w:color w:val="auto"/>
              </w:rPr>
              <w:t>Working capital to cover miscellaneous expenses, D&amp;O insurance,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general corporate purposes, liquidation obligations and reserves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53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525,000</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81" w:lineRule="auto"/>
        <w:tabs>
          <w:tab w:leader="none" w:pos="8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funds held in the trust account may, but need not, be used to pay our expenses relating to completing our initial business combination, including a deferred underwriting commission payable to Chardan Capital Markets, LLC in an amount equal to 2% of the total gross proceeds raised in the offering described below.</w:t>
      </w:r>
    </w:p>
    <w:p>
      <w:pPr>
        <w:spacing w:after="0" w:line="2" w:lineRule="exact"/>
        <w:rPr>
          <w:rFonts w:ascii="Arial" w:cs="Arial" w:eastAsia="Arial" w:hAnsi="Arial"/>
          <w:sz w:val="16"/>
          <w:szCs w:val="16"/>
          <w:color w:val="auto"/>
        </w:rPr>
      </w:pPr>
    </w:p>
    <w:p>
      <w:pPr>
        <w:jc w:val="both"/>
        <w:ind w:left="780" w:right="459" w:hanging="318"/>
        <w:spacing w:after="0" w:line="281" w:lineRule="auto"/>
        <w:tabs>
          <w:tab w:leader="none" w:pos="7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of proceeds not held in the trust account will remain constant at approximately $525,000 even if the over-allotment option is exercised. In addition, interest income earned on the amounts held in the trust account (after payment of taxes owed on such interest income) will be available to us to pay for our working capital requirements. We estimate the interest earned on the trust account will be approximately $87,500 over a 21-month period assuming an interest rate of approximately 0.1% per year.</w:t>
      </w:r>
    </w:p>
    <w:p>
      <w:pPr>
        <w:spacing w:after="0" w:line="3" w:lineRule="exact"/>
        <w:rPr>
          <w:rFonts w:ascii="Arial" w:cs="Arial" w:eastAsia="Arial" w:hAnsi="Arial"/>
          <w:sz w:val="16"/>
          <w:szCs w:val="16"/>
          <w:color w:val="auto"/>
        </w:rPr>
      </w:pPr>
    </w:p>
    <w:p>
      <w:pPr>
        <w:jc w:val="both"/>
        <w:ind w:left="780" w:right="459" w:hanging="318"/>
        <w:spacing w:after="0" w:line="253"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ectPr>
          <w:pgSz w:w="11900" w:h="16838" w:orient="portrait"/>
          <w:cols w:equalWidth="0" w:num="1">
            <w:col w:w="9019"/>
          </w:cols>
          <w:pgMar w:left="1440" w:top="337" w:right="1440"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4" w:name="page45"/>
    <w:bookmarkEnd w:id="44"/>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$2,500,000)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22,500 private units) that is necessary to maintain in the trust account an amount equal to $10.00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$50,000,000, or $57,500,000 if the over-allotment option is exercised in full, of net proceeds of this offering and the sale of the private units will be placed in a trust account in the United States at Morgan Stanley Bank, N.A.,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(1) interest earned on the funds held in the trust account that may be released to us to pay our income or other tax obligations and (2) interest earned on the funds held in the trust account that may be released to us for our working capital requirements,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2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Regardless of whether the over-allotment option is exercised in full, the net proceeds from this offering available to us out of trust for our working capital requirements in searching for our initial business combination will be approximately $525,000. In addition, interest earned on the funds held in the trust account (after payment of taxes owed on such interest income) may be released to us to fund our working capital requirements in searching for our initial business combination. We intend to use the after-tax interest earned for miscellaneous expenses such as paying fees to consultants to assist us with our search for a target business and for director and officer liability insurance premiums, with the balance being held in reserve in the event due diligence, legal, accounting and other expenses of structuring and negotiating business combinations exceed our estimates, as well as for reimbursement of any out-of-pocket expenses incurred by our insiders, officers and directors in connection with activities on our behalf as described below.</w:t>
      </w:r>
    </w:p>
    <w:p>
      <w:pPr>
        <w:spacing w:after="0" w:line="14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along with the interest earned on the funds held in the trust account available to us,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or the amount of interest available to us from the trust account is insufficient as a result of the current low interest rate environment, we may be required to raise additional capital, the amount, availability and cost of which is currently unascertainable. In this event, we could seek such additional capital through loans or additional investments from our insiders,</w:t>
      </w:r>
    </w:p>
    <w:p>
      <w:pPr>
        <w:sectPr>
          <w:pgSz w:w="11900" w:h="16838" w:orient="portrait"/>
          <w:cols w:equalWidth="0" w:num="1">
            <w:col w:w="9019"/>
          </w:cols>
          <w:pgMar w:left="1440" w:top="301" w:right="1440" w:bottom="1440" w:gutter="0" w:footer="0" w:header="0"/>
        </w:sectPr>
      </w:pP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5" w:name="page46"/>
    <w:bookmarkEnd w:id="45"/>
    <w:p>
      <w:pPr>
        <w:jc w:val="both"/>
        <w:ind w:left="460" w:right="459"/>
        <w:spacing w:after="0" w:line="277" w:lineRule="auto"/>
        <w:rPr>
          <w:sz w:val="20"/>
          <w:szCs w:val="20"/>
          <w:color w:val="auto"/>
        </w:rPr>
      </w:pPr>
      <w:r>
        <w:rPr>
          <w:rFonts w:ascii="Arial" w:cs="Arial" w:eastAsia="Arial" w:hAnsi="Arial"/>
          <w:sz w:val="18"/>
          <w:szCs w:val="18"/>
          <w:color w:val="auto"/>
        </w:rPr>
        <w:t>members of our management team or third parties, but our insiders, members of our management team or third parties are not under any obligation to advance funds to, or invest in, us.</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Chardan Capital Markets, LLC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September 11, 2015, M SPAC LLC, an entity controlled by Joshua Sason, our Chief Executive Officer, had loaned to us $35,000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3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center"/>
        <w:ind w:right="140"/>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600"/>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600"/>
        <w:spacing w:after="0" w:line="268" w:lineRule="auto"/>
        <w:rPr>
          <w:sz w:val="20"/>
          <w:szCs w:val="20"/>
          <w:color w:val="auto"/>
        </w:rPr>
      </w:pPr>
      <w:r>
        <w:rPr>
          <w:rFonts w:ascii="Arial" w:cs="Arial" w:eastAsia="Arial" w:hAnsi="Arial"/>
          <w:sz w:val="17"/>
          <w:szCs w:val="17"/>
          <w:color w:val="auto"/>
        </w:rPr>
        <w:t>At September 11, 2015, our net tangible book value was $(85,000), or approximately ($0.07) per share.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September 11, 2015 would have been $5,000,007 or $2.44 (or $2.20 if the underwriters exercise their over-allotment option in full) per share, representing an immediate increase in net tangible book value of $2.51 (or $2.27 if the underwriters exercise their over-allotment option in full) per share to our insiders and an immediate dilution of 75.6% (or 78.0% if the underwriters exercise their over-allotment option in full) per share or $7.56 (or $7.80 if the underwriters exercise their over-allotment option in full) to new investors not exercising their conversion rights. For purposes of presentation, our pro forma net tangible book value after this offering is $44,549,050 (or $51,899,050 if the underwriters exercise their over-allotment option in full) less than it otherwise would have been because if we effect our initial business combination, the conversion rights of the public stockholders (but not our insiders) may result in the conversion or tender of up to 4,454,905 (or 5,189,905 if the underwriters exercise their over-allotment option in full) shares sold in this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rPr>
              <w:t>Dilution to new investors</w:t>
            </w:r>
          </w:p>
        </w:tc>
        <w:tc>
          <w:tcPr>
            <w:tcW w:w="30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-1148715</wp:posOffset>
            </wp:positionV>
            <wp:extent cx="1595120" cy="1132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95120" cy="1132205"/>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3"/>
                <w:szCs w:val="13"/>
                <w:b w:val="1"/>
                <w:bCs w:val="1"/>
                <w:color w:val="auto"/>
              </w:rPr>
              <w:t>Without Over-allotment</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0"/>
          </w:tcPr>
          <w:p>
            <w:pPr>
              <w:jc w:val="right"/>
              <w:ind w:right="860"/>
              <w:spacing w:after="0"/>
              <w:rPr>
                <w:sz w:val="20"/>
                <w:szCs w:val="20"/>
                <w:color w:val="auto"/>
              </w:rPr>
            </w:pPr>
            <w:r>
              <w:rPr>
                <w:rFonts w:ascii="Arial" w:cs="Arial" w:eastAsia="Arial" w:hAnsi="Arial"/>
                <w:sz w:val="13"/>
                <w:szCs w:val="13"/>
                <w:b w:val="1"/>
                <w:bCs w:val="1"/>
                <w:color w:val="auto"/>
              </w:rPr>
              <w:t>With Over-allotment</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580" w:type="dxa"/>
            <w:vAlign w:val="bottom"/>
            <w:gridSpan w:val="4"/>
          </w:tcPr>
          <w:p>
            <w:pPr>
              <w:ind w:left="300"/>
              <w:spacing w:after="0" w:line="129" w:lineRule="exact"/>
              <w:rPr>
                <w:sz w:val="20"/>
                <w:szCs w:val="20"/>
                <w:color w:val="auto"/>
              </w:rPr>
            </w:pPr>
            <w:r>
              <w:rPr>
                <w:rFonts w:ascii="Arial" w:cs="Arial" w:eastAsia="Arial" w:hAnsi="Arial"/>
                <w:sz w:val="13"/>
                <w:szCs w:val="13"/>
                <w:b w:val="1"/>
                <w:bCs w:val="1"/>
                <w:color w:val="auto"/>
              </w:rPr>
              <w:t>Shares Purchased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right"/>
              <w:ind w:right="440"/>
              <w:spacing w:after="0" w:line="129" w:lineRule="exact"/>
              <w:rPr>
                <w:sz w:val="20"/>
                <w:szCs w:val="20"/>
                <w:color w:val="auto"/>
              </w:rPr>
            </w:pPr>
            <w:r>
              <w:rPr>
                <w:rFonts w:ascii="Arial" w:cs="Arial" w:eastAsia="Arial" w:hAnsi="Arial"/>
                <w:sz w:val="13"/>
                <w:szCs w:val="13"/>
                <w:b w:val="1"/>
                <w:bCs w:val="1"/>
                <w:color w:val="auto"/>
                <w:w w:val="99"/>
              </w:rPr>
              <w:t>Total Consideration</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40" w:type="dxa"/>
            <w:vAlign w:val="bottom"/>
          </w:tcPr>
          <w:p>
            <w:pPr>
              <w:spacing w:after="0"/>
              <w:rPr>
                <w:sz w:val="11"/>
                <w:szCs w:val="11"/>
                <w:color w:val="auto"/>
              </w:rPr>
            </w:pPr>
          </w:p>
        </w:tc>
        <w:tc>
          <w:tcPr>
            <w:tcW w:w="1560" w:type="dxa"/>
            <w:vAlign w:val="bottom"/>
            <w:gridSpan w:val="4"/>
          </w:tcPr>
          <w:p>
            <w:pPr>
              <w:ind w:left="300"/>
              <w:spacing w:after="0" w:line="129" w:lineRule="exact"/>
              <w:rPr>
                <w:sz w:val="20"/>
                <w:szCs w:val="20"/>
                <w:color w:val="auto"/>
              </w:rPr>
            </w:pPr>
            <w:r>
              <w:rPr>
                <w:rFonts w:ascii="Arial" w:cs="Arial" w:eastAsia="Arial" w:hAnsi="Arial"/>
                <w:sz w:val="13"/>
                <w:szCs w:val="13"/>
                <w:b w:val="1"/>
                <w:bCs w:val="1"/>
                <w:color w:val="auto"/>
              </w:rPr>
              <w:t>Shares Purchased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6"/>
          </w:tcPr>
          <w:p>
            <w:pPr>
              <w:jc w:val="right"/>
              <w:ind w:right="460"/>
              <w:spacing w:after="0" w:line="129" w:lineRule="exact"/>
              <w:rPr>
                <w:sz w:val="20"/>
                <w:szCs w:val="20"/>
                <w:color w:val="auto"/>
              </w:rPr>
            </w:pPr>
            <w:r>
              <w:rPr>
                <w:rFonts w:ascii="Arial" w:cs="Arial" w:eastAsia="Arial" w:hAnsi="Arial"/>
                <w:sz w:val="13"/>
                <w:szCs w:val="13"/>
                <w:b w:val="1"/>
                <w:bCs w:val="1"/>
                <w:color w:val="auto"/>
                <w:w w:val="99"/>
              </w:rPr>
              <w:t>Total Consideration</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per</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per</w:t>
            </w: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8"/>
              </w:rPr>
              <w:t>Percentage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8"/>
              </w:rPr>
              <w:t>Percentage</w:t>
            </w:r>
          </w:p>
        </w:tc>
        <w:tc>
          <w:tcPr>
            <w:tcW w:w="16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w:t>
            </w:r>
          </w:p>
        </w:tc>
        <w:tc>
          <w:tcPr>
            <w:tcW w:w="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Number</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Percentage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Percentage</w:t>
            </w:r>
          </w:p>
        </w:tc>
        <w:tc>
          <w:tcPr>
            <w:tcW w:w="16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31"/>
        </w:trPr>
        <w:tc>
          <w:tcPr>
            <w:tcW w:w="720" w:type="dxa"/>
            <w:vAlign w:val="bottom"/>
            <w:vMerge w:val="continue"/>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4"/>
              </w:rPr>
              <w:t>1,250,000</w:t>
            </w:r>
            <w:r>
              <w:rPr>
                <w:rFonts w:ascii="Arial" w:cs="Arial" w:eastAsia="Arial" w:hAnsi="Arial"/>
                <w:sz w:val="22"/>
                <w:szCs w:val="22"/>
                <w:color w:val="auto"/>
                <w:w w:val="84"/>
                <w:vertAlign w:val="superscript"/>
              </w:rPr>
              <w:t>(1)</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80"/>
              <w:spacing w:after="0"/>
              <w:rPr>
                <w:sz w:val="20"/>
                <w:szCs w:val="20"/>
                <w:color w:val="auto"/>
              </w:rPr>
            </w:pPr>
            <w:r>
              <w:rPr>
                <w:rFonts w:ascii="Arial" w:cs="Arial" w:eastAsia="Arial" w:hAnsi="Arial"/>
                <w:sz w:val="14"/>
                <w:szCs w:val="14"/>
                <w:color w:val="auto"/>
              </w:rPr>
              <w:t>shares</w:t>
            </w:r>
          </w:p>
        </w:tc>
        <w:tc>
          <w:tcPr>
            <w:tcW w:w="740" w:type="dxa"/>
            <w:vAlign w:val="bottom"/>
            <w:gridSpan w:val="2"/>
            <w:vMerge w:val="continue"/>
          </w:tcPr>
          <w:p>
            <w:pPr>
              <w:spacing w:after="0"/>
              <w:rPr>
                <w:sz w:val="16"/>
                <w:szCs w:val="16"/>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19.23% $</w:t>
            </w:r>
          </w:p>
        </w:tc>
        <w:tc>
          <w:tcPr>
            <w:tcW w:w="640" w:type="dxa"/>
            <w:vAlign w:val="bottom"/>
          </w:tcPr>
          <w:p>
            <w:pPr>
              <w:jc w:val="right"/>
              <w:spacing w:after="0"/>
              <w:rPr>
                <w:sz w:val="20"/>
                <w:szCs w:val="20"/>
                <w:color w:val="auto"/>
              </w:rPr>
            </w:pPr>
            <w:r>
              <w:rPr>
                <w:rFonts w:ascii="Arial" w:cs="Arial" w:eastAsia="Arial" w:hAnsi="Arial"/>
                <w:sz w:val="14"/>
                <w:szCs w:val="14"/>
                <w:color w:val="auto"/>
              </w:rPr>
              <w:t>25,000</w:t>
            </w:r>
          </w:p>
        </w:tc>
        <w:tc>
          <w:tcPr>
            <w:tcW w:w="1040" w:type="dxa"/>
            <w:vAlign w:val="bottom"/>
            <w:gridSpan w:val="5"/>
          </w:tcPr>
          <w:p>
            <w:pPr>
              <w:jc w:val="right"/>
              <w:ind w:right="60"/>
              <w:spacing w:after="0"/>
              <w:rPr>
                <w:sz w:val="20"/>
                <w:szCs w:val="20"/>
                <w:color w:val="auto"/>
              </w:rPr>
            </w:pPr>
            <w:r>
              <w:rPr>
                <w:rFonts w:ascii="Arial" w:cs="Arial" w:eastAsia="Arial" w:hAnsi="Arial"/>
                <w:sz w:val="14"/>
                <w:szCs w:val="14"/>
                <w:color w:val="auto"/>
              </w:rPr>
              <w:t>0.05% $</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19.27%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1040" w:type="dxa"/>
            <w:vAlign w:val="bottom"/>
            <w:gridSpan w:val="5"/>
          </w:tcPr>
          <w:p>
            <w:pPr>
              <w:jc w:val="right"/>
              <w:ind w:right="80"/>
              <w:spacing w:after="0"/>
              <w:rPr>
                <w:sz w:val="20"/>
                <w:szCs w:val="20"/>
                <w:color w:val="auto"/>
              </w:rPr>
            </w:pPr>
            <w:r>
              <w:rPr>
                <w:rFonts w:ascii="Arial" w:cs="Arial" w:eastAsia="Arial" w:hAnsi="Arial"/>
                <w:sz w:val="14"/>
                <w:szCs w:val="14"/>
                <w:color w:val="auto"/>
              </w:rPr>
              <w:t>0.04% $</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9"/>
              </w:rPr>
              <w:t>250,000</w:t>
            </w:r>
            <w:r>
              <w:rPr>
                <w:rFonts w:ascii="Arial" w:cs="Arial" w:eastAsia="Arial" w:hAnsi="Arial"/>
                <w:sz w:val="22"/>
                <w:szCs w:val="22"/>
                <w:color w:val="auto"/>
                <w:w w:val="99"/>
                <w:vertAlign w:val="superscript"/>
              </w:rPr>
              <w:t>(2)</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272,500</w:t>
            </w:r>
            <w:r>
              <w:rPr>
                <w:rFonts w:ascii="Arial" w:cs="Arial" w:eastAsia="Arial" w:hAnsi="Arial"/>
                <w:sz w:val="22"/>
                <w:szCs w:val="22"/>
                <w:color w:val="auto"/>
                <w:vertAlign w:val="superscript"/>
              </w:rPr>
              <w:t>(3)</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180"/>
              <w:spacing w:after="0"/>
              <w:rPr>
                <w:sz w:val="20"/>
                <w:szCs w:val="20"/>
                <w:color w:val="auto"/>
              </w:rPr>
            </w:pPr>
            <w:r>
              <w:rPr>
                <w:rFonts w:ascii="Arial" w:cs="Arial" w:eastAsia="Arial" w:hAnsi="Arial"/>
                <w:sz w:val="14"/>
                <w:szCs w:val="14"/>
                <w:color w:val="auto"/>
              </w:rPr>
              <w:t>shares</w:t>
            </w:r>
          </w:p>
        </w:tc>
        <w:tc>
          <w:tcPr>
            <w:tcW w:w="740" w:type="dxa"/>
            <w:vAlign w:val="bottom"/>
            <w:gridSpan w:val="2"/>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2,500,000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780" w:type="dxa"/>
            <w:vAlign w:val="bottom"/>
            <w:gridSpan w:val="3"/>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2,725,000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180"/>
              <w:spacing w:after="0"/>
              <w:rPr>
                <w:sz w:val="20"/>
                <w:szCs w:val="20"/>
                <w:color w:val="auto"/>
              </w:rPr>
            </w:pPr>
            <w:r>
              <w:rPr>
                <w:rFonts w:ascii="Arial" w:cs="Arial" w:eastAsia="Arial" w:hAnsi="Arial"/>
                <w:sz w:val="14"/>
                <w:szCs w:val="14"/>
                <w:color w:val="auto"/>
                <w:w w:val="92"/>
              </w:rPr>
              <w:t>investors</w:t>
            </w:r>
          </w:p>
        </w:tc>
        <w:tc>
          <w:tcPr>
            <w:tcW w:w="580" w:type="dxa"/>
            <w:vAlign w:val="bottom"/>
          </w:tcPr>
          <w:p>
            <w:pPr>
              <w:jc w:val="right"/>
              <w:spacing w:after="0"/>
              <w:rPr>
                <w:sz w:val="20"/>
                <w:szCs w:val="20"/>
                <w:color w:val="auto"/>
              </w:rPr>
            </w:pPr>
            <w:r>
              <w:rPr>
                <w:rFonts w:ascii="Arial" w:cs="Arial" w:eastAsia="Arial" w:hAnsi="Arial"/>
                <w:sz w:val="14"/>
                <w:szCs w:val="14"/>
                <w:color w:val="auto"/>
                <w:w w:val="86"/>
              </w:rPr>
              <w:t>5,000,000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76.92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50,000,000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95.19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3"/>
              </w:rPr>
              <w:t>5,750,000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57,500,000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95.44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6,500,000</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52,525,000</w:t>
            </w:r>
          </w:p>
        </w:tc>
        <w:tc>
          <w:tcPr>
            <w:tcW w:w="4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7,460,000</w:t>
            </w:r>
          </w:p>
        </w:tc>
        <w:tc>
          <w:tcPr>
            <w:tcW w:w="1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60,250,000</w:t>
            </w:r>
          </w:p>
        </w:tc>
        <w:tc>
          <w:tcPr>
            <w:tcW w:w="4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10795</wp:posOffset>
            </wp:positionV>
            <wp:extent cx="50685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-130175</wp:posOffset>
            </wp:positionV>
            <wp:extent cx="50685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0"/>
          <w:szCs w:val="20"/>
          <w:color w:val="auto"/>
        </w:rPr>
      </w:pPr>
    </w:p>
    <w:p>
      <w:pPr>
        <w:ind w:left="800" w:hanging="33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over-allotment is not exercised and the forfeiture of an aggregate of 187,500 insider shares.</w:t>
      </w:r>
    </w:p>
    <w:p>
      <w:pPr>
        <w:spacing w:after="0" w:line="9" w:lineRule="exact"/>
        <w:rPr>
          <w:rFonts w:ascii="Arial" w:cs="Arial" w:eastAsia="Arial" w:hAnsi="Arial"/>
          <w:sz w:val="18"/>
          <w:szCs w:val="18"/>
          <w:color w:val="auto"/>
        </w:rPr>
      </w:pPr>
    </w:p>
    <w:p>
      <w:pPr>
        <w:ind w:left="780" w:right="600" w:hanging="318"/>
        <w:spacing w:after="0" w:line="250"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250,000 private shares underlying the private units issued simultaneously with the consummation of this offering.</w:t>
      </w:r>
    </w:p>
    <w:p>
      <w:pPr>
        <w:ind w:left="780" w:right="600" w:hanging="318"/>
        <w:spacing w:after="0" w:line="261"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272,500 private shares underlying the private units issued simultaneously with the consummation of this offering.</w:t>
      </w:r>
    </w:p>
    <w:p>
      <w:pPr>
        <w:spacing w:after="0" w:line="10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160"/>
          </w:cols>
          <w:pgMar w:left="1440" w:top="337" w:right="1299" w:bottom="1440" w:gutter="0" w:footer="0" w:header="0"/>
        </w:sectPr>
      </w:pPr>
    </w:p>
    <w:bookmarkStart w:id="48" w:name="page49"/>
    <w:bookmarkEnd w:id="48"/>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46"/>
              <w:spacing w:after="0"/>
              <w:rPr>
                <w:sz w:val="20"/>
                <w:szCs w:val="20"/>
                <w:color w:val="auto"/>
              </w:rPr>
            </w:pPr>
            <w:r>
              <w:rPr>
                <w:rFonts w:ascii="Arial" w:cs="Arial" w:eastAsia="Arial" w:hAnsi="Arial"/>
                <w:sz w:val="16"/>
                <w:szCs w:val="16"/>
                <w:b w:val="1"/>
                <w:bCs w:val="1"/>
                <w:color w:val="auto"/>
                <w:w w:val="93"/>
              </w:rPr>
              <w:t>Without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46"/>
              <w:spacing w:after="0"/>
              <w:rPr>
                <w:sz w:val="20"/>
                <w:szCs w:val="20"/>
                <w:color w:val="auto"/>
              </w:rPr>
            </w:pPr>
            <w:r>
              <w:rPr>
                <w:rFonts w:ascii="Arial" w:cs="Arial" w:eastAsia="Arial" w:hAnsi="Arial"/>
                <w:sz w:val="16"/>
                <w:szCs w:val="16"/>
                <w:b w:val="1"/>
                <w:bCs w:val="1"/>
                <w:color w:val="auto"/>
                <w:w w:val="95"/>
              </w:rPr>
              <w:t>Over-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6"/>
                <w:szCs w:val="16"/>
                <w:b w:val="1"/>
                <w:bCs w:val="1"/>
                <w:color w:val="auto"/>
                <w:w w:val="92"/>
              </w:rPr>
              <w:t>Allotment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
              <w:spacing w:after="0"/>
              <w:rPr>
                <w:sz w:val="20"/>
                <w:szCs w:val="20"/>
                <w:color w:val="auto"/>
              </w:rPr>
            </w:pPr>
            <w:r>
              <w:rPr>
                <w:rFonts w:ascii="Arial" w:cs="Arial" w:eastAsia="Arial" w:hAnsi="Arial"/>
                <w:sz w:val="18"/>
                <w:szCs w:val="18"/>
                <w:color w:val="auto"/>
              </w:rPr>
              <w:t>(85,000)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Net proceeds from this offering and private placement of private units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49,525,000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56,875,000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40" w:type="dxa"/>
            <w:vAlign w:val="bottom"/>
          </w:tcPr>
          <w:p>
            <w:pPr>
              <w:spacing w:after="0"/>
              <w:rPr>
                <w:sz w:val="20"/>
                <w:szCs w:val="20"/>
                <w:color w:val="auto"/>
              </w:rPr>
            </w:pPr>
            <w:r>
              <w:rPr>
                <w:rFonts w:ascii="Arial" w:cs="Arial" w:eastAsia="Arial" w:hAnsi="Arial"/>
                <w:sz w:val="18"/>
                <w:szCs w:val="18"/>
                <w:color w:val="auto"/>
                <w:w w:val="91"/>
              </w:rPr>
              <w:t>Plus: Offering costs accrued for and paid in advance, excluded tangible book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Less: Proceeds held in the trust account subject to conversion/tender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(44,549,050)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(51,899,050)</w:t>
            </w:r>
          </w:p>
        </w:tc>
        <w:tc>
          <w:tcPr>
            <w:tcW w:w="0" w:type="dxa"/>
            <w:vAlign w:val="bottom"/>
          </w:tcPr>
          <w:p>
            <w:pPr>
              <w:spacing w:after="0"/>
              <w:rPr>
                <w:sz w:val="1"/>
                <w:szCs w:val="1"/>
                <w:color w:val="auto"/>
              </w:rPr>
            </w:pPr>
          </w:p>
        </w:tc>
      </w:tr>
      <w:tr>
        <w:trPr>
          <w:trHeight w:val="41"/>
        </w:trPr>
        <w:tc>
          <w:tcPr>
            <w:tcW w:w="56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74"/>
              </w:rPr>
              <w:t>(1)</w:t>
            </w:r>
          </w:p>
        </w:tc>
        <w:tc>
          <w:tcPr>
            <w:tcW w:w="14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1,250,000</w:t>
            </w:r>
            <w:r>
              <w:rPr>
                <w:rFonts w:ascii="Arial" w:cs="Arial" w:eastAsia="Arial" w:hAnsi="Arial"/>
                <w:sz w:val="10"/>
                <w:szCs w:val="10"/>
                <w:color w:val="auto"/>
              </w:rPr>
              <w:t>(2)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1,437,500</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5,750,000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272,500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8"/>
                <w:szCs w:val="18"/>
                <w:color w:val="auto"/>
                <w:w w:val="99"/>
              </w:rPr>
              <w:t>(4,454,905)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(5,189,905)</w:t>
            </w:r>
          </w:p>
        </w:tc>
        <w:tc>
          <w:tcPr>
            <w:tcW w:w="0" w:type="dxa"/>
            <w:vAlign w:val="bottom"/>
          </w:tcPr>
          <w:p>
            <w:pPr>
              <w:spacing w:after="0"/>
              <w:rPr>
                <w:sz w:val="1"/>
                <w:szCs w:val="1"/>
                <w:color w:val="auto"/>
              </w:rPr>
            </w:pPr>
          </w:p>
        </w:tc>
      </w:tr>
      <w:tr>
        <w:trPr>
          <w:trHeight w:val="41"/>
        </w:trPr>
        <w:tc>
          <w:tcPr>
            <w:tcW w:w="5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74"/>
              </w:rPr>
              <w:t>(3)</w:t>
            </w: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2,045,095</w:t>
            </w:r>
          </w:p>
        </w:tc>
        <w:tc>
          <w:tcPr>
            <w:tcW w:w="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2,270,095</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September 11, 2015 and as adjusted to give effect to the sale of our units offered by this prospectus and the private units and the application of the estimated net proceeds derived from the sale of such securities: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6"/>
                <w:szCs w:val="16"/>
                <w:b w:val="1"/>
                <w:bCs w:val="1"/>
                <w:color w:val="auto"/>
              </w:rPr>
              <w:t>September 11, 2015</w:t>
            </w: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line="230" w:lineRule="exact"/>
              <w:rPr>
                <w:sz w:val="20"/>
                <w:szCs w:val="20"/>
                <w:color w:val="auto"/>
              </w:rPr>
            </w:pPr>
            <w:r>
              <w:rPr>
                <w:rFonts w:ascii="Arial" w:cs="Arial" w:eastAsia="Arial" w:hAnsi="Arial"/>
                <w:sz w:val="16"/>
                <w:szCs w:val="16"/>
                <w:b w:val="1"/>
                <w:bCs w:val="1"/>
                <w:color w:val="auto"/>
                <w:w w:val="91"/>
              </w:rPr>
              <w:t xml:space="preserve">Adjusted </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Notes payable to related &amp; unrelated parties</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Deferred underwriting commissions payable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spacing w:after="0"/>
              <w:rPr>
                <w:sz w:val="20"/>
                <w:szCs w:val="20"/>
                <w:color w:val="auto"/>
              </w:rPr>
            </w:pPr>
            <w:r>
              <w:rPr>
                <w:rFonts w:ascii="Arial" w:cs="Arial" w:eastAsia="Arial" w:hAnsi="Arial"/>
                <w:sz w:val="18"/>
                <w:szCs w:val="18"/>
                <w:color w:val="auto"/>
                <w:w w:val="91"/>
              </w:rPr>
              <w:t>Common stock, $.001 par value; 0 and 4,454,905 shares which are subject</w:t>
            </w: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to conversion/tender</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44,549,050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00" w:type="dxa"/>
            <w:vAlign w:val="bottom"/>
          </w:tcPr>
          <w:p>
            <w:pPr>
              <w:spacing w:after="0"/>
              <w:rPr>
                <w:sz w:val="20"/>
                <w:szCs w:val="20"/>
                <w:color w:val="auto"/>
              </w:rPr>
            </w:pPr>
            <w:r>
              <w:rPr>
                <w:rFonts w:ascii="Arial" w:cs="Arial" w:eastAsia="Arial" w:hAnsi="Arial"/>
                <w:sz w:val="18"/>
                <w:szCs w:val="18"/>
                <w:color w:val="auto"/>
                <w:w w:val="91"/>
              </w:rPr>
              <w:t>Preferred stock, $.001 par value, 1,000,000 shares authorized; none issued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500" w:type="dxa"/>
            <w:vAlign w:val="bottom"/>
          </w:tcPr>
          <w:p>
            <w:pPr>
              <w:spacing w:after="0"/>
              <w:rPr>
                <w:sz w:val="20"/>
                <w:szCs w:val="20"/>
                <w:color w:val="auto"/>
              </w:rPr>
            </w:pPr>
            <w:r>
              <w:rPr>
                <w:rFonts w:ascii="Arial" w:cs="Arial" w:eastAsia="Arial" w:hAnsi="Arial"/>
                <w:sz w:val="18"/>
                <w:szCs w:val="18"/>
                <w:color w:val="auto"/>
                <w:w w:val="92"/>
              </w:rPr>
              <w:t>Common stock, $.001 par value, 50,000,000 shares authorized; 1,437,500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line="216" w:lineRule="exact"/>
              <w:rPr>
                <w:sz w:val="20"/>
                <w:szCs w:val="20"/>
                <w:color w:val="auto"/>
              </w:rPr>
            </w:pPr>
            <w:r>
              <w:rPr>
                <w:rFonts w:ascii="Arial" w:cs="Arial" w:eastAsia="Arial" w:hAnsi="Arial"/>
                <w:sz w:val="18"/>
                <w:szCs w:val="18"/>
                <w:color w:val="auto"/>
                <w:w w:val="94"/>
              </w:rPr>
              <w:t>shares issued and outstanding, actual; 2,045,095</w:t>
            </w:r>
            <w:r>
              <w:rPr>
                <w:rFonts w:ascii="Arial" w:cs="Arial" w:eastAsia="Arial" w:hAnsi="Arial"/>
                <w:sz w:val="21"/>
                <w:szCs w:val="21"/>
                <w:color w:val="auto"/>
                <w:w w:val="94"/>
                <w:vertAlign w:val="superscript"/>
              </w:rPr>
              <w:t>(3)</w:t>
            </w:r>
            <w:r>
              <w:rPr>
                <w:rFonts w:ascii="Arial" w:cs="Arial" w:eastAsia="Arial" w:hAnsi="Arial"/>
                <w:sz w:val="18"/>
                <w:szCs w:val="18"/>
                <w:color w:val="auto"/>
                <w:w w:val="94"/>
              </w:rPr>
              <w:t xml:space="preserve"> shares issued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outstanding (excluding 4,454,905 shares subject to possible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conversion/tender), as adjusted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23,562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4,999,005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41"/>
        </w:trPr>
        <w:tc>
          <w:tcPr>
            <w:tcW w:w="550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113,957</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50,549,057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50" w:lineRule="auto"/>
        <w:tabs>
          <w:tab w:leader="none" w:pos="8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$2,500,000 in aggregate we will receive from the sale of the private units. Assumes the over-allotment option has not been exercised.</w:t>
      </w:r>
    </w:p>
    <w:p>
      <w:pPr>
        <w:jc w:val="both"/>
        <w:ind w:left="780" w:right="459" w:hanging="318"/>
        <w:spacing w:after="0" w:line="250" w:lineRule="auto"/>
        <w:tabs>
          <w:tab w:leader="none" w:pos="7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payable to related party of $35,000 and unrelated party of $55,000 are promissory notes issued in the aggregate amount of $90,000.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0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September 11, 2015, we had $5,000 in cash and a working capital deficiency of $85,000.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$90,000 that are more fully described below. Our expenses through the date of this prospectus have been $1,043. We estimate that the net proceeds from (1) the sale of the units in this offering, after deducting offering expenses of approximately $475,000 and underwriting discounts and commissions of $2,500,000 (or $2,875,000 if the over-allotment option is exercised in full) and (2) the sale of the private units for an aggregate purchase price of $2,500,000 (or $2,750,000 if the over-allotment option is exercised in full), will be $49,525,000 (or $56,875,000 if the over-allotment option is exercised in full). $50,000,000 (or $57,500,000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and the interest earned on the trust account balance (net of income, and other tax obligations) that may be released to us to fund our working capital requirements, which we anticipate will be approximately $87,500,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42" w:lineRule="exact"/>
        <w:rPr>
          <w:sz w:val="20"/>
          <w:szCs w:val="20"/>
          <w:color w:val="auto"/>
        </w:rPr>
      </w:pPr>
    </w:p>
    <w:p>
      <w:pPr>
        <w:jc w:val="both"/>
        <w:ind w:left="1120" w:right="459" w:hanging="333"/>
        <w:spacing w:after="0" w:line="264" w:lineRule="auto"/>
        <w:tabs>
          <w:tab w:leader="none" w:pos="11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2" w:name="page53"/>
    <w:bookmarkEnd w:id="52"/>
    <w:p>
      <w:pPr>
        <w:jc w:val="both"/>
        <w:ind w:left="460" w:right="459"/>
        <w:spacing w:after="0" w:line="259" w:lineRule="auto"/>
        <w:rPr>
          <w:sz w:val="20"/>
          <w:szCs w:val="20"/>
          <w:color w:val="auto"/>
        </w:rPr>
      </w:pPr>
      <w:r>
        <w:rPr>
          <w:rFonts w:ascii="Arial" w:cs="Arial" w:eastAsia="Arial" w:hAnsi="Arial"/>
          <w:sz w:val="18"/>
          <w:szCs w:val="18"/>
          <w:color w:val="auto"/>
        </w:rPr>
        <w:t>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September 11, 2015, M SPAC LLC, an entity controlled by Joshua Sason, our Chief Executive Officer, had loaned to us $35,000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an entity controlled by Joshua Sason, our Chief Executive Officer, (and/or its designees) has committed that they will purchase an aggregate of 250,000 private units at $10.00 per private unit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5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2016.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37" w:lineRule="exact"/>
        <w:rPr>
          <w:sz w:val="20"/>
          <w:szCs w:val="20"/>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3" w:name="page54"/>
    <w:bookmarkEnd w:id="53"/>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6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0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September 11, 2015,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20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Our management has extensive experience in the technology, media and telecommunications industries as managers, principals, advisors or directors of companies operating in or providing services to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 in or providing services to the technology, media and telecommunications industries, although we will not be limited to the technology, media and telecommunications industries.</w:t>
      </w:r>
    </w:p>
    <w:p>
      <w:pPr>
        <w:spacing w:after="0" w:line="13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7" w:name="page58"/>
    <w:bookmarkEnd w:id="57"/>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8" w:name="page59"/>
    <w:bookmarkEnd w:id="58"/>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Chardan Capital Markets, LLC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21 months from the closing of this offering if we have executed a letter of intent or definitive agreement for a business combination within 18 months from the closing of this offering but have not consummated the business combination with such 18-month period) in order to be able to receive a portion of the trust account.</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125,001, or 1.9% (if the approval requirement was a majority of shares voted and the minimum number of shares required for a quorum attended the meeting), and a maximum of approximately 1,750,001, or 26.9%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1" w:name="page62"/>
    <w:bookmarkEnd w:id="61"/>
    <w:p>
      <w:pPr>
        <w:jc w:val="both"/>
        <w:ind w:left="460" w:right="459"/>
        <w:spacing w:after="0" w:line="284" w:lineRule="auto"/>
        <w:rPr>
          <w:sz w:val="20"/>
          <w:szCs w:val="20"/>
          <w:color w:val="auto"/>
        </w:rPr>
      </w:pPr>
      <w:r>
        <w:rPr>
          <w:rFonts w:ascii="Arial" w:cs="Arial" w:eastAsia="Arial" w:hAnsi="Arial"/>
          <w:sz w:val="16"/>
          <w:szCs w:val="16"/>
          <w:color w:val="auto"/>
        </w:rPr>
        <w:t>None of our officers, directors, director nominees, insiders or their affiliates has committed to purchase units or shares of common stock in this offering or from persons in the open market or in private transactions. However, our officers, directors and their affiliates could purchase shares in this offering pursuant to the directed unit program. In addition, if we hold a meeting to approve a proposed business combination and a significant number of stockholders vote, or indicate an intention to vote, against such proposed business combination, our officers, directors, insiders or their affiliates could make such purchases in the open market or in private transactions in order to influence the vote. Notwithstanding the foregoing, our officers, directors, insiders or their affiliates will not make purchases of shares of common stock if the purchases would violate Section 9(a)</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or Rule 10b-5 of the Exchange Act.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20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$10.00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4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6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14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foregoing is different from the procedures used by many blank check companies. Traditionally, in order to perfect conversion rights in connection with a blank check company’s business combination, the company would distribute proxy materials for the</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2" w:name="page63"/>
    <w:bookmarkEnd w:id="62"/>
    <w:p>
      <w:pPr>
        <w:jc w:val="both"/>
        <w:ind w:left="460" w:right="459"/>
        <w:spacing w:after="0" w:line="269" w:lineRule="auto"/>
        <w:rPr>
          <w:sz w:val="20"/>
          <w:szCs w:val="20"/>
          <w:color w:val="auto"/>
        </w:rPr>
      </w:pPr>
      <w:r>
        <w:rPr>
          <w:rFonts w:ascii="Arial" w:cs="Arial" w:eastAsia="Arial" w:hAnsi="Arial"/>
          <w:sz w:val="17"/>
          <w:szCs w:val="17"/>
          <w:color w:val="auto"/>
        </w:rPr>
        <w:t>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15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4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do not complete a business combination within 18 months from the closing of this offering (or 21 months from the closing of this offering if we have entered into a letter of intent or definitive agreement for a business combination within 18 months from the closing of this offering but the business combination has not been completed within such 18-month period), we will (i) cease all operations except for the purpose of winding up,</w:t>
      </w:r>
    </w:p>
    <w:p>
      <w:pPr>
        <w:spacing w:after="0" w:line="2" w:lineRule="exact"/>
        <w:rPr>
          <w:sz w:val="20"/>
          <w:szCs w:val="20"/>
          <w:color w:val="auto"/>
        </w:rPr>
      </w:pPr>
    </w:p>
    <w:p>
      <w:pPr>
        <w:jc w:val="both"/>
        <w:ind w:left="460" w:right="459" w:firstLine="2"/>
        <w:spacing w:after="0" w:line="281" w:lineRule="auto"/>
        <w:tabs>
          <w:tab w:leader="none" w:pos="75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w:t>
      </w:r>
    </w:p>
    <w:p>
      <w:pPr>
        <w:spacing w:after="0" w:line="2" w:lineRule="exact"/>
        <w:rPr>
          <w:rFonts w:ascii="Arial" w:cs="Arial" w:eastAsia="Arial" w:hAnsi="Arial"/>
          <w:sz w:val="16"/>
          <w:szCs w:val="16"/>
          <w:color w:val="auto"/>
        </w:rPr>
      </w:pPr>
    </w:p>
    <w:p>
      <w:pPr>
        <w:jc w:val="both"/>
        <w:ind w:left="460" w:right="459" w:firstLine="2"/>
        <w:spacing w:after="0" w:line="277" w:lineRule="auto"/>
        <w:tabs>
          <w:tab w:leader="none" w:pos="7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and (iii) above) to our obligations under Delaware law to provide for claims of creditors and the requirements of other applicable law. At such time, the warrants will expire and holders of warrants will receive nothing upon a liquidation with respect to such warrants, and the warrants will be worthless.</w:t>
      </w:r>
    </w:p>
    <w:p>
      <w:pPr>
        <w:spacing w:after="0" w:line="14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3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w:t>
      </w:r>
    </w:p>
    <w:p>
      <w:pPr>
        <w:spacing w:after="0" w:line="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redeem our public shares as soon as reasonably possible following the 18</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or 21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4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3" w:name="page64"/>
    <w:bookmarkEnd w:id="63"/>
    <w:p>
      <w:pPr>
        <w:jc w:val="both"/>
        <w:ind w:left="460" w:right="459"/>
        <w:spacing w:after="0" w:line="277" w:lineRule="auto"/>
        <w:rPr>
          <w:sz w:val="20"/>
          <w:szCs w:val="20"/>
          <w:color w:val="auto"/>
        </w:rPr>
      </w:pPr>
      <w:r>
        <w:rPr>
          <w:rFonts w:ascii="Arial" w:cs="Arial" w:eastAsia="Arial" w:hAnsi="Arial"/>
          <w:sz w:val="18"/>
          <w:szCs w:val="18"/>
          <w:color w:val="auto"/>
        </w:rPr>
        <w:t>complete an initial business combination, the only likely claims to arise would be from our vendors (such as lawyers, investment bankers, etc.) or prospective target businesses.</w:t>
      </w:r>
    </w:p>
    <w:p>
      <w:pPr>
        <w:spacing w:after="0" w:line="14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6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and from the interest income on the balance of the trust account (net income and other tax obligations) that may be released to us to fund our working capital requirements.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3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27"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39" w:lineRule="exact"/>
        <w:rPr>
          <w:sz w:val="20"/>
          <w:szCs w:val="20"/>
          <w:color w:val="auto"/>
        </w:rPr>
      </w:pPr>
    </w:p>
    <w:p>
      <w:pPr>
        <w:jc w:val="both"/>
        <w:ind w:left="1120" w:right="459" w:hanging="333"/>
        <w:spacing w:after="0" w:line="271" w:lineRule="auto"/>
        <w:tabs>
          <w:tab w:leader="none" w:pos="12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38" w:lineRule="exact"/>
        <w:rPr>
          <w:rFonts w:ascii="Arial" w:cs="Arial" w:eastAsia="Arial" w:hAnsi="Arial"/>
          <w:sz w:val="17"/>
          <w:szCs w:val="17"/>
          <w:color w:val="auto"/>
        </w:rPr>
      </w:pPr>
    </w:p>
    <w:p>
      <w:pPr>
        <w:jc w:val="both"/>
        <w:ind w:left="1120" w:right="459" w:hanging="333"/>
        <w:spacing w:after="0" w:line="259" w:lineRule="auto"/>
        <w:tabs>
          <w:tab w:leader="none" w:pos="1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59" w:lineRule="exact"/>
        <w:rPr>
          <w:rFonts w:ascii="Arial" w:cs="Arial" w:eastAsia="Arial" w:hAnsi="Arial"/>
          <w:sz w:val="18"/>
          <w:szCs w:val="18"/>
          <w:color w:val="auto"/>
        </w:rPr>
      </w:pPr>
    </w:p>
    <w:p>
      <w:pPr>
        <w:jc w:val="both"/>
        <w:ind w:left="1120" w:right="459" w:hanging="333"/>
        <w:spacing w:after="0" w:line="264" w:lineRule="auto"/>
        <w:tabs>
          <w:tab w:leader="none" w:pos="11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consummation of this offering, $50,000,000, or $57,500,000 if the over-allotment option is exercised in full, shall be placed into the trust account;</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06" w:lineRule="exact"/>
        <w:rPr>
          <w:sz w:val="20"/>
          <w:szCs w:val="20"/>
          <w:color w:val="auto"/>
        </w:rPr>
      </w:pPr>
    </w:p>
    <w:p>
      <w:pPr>
        <w:jc w:val="both"/>
        <w:ind w:left="1120" w:right="459" w:hanging="333"/>
        <w:spacing w:after="0" w:line="264" w:lineRule="auto"/>
        <w:tabs>
          <w:tab w:leader="none" w:pos="11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5" w:name="page66"/>
    <w:bookmarkEnd w:id="65"/>
    <w:p>
      <w:pPr>
        <w:jc w:val="both"/>
        <w:ind w:left="1120" w:right="459" w:hanging="333"/>
        <w:spacing w:after="0" w:line="264"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54" w:lineRule="exact"/>
        <w:rPr>
          <w:rFonts w:ascii="Arial" w:cs="Arial" w:eastAsia="Arial" w:hAnsi="Arial"/>
          <w:sz w:val="18"/>
          <w:szCs w:val="18"/>
          <w:color w:val="auto"/>
        </w:rPr>
      </w:pPr>
    </w:p>
    <w:p>
      <w:pPr>
        <w:jc w:val="both"/>
        <w:ind w:left="1120" w:right="459" w:hanging="333"/>
        <w:spacing w:after="0" w:line="259"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3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43" w:lineRule="exact"/>
        <w:rPr>
          <w:sz w:val="20"/>
          <w:szCs w:val="20"/>
          <w:color w:val="auto"/>
        </w:rPr>
      </w:pPr>
    </w:p>
    <w:p>
      <w:pPr>
        <w:jc w:val="both"/>
        <w:ind w:left="1120" w:right="459" w:hanging="333"/>
        <w:spacing w:after="0" w:line="264" w:lineRule="auto"/>
        <w:tabs>
          <w:tab w:leader="none" w:pos="11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3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43" w:lineRule="exact"/>
        <w:rPr>
          <w:rFonts w:ascii="Arial" w:cs="Arial" w:eastAsia="Arial" w:hAnsi="Arial"/>
          <w:sz w:val="18"/>
          <w:szCs w:val="18"/>
          <w:color w:val="auto"/>
        </w:rPr>
      </w:pPr>
    </w:p>
    <w:p>
      <w:pPr>
        <w:ind w:left="1080" w:hanging="293"/>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85" w:lineRule="exact"/>
        <w:rPr>
          <w:sz w:val="20"/>
          <w:szCs w:val="20"/>
          <w:color w:val="auto"/>
        </w:rPr>
      </w:pPr>
    </w:p>
    <w:p>
      <w:pPr>
        <w:ind w:left="1120" w:right="459" w:hanging="333"/>
        <w:spacing w:after="0" w:line="277"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2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ectPr>
          <w:pgSz w:w="11900" w:h="16838" w:orient="portrait"/>
          <w:cols w:equalWidth="0" w:num="1">
            <w:col w:w="9019"/>
          </w:cols>
          <w:pgMar w:left="1440" w:top="301"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6" w:name="page67"/>
    <w:bookmarkEnd w:id="66"/>
    <w:p>
      <w:pPr>
        <w:ind w:left="1120" w:right="459" w:hanging="333"/>
        <w:spacing w:after="0" w:line="277" w:lineRule="auto"/>
        <w:tabs>
          <w:tab w:leader="none" w:pos="11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Chardan Capital Markets, LLC upon consummation of our initial business combination;</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40" w:lineRule="exact"/>
        <w:rPr>
          <w:rFonts w:ascii="Arial" w:cs="Arial" w:eastAsia="Arial" w:hAnsi="Arial"/>
          <w:sz w:val="18"/>
          <w:szCs w:val="18"/>
          <w:color w:val="auto"/>
        </w:rPr>
      </w:pPr>
    </w:p>
    <w:p>
      <w:pPr>
        <w:jc w:val="both"/>
        <w:ind w:left="1120" w:right="459" w:hanging="333"/>
        <w:spacing w:after="0" w:line="264" w:lineRule="auto"/>
        <w:tabs>
          <w:tab w:leader="none" w:pos="11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4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currently maintain our principal executive offices at 5 Hanover Square, New York, NY 10004.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one executive officer.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4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ectPr>
          <w:pgSz w:w="11900" w:h="16838" w:orient="portrait"/>
          <w:cols w:equalWidth="0" w:num="1">
            <w:col w:w="9019"/>
          </w:cols>
          <w:pgMar w:left="1440" w:top="301"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7" w:name="page68"/>
    <w:bookmarkEnd w:id="67"/>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2360" w:type="dxa"/>
            <w:vAlign w:val="bottom"/>
            <w:gridSpan w:val="3"/>
          </w:tcPr>
          <w:p>
            <w:pPr>
              <w:ind w:left="820"/>
              <w:spacing w:after="0"/>
              <w:rPr>
                <w:sz w:val="20"/>
                <w:szCs w:val="20"/>
                <w:color w:val="auto"/>
              </w:rPr>
            </w:pPr>
            <w:r>
              <w:rPr>
                <w:rFonts w:ascii="Arial" w:cs="Arial" w:eastAsia="Arial" w:hAnsi="Arial"/>
                <w:sz w:val="16"/>
                <w:szCs w:val="16"/>
                <w:b w:val="1"/>
                <w:bCs w:val="1"/>
                <w:color w:val="auto"/>
                <w:w w:val="93"/>
              </w:rPr>
              <w:t>Terms of the Offering</w:t>
            </w:r>
          </w:p>
        </w:tc>
        <w:tc>
          <w:tcPr>
            <w:tcW w:w="660" w:type="dxa"/>
            <w:vAlign w:val="bottom"/>
          </w:tcPr>
          <w:p>
            <w:pPr>
              <w:spacing w:after="0"/>
              <w:rPr>
                <w:sz w:val="18"/>
                <w:szCs w:val="18"/>
                <w:color w:val="auto"/>
              </w:rPr>
            </w:pPr>
          </w:p>
        </w:tc>
        <w:tc>
          <w:tcPr>
            <w:tcW w:w="2860" w:type="dxa"/>
            <w:vAlign w:val="bottom"/>
          </w:tcPr>
          <w:p>
            <w:pPr>
              <w:ind w:left="300"/>
              <w:spacing w:after="0"/>
              <w:rPr>
                <w:sz w:val="20"/>
                <w:szCs w:val="20"/>
                <w:color w:val="auto"/>
              </w:rPr>
            </w:pPr>
            <w:r>
              <w:rPr>
                <w:rFonts w:ascii="Arial" w:cs="Arial" w:eastAsia="Arial" w:hAnsi="Arial"/>
                <w:sz w:val="16"/>
                <w:szCs w:val="16"/>
                <w:b w:val="1"/>
                <w:bCs w:val="1"/>
                <w:color w:val="auto"/>
              </w:rPr>
              <w:t>Terms Under a Rule 419 Offering</w:t>
            </w:r>
          </w:p>
        </w:tc>
      </w:tr>
      <w:tr>
        <w:trPr>
          <w:trHeight w:val="221"/>
        </w:trPr>
        <w:tc>
          <w:tcPr>
            <w:tcW w:w="2220" w:type="dxa"/>
            <w:vAlign w:val="bottom"/>
          </w:tcPr>
          <w:p>
            <w:pPr>
              <w:spacing w:after="0"/>
              <w:rPr>
                <w:sz w:val="20"/>
                <w:szCs w:val="20"/>
                <w:color w:val="auto"/>
              </w:rPr>
            </w:pPr>
            <w:r>
              <w:rPr>
                <w:rFonts w:ascii="Arial" w:cs="Arial" w:eastAsia="Arial" w:hAnsi="Arial"/>
                <w:sz w:val="18"/>
                <w:szCs w:val="18"/>
                <w:color w:val="auto"/>
                <w:w w:val="98"/>
              </w:rPr>
              <w:t>Escrow of offering proceeds</w:t>
            </w:r>
          </w:p>
        </w:tc>
        <w:tc>
          <w:tcPr>
            <w:tcW w:w="2360" w:type="dxa"/>
            <w:vAlign w:val="bottom"/>
            <w:gridSpan w:val="3"/>
          </w:tcPr>
          <w:p>
            <w:pPr>
              <w:ind w:left="160"/>
              <w:spacing w:after="0"/>
              <w:rPr>
                <w:sz w:val="20"/>
                <w:szCs w:val="20"/>
                <w:color w:val="auto"/>
              </w:rPr>
            </w:pPr>
            <w:r>
              <w:rPr>
                <w:rFonts w:ascii="Arial" w:cs="Arial" w:eastAsia="Arial" w:hAnsi="Arial"/>
                <w:sz w:val="18"/>
                <w:szCs w:val="18"/>
                <w:color w:val="auto"/>
              </w:rPr>
              <w:t>$50,000,000  of  the  net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offering</w:t>
            </w:r>
          </w:p>
        </w:tc>
        <w:tc>
          <w:tcPr>
            <w:tcW w:w="2860" w:type="dxa"/>
            <w:vAlign w:val="bottom"/>
          </w:tcPr>
          <w:p>
            <w:pPr>
              <w:ind w:left="80"/>
              <w:spacing w:after="0"/>
              <w:rPr>
                <w:sz w:val="20"/>
                <w:szCs w:val="20"/>
                <w:color w:val="auto"/>
              </w:rPr>
            </w:pPr>
            <w:r>
              <w:rPr>
                <w:rFonts w:ascii="Arial" w:cs="Arial" w:eastAsia="Arial" w:hAnsi="Arial"/>
                <w:sz w:val="18"/>
                <w:szCs w:val="18"/>
                <w:color w:val="auto"/>
                <w:w w:val="93"/>
              </w:rPr>
              <w:t>$42,345,000 of the offering proceeds</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89"/>
              </w:rPr>
              <w:t>proceeds and proceeds from the sale of</w:t>
            </w:r>
          </w:p>
        </w:tc>
        <w:tc>
          <w:tcPr>
            <w:tcW w:w="2860" w:type="dxa"/>
            <w:vAlign w:val="bottom"/>
          </w:tcPr>
          <w:p>
            <w:pPr>
              <w:ind w:left="80"/>
              <w:spacing w:after="0"/>
              <w:rPr>
                <w:sz w:val="20"/>
                <w:szCs w:val="20"/>
                <w:color w:val="auto"/>
              </w:rPr>
            </w:pPr>
            <w:r>
              <w:rPr>
                <w:rFonts w:ascii="Arial" w:cs="Arial" w:eastAsia="Arial" w:hAnsi="Arial"/>
                <w:sz w:val="18"/>
                <w:szCs w:val="18"/>
                <w:color w:val="auto"/>
                <w:w w:val="90"/>
              </w:rPr>
              <w:t>would be required to be deposited into</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4"/>
              </w:rPr>
              <w:t>the private units will be deposited into</w:t>
            </w:r>
          </w:p>
        </w:tc>
        <w:tc>
          <w:tcPr>
            <w:tcW w:w="2860" w:type="dxa"/>
            <w:vAlign w:val="bottom"/>
          </w:tcPr>
          <w:p>
            <w:pPr>
              <w:ind w:left="80"/>
              <w:spacing w:after="0"/>
              <w:rPr>
                <w:sz w:val="20"/>
                <w:szCs w:val="20"/>
                <w:color w:val="auto"/>
              </w:rPr>
            </w:pPr>
            <w:r>
              <w:rPr>
                <w:rFonts w:ascii="Arial" w:cs="Arial" w:eastAsia="Arial" w:hAnsi="Arial"/>
                <w:sz w:val="18"/>
                <w:szCs w:val="18"/>
                <w:color w:val="auto"/>
                <w:w w:val="96"/>
              </w:rPr>
              <w:t>either  an  escrow  account  with  an</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4"/>
              </w:rPr>
              <w:t>a trust account in the United States at</w:t>
            </w:r>
          </w:p>
        </w:tc>
        <w:tc>
          <w:tcPr>
            <w:tcW w:w="2860" w:type="dxa"/>
            <w:vAlign w:val="bottom"/>
          </w:tcPr>
          <w:p>
            <w:pPr>
              <w:ind w:left="80"/>
              <w:spacing w:after="0"/>
              <w:rPr>
                <w:sz w:val="20"/>
                <w:szCs w:val="20"/>
                <w:color w:val="auto"/>
              </w:rPr>
            </w:pPr>
            <w:r>
              <w:rPr>
                <w:rFonts w:ascii="Arial" w:cs="Arial" w:eastAsia="Arial" w:hAnsi="Arial"/>
                <w:sz w:val="18"/>
                <w:szCs w:val="18"/>
                <w:color w:val="auto"/>
                <w:w w:val="97"/>
              </w:rPr>
              <w:t>insured depositary institution or in a</w:t>
            </w:r>
          </w:p>
        </w:tc>
      </w:tr>
      <w:tr>
        <w:trPr>
          <w:trHeight w:val="216"/>
        </w:trPr>
        <w:tc>
          <w:tcPr>
            <w:tcW w:w="222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Morgan</w:t>
            </w:r>
          </w:p>
        </w:tc>
        <w:tc>
          <w:tcPr>
            <w:tcW w:w="720" w:type="dxa"/>
            <w:vAlign w:val="bottom"/>
          </w:tcPr>
          <w:p>
            <w:pPr>
              <w:ind w:left="40"/>
              <w:spacing w:after="0"/>
              <w:rPr>
                <w:sz w:val="20"/>
                <w:szCs w:val="20"/>
                <w:color w:val="auto"/>
              </w:rPr>
            </w:pPr>
            <w:r>
              <w:rPr>
                <w:rFonts w:ascii="Arial" w:cs="Arial" w:eastAsia="Arial" w:hAnsi="Arial"/>
                <w:sz w:val="18"/>
                <w:szCs w:val="18"/>
                <w:color w:val="auto"/>
              </w:rPr>
              <w:t>Stanley</w:t>
            </w:r>
          </w:p>
        </w:tc>
        <w:tc>
          <w:tcPr>
            <w:tcW w:w="660" w:type="dxa"/>
            <w:vAlign w:val="bottom"/>
          </w:tcPr>
          <w:p>
            <w:pPr>
              <w:ind w:left="160"/>
              <w:spacing w:after="0"/>
              <w:rPr>
                <w:sz w:val="20"/>
                <w:szCs w:val="20"/>
                <w:color w:val="auto"/>
              </w:rPr>
            </w:pPr>
            <w:r>
              <w:rPr>
                <w:rFonts w:ascii="Arial" w:cs="Arial" w:eastAsia="Arial" w:hAnsi="Arial"/>
                <w:sz w:val="18"/>
                <w:szCs w:val="18"/>
                <w:color w:val="auto"/>
              </w:rPr>
              <w:t>Bank,</w:t>
            </w: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2860" w:type="dxa"/>
            <w:vAlign w:val="bottom"/>
          </w:tcPr>
          <w:p>
            <w:pPr>
              <w:ind w:left="80"/>
              <w:spacing w:after="0"/>
              <w:rPr>
                <w:sz w:val="20"/>
                <w:szCs w:val="20"/>
                <w:color w:val="auto"/>
              </w:rPr>
            </w:pPr>
            <w:r>
              <w:rPr>
                <w:rFonts w:ascii="Arial" w:cs="Arial" w:eastAsia="Arial" w:hAnsi="Arial"/>
                <w:sz w:val="18"/>
                <w:szCs w:val="18"/>
                <w:color w:val="auto"/>
                <w:w w:val="87"/>
              </w:rPr>
              <w:t>separate bank account established by a</w:t>
            </w:r>
          </w:p>
        </w:tc>
      </w:tr>
      <w:tr>
        <w:trPr>
          <w:trHeight w:val="216"/>
        </w:trPr>
        <w:tc>
          <w:tcPr>
            <w:tcW w:w="222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w w:val="90"/>
              </w:rPr>
              <w:t>maintained</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w w:val="99"/>
              </w:rPr>
              <w:t>by  Continental</w:t>
            </w:r>
          </w:p>
        </w:tc>
        <w:tc>
          <w:tcPr>
            <w:tcW w:w="660" w:type="dxa"/>
            <w:vAlign w:val="bottom"/>
          </w:tcPr>
          <w:p>
            <w:pPr>
              <w:jc w:val="right"/>
              <w:spacing w:after="0"/>
              <w:rPr>
                <w:sz w:val="20"/>
                <w:szCs w:val="20"/>
                <w:color w:val="auto"/>
              </w:rPr>
            </w:pPr>
            <w:r>
              <w:rPr>
                <w:rFonts w:ascii="Arial" w:cs="Arial" w:eastAsia="Arial" w:hAnsi="Arial"/>
                <w:sz w:val="18"/>
                <w:szCs w:val="18"/>
                <w:color w:val="auto"/>
              </w:rPr>
              <w:t>Stock</w:t>
            </w:r>
          </w:p>
        </w:tc>
        <w:tc>
          <w:tcPr>
            <w:tcW w:w="2860" w:type="dxa"/>
            <w:vAlign w:val="bottom"/>
          </w:tcPr>
          <w:p>
            <w:pPr>
              <w:ind w:left="80"/>
              <w:spacing w:after="0"/>
              <w:rPr>
                <w:sz w:val="20"/>
                <w:szCs w:val="20"/>
                <w:color w:val="auto"/>
              </w:rPr>
            </w:pPr>
            <w:r>
              <w:rPr>
                <w:rFonts w:ascii="Arial" w:cs="Arial" w:eastAsia="Arial" w:hAnsi="Arial"/>
                <w:sz w:val="18"/>
                <w:szCs w:val="18"/>
                <w:color w:val="auto"/>
                <w:w w:val="95"/>
              </w:rPr>
              <w:t>broker-dealer  in  which  the  broker-</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6"/>
              </w:rPr>
              <w:t>Transfer &amp; Trust Company, acting as</w:t>
            </w:r>
          </w:p>
        </w:tc>
        <w:tc>
          <w:tcPr>
            <w:tcW w:w="2860" w:type="dxa"/>
            <w:vAlign w:val="bottom"/>
          </w:tcPr>
          <w:p>
            <w:pPr>
              <w:ind w:left="80"/>
              <w:spacing w:after="0"/>
              <w:rPr>
                <w:sz w:val="20"/>
                <w:szCs w:val="20"/>
                <w:color w:val="auto"/>
              </w:rPr>
            </w:pPr>
            <w:r>
              <w:rPr>
                <w:rFonts w:ascii="Arial" w:cs="Arial" w:eastAsia="Arial" w:hAnsi="Arial"/>
                <w:sz w:val="18"/>
                <w:szCs w:val="18"/>
                <w:color w:val="auto"/>
                <w:w w:val="94"/>
              </w:rPr>
              <w:t>dealer  acts  as  trustee  for  persons</w:t>
            </w:r>
          </w:p>
        </w:tc>
      </w:tr>
      <w:tr>
        <w:trPr>
          <w:trHeight w:val="216"/>
        </w:trPr>
        <w:tc>
          <w:tcPr>
            <w:tcW w:w="222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trustee.</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w w:val="96"/>
              </w:rPr>
              <w:t>having the beneficial interests in the</w:t>
            </w:r>
          </w:p>
        </w:tc>
      </w:tr>
      <w:tr>
        <w:trPr>
          <w:trHeight w:val="230"/>
        </w:trPr>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account.</w:t>
            </w:r>
          </w:p>
        </w:tc>
      </w:tr>
      <w:tr>
        <w:trPr>
          <w:trHeight w:val="445"/>
        </w:trPr>
        <w:tc>
          <w:tcPr>
            <w:tcW w:w="222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6"/>
              </w:rPr>
              <w:t>$50,000,000 of net offering proceeds</w:t>
            </w:r>
          </w:p>
        </w:tc>
        <w:tc>
          <w:tcPr>
            <w:tcW w:w="2860" w:type="dxa"/>
            <w:vAlign w:val="bottom"/>
          </w:tcPr>
          <w:p>
            <w:pPr>
              <w:ind w:left="80"/>
              <w:spacing w:after="0"/>
              <w:rPr>
                <w:sz w:val="20"/>
                <w:szCs w:val="20"/>
                <w:color w:val="auto"/>
              </w:rPr>
            </w:pPr>
            <w:r>
              <w:rPr>
                <w:rFonts w:ascii="Arial" w:cs="Arial" w:eastAsia="Arial" w:hAnsi="Arial"/>
                <w:sz w:val="18"/>
                <w:szCs w:val="18"/>
                <w:color w:val="auto"/>
                <w:w w:val="99"/>
              </w:rPr>
              <w:t>Proceeds could be invested only in</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rPr>
              <w:t>and proceeds from the sale of the</w:t>
            </w:r>
          </w:p>
        </w:tc>
        <w:tc>
          <w:tcPr>
            <w:tcW w:w="2860" w:type="dxa"/>
            <w:vAlign w:val="bottom"/>
          </w:tcPr>
          <w:p>
            <w:pPr>
              <w:ind w:left="80"/>
              <w:spacing w:after="0"/>
              <w:rPr>
                <w:sz w:val="20"/>
                <w:szCs w:val="20"/>
                <w:color w:val="auto"/>
              </w:rPr>
            </w:pPr>
            <w:r>
              <w:rPr>
                <w:rFonts w:ascii="Arial" w:cs="Arial" w:eastAsia="Arial" w:hAnsi="Arial"/>
                <w:sz w:val="18"/>
                <w:szCs w:val="18"/>
                <w:color w:val="auto"/>
                <w:w w:val="94"/>
              </w:rPr>
              <w:t>specified securities such as a money</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6"/>
              </w:rPr>
              <w:t>private units held in the trust account</w:t>
            </w:r>
          </w:p>
        </w:tc>
        <w:tc>
          <w:tcPr>
            <w:tcW w:w="2860" w:type="dxa"/>
            <w:vAlign w:val="bottom"/>
          </w:tcPr>
          <w:p>
            <w:pPr>
              <w:ind w:left="80"/>
              <w:spacing w:after="0"/>
              <w:rPr>
                <w:sz w:val="20"/>
                <w:szCs w:val="20"/>
                <w:color w:val="auto"/>
              </w:rPr>
            </w:pPr>
            <w:r>
              <w:rPr>
                <w:rFonts w:ascii="Arial" w:cs="Arial" w:eastAsia="Arial" w:hAnsi="Arial"/>
                <w:sz w:val="18"/>
                <w:szCs w:val="18"/>
                <w:color w:val="auto"/>
                <w:w w:val="91"/>
              </w:rPr>
              <w:t>market fund meeting conditions of the</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rPr>
              <w:t>will  be  invested  only  in  U.S.</w:t>
            </w:r>
          </w:p>
        </w:tc>
        <w:tc>
          <w:tcPr>
            <w:tcW w:w="2860" w:type="dxa"/>
            <w:vAlign w:val="bottom"/>
          </w:tcPr>
          <w:p>
            <w:pPr>
              <w:ind w:left="8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rPr>
              <w:t>government treasury bills, bonds or</w:t>
            </w:r>
          </w:p>
        </w:tc>
        <w:tc>
          <w:tcPr>
            <w:tcW w:w="2860" w:type="dxa"/>
            <w:vAlign w:val="bottom"/>
          </w:tcPr>
          <w:p>
            <w:pPr>
              <w:ind w:left="80"/>
              <w:spacing w:after="0"/>
              <w:rPr>
                <w:sz w:val="20"/>
                <w:szCs w:val="20"/>
                <w:color w:val="auto"/>
              </w:rPr>
            </w:pPr>
            <w:r>
              <w:rPr>
                <w:rFonts w:ascii="Arial" w:cs="Arial" w:eastAsia="Arial" w:hAnsi="Arial"/>
                <w:sz w:val="18"/>
                <w:szCs w:val="18"/>
                <w:color w:val="auto"/>
                <w:w w:val="97"/>
              </w:rPr>
              <w:t>securities that are direct obligations</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9"/>
              </w:rPr>
              <w:t>notes with a maturity of 180 days or</w:t>
            </w:r>
          </w:p>
        </w:tc>
        <w:tc>
          <w:tcPr>
            <w:tcW w:w="2860" w:type="dxa"/>
            <w:vAlign w:val="bottom"/>
          </w:tcPr>
          <w:p>
            <w:pPr>
              <w:ind w:left="80"/>
              <w:spacing w:after="0"/>
              <w:rPr>
                <w:sz w:val="20"/>
                <w:szCs w:val="20"/>
                <w:color w:val="auto"/>
              </w:rPr>
            </w:pPr>
            <w:r>
              <w:rPr>
                <w:rFonts w:ascii="Arial" w:cs="Arial" w:eastAsia="Arial" w:hAnsi="Arial"/>
                <w:sz w:val="18"/>
                <w:szCs w:val="18"/>
                <w:color w:val="auto"/>
              </w:rPr>
              <w:t>of, or obligations guaranteed as to</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1"/>
              </w:rPr>
              <w:t>less or in money market funds meeting</w:t>
            </w:r>
          </w:p>
        </w:tc>
        <w:tc>
          <w:tcPr>
            <w:tcW w:w="2860" w:type="dxa"/>
            <w:vAlign w:val="bottom"/>
          </w:tcPr>
          <w:p>
            <w:pPr>
              <w:ind w:left="80"/>
              <w:spacing w:after="0"/>
              <w:rPr>
                <w:sz w:val="20"/>
                <w:szCs w:val="20"/>
                <w:color w:val="auto"/>
              </w:rPr>
            </w:pPr>
            <w:r>
              <w:rPr>
                <w:rFonts w:ascii="Arial" w:cs="Arial" w:eastAsia="Arial" w:hAnsi="Arial"/>
                <w:sz w:val="18"/>
                <w:szCs w:val="18"/>
                <w:color w:val="auto"/>
              </w:rPr>
              <w:t>principal or interest by, the United</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7"/>
              </w:rPr>
              <w:t>the applicable conditions under Rule</w:t>
            </w:r>
          </w:p>
        </w:tc>
        <w:tc>
          <w:tcPr>
            <w:tcW w:w="2860" w:type="dxa"/>
            <w:vAlign w:val="bottom"/>
          </w:tcPr>
          <w:p>
            <w:pPr>
              <w:ind w:left="80"/>
              <w:spacing w:after="0"/>
              <w:rPr>
                <w:sz w:val="20"/>
                <w:szCs w:val="20"/>
                <w:color w:val="auto"/>
              </w:rPr>
            </w:pPr>
            <w:r>
              <w:rPr>
                <w:rFonts w:ascii="Arial" w:cs="Arial" w:eastAsia="Arial" w:hAnsi="Arial"/>
                <w:sz w:val="18"/>
                <w:szCs w:val="18"/>
                <w:color w:val="auto"/>
              </w:rPr>
              <w:t>States.</w:t>
            </w: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w w:val="97"/>
              </w:rPr>
              <w:t>2a-7 under the Investment Company</w:t>
            </w:r>
          </w:p>
        </w:tc>
        <w:tc>
          <w:tcPr>
            <w:tcW w:w="28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rPr>
              <w:t>Act which invest only in direct U.S.</w:t>
            </w:r>
          </w:p>
        </w:tc>
        <w:tc>
          <w:tcPr>
            <w:tcW w:w="286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color w:val="auto"/>
              </w:rPr>
              <w:t>government treasury obligations.</w:t>
            </w:r>
          </w:p>
        </w:tc>
        <w:tc>
          <w:tcPr>
            <w:tcW w:w="2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-2898140</wp:posOffset>
            </wp:positionV>
            <wp:extent cx="3713480" cy="44253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13480" cy="44253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Limitation on fair value or net  Our initial business combination must  The fair value or net assets of a target</w:t>
      </w:r>
    </w:p>
    <w:p>
      <w:pPr>
        <w:spacing w:after="0" w:line="35" w:lineRule="exact"/>
        <w:rPr>
          <w:sz w:val="20"/>
          <w:szCs w:val="20"/>
          <w:color w:val="auto"/>
        </w:rPr>
      </w:pPr>
    </w:p>
    <w:p>
      <w:pPr>
        <w:ind w:left="2840" w:right="459" w:hanging="2376"/>
        <w:spacing w:after="0" w:line="250" w:lineRule="auto"/>
        <w:tabs>
          <w:tab w:leader="none" w:pos="2820" w:val="left"/>
        </w:tabs>
        <w:rPr>
          <w:sz w:val="20"/>
          <w:szCs w:val="20"/>
          <w:color w:val="auto"/>
        </w:rPr>
      </w:pPr>
      <w:r>
        <w:rPr>
          <w:rFonts w:ascii="Arial" w:cs="Arial" w:eastAsia="Arial" w:hAnsi="Arial"/>
          <w:sz w:val="18"/>
          <w:szCs w:val="18"/>
          <w:color w:val="auto"/>
        </w:rPr>
        <w:t>assets of target business</w:t>
      </w:r>
      <w:r>
        <w:rPr>
          <w:sz w:val="20"/>
          <w:szCs w:val="20"/>
          <w:color w:val="auto"/>
        </w:rPr>
        <w:tab/>
      </w:r>
      <w:r>
        <w:rPr>
          <w:rFonts w:ascii="Arial" w:cs="Arial" w:eastAsia="Arial" w:hAnsi="Arial"/>
          <w:sz w:val="18"/>
          <w:szCs w:val="18"/>
          <w:color w:val="auto"/>
        </w:rPr>
        <w:t>occur with one or more target business must represent at least 80% businesses that together have an of the maximum offering proceeds. aggregate fair market value of at least</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80% of the value of the trust account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(excluding any deferred underwriter’s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fees and taxes payable on the income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earned on the trust account) at the time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of the agreement to enter into the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68" w:name="page69"/>
    <w:bookmarkEnd w:id="68"/>
    <w:tbl>
      <w:tblPr>
        <w:tblLayout w:type="fixed"/>
        <w:tblInd w:w="4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Terms of the Offering</w:t>
            </w: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100" w:type="dxa"/>
            <w:vAlign w:val="bottom"/>
          </w:tcPr>
          <w:p>
            <w:pPr>
              <w:spacing w:after="0"/>
              <w:rPr>
                <w:sz w:val="17"/>
                <w:szCs w:val="17"/>
                <w:color w:val="auto"/>
              </w:rPr>
            </w:pPr>
          </w:p>
        </w:tc>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w w:val="95"/>
              </w:rPr>
              <w:t>The units may commence trading on</w:t>
            </w:r>
          </w:p>
        </w:tc>
        <w:tc>
          <w:tcPr>
            <w:tcW w:w="120" w:type="dxa"/>
            <w:vAlign w:val="bottom"/>
          </w:tcPr>
          <w:p>
            <w:pPr>
              <w:spacing w:after="0"/>
              <w:rPr>
                <w:sz w:val="17"/>
                <w:szCs w:val="17"/>
                <w:color w:val="auto"/>
              </w:rPr>
            </w:pPr>
          </w:p>
        </w:tc>
        <w:tc>
          <w:tcPr>
            <w:tcW w:w="2840" w:type="dxa"/>
            <w:vAlign w:val="bottom"/>
            <w:gridSpan w:val="4"/>
          </w:tcPr>
          <w:p>
            <w:pPr>
              <w:spacing w:after="0" w:line="201" w:lineRule="exact"/>
              <w:rPr>
                <w:sz w:val="20"/>
                <w:szCs w:val="20"/>
                <w:color w:val="auto"/>
              </w:rPr>
            </w:pPr>
            <w:r>
              <w:rPr>
                <w:rFonts w:ascii="Arial" w:cs="Arial" w:eastAsia="Arial" w:hAnsi="Arial"/>
                <w:sz w:val="18"/>
                <w:szCs w:val="18"/>
                <w:color w:val="auto"/>
              </w:rPr>
              <w:t>No  trading  of  the  units  or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or  promptly  after  the  date  of  this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underlying</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40" w:type="dxa"/>
            <w:vAlign w:val="bottom"/>
          </w:tcPr>
          <w:p>
            <w:pPr>
              <w:jc w:val="right"/>
              <w:spacing w:after="0"/>
              <w:rPr>
                <w:sz w:val="20"/>
                <w:szCs w:val="20"/>
                <w:color w:val="auto"/>
              </w:rPr>
            </w:pPr>
            <w:r>
              <w:rPr>
                <w:rFonts w:ascii="Arial" w:cs="Arial" w:eastAsia="Arial" w:hAnsi="Arial"/>
                <w:sz w:val="18"/>
                <w:szCs w:val="18"/>
                <w:color w:val="auto"/>
              </w:rPr>
              <w:t>stock   and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prospectus. The common stock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warrants would be permitted until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warrants  comprising  the  units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completion of a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line="216" w:lineRule="exact"/>
              <w:rPr>
                <w:sz w:val="20"/>
                <w:szCs w:val="20"/>
                <w:color w:val="auto"/>
              </w:rPr>
            </w:pPr>
            <w:r>
              <w:rPr>
                <w:rFonts w:ascii="Arial" w:cs="Arial" w:eastAsia="Arial" w:hAnsi="Arial"/>
                <w:sz w:val="18"/>
                <w:szCs w:val="18"/>
                <w:color w:val="auto"/>
                <w:w w:val="95"/>
              </w:rPr>
              <w:t>begin to trade separately on the 90</w:t>
            </w:r>
            <w:r>
              <w:rPr>
                <w:rFonts w:ascii="Arial" w:cs="Arial" w:eastAsia="Arial" w:hAnsi="Arial"/>
                <w:sz w:val="21"/>
                <w:szCs w:val="21"/>
                <w:color w:val="auto"/>
                <w:w w:val="95"/>
                <w:vertAlign w:val="superscript"/>
              </w:rPr>
              <w:t>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During  this  period,  the  securities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day after the date of this prospectus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would be held in the escrow or trust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unless Chardan Capital Markets,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account.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informs us of its decision to allow</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8"/>
              </w:rPr>
              <w:t>earlier separate trading (based upon its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0"/>
              </w:rPr>
              <w:t>assessment of the relative strengths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securities  markets  and  small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9"/>
              </w:rPr>
              <w:t>capitalization</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companies  in</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general,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and the trading pattern of, and demand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for,  our  securities  in  particular),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1"/>
              </w:rPr>
              <w:t>provided we have filed with the SEC 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Current Report on Form 8-K, which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includes  an  audited  balance  sheet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reflecting our receipt of the proceeds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of this offering.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The warrants cannot be exercised until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The warrants could be exercised prior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later  of  30  days  after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completion  of  our  initial  business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but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combination or 12 months from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7"/>
              </w:rPr>
              <w:t>and cash paid in connection with the</w:t>
            </w:r>
          </w:p>
        </w:tc>
      </w:tr>
      <w:tr>
        <w:trPr>
          <w:trHeight w:val="216"/>
        </w:trPr>
        <w:tc>
          <w:tcPr>
            <w:tcW w:w="2260" w:type="dxa"/>
            <w:vAlign w:val="bottom"/>
          </w:tcPr>
          <w:p>
            <w:pPr>
              <w:spacing w:after="0"/>
              <w:rPr>
                <w:sz w:val="18"/>
                <w:szCs w:val="18"/>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w w:val="93"/>
              </w:rPr>
              <w:t>escrow or trust account.</w:t>
            </w: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We   will   either   (i)   give   our</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5"/>
              </w:rPr>
              <w:t>A prospectus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containing information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stockholders the opportunity to vote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on the business combination or (ii)</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required by the SEC would be sent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provide our public stockholders with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each investor. Each investor would be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the opportunity to sell their shares of</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our common stock for cash equal to</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company in writing, within a period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their pro rata share of the aggregate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no less than 20 business days and no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amount then on deposit in the trust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more than 45 business days from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account,  less  taxes.  If  we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meeting  to  approve  a  proposed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amendment</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the</w:t>
            </w:r>
          </w:p>
        </w:tc>
        <w:tc>
          <w:tcPr>
            <w:tcW w:w="104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business combination, we will send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each stockholder a proxy statement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she or it elects to remain a stockholder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containing information required by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SEC. Alternatively, if we do not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meeting and instead conduct a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company   has   not   received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offer,  we  will  conduct  such  tender</w:t>
            </w:r>
          </w:p>
        </w:tc>
        <w:tc>
          <w:tcPr>
            <w:tcW w:w="2960" w:type="dxa"/>
            <w:vAlign w:val="bottom"/>
            <w:gridSpan w:val="5"/>
          </w:tcPr>
          <w:p>
            <w:pPr>
              <w:ind w:left="120"/>
              <w:spacing w:after="0" w:line="216" w:lineRule="exact"/>
              <w:rPr>
                <w:sz w:val="20"/>
                <w:szCs w:val="20"/>
                <w:color w:val="auto"/>
              </w:rPr>
            </w:pPr>
            <w:r>
              <w:rPr>
                <w:rFonts w:ascii="Arial" w:cs="Arial" w:eastAsia="Arial" w:hAnsi="Arial"/>
                <w:sz w:val="18"/>
                <w:szCs w:val="18"/>
                <w:color w:val="auto"/>
              </w:rPr>
              <w:t>notification by the end of the 45</w:t>
            </w:r>
            <w:r>
              <w:rPr>
                <w:rFonts w:ascii="Arial" w:cs="Arial" w:eastAsia="Arial" w:hAnsi="Arial"/>
                <w:sz w:val="21"/>
                <w:szCs w:val="21"/>
                <w:color w:val="auto"/>
                <w:vertAlign w:val="superscript"/>
              </w:rPr>
              <w:t>th</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offer in accordance with the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business  day,  funds  and  interest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offer rules of the SEC and file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dividends, if any, held in the trust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offer documents with the SEC which</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escrow  account</w:t>
            </w:r>
          </w:p>
        </w:tc>
        <w:tc>
          <w:tcPr>
            <w:tcW w:w="440" w:type="dxa"/>
            <w:vAlign w:val="bottom"/>
          </w:tcPr>
          <w:p>
            <w:pPr>
              <w:ind w:left="80"/>
              <w:spacing w:after="0"/>
              <w:rPr>
                <w:sz w:val="20"/>
                <w:szCs w:val="20"/>
                <w:color w:val="auto"/>
              </w:rPr>
            </w:pPr>
            <w:r>
              <w:rPr>
                <w:rFonts w:ascii="Arial" w:cs="Arial" w:eastAsia="Arial" w:hAnsi="Arial"/>
                <w:sz w:val="18"/>
                <w:szCs w:val="18"/>
                <w:color w:val="auto"/>
              </w:rPr>
              <w:t>are</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automatically</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will  contain  substantially  the  same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financial and other information about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the initial business combination as we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would  have  included  in  a  proxy</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89"/>
              </w:rPr>
              <w:t>in the escrow account must be returned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statement. Under Delaware law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to all of the investors and none of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our bylaws, we must provide at least</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securities are issued.</w:t>
            </w: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10 days advance notice of any meeting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of stockholders. Accordingly, this is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6"/>
              </w:rPr>
              <w:t>the  minimum</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amount  of</w:t>
            </w:r>
          </w:p>
        </w:tc>
        <w:tc>
          <w:tcPr>
            <w:tcW w:w="680" w:type="dxa"/>
            <w:vAlign w:val="bottom"/>
          </w:tcPr>
          <w:p>
            <w:pPr>
              <w:spacing w:after="0"/>
              <w:rPr>
                <w:sz w:val="20"/>
                <w:szCs w:val="20"/>
                <w:color w:val="auto"/>
              </w:rPr>
            </w:pPr>
            <w:r>
              <w:rPr>
                <w:rFonts w:ascii="Arial" w:cs="Arial" w:eastAsia="Arial" w:hAnsi="Arial"/>
                <w:sz w:val="18"/>
                <w:szCs w:val="18"/>
                <w:color w:val="auto"/>
                <w:w w:val="98"/>
              </w:rPr>
              <w:t>time  we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would  need  to  provide  holders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determine whether to exercise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rights to convert their shares into cash</w:t>
      </w:r>
    </w:p>
    <w:p>
      <w:pPr>
        <w:spacing w:after="0" w:line="9" w:lineRule="exact"/>
        <w:rPr>
          <w:sz w:val="20"/>
          <w:szCs w:val="20"/>
          <w:color w:val="auto"/>
        </w:rPr>
      </w:pPr>
    </w:p>
    <w:p>
      <w:pPr>
        <w:ind w:left="2820"/>
        <w:spacing w:after="0"/>
        <w:tabs>
          <w:tab w:leader="none" w:pos="3080" w:val="left"/>
          <w:tab w:leader="none" w:pos="3380" w:val="left"/>
          <w:tab w:leader="none" w:pos="4020" w:val="left"/>
          <w:tab w:leader="none" w:pos="4340" w:val="left"/>
          <w:tab w:leader="none" w:pos="5060" w:val="left"/>
          <w:tab w:leader="none" w:pos="5340" w:val="left"/>
        </w:tabs>
        <w:rPr>
          <w:sz w:val="20"/>
          <w:szCs w:val="20"/>
          <w:color w:val="auto"/>
        </w:rPr>
      </w:pPr>
      <w:r>
        <w:rPr>
          <w:rFonts w:ascii="Arial" w:cs="Arial" w:eastAsia="Arial" w:hAnsi="Arial"/>
          <w:sz w:val="18"/>
          <w:szCs w:val="18"/>
          <w:color w:val="auto"/>
        </w:rPr>
        <w:t>or</w:t>
        <w:tab/>
        <w:t>to</w:t>
        <w:tab/>
        <w:t>remain</w:t>
        <w:tab/>
        <w:t>an</w:t>
        <w:tab/>
        <w:t>investor</w:t>
        <w:tab/>
        <w:t>in</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9" w:name="page70"/>
    <w:bookmarkEnd w:id="69"/>
    <w:tbl>
      <w:tblPr>
        <w:tblLayout w:type="fixed"/>
        <w:tblInd w:w="4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rPr>
              <w:t>Terms of the Offering</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20" w:type="dxa"/>
            <w:vAlign w:val="bottom"/>
          </w:tcPr>
          <w:p>
            <w:pPr>
              <w:spacing w:after="0" w:line="201" w:lineRule="exact"/>
              <w:rPr>
                <w:sz w:val="20"/>
                <w:szCs w:val="20"/>
                <w:color w:val="auto"/>
              </w:rPr>
            </w:pPr>
            <w:r>
              <w:rPr>
                <w:rFonts w:ascii="Arial" w:cs="Arial" w:eastAsia="Arial" w:hAnsi="Arial"/>
                <w:sz w:val="18"/>
                <w:szCs w:val="18"/>
                <w:color w:val="auto"/>
                <w:w w:val="92"/>
              </w:rPr>
              <w:t>Business combination deadline</w:t>
            </w:r>
          </w:p>
        </w:tc>
        <w:tc>
          <w:tcPr>
            <w:tcW w:w="6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w w:val="91"/>
              </w:rPr>
              <w:t>Pursuant</w:t>
            </w:r>
          </w:p>
        </w:tc>
        <w:tc>
          <w:tcPr>
            <w:tcW w:w="340" w:type="dxa"/>
            <w:vAlign w:val="bottom"/>
          </w:tcPr>
          <w:p>
            <w:pPr>
              <w:ind w:left="180"/>
              <w:spacing w:after="0" w:line="201" w:lineRule="exact"/>
              <w:rPr>
                <w:sz w:val="20"/>
                <w:szCs w:val="20"/>
                <w:color w:val="auto"/>
              </w:rPr>
            </w:pPr>
            <w:r>
              <w:rPr>
                <w:rFonts w:ascii="Arial" w:cs="Arial" w:eastAsia="Arial" w:hAnsi="Arial"/>
                <w:sz w:val="18"/>
                <w:szCs w:val="18"/>
                <w:color w:val="auto"/>
                <w:w w:val="92"/>
              </w:rPr>
              <w:t>to</w:t>
            </w:r>
          </w:p>
        </w:tc>
        <w:tc>
          <w:tcPr>
            <w:tcW w:w="200" w:type="dxa"/>
            <w:vAlign w:val="bottom"/>
          </w:tcPr>
          <w:p>
            <w:pPr>
              <w:spacing w:after="0"/>
              <w:rPr>
                <w:sz w:val="17"/>
                <w:szCs w:val="17"/>
                <w:color w:val="auto"/>
              </w:rPr>
            </w:pPr>
          </w:p>
        </w:tc>
        <w:tc>
          <w:tcPr>
            <w:tcW w:w="360" w:type="dxa"/>
            <w:vAlign w:val="bottom"/>
          </w:tcPr>
          <w:p>
            <w:pPr>
              <w:ind w:left="20"/>
              <w:spacing w:after="0" w:line="201" w:lineRule="exact"/>
              <w:rPr>
                <w:sz w:val="20"/>
                <w:szCs w:val="20"/>
                <w:color w:val="auto"/>
              </w:rPr>
            </w:pPr>
            <w:r>
              <w:rPr>
                <w:rFonts w:ascii="Arial" w:cs="Arial" w:eastAsia="Arial" w:hAnsi="Arial"/>
                <w:sz w:val="18"/>
                <w:szCs w:val="18"/>
                <w:color w:val="auto"/>
              </w:rPr>
              <w:t>our</w:t>
            </w:r>
          </w:p>
        </w:tc>
        <w:tc>
          <w:tcPr>
            <w:tcW w:w="8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certificate</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4"/>
              </w:rPr>
              <w:t>completed within 18 months after the</w:t>
            </w:r>
          </w:p>
        </w:tc>
      </w:tr>
      <w:tr>
        <w:trPr>
          <w:trHeight w:val="216"/>
        </w:trPr>
        <w:tc>
          <w:tcPr>
            <w:tcW w:w="23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w w:val="90"/>
              </w:rPr>
              <w:t>complete</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w w:val="92"/>
              </w:rPr>
              <w:t>our</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initial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business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combination within 18 months from</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registration statement, funds held in</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the closing of this offering (or 21</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months  from  the  closing  of  this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described elsewhere is satisfied), we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the purpose of winding up, (ii)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promptly as reasonably possible but</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8"/>
              </w:rPr>
              <w:t>not  more  than  ten  business  days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outstanding</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7"/>
              </w:rPr>
              <w:t>public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shares   which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4"/>
              </w:rPr>
              <w:t>redemption will completely extinguish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60" w:type="dxa"/>
            <w:vAlign w:val="bottom"/>
            <w:gridSpan w:val="4"/>
          </w:tcPr>
          <w:p>
            <w:pPr>
              <w:ind w:left="40"/>
              <w:spacing w:after="0"/>
              <w:rPr>
                <w:sz w:val="20"/>
                <w:szCs w:val="20"/>
                <w:color w:val="auto"/>
              </w:rPr>
            </w:pPr>
            <w:r>
              <w:rPr>
                <w:rFonts w:ascii="Arial" w:cs="Arial" w:eastAsia="Arial" w:hAnsi="Arial"/>
                <w:sz w:val="18"/>
                <w:szCs w:val="18"/>
                <w:color w:val="auto"/>
              </w:rPr>
              <w:t>stockholders’</w:t>
            </w:r>
          </w:p>
        </w:tc>
        <w:tc>
          <w:tcPr>
            <w:tcW w:w="50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8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stockholders (including the right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3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6"/>
              </w:rPr>
              <w:t>further</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2"/>
              </w:rPr>
              <w:t>applicable law, and (iii) as promptly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w w:val="95"/>
              </w:rPr>
              <w:t>reasonably  possible</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such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9"/>
              </w:rPr>
              <w:t>our remaining stockholders and our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under Delaware law to provide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340" w:type="dxa"/>
            <w:vAlign w:val="bottom"/>
          </w:tcPr>
          <w:p>
            <w:pPr>
              <w:ind w:left="60"/>
              <w:spacing w:after="0"/>
              <w:rPr>
                <w:sz w:val="20"/>
                <w:szCs w:val="20"/>
                <w:color w:val="auto"/>
              </w:rPr>
            </w:pPr>
            <w:r>
              <w:rPr>
                <w:rFonts w:ascii="Arial" w:cs="Arial" w:eastAsia="Arial" w:hAnsi="Arial"/>
                <w:sz w:val="18"/>
                <w:szCs w:val="18"/>
                <w:color w:val="auto"/>
              </w:rPr>
              <w:t>of</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creditors</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requirements of other applicable law.</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w w:val="94"/>
              </w:rPr>
              <w:t>Interest earned on the funds in</w:t>
            </w: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0"/>
              </w:rPr>
              <w:t>There can be released to us, from time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8"/>
              </w:rPr>
              <w:t>Interest on funds in escrow account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the trust account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40" w:type="dxa"/>
            <w:vAlign w:val="bottom"/>
            <w:gridSpan w:val="6"/>
          </w:tcPr>
          <w:p>
            <w:pPr>
              <w:ind w:left="40"/>
              <w:spacing w:after="0"/>
              <w:rPr>
                <w:sz w:val="20"/>
                <w:szCs w:val="20"/>
                <w:color w:val="auto"/>
              </w:rPr>
            </w:pPr>
            <w:r>
              <w:rPr>
                <w:rFonts w:ascii="Arial" w:cs="Arial" w:eastAsia="Arial" w:hAnsi="Arial"/>
                <w:sz w:val="18"/>
                <w:szCs w:val="18"/>
                <w:color w:val="auto"/>
                <w:w w:val="99"/>
              </w:rPr>
              <w:t>any interest earned on the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would be held for the sole benefit of</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6"/>
              </w:rPr>
              <w:t>funds in the trust account (1) that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9"/>
              </w:rPr>
              <w:t>investors, unless and only after the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6"/>
              </w:rPr>
              <w:t>may need to pay our tax obligations,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funds held in escrow were released to</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(2)  any  remaining  interest  that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5"/>
              </w:rPr>
              <w:t>us in connection with our completion</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need   for   our   working   capital</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of a business combination.</w:t>
            </w:r>
          </w:p>
        </w:tc>
      </w:tr>
      <w:tr>
        <w:trPr>
          <w:trHeight w:val="230"/>
        </w:trPr>
        <w:tc>
          <w:tcPr>
            <w:tcW w:w="232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w w:val="90"/>
              </w:rPr>
              <w:t>requirements.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rPr>
              <w:t>Release of funds</w:t>
            </w: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Except for (1) interest earned on the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The  proceeds  held  in  the  escrow</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funds in the trust account (which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5"/>
              </w:rPr>
              <w:t>account  are  not  released  until  the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3"/>
              </w:rPr>
              <w:t>estimate to be approximately $87,500</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earlier of the completion of a business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combination or the failure to effect a</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interest rate of 0.1% per annum) that</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business  combination  within  the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6"/>
              </w:rPr>
              <w:t>may be released to us to pay our tax</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30"/>
        </w:trPr>
        <w:tc>
          <w:tcPr>
            <w:tcW w:w="2320" w:type="dxa"/>
            <w:vAlign w:val="bottom"/>
          </w:tcPr>
          <w:p>
            <w:pPr>
              <w:spacing w:after="0"/>
              <w:rPr>
                <w:sz w:val="20"/>
                <w:szCs w:val="20"/>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3"/>
              </w:rPr>
              <w:t>obligations (which we estimate will be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ind w:left="2840"/>
        <w:spacing w:after="0"/>
        <w:tabs>
          <w:tab w:leader="none" w:pos="3640" w:val="left"/>
          <w:tab w:leader="none" w:pos="4080" w:val="left"/>
          <w:tab w:leader="none" w:pos="4460" w:val="left"/>
          <w:tab w:leader="none" w:pos="4900" w:val="left"/>
        </w:tabs>
        <w:rPr>
          <w:sz w:val="20"/>
          <w:szCs w:val="20"/>
          <w:color w:val="auto"/>
        </w:rPr>
      </w:pPr>
      <w:r>
        <w:rPr>
          <w:rFonts w:ascii="Arial" w:cs="Arial" w:eastAsia="Arial" w:hAnsi="Arial"/>
          <w:sz w:val="18"/>
          <w:szCs w:val="18"/>
          <w:color w:val="auto"/>
        </w:rPr>
        <w:t>nominal)</w:t>
        <w:tab/>
        <w:t>and</w:t>
        <w:tab/>
        <w:t>(2)</w:t>
        <w:tab/>
        <w:t>any</w:t>
      </w:r>
      <w:r>
        <w:rPr>
          <w:sz w:val="20"/>
          <w:szCs w:val="20"/>
          <w:color w:val="auto"/>
        </w:rPr>
        <w:tab/>
      </w:r>
      <w:r>
        <w:rPr>
          <w:rFonts w:ascii="Arial" w:cs="Arial" w:eastAsia="Arial" w:hAnsi="Arial"/>
          <w:sz w:val="16"/>
          <w:szCs w:val="16"/>
          <w:color w:val="auto"/>
        </w:rPr>
        <w:t>remaining</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interest that we may need for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working capital requirements that may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be released to us from the interest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earned on the trust account balance,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proceeds held in the trust account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will not be released until the earlier of</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completion of our initial business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combination and our liquidation upon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failure to effect our initial business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combination within the allotted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Joshua Sason </w:t>
      </w:r>
      <w:r>
        <w:rPr>
          <w:rFonts w:ascii="Arial" w:cs="Arial" w:eastAsia="Arial" w:hAnsi="Arial"/>
          <w:sz w:val="15"/>
          <w:szCs w:val="15"/>
          <w:color w:val="auto"/>
        </w:rPr>
        <w:t>has served as our Chief Executive Officer and a Director since our inception. Mr. Sason is the founder</w:t>
      </w:r>
    </w:p>
    <w:p>
      <w:pPr>
        <w:spacing w:after="0" w:line="58" w:lineRule="exact"/>
        <w:rPr>
          <w:sz w:val="20"/>
          <w:szCs w:val="20"/>
          <w:color w:val="auto"/>
        </w:rPr>
      </w:pPr>
    </w:p>
    <w:p>
      <w:pPr>
        <w:jc w:val="both"/>
        <w:ind w:left="460" w:right="459" w:firstLine="2"/>
        <w:spacing w:after="0" w:line="268" w:lineRule="auto"/>
        <w:tabs>
          <w:tab w:leader="none" w:pos="65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he has executive produced four feature films. His latest feature film, “Bleed for This”, was in partnership with Martin Scorsese. We believe that Mr. Sason’s experience as CEO and founder of Magna Management LLC, as Chairman of Mainz and as Chairman of Sason Builders make him well qualified to serve as our chief executive officer and a member of our Board of Directors.</w:t>
      </w:r>
    </w:p>
    <w:p>
      <w:pPr>
        <w:spacing w:after="0" w:line="13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Samuel S. Holdsworth has been our director since December 16, 2015. Mr. Holdsworth is a Managing Director of Sword, Rowe &amp; Co., a firm 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David Schulhof has been our director since December 16, 2015. Mr. Schulhof has served as the President of IM 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[___], will expire at the second annual meeting. The term of office of the third class of directors, consisting of [___], will expire at our third annual meeting of stockholders. We may not hold an annual meeting of stockholders until after we consummate our initial business combination.</w:t>
      </w:r>
    </w:p>
    <w:p>
      <w:pPr>
        <w:spacing w:after="0" w:line="15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w:t>
      </w:r>
    </w:p>
    <w:p>
      <w:pPr>
        <w:sectPr>
          <w:pgSz w:w="11900" w:h="16838" w:orient="portrait"/>
          <w:cols w:equalWidth="0" w:num="1">
            <w:col w:w="9019"/>
          </w:cols>
          <w:pgMar w:left="1440" w:top="337"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460" w:right="459"/>
        <w:spacing w:after="0" w:line="277" w:lineRule="auto"/>
        <w:rPr>
          <w:sz w:val="20"/>
          <w:szCs w:val="20"/>
          <w:color w:val="auto"/>
        </w:rPr>
      </w:pPr>
      <w:r>
        <w:rPr>
          <w:rFonts w:ascii="Arial" w:cs="Arial" w:eastAsia="Arial" w:hAnsi="Arial"/>
          <w:sz w:val="18"/>
          <w:szCs w:val="18"/>
          <w:color w:val="auto"/>
        </w:rPr>
        <w:t>executive officer, president, chief financial officer, vice president(s), secretary, treasurer and such other officers as may be determined by the board of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3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5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 committee within one year of the listing of our securities on the Nasdaq Capital Market. The audit committee’s duties, which are specified in our Audit Committee Charter, include, but are not limited to:</w:t>
      </w:r>
    </w:p>
    <w:p>
      <w:pPr>
        <w:spacing w:after="0" w:line="153" w:lineRule="exact"/>
        <w:rPr>
          <w:sz w:val="20"/>
          <w:szCs w:val="20"/>
          <w:color w:val="auto"/>
        </w:rPr>
      </w:pPr>
    </w:p>
    <w:p>
      <w:pPr>
        <w:jc w:val="both"/>
        <w:ind w:left="1120" w:right="459" w:hanging="333"/>
        <w:spacing w:after="0" w:line="264" w:lineRule="auto"/>
        <w:tabs>
          <w:tab w:leader="none" w:pos="11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ectPr>
          <w:pgSz w:w="11900" w:h="16838" w:orient="portrait"/>
          <w:cols w:equalWidth="0" w:num="1">
            <w:col w:w="9019"/>
          </w:cols>
          <w:pgMar w:left="1440" w:top="301" w:right="1440"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2" w:name="page73"/>
    <w:bookmarkEnd w:id="72"/>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rFonts w:ascii="Arial" w:cs="Arial" w:eastAsia="Arial" w:hAnsi="Arial"/>
          <w:sz w:val="17"/>
          <w:szCs w:val="17"/>
          <w:color w:val="auto"/>
        </w:rPr>
      </w:pPr>
    </w:p>
    <w:p>
      <w:pPr>
        <w:jc w:val="both"/>
        <w:ind w:left="1120" w:right="459" w:hanging="333"/>
        <w:spacing w:after="0" w:line="264"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46" w:lineRule="exact"/>
        <w:rPr>
          <w:sz w:val="20"/>
          <w:szCs w:val="20"/>
          <w:color w:val="auto"/>
        </w:rPr>
      </w:pPr>
    </w:p>
    <w:p>
      <w:pPr>
        <w:jc w:val="both"/>
        <w:ind w:left="1120" w:right="459" w:hanging="333"/>
        <w:spacing w:after="0" w:line="302" w:lineRule="auto"/>
        <w:tabs>
          <w:tab w:leader="none" w:pos="10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13" w:lineRule="exact"/>
        <w:rPr>
          <w:rFonts w:ascii="Arial" w:cs="Arial" w:eastAsia="Arial" w:hAnsi="Arial"/>
          <w:sz w:val="16"/>
          <w:szCs w:val="16"/>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ind w:left="1120" w:right="459" w:hanging="333"/>
        <w:spacing w:after="0" w:line="277" w:lineRule="auto"/>
        <w:tabs>
          <w:tab w:leader="none" w:pos="11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43"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9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will be elected prior to this Offering. In accordance with Rule 5605(e)(1)</w:t>
      </w:r>
    </w:p>
    <w:p>
      <w:pPr>
        <w:spacing w:after="0" w:line="3" w:lineRule="exact"/>
        <w:rPr>
          <w:sz w:val="20"/>
          <w:szCs w:val="20"/>
          <w:color w:val="auto"/>
        </w:rPr>
      </w:pPr>
    </w:p>
    <w:p>
      <w:pPr>
        <w:ind w:left="460" w:right="459" w:firstLine="2"/>
        <w:spacing w:after="0" w:line="261" w:lineRule="auto"/>
        <w:tabs>
          <w:tab w:leader="none" w:pos="7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NASDAQ rules, all such directors are independent. As there is no standing nominating committee, we do not have a nominating committee charter in place.</w:t>
      </w:r>
    </w:p>
    <w:p>
      <w:pPr>
        <w:spacing w:after="0" w:line="143"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98" w:lineRule="exact"/>
        <w:rPr>
          <w:sz w:val="20"/>
          <w:szCs w:val="20"/>
          <w:color w:val="auto"/>
        </w:rPr>
      </w:pPr>
    </w:p>
    <w:p>
      <w:pPr>
        <w:ind w:left="1120" w:right="459" w:hanging="333"/>
        <w:spacing w:after="0" w:line="342" w:lineRule="auto"/>
        <w:tabs>
          <w:tab w:leader="none" w:pos="113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83" w:lineRule="exact"/>
        <w:rPr>
          <w:rFonts w:ascii="Arial" w:cs="Arial" w:eastAsia="Arial" w:hAnsi="Arial"/>
          <w:sz w:val="16"/>
          <w:szCs w:val="16"/>
          <w:color w:val="auto"/>
        </w:rPr>
      </w:pPr>
    </w:p>
    <w:p>
      <w:pPr>
        <w:jc w:val="both"/>
        <w:ind w:left="1120" w:right="459" w:hanging="333"/>
        <w:spacing w:after="0" w:line="264" w:lineRule="auto"/>
        <w:tabs>
          <w:tab w:leader="none" w:pos="1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4" w:name="page75"/>
    <w:bookmarkEnd w:id="74"/>
    <w:p>
      <w:pPr>
        <w:ind w:left="1120" w:right="459"/>
        <w:spacing w:after="0" w:line="277" w:lineRule="auto"/>
        <w:rPr>
          <w:sz w:val="20"/>
          <w:szCs w:val="20"/>
          <w:color w:val="auto"/>
        </w:rPr>
      </w:pPr>
      <w:r>
        <w:rPr>
          <w:rFonts w:ascii="Arial" w:cs="Arial" w:eastAsia="Arial" w:hAnsi="Arial"/>
          <w:sz w:val="18"/>
          <w:szCs w:val="18"/>
          <w:color w:val="auto"/>
        </w:rPr>
        <w:t>are affiliated. Our officers and directors may have conflicts of interest in determining to which entity a particular business opportunity should be presented.</w:t>
      </w:r>
    </w:p>
    <w:p>
      <w:pPr>
        <w:spacing w:after="0" w:line="143" w:lineRule="exact"/>
        <w:rPr>
          <w:sz w:val="20"/>
          <w:szCs w:val="20"/>
          <w:color w:val="auto"/>
        </w:rPr>
      </w:pPr>
    </w:p>
    <w:p>
      <w:pPr>
        <w:ind w:left="1120" w:right="459" w:hanging="333"/>
        <w:spacing w:after="0" w:line="342" w:lineRule="auto"/>
        <w:tabs>
          <w:tab w:leader="none" w:pos="1097"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83" w:lineRule="exact"/>
        <w:rPr>
          <w:rFonts w:ascii="Arial" w:cs="Arial" w:eastAsia="Arial" w:hAnsi="Arial"/>
          <w:sz w:val="16"/>
          <w:szCs w:val="16"/>
          <w:color w:val="auto"/>
        </w:rPr>
      </w:pPr>
    </w:p>
    <w:p>
      <w:pPr>
        <w:jc w:val="both"/>
        <w:ind w:left="1120" w:right="459" w:hanging="333"/>
        <w:spacing w:after="0" w:line="279" w:lineRule="auto"/>
        <w:tabs>
          <w:tab w:leader="none" w:pos="1177"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 and the amount of interest income from the trust account that may be released to us as working capital.</w:t>
      </w:r>
    </w:p>
    <w:p>
      <w:pPr>
        <w:spacing w:after="0" w:line="130" w:lineRule="exact"/>
        <w:rPr>
          <w:rFonts w:ascii="Arial" w:cs="Arial" w:eastAsia="Arial" w:hAnsi="Arial"/>
          <w:sz w:val="17"/>
          <w:szCs w:val="17"/>
          <w:color w:val="auto"/>
        </w:rPr>
      </w:pPr>
    </w:p>
    <w:p>
      <w:pPr>
        <w:jc w:val="both"/>
        <w:ind w:left="1120" w:right="459" w:hanging="333"/>
        <w:spacing w:after="0" w:line="253"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7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30" w:lineRule="exact"/>
        <w:rPr>
          <w:sz w:val="20"/>
          <w:szCs w:val="20"/>
          <w:color w:val="auto"/>
        </w:rPr>
      </w:pPr>
    </w:p>
    <w:p>
      <w:pPr>
        <w:ind w:left="1080" w:hanging="293"/>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3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5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4"/>
              </w:rPr>
              <w:t>Name of Affiliated</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10"/>
        </w:trPr>
        <w:tc>
          <w:tcPr>
            <w:tcW w:w="1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Individual</w:t>
            </w:r>
          </w:p>
        </w:tc>
        <w:tc>
          <w:tcPr>
            <w:tcW w:w="14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20" w:type="dxa"/>
            <w:vAlign w:val="bottom"/>
          </w:tcPr>
          <w:p>
            <w:pPr>
              <w:spacing w:after="0"/>
              <w:rPr>
                <w:sz w:val="18"/>
                <w:szCs w:val="18"/>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Entity’s Business</w:t>
            </w:r>
          </w:p>
        </w:tc>
        <w:tc>
          <w:tcPr>
            <w:tcW w:w="120" w:type="dxa"/>
            <w:vAlign w:val="bottom"/>
          </w:tcPr>
          <w:p>
            <w:pPr>
              <w:spacing w:after="0"/>
              <w:rPr>
                <w:sz w:val="18"/>
                <w:szCs w:val="18"/>
                <w:color w:val="auto"/>
              </w:rPr>
            </w:pPr>
          </w:p>
        </w:tc>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Affiliation</w:t>
            </w:r>
          </w:p>
        </w:tc>
      </w:tr>
      <w:tr>
        <w:trPr>
          <w:trHeight w:val="201"/>
        </w:trPr>
        <w:tc>
          <w:tcPr>
            <w:tcW w:w="1900" w:type="dxa"/>
            <w:vAlign w:val="bottom"/>
          </w:tcPr>
          <w:p>
            <w:pPr>
              <w:spacing w:after="0" w:line="201" w:lineRule="exact"/>
              <w:rPr>
                <w:sz w:val="20"/>
                <w:szCs w:val="20"/>
                <w:color w:val="auto"/>
              </w:rPr>
            </w:pPr>
            <w:r>
              <w:rPr>
                <w:rFonts w:ascii="Arial" w:cs="Arial" w:eastAsia="Arial" w:hAnsi="Arial"/>
                <w:sz w:val="18"/>
                <w:szCs w:val="18"/>
                <w:color w:val="auto"/>
              </w:rPr>
              <w:t>Joshua Sason</w:t>
            </w:r>
          </w:p>
        </w:tc>
        <w:tc>
          <w:tcPr>
            <w:tcW w:w="14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5"/>
              </w:rPr>
              <w:t>Magna Management LLC</w:t>
            </w:r>
          </w:p>
        </w:tc>
        <w:tc>
          <w:tcPr>
            <w:tcW w:w="120" w:type="dxa"/>
            <w:vAlign w:val="bottom"/>
          </w:tcPr>
          <w:p>
            <w:pPr>
              <w:spacing w:after="0"/>
              <w:rPr>
                <w:sz w:val="17"/>
                <w:szCs w:val="17"/>
                <w:color w:val="auto"/>
              </w:rPr>
            </w:pPr>
          </w:p>
        </w:tc>
        <w:tc>
          <w:tcPr>
            <w:tcW w:w="1580" w:type="dxa"/>
            <w:vAlign w:val="bottom"/>
          </w:tcPr>
          <w:p>
            <w:pPr>
              <w:spacing w:after="0" w:line="201" w:lineRule="exact"/>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Founder  &amp;  Chief  Executive</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Officer</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Sason Builders</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Construction</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Chairman</w:t>
            </w:r>
          </w:p>
        </w:tc>
      </w:tr>
      <w:tr>
        <w:trPr>
          <w:trHeight w:val="243"/>
        </w:trPr>
        <w:tc>
          <w:tcPr>
            <w:tcW w:w="190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Mainz</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1"/>
              </w:rPr>
              <w:t>Customer experience</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Chairman</w:t>
            </w:r>
          </w:p>
        </w:tc>
      </w:t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 SPAC LLC</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Investment Holding</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Managing Member</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Samuel S. Holdsworth</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Sword, Rowe &amp; Co.</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Investment and</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advisory services</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David Schulhof</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IM Global Music</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Film distribution</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r>
    </w:tbl>
    <w:p>
      <w:pPr>
        <w:spacing w:after="0" w:line="148" w:lineRule="exact"/>
        <w:rPr>
          <w:sz w:val="20"/>
          <w:szCs w:val="20"/>
          <w:color w:val="auto"/>
        </w:rPr>
      </w:pPr>
    </w:p>
    <w:p>
      <w:pPr>
        <w:sectPr>
          <w:pgSz w:w="11900" w:h="16838" w:orient="portrait"/>
          <w:cols w:equalWidth="0" w:num="1">
            <w:col w:w="9019"/>
          </w:cols>
          <w:pgMar w:left="1440" w:top="301" w:right="1440" w:bottom="1440" w:gutter="0" w:footer="0" w:header="0"/>
        </w:sect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5" w:name="page76"/>
    <w:bookmarkEnd w:id="75"/>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6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6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3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120" w:lineRule="exact"/>
        <w:rPr>
          <w:sz w:val="20"/>
          <w:szCs w:val="20"/>
          <w:color w:val="auto"/>
        </w:rPr>
      </w:pPr>
    </w:p>
    <w:p>
      <w:pPr>
        <w:ind w:left="1120" w:right="459" w:hanging="333"/>
        <w:spacing w:after="0" w:line="277" w:lineRule="auto"/>
        <w:tabs>
          <w:tab w:leader="none" w:pos="11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6"/>
                <w:szCs w:val="16"/>
                <w:b w:val="1"/>
                <w:bCs w:val="1"/>
                <w:color w:val="auto"/>
              </w:rPr>
              <w:t>After Offering</w:t>
            </w: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8"/>
                <w:szCs w:val="8"/>
                <w:b w:val="1"/>
                <w:bCs w:val="1"/>
                <w:color w:val="auto"/>
              </w:rPr>
              <w:t>(1)</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8"/>
                <w:szCs w:val="8"/>
                <w:b w:val="1"/>
                <w:bCs w:val="1"/>
                <w:color w:val="auto"/>
                <w:w w:val="93"/>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230"/>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8"/>
                <w:szCs w:val="8"/>
                <w:color w:val="auto"/>
              </w:rPr>
              <w:t>(3)</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485"/>
        </w:trPr>
        <w:tc>
          <w:tcPr>
            <w:tcW w:w="3400" w:type="dxa"/>
            <w:vAlign w:val="bottom"/>
            <w:gridSpan w:val="2"/>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8"/>
                <w:szCs w:val="8"/>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485"/>
        </w:trPr>
        <w:tc>
          <w:tcPr>
            <w:tcW w:w="3400" w:type="dxa"/>
            <w:vAlign w:val="bottom"/>
            <w:gridSpan w:val="2"/>
          </w:tcPr>
          <w:p>
            <w:pPr>
              <w:spacing w:after="0"/>
              <w:rPr>
                <w:sz w:val="20"/>
                <w:szCs w:val="20"/>
                <w:color w:val="auto"/>
              </w:rPr>
            </w:pPr>
            <w:r>
              <w:rPr>
                <w:rFonts w:ascii="Arial" w:cs="Arial" w:eastAsia="Arial" w:hAnsi="Arial"/>
                <w:sz w:val="18"/>
                <w:szCs w:val="18"/>
                <w:color w:val="auto"/>
              </w:rPr>
              <w:t>All directors, director nominees and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executive officers as a group (3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individuals)</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1,500,000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42"/>
        </w:trPr>
        <w:tc>
          <w:tcPr>
            <w:tcW w:w="328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780" w:right="459" w:hanging="318"/>
        <w:spacing w:after="0" w:line="250" w:lineRule="auto"/>
        <w:tabs>
          <w:tab w:leader="none" w:pos="7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5 Hanover Square, New York, NY 10004.</w:t>
      </w:r>
    </w:p>
    <w:p>
      <w:pPr>
        <w:ind w:left="780" w:right="459" w:hanging="318"/>
        <w:spacing w:after="0" w:line="250" w:lineRule="auto"/>
        <w:tabs>
          <w:tab w:leader="none" w:pos="8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ind w:left="780" w:right="459" w:hanging="318"/>
        <w:spacing w:after="0" w:line="250" w:lineRule="auto"/>
        <w:tabs>
          <w:tab w:leader="none" w:pos="8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and thus may be deemed to have voting and investment power with respect to such shares.</w:t>
      </w:r>
    </w:p>
    <w:p>
      <w:pPr>
        <w:ind w:left="780" w:right="459" w:hanging="318"/>
        <w:spacing w:after="0" w:line="250" w:lineRule="auto"/>
        <w:tabs>
          <w:tab w:leader="none" w:pos="8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the 250,000 shares of common stock underlying the private units to be purchased by M SPAC LLC simultaneously with the consummation of this offering.</w:t>
      </w:r>
    </w:p>
    <w:p>
      <w:pPr>
        <w:ind w:left="780" w:right="459" w:hanging="318"/>
        <w:spacing w:after="0" w:line="261" w:lineRule="auto"/>
        <w:tabs>
          <w:tab w:leader="none" w:pos="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owned consist of securities owned by M SPAC LLC, of which the individual is a managing member.</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Immediately after this offering, our insiders will beneficially own approximately 23.1% of the then issued and outstanding shares of common stock (assuming they do not purchase any units offered by this prospectus). Although none of our insiders, officers, directors and director nominees has committed to purchase our units in the offering they currently intend to do so pursuant to the directed unit program described above.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12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pacing w:after="0" w:line="13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w:t>
      </w:r>
    </w:p>
    <w:p>
      <w:pPr>
        <w:sectPr>
          <w:pgSz w:w="11900" w:h="16838" w:orient="portrait"/>
          <w:cols w:equalWidth="0" w:num="1">
            <w:col w:w="9019"/>
          </w:cols>
          <w:pgMar w:left="1440" w:top="337"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7" w:name="page78"/>
    <w:bookmarkEnd w:id="77"/>
    <w:p>
      <w:pPr>
        <w:jc w:val="both"/>
        <w:ind w:left="460" w:right="459"/>
        <w:spacing w:after="0" w:line="289" w:lineRule="auto"/>
        <w:rPr>
          <w:sz w:val="20"/>
          <w:szCs w:val="20"/>
          <w:color w:val="auto"/>
        </w:rPr>
      </w:pPr>
      <w:r>
        <w:rPr>
          <w:rFonts w:ascii="Arial" w:cs="Arial" w:eastAsia="Arial" w:hAnsi="Arial"/>
          <w:sz w:val="16"/>
          <w:szCs w:val="16"/>
          <w:color w:val="auto"/>
        </w:rPr>
        <w:t>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w:t>
      </w:r>
    </w:p>
    <w:p>
      <w:pPr>
        <w:spacing w:after="0" w:line="46" w:lineRule="exact"/>
        <w:rPr>
          <w:sz w:val="20"/>
          <w:szCs w:val="20"/>
          <w:color w:val="auto"/>
        </w:rPr>
      </w:pPr>
    </w:p>
    <w:p>
      <w:pPr>
        <w:jc w:val="both"/>
        <w:ind w:left="460" w:right="459" w:firstLine="2"/>
        <w:spacing w:after="0" w:line="286" w:lineRule="auto"/>
        <w:tabs>
          <w:tab w:leader="none" w:pos="7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$2,500,000)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1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87" w:right="1440"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w:t>
      </w:r>
    </w:p>
    <w:p>
      <w:pPr>
        <w:spacing w:after="0" w:line="143"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$10.00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an entity controlled by Joshua Sason, our Chief Executive Officer, has committed that it (and/or its designees) will purchase, pursuant to written purchase agreements with us, 250,000 private units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5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ectPr>
          <w:pgSz w:w="11900" w:h="16838" w:orient="portrait"/>
          <w:cols w:equalWidth="0" w:num="1">
            <w:col w:w="9019"/>
          </w:cols>
          <w:pgMar w:left="1440" w:top="337"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9" w:name="page80"/>
    <w:bookmarkEnd w:id="79"/>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September 11, 2015, M SPAC LLC, an entity controlled by Joshua Sason, our Chief Executive Officer, had loaned to us $35,000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our sponsor is at least as favorable as we could have obtained from an unaffiliated person.</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4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0" w:name="page81"/>
    <w:bookmarkEnd w:id="80"/>
    <w:p>
      <w:pPr>
        <w:jc w:val="both"/>
        <w:ind w:left="460" w:right="459"/>
        <w:spacing w:after="0" w:line="276" w:lineRule="auto"/>
        <w:rPr>
          <w:sz w:val="20"/>
          <w:szCs w:val="20"/>
          <w:color w:val="auto"/>
        </w:rPr>
      </w:pPr>
      <w:r>
        <w:rPr>
          <w:rFonts w:ascii="Arial" w:cs="Arial" w:eastAsia="Arial" w:hAnsi="Arial"/>
          <w:sz w:val="17"/>
          <w:szCs w:val="17"/>
          <w:color w:val="auto"/>
        </w:rPr>
        <w:t>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one-half of one share of our common stock at a price of $12.00 per full share, subject to adjustment as described in this prospectus. Pursuant to the warrant agreement, a warrantholder may exercise its warrants only for a whole number of shares of our stock. This means that only an even number of warrants may be exercised at any given time by a warrantholder. For example, if a warrantholder holds one warrant to purchase one-half of one share of our common stock, such warrant shall not be exercisable. If a warrantholder holds two warrants, such warrants will be exercisable for one share of our common stock.</w:t>
      </w:r>
    </w:p>
    <w:p>
      <w:pPr>
        <w:spacing w:after="0" w:line="19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w:t>
      </w:r>
    </w:p>
    <w:p>
      <w:pPr>
        <w:sectPr>
          <w:pgSz w:w="11900" w:h="16838" w:orient="portrait"/>
          <w:cols w:equalWidth="0" w:num="1">
            <w:col w:w="9019"/>
          </w:cols>
          <w:pgMar w:left="1440" w:top="33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2" w:name="page83"/>
    <w:bookmarkEnd w:id="82"/>
    <w:p>
      <w:pPr>
        <w:jc w:val="both"/>
        <w:ind w:left="460" w:right="459"/>
        <w:spacing w:after="0" w:line="273" w:lineRule="auto"/>
        <w:rPr>
          <w:sz w:val="20"/>
          <w:szCs w:val="20"/>
          <w:color w:val="auto"/>
        </w:rPr>
      </w:pPr>
      <w:r>
        <w:rPr>
          <w:rFonts w:ascii="Arial" w:cs="Arial" w:eastAsia="Arial" w:hAnsi="Arial"/>
          <w:sz w:val="17"/>
          <w:szCs w:val="17"/>
          <w:color w:val="auto"/>
        </w:rPr>
        <w:t>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public and private warrant entitles the registered holder to purchase one-half of one share of our common stock at a price of $12.00 per full share, subject to adjustment as discussed below, at any time commencing on the later of 12 months from the closing of this offering or 30 days after the completion of our initial business combination. Pursuant to the warrant agreement, a warrant holder may exercise its warrants only for a whole number of shares of common stock. The public and private warrants will expire five years after the date on which they first became exercisable, at 5:00 p.m., New York time, or earlier upon redemption or liquidation.</w:t>
      </w:r>
    </w:p>
    <w:p>
      <w:pPr>
        <w:spacing w:after="0" w:line="13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3" w:name="page84"/>
    <w:bookmarkEnd w:id="83"/>
    <w:p>
      <w:pPr>
        <w:jc w:val="both"/>
        <w:ind w:left="460" w:right="459"/>
        <w:spacing w:after="0" w:line="279" w:lineRule="auto"/>
        <w:rPr>
          <w:sz w:val="20"/>
          <w:szCs w:val="20"/>
          <w:color w:val="auto"/>
        </w:rPr>
      </w:pPr>
      <w:r>
        <w:rPr>
          <w:rFonts w:ascii="Arial" w:cs="Arial" w:eastAsia="Arial" w:hAnsi="Arial"/>
          <w:sz w:val="17"/>
          <w:szCs w:val="17"/>
          <w:color w:val="auto"/>
        </w:rPr>
        <w:t>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4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w:t>
      </w:r>
    </w:p>
    <w:p>
      <w:pPr>
        <w:spacing w:after="0" w:line="5" w:lineRule="exact"/>
        <w:rPr>
          <w:sz w:val="20"/>
          <w:szCs w:val="20"/>
          <w:color w:val="auto"/>
        </w:rPr>
      </w:pPr>
    </w:p>
    <w:p>
      <w:pPr>
        <w:jc w:val="both"/>
        <w:ind w:left="460" w:right="459"/>
        <w:spacing w:after="0" w:line="247" w:lineRule="auto"/>
        <w:rPr>
          <w:sz w:val="20"/>
          <w:szCs w:val="20"/>
          <w:color w:val="auto"/>
        </w:rPr>
      </w:pPr>
      <w:r>
        <w:rPr>
          <w:rFonts w:ascii="Arial" w:cs="Arial" w:eastAsia="Arial" w:hAnsi="Arial"/>
          <w:sz w:val="18"/>
          <w:szCs w:val="18"/>
          <w:color w:val="auto"/>
        </w:rPr>
        <w:t>not been declared effective by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8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4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4" w:name="page85"/>
    <w:bookmarkEnd w:id="84"/>
    <w:p>
      <w:pPr>
        <w:jc w:val="both"/>
        <w:ind w:left="460" w:right="459"/>
        <w:spacing w:after="0" w:line="277" w:lineRule="auto"/>
        <w:rPr>
          <w:sz w:val="20"/>
          <w:szCs w:val="20"/>
          <w:color w:val="auto"/>
        </w:rPr>
      </w:pPr>
      <w:r>
        <w:rPr>
          <w:rFonts w:ascii="Arial" w:cs="Arial" w:eastAsia="Arial" w:hAnsi="Arial"/>
          <w:sz w:val="18"/>
          <w:szCs w:val="18"/>
          <w:color w:val="auto"/>
        </w:rPr>
        <w:t>of shares of common stock upon exercise of the warrants, each holder will be entitled to one vote for each share held of record on all matters to be voted on by stockholders.</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250,000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5" w:name="page86"/>
    <w:bookmarkEnd w:id="85"/>
    <w:p>
      <w:pPr>
        <w:jc w:val="both"/>
        <w:ind w:left="1120" w:right="459" w:hanging="333"/>
        <w:spacing w:after="0" w:line="312" w:lineRule="auto"/>
        <w:tabs>
          <w:tab w:leader="none" w:pos="11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9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w:t>
      </w:r>
    </w:p>
    <w:p>
      <w:pPr>
        <w:spacing w:after="0" w:line="1" w:lineRule="exact"/>
        <w:rPr>
          <w:sz w:val="20"/>
          <w:szCs w:val="20"/>
          <w:color w:val="auto"/>
        </w:rPr>
      </w:pPr>
    </w:p>
    <w:p>
      <w:pPr>
        <w:jc w:val="both"/>
        <w:ind w:left="460" w:right="459"/>
        <w:spacing w:after="0" w:line="238" w:lineRule="auto"/>
        <w:rPr>
          <w:sz w:val="20"/>
          <w:szCs w:val="20"/>
          <w:color w:val="auto"/>
        </w:rPr>
      </w:pPr>
      <w:r>
        <w:rPr>
          <w:rFonts w:ascii="Arial" w:cs="Arial" w:eastAsia="Arial" w:hAnsi="Arial"/>
          <w:sz w:val="18"/>
          <w:szCs w:val="18"/>
          <w:color w:val="auto"/>
        </w:rPr>
        <w:t>offices not later than the close of business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6,500,000 shares of common stock outstanding, or 7,460,000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65,000 shares of common stock immediately after this offering (or 74,600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7" w:name="page88"/>
    <w:bookmarkEnd w:id="87"/>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6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Number of Units</w:t>
            </w: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85"/>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our units, common stock and warrants to be quoted on Nasdaq under the symbols “[____],” “[____]”</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“[____],” respectively. We anticipate that our units will be listed on Nasdaq on or promptly after the</w:t>
      </w:r>
    </w:p>
    <w:p>
      <w:pPr>
        <w:spacing w:after="0" w:line="2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4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Factors considered in determining the prices and terms of the units include:</w:t>
      </w:r>
    </w:p>
    <w:p>
      <w:pPr>
        <w:spacing w:after="0" w:line="141" w:lineRule="exact"/>
        <w:rPr>
          <w:sz w:val="20"/>
          <w:szCs w:val="20"/>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w:t>
      </w:r>
    </w:p>
    <w:p>
      <w:pPr>
        <w:sectPr>
          <w:pgSz w:w="11900" w:h="16838" w:orient="portrait"/>
          <w:cols w:equalWidth="0" w:num="1">
            <w:col w:w="9019"/>
          </w:cols>
          <w:pgMar w:left="1440" w:top="337"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9" w:name="page90"/>
    <w:bookmarkEnd w:id="89"/>
    <w:p>
      <w:pPr>
        <w:jc w:val="both"/>
        <w:ind w:left="460" w:right="459"/>
        <w:spacing w:after="0" w:line="308" w:lineRule="auto"/>
        <w:rPr>
          <w:sz w:val="20"/>
          <w:szCs w:val="20"/>
          <w:color w:val="auto"/>
        </w:rPr>
      </w:pPr>
      <w:r>
        <w:rPr>
          <w:rFonts w:ascii="Arial" w:cs="Arial" w:eastAsia="Arial" w:hAnsi="Arial"/>
          <w:sz w:val="17"/>
          <w:szCs w:val="17"/>
          <w:color w:val="auto"/>
        </w:rPr>
        <w:t>from the date of this prospectus to exercise this option. If the underwriters exercise this option, they will each purchase additional units approximately in proportion to the amounts specified in the table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68"/>
        </w:trPr>
        <w:tc>
          <w:tcPr>
            <w:tcW w:w="326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____________</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jc w:val="both"/>
        <w:ind w:left="780" w:right="459" w:hanging="318"/>
        <w:spacing w:after="0" w:line="250" w:lineRule="auto"/>
        <w:tabs>
          <w:tab w:leader="none" w:pos="8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offering expenses are estimated at $475,000.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$[____].</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Chardan Capital Markets, LLC purchased an interest in M SPAC LLC which entitles it to the beneficial interest in 75,000 insider shares. Chardan Capital Markets, LLC paid an aggregate of $150.00 for such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Directed Unit Program</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20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500,000 warrants that may be issued upon exercise of the option, have been deemed compensation by FINRA and are therefore subject to a 180-day lock-up pursuant to Rule 5110(g)(1) of FINRA’s NASD Conduct Rules. Additionally, the option may not be sold, transferred, assigned, pledged or hypothecated for a one-year period (including the foregoing 180-day period) following the date of this prospectus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ectPr>
          <w:pgSz w:w="11900" w:h="16838" w:orient="portrait"/>
          <w:cols w:equalWidth="0" w:num="1">
            <w:col w:w="9019"/>
          </w:cols>
          <w:pgMar w:left="1440" w:top="301" w:right="1440"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jc w:val="both"/>
        <w:ind w:left="1120" w:right="459" w:hanging="333"/>
        <w:spacing w:after="0" w:line="286" w:lineRule="auto"/>
        <w:tabs>
          <w:tab w:leader="none" w:pos="12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solely for the purpose of preventing or retarding a decline in the price of our units, as long as stabilizing bids do not exceed the offering price of $10.00 and the underwriters comply with all other applicable rules.</w:t>
      </w:r>
    </w:p>
    <w:p>
      <w:pPr>
        <w:spacing w:after="0" w:line="111" w:lineRule="exact"/>
        <w:rPr>
          <w:rFonts w:ascii="Arial" w:cs="Arial" w:eastAsia="Arial" w:hAnsi="Arial"/>
          <w:sz w:val="17"/>
          <w:szCs w:val="17"/>
          <w:color w:val="auto"/>
        </w:rPr>
      </w:pPr>
    </w:p>
    <w:p>
      <w:pPr>
        <w:jc w:val="both"/>
        <w:ind w:left="1120" w:right="459" w:hanging="333"/>
        <w:spacing w:after="0" w:line="286" w:lineRule="auto"/>
        <w:tabs>
          <w:tab w:leader="none" w:pos="1116" w:val="left"/>
        </w:tabs>
        <w:numPr>
          <w:ilvl w:val="0"/>
          <w:numId w:val="61"/>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1" w:name="page92"/>
    <w:bookmarkEnd w:id="91"/>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September 11, 2015 and for the period from April 23, 2015 (inception) through September 11,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3" w:name="page94"/>
    <w:bookmarkEnd w:id="93"/>
    <w:tbl>
      <w:tblPr>
        <w:tblLayout w:type="fixed"/>
        <w:tblInd w:w="4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INDEX TO FINANCIAL STATEMENTS</w:t>
            </w:r>
          </w:p>
        </w:tc>
        <w:tc>
          <w:tcPr>
            <w:tcW w:w="1600" w:type="dxa"/>
            <w:vAlign w:val="bottom"/>
          </w:tcPr>
          <w:p>
            <w:pPr>
              <w:spacing w:after="0"/>
              <w:rPr>
                <w:sz w:val="20"/>
                <w:szCs w:val="20"/>
                <w:color w:val="auto"/>
              </w:rPr>
            </w:pPr>
          </w:p>
        </w:tc>
      </w:tr>
      <w:tr>
        <w:trPr>
          <w:trHeight w:val="351"/>
        </w:trPr>
        <w:tc>
          <w:tcPr>
            <w:tcW w:w="652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F-2</w:t>
            </w:r>
          </w:p>
        </w:tc>
      </w:tr>
      <w:tr>
        <w:trPr>
          <w:trHeight w:val="277"/>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6520" w:type="dxa"/>
            <w:vAlign w:val="bottom"/>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Balance Sheet</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F-3</w:t>
            </w:r>
          </w:p>
        </w:tc>
      </w:tr>
      <w:tr>
        <w:trPr>
          <w:trHeight w:val="20"/>
        </w:trPr>
        <w:tc>
          <w:tcPr>
            <w:tcW w:w="10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Statement of Operations</w:t>
              </w:r>
            </w:hyperlink>
          </w:p>
        </w:tc>
        <w:tc>
          <w:tcPr>
            <w:tcW w:w="4760" w:type="dxa"/>
            <w:vAlign w:val="bottom"/>
            <w:gridSpan w:val="5"/>
          </w:tcPr>
          <w:p>
            <w:pPr>
              <w:spacing w:after="0"/>
              <w:rPr>
                <w:sz w:val="20"/>
                <w:szCs w:val="20"/>
                <w:color w:val="auto"/>
              </w:rPr>
            </w:pPr>
          </w:p>
        </w:tc>
        <w:tc>
          <w:tcPr>
            <w:tcW w:w="1600" w:type="dxa"/>
            <w:vAlign w:val="bottom"/>
          </w:tcPr>
          <w:p>
            <w:pPr>
              <w:ind w:left="880"/>
              <w:spacing w:after="0"/>
              <w:rPr>
                <w:sz w:val="20"/>
                <w:szCs w:val="20"/>
                <w:color w:val="auto"/>
              </w:rPr>
            </w:pPr>
            <w:r>
              <w:rPr>
                <w:rFonts w:ascii="Arial" w:cs="Arial" w:eastAsia="Arial" w:hAnsi="Arial"/>
                <w:sz w:val="18"/>
                <w:szCs w:val="18"/>
                <w:color w:val="auto"/>
              </w:rPr>
              <w:t>F-4</w:t>
            </w:r>
          </w:p>
        </w:tc>
      </w:tr>
      <w:tr>
        <w:trPr>
          <w:trHeight w:val="237"/>
        </w:trPr>
        <w:tc>
          <w:tcPr>
            <w:tcW w:w="33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Statement of Changes in Stockholder’s Equity</w:t>
              </w:r>
            </w:hyperlink>
          </w:p>
        </w:tc>
        <w:tc>
          <w:tcPr>
            <w:tcW w:w="3180" w:type="dxa"/>
            <w:vAlign w:val="bottom"/>
            <w:gridSpan w:val="2"/>
          </w:tcPr>
          <w:p>
            <w:pPr>
              <w:spacing w:after="0"/>
              <w:rPr>
                <w:sz w:val="20"/>
                <w:szCs w:val="20"/>
                <w:color w:val="auto"/>
              </w:rPr>
            </w:pPr>
          </w:p>
        </w:tc>
        <w:tc>
          <w:tcPr>
            <w:tcW w:w="1600" w:type="dxa"/>
            <w:vAlign w:val="bottom"/>
          </w:tcPr>
          <w:p>
            <w:pPr>
              <w:ind w:left="880"/>
              <w:spacing w:after="0"/>
              <w:rPr>
                <w:sz w:val="20"/>
                <w:szCs w:val="20"/>
                <w:color w:val="auto"/>
              </w:rPr>
            </w:pPr>
            <w:r>
              <w:rPr>
                <w:rFonts w:ascii="Arial" w:cs="Arial" w:eastAsia="Arial" w:hAnsi="Arial"/>
                <w:sz w:val="18"/>
                <w:szCs w:val="18"/>
                <w:color w:val="auto"/>
              </w:rPr>
              <w:t>F-5</w:t>
            </w:r>
          </w:p>
        </w:tc>
      </w:tr>
      <w:tr>
        <w:trPr>
          <w:trHeight w:val="237"/>
        </w:trPr>
        <w:tc>
          <w:tcPr>
            <w:tcW w:w="652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Statement of Cash Flows</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F-6</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652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Notes to Financial Statements</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F-7</w:t>
            </w:r>
          </w:p>
        </w:tc>
      </w:tr>
      <w:tr>
        <w:trPr>
          <w:trHeight w:val="412"/>
        </w:trPr>
        <w:tc>
          <w:tcPr>
            <w:tcW w:w="102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center"/>
              <w:ind w:right="1760"/>
              <w:spacing w:after="0"/>
              <w:rPr>
                <w:sz w:val="20"/>
                <w:szCs w:val="20"/>
                <w:color w:val="auto"/>
              </w:rPr>
            </w:pPr>
            <w:r>
              <w:rPr>
                <w:rFonts w:ascii="Arial" w:cs="Arial" w:eastAsia="Arial" w:hAnsi="Arial"/>
                <w:sz w:val="18"/>
                <w:szCs w:val="18"/>
                <w:color w:val="auto"/>
                <w:w w:val="96"/>
              </w:rPr>
              <w:t>F-1</w:t>
            </w: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4" w:name="page95"/>
    <w:bookmarkEnd w:id="94"/>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September 11, 2015, and the related statements of operations, changes in stockholder’s equity and cash flows for the period from April 23, 2015 (inception) through September 11,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September 11, 2015, and the results of its operations and its cash flows for the period from April 23, 2015 (inception) through September 11,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September 11, 2015 are not sufficient to complete its planned activities for the upcoming year. These conditions raise substantial doubt about the Company’s ability to continue as a going concern. Management’s plans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October 9,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tbl>
      <w:tblPr>
        <w:tblLayout w:type="fixed"/>
        <w:tblInd w:w="46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2"/>
              </w:rPr>
              <w:t>M I Acquisitions, Inc.</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Balance Sheet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8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89"/>
              </w:rPr>
              <w:t>September 11, 2015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tcPr>
          <w:p>
            <w:pPr>
              <w:spacing w:after="0"/>
              <w:rPr>
                <w:sz w:val="24"/>
                <w:szCs w:val="24"/>
                <w:color w:val="auto"/>
              </w:rPr>
            </w:pPr>
          </w:p>
        </w:tc>
        <w:tc>
          <w:tcPr>
            <w:tcW w:w="4740" w:type="dxa"/>
            <w:vAlign w:val="bottom"/>
            <w:gridSpan w:val="4"/>
          </w:tcPr>
          <w:p>
            <w:pPr>
              <w:jc w:val="center"/>
              <w:ind w:right="194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140" w:type="dxa"/>
            <w:vAlign w:val="bottom"/>
            <w:gridSpan w:val="2"/>
          </w:tcPr>
          <w:p>
            <w:pPr>
              <w:ind w:left="180"/>
              <w:spacing w:after="0"/>
              <w:rPr>
                <w:sz w:val="20"/>
                <w:szCs w:val="20"/>
                <w:color w:val="auto"/>
              </w:rPr>
            </w:pPr>
            <w:r>
              <w:rPr>
                <w:rFonts w:ascii="Arial" w:cs="Arial" w:eastAsia="Arial" w:hAnsi="Arial"/>
                <w:sz w:val="18"/>
                <w:szCs w:val="18"/>
                <w:color w:val="auto"/>
                <w:w w:val="89"/>
              </w:rPr>
              <w:t>Current asset: cash and cash equivalents</w:t>
            </w:r>
          </w:p>
        </w:tc>
        <w:tc>
          <w:tcPr>
            <w:tcW w:w="480" w:type="dxa"/>
            <w:vAlign w:val="bottom"/>
            <w:tcBorders>
              <w:top w:val="single" w:sz="8" w:color="auto"/>
            </w:tcBorders>
          </w:tcPr>
          <w:p>
            <w:pPr>
              <w:spacing w:after="0"/>
              <w:rPr>
                <w:sz w:val="24"/>
                <w:szCs w:val="24"/>
                <w:color w:val="auto"/>
              </w:rPr>
            </w:pPr>
          </w:p>
        </w:tc>
        <w:tc>
          <w:tcPr>
            <w:tcW w:w="3100" w:type="dxa"/>
            <w:vAlign w:val="bottom"/>
            <w:gridSpan w:val="2"/>
          </w:tcPr>
          <w:p>
            <w:pPr>
              <w:spacing w:after="0"/>
              <w:rPr>
                <w:sz w:val="24"/>
                <w:szCs w:val="24"/>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2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72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20" w:type="dxa"/>
            <w:vAlign w:val="bottom"/>
            <w:gridSpan w:val="5"/>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113,957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vMerge w:val="restart"/>
          </w:tcPr>
          <w:p>
            <w:pPr>
              <w:spacing w:after="0" w:line="20" w:lineRule="exact"/>
              <w:rPr>
                <w:sz w:val="1"/>
                <w:szCs w:val="1"/>
                <w:color w:val="auto"/>
              </w:rPr>
            </w:pPr>
          </w:p>
        </w:tc>
        <w:tc>
          <w:tcPr>
            <w:tcW w:w="27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2780" w:type="dxa"/>
            <w:vAlign w:val="bottom"/>
            <w:gridSpan w:val="3"/>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80" w:type="dxa"/>
            <w:vAlign w:val="bottom"/>
            <w:vMerge w:val="continue"/>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72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2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2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72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7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7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72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720" w:type="dxa"/>
            <w:vAlign w:val="bottom"/>
            <w:gridSpan w:val="5"/>
          </w:tcPr>
          <w:p>
            <w:pPr>
              <w:ind w:left="180"/>
              <w:spacing w:after="0"/>
              <w:rPr>
                <w:sz w:val="20"/>
                <w:szCs w:val="20"/>
                <w:color w:val="auto"/>
              </w:rPr>
            </w:pPr>
            <w:r>
              <w:rPr>
                <w:rFonts w:ascii="Arial" w:cs="Arial" w:eastAsia="Arial" w:hAnsi="Arial"/>
                <w:sz w:val="18"/>
                <w:szCs w:val="18"/>
                <w:color w:val="auto"/>
                <w:w w:val="90"/>
              </w:rPr>
              <w:t>Common stock, $0.001 par value; 50,000,000 shares authorized; 1,437,500 shares issued</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2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2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2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41"/>
        </w:trPr>
        <w:tc>
          <w:tcPr>
            <w:tcW w:w="672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72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113,957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61" w:lineRule="auto"/>
        <w:tabs>
          <w:tab w:leader="none" w:pos="7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September 11,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860" w:type="dxa"/>
            <w:vAlign w:val="bottom"/>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86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61" w:lineRule="auto"/>
        <w:tabs>
          <w:tab w:leader="none" w:pos="8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September 11,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2200" w:type="dxa"/>
            <w:vAlign w:val="bottom"/>
            <w:gridSpan w:val="4"/>
            <w:vMerge w:val="restart"/>
          </w:tcPr>
          <w:p>
            <w:pPr>
              <w:jc w:val="right"/>
              <w:ind w:right="41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7"/>
                <w:szCs w:val="27"/>
                <w:b w:val="1"/>
                <w:bCs w:val="1"/>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Arial" w:cs="Arial" w:eastAsia="Arial" w:hAnsi="Arial"/>
                <w:sz w:val="16"/>
                <w:szCs w:val="16"/>
                <w:b w:val="1"/>
                <w:bCs w:val="1"/>
                <w:color w:val="auto"/>
                <w:w w:val="97"/>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22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040" w:type="dxa"/>
            <w:vAlign w:val="bottom"/>
          </w:tcPr>
          <w:p>
            <w:pPr>
              <w:spacing w:after="0"/>
              <w:rPr>
                <w:sz w:val="20"/>
                <w:szCs w:val="20"/>
                <w:color w:val="auto"/>
              </w:rPr>
            </w:pPr>
            <w:r>
              <w:rPr>
                <w:rFonts w:ascii="Arial" w:cs="Arial" w:eastAsia="Arial" w:hAnsi="Arial"/>
                <w:sz w:val="18"/>
                <w:szCs w:val="18"/>
                <w:color w:val="auto"/>
                <w:w w:val="94"/>
              </w:rPr>
              <w:t>Issuance of common stock</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to Initial Stockholder</w:t>
            </w:r>
          </w:p>
        </w:tc>
        <w:tc>
          <w:tcPr>
            <w:tcW w:w="104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4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4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 September 11,</w:t>
            </w: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4"/>
        </w:trPr>
        <w:tc>
          <w:tcPr>
            <w:tcW w:w="2040" w:type="dxa"/>
            <w:vAlign w:val="bottom"/>
            <w:vMerge w:val="continue"/>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1,438</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23,562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(1,043)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-1817370</wp:posOffset>
            </wp:positionV>
            <wp:extent cx="3927475" cy="18440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27475" cy="1844040"/>
                    </a:xfrm>
                    <a:prstGeom prst="rect">
                      <a:avLst/>
                    </a:prstGeom>
                    <a:noFill/>
                  </pic:spPr>
                </pic:pic>
              </a:graphicData>
            </a:graphic>
          </wp:anchor>
        </w:drawing>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-130175</wp:posOffset>
            </wp:positionV>
            <wp:extent cx="37903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September 11,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Arial" w:cs="Arial" w:eastAsia="Arial" w:hAnsi="Arial"/>
                <w:sz w:val="18"/>
                <w:szCs w:val="18"/>
                <w:color w:val="auto"/>
              </w:rPr>
              <w:t>Offering costs paid</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Supplemental disclosure of non-cash financing activities:</w:t>
      </w:r>
    </w:p>
    <w:p>
      <w:pPr>
        <w:spacing w:after="0" w:line="297" w:lineRule="exact"/>
        <w:rPr>
          <w:sz w:val="20"/>
          <w:szCs w:val="20"/>
          <w:color w:val="auto"/>
        </w:rPr>
      </w:pPr>
    </w:p>
    <w:p>
      <w:pPr>
        <w:ind w:left="640"/>
        <w:spacing w:after="0"/>
        <w:tabs>
          <w:tab w:leader="none" w:pos="7320" w:val="left"/>
          <w:tab w:leader="none" w:pos="7940" w:val="left"/>
        </w:tabs>
        <w:rPr>
          <w:sz w:val="20"/>
          <w:szCs w:val="20"/>
          <w:color w:val="auto"/>
        </w:rPr>
      </w:pPr>
      <w:r>
        <w:rPr>
          <w:rFonts w:ascii="Arial" w:cs="Arial" w:eastAsia="Arial" w:hAnsi="Arial"/>
          <w:sz w:val="18"/>
          <w:szCs w:val="18"/>
          <w:color w:val="auto"/>
        </w:rPr>
        <w:t>Payment of deferred offering costs by issuance of note and related party note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40640</wp:posOffset>
            </wp:positionV>
            <wp:extent cx="711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57785</wp:posOffset>
            </wp:positionV>
            <wp:extent cx="711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September 11, 2015, the Company had not yet commenced any operations. All activity through September 11, 2015 relates to the Company’s formation and the proposed public offering described below. The Company has selected December 31 as its fiscal year-end.</w:t>
      </w:r>
    </w:p>
    <w:p>
      <w:pPr>
        <w:spacing w:after="0" w:line="14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250,000 units (the “Private Units”) (or 272,500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$10.00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 interest income earned on the funds in the Trust Account may be released to the Company to pay its income or other tax obligations and (ii) any remaining interest earned on the funds in the Trust Account may be released to the Company for its working capital requirements.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6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(or 21 months from the closing of this offering if we have executed a letter of intent or definitive agreement for a business combination within 18 months from the closing of this offering but have not completed such business combination with the 18-month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3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September 11, 2015, the Company had $5,000 in cash and a working capital deficit of $85,000.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September 11,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3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5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Company’s policy for recording interest and penalties associated with audits is to record such expense as a component of income tax expense. There were no amounts accrued for penalties or interest as of or during the period from April 23, 2015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(inception) through September 11, 2015. Management is currently unaware of any issues under review that could result in significant payments, accruals or material deviations from its position.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September 11,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October 9, 2015, the date which these financial statements were available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one-half of one share of common stock at a price of $12.00 per full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will not issue fractional shares. As a result, investors must exercise Warrants in multiples of two Warrants, at a price of $12.00 per full share, subject to adjustment, to validly exercise the Warrants.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July 1, 2015, the Company issued a $35,000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20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LLC, an entity controlled by the Company’s insiders, which entitles it to the beneficial interest in 75,000 insider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of June 18, 2015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250,000 Private Units at $10.00 per Private Unit. The Initial Stockholder have also agreed that if the over-allotment option is exercised by the underwriters, they will purchase from the Company at a price of $10.00 per Private Unit up to an additional 22,500 Private Units pro rata with the amount of the over-allotment option exercised so that at least $10.00 per share sold to the public in the Proposed Public Offering is held in the Trust Account regardless of whether the over-allotment option is exercised in full or part.</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Directed Unit Program</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the request of the Company, the underwriters will reserve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the Company’s management team (either directly or through affiliates), currently intend to purchase the entire 500,000 units offered pursuant to the directed unit program.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85"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9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2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Until __________, 2015 (25 days after the date of this prospectus), all dealers that buy, sell or trade our</w:t>
      </w:r>
    </w:p>
    <w:p>
      <w:pPr>
        <w:spacing w:after="0" w:line="5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color w:val="auto"/>
        </w:rPr>
        <w:t>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Sole Book-Running Manager</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375285</wp:posOffset>
            </wp:positionV>
            <wp:extent cx="514540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417830</wp:posOffset>
            </wp:positionV>
            <wp:extent cx="514540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692150</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Trustees fee</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SEC Registration fees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FINRA filing fee</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15,650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Nasdaq listing fees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21"/>
                <w:szCs w:val="21"/>
                <w:color w:val="auto"/>
                <w:vertAlign w:val="superscript"/>
              </w:rPr>
              <w:t>(1)</w:t>
            </w: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0" w:type="dxa"/>
            <w:vAlign w:val="bottom"/>
          </w:tcPr>
          <w:p>
            <w:pPr>
              <w:spacing w:after="0"/>
              <w:rPr>
                <w:sz w:val="1"/>
                <w:szCs w:val="1"/>
                <w:color w:val="auto"/>
              </w:rPr>
            </w:pPr>
          </w:p>
        </w:tc>
      </w:tr>
      <w:tr>
        <w:trPr>
          <w:trHeight w:val="466"/>
        </w:trPr>
        <w:tc>
          <w:tcPr>
            <w:tcW w:w="4620" w:type="dxa"/>
            <w:vAlign w:val="bottom"/>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780" w:right="459" w:hanging="318"/>
        <w:spacing w:after="0" w:line="255" w:lineRule="auto"/>
        <w:tabs>
          <w:tab w:leader="none" w:pos="8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85" w:lineRule="exact"/>
        <w:rPr>
          <w:sz w:val="20"/>
          <w:szCs w:val="20"/>
          <w:color w:val="auto"/>
        </w:rPr>
      </w:pPr>
    </w:p>
    <w:p>
      <w:pPr>
        <w:jc w:val="both"/>
        <w:ind w:left="1120" w:right="459" w:hanging="333"/>
        <w:spacing w:after="0" w:line="286" w:lineRule="auto"/>
        <w:tabs>
          <w:tab w:leader="none" w:pos="1143"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60" w:lineRule="exact"/>
        <w:rPr>
          <w:rFonts w:ascii="Arial" w:cs="Arial" w:eastAsia="Arial" w:hAnsi="Arial"/>
          <w:sz w:val="16"/>
          <w:szCs w:val="16"/>
          <w:color w:val="auto"/>
        </w:rPr>
      </w:pPr>
    </w:p>
    <w:p>
      <w:pPr>
        <w:jc w:val="both"/>
        <w:ind w:left="1120" w:right="459" w:hanging="333"/>
        <w:spacing w:after="0" w:line="287"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ind w:left="1120" w:right="459"/>
        <w:spacing w:after="0" w:line="277" w:lineRule="auto"/>
        <w:rPr>
          <w:sz w:val="20"/>
          <w:szCs w:val="20"/>
          <w:color w:val="auto"/>
        </w:rPr>
      </w:pPr>
      <w:r>
        <w:rPr>
          <w:rFonts w:ascii="Arial" w:cs="Arial" w:eastAsia="Arial" w:hAnsi="Arial"/>
          <w:sz w:val="18"/>
          <w:szCs w:val="18"/>
          <w:color w:val="auto"/>
        </w:rPr>
        <w:t>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both"/>
        <w:ind w:left="1120" w:right="459" w:hanging="333"/>
        <w:spacing w:after="0" w:line="25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1" w:lineRule="exact"/>
        <w:rPr>
          <w:rFonts w:ascii="Arial" w:cs="Arial" w:eastAsia="Arial" w:hAnsi="Arial"/>
          <w:sz w:val="18"/>
          <w:szCs w:val="18"/>
          <w:color w:val="auto"/>
        </w:rPr>
      </w:pPr>
    </w:p>
    <w:p>
      <w:pPr>
        <w:jc w:val="both"/>
        <w:ind w:left="1120" w:right="459" w:hanging="333"/>
        <w:spacing w:after="0" w:line="286" w:lineRule="auto"/>
        <w:tabs>
          <w:tab w:leader="none" w:pos="11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6"/>
          <w:szCs w:val="16"/>
          <w:color w:val="auto"/>
        </w:rPr>
      </w:pPr>
    </w:p>
    <w:p>
      <w:pPr>
        <w:jc w:val="both"/>
        <w:ind w:left="1120" w:right="459"/>
        <w:spacing w:after="0" w:line="252" w:lineRule="auto"/>
        <w:rPr>
          <w:rFonts w:ascii="Arial" w:cs="Arial" w:eastAsia="Arial" w:hAnsi="Arial"/>
          <w:sz w:val="16"/>
          <w:szCs w:val="16"/>
          <w:color w:val="auto"/>
        </w:rPr>
      </w:pPr>
      <w:r>
        <w:rPr>
          <w:rFonts w:ascii="Arial" w:cs="Arial" w:eastAsia="Arial" w:hAnsi="Arial"/>
          <w:sz w:val="18"/>
          <w:szCs w:val="18"/>
          <w:color w:val="auto"/>
        </w:rPr>
        <w:t>(a)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3" w:lineRule="exact"/>
        <w:rPr>
          <w:rFonts w:ascii="Arial" w:cs="Arial" w:eastAsia="Arial" w:hAnsi="Arial"/>
          <w:sz w:val="16"/>
          <w:szCs w:val="16"/>
          <w:color w:val="auto"/>
        </w:rPr>
      </w:pPr>
    </w:p>
    <w:p>
      <w:pPr>
        <w:jc w:val="both"/>
        <w:ind w:left="1120" w:right="459" w:hanging="333"/>
        <w:spacing w:after="0" w:line="291" w:lineRule="auto"/>
        <w:tabs>
          <w:tab w:leader="none" w:pos="1121"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6" w:lineRule="exact"/>
        <w:rPr>
          <w:rFonts w:ascii="Arial" w:cs="Arial" w:eastAsia="Arial" w:hAnsi="Arial"/>
          <w:sz w:val="16"/>
          <w:szCs w:val="16"/>
          <w:color w:val="auto"/>
        </w:rPr>
      </w:pPr>
    </w:p>
    <w:p>
      <w:pPr>
        <w:jc w:val="both"/>
        <w:ind w:left="1120" w:right="459" w:hanging="333"/>
        <w:spacing w:after="0" w:line="269" w:lineRule="auto"/>
        <w:tabs>
          <w:tab w:leader="none" w:pos="12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7"/>
          <w:szCs w:val="17"/>
          <w:color w:val="auto"/>
        </w:rPr>
      </w:pPr>
    </w:p>
    <w:p>
      <w:pPr>
        <w:jc w:val="both"/>
        <w:ind w:left="1120" w:right="459" w:hanging="333"/>
        <w:spacing w:after="0" w:line="293" w:lineRule="auto"/>
        <w:tabs>
          <w:tab w:leader="none" w:pos="11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24" w:lineRule="exact"/>
        <w:rPr>
          <w:rFonts w:ascii="Arial" w:cs="Arial" w:eastAsia="Arial" w:hAnsi="Arial"/>
          <w:sz w:val="16"/>
          <w:szCs w:val="16"/>
          <w:color w:val="auto"/>
        </w:rPr>
      </w:pPr>
    </w:p>
    <w:p>
      <w:pPr>
        <w:jc w:val="both"/>
        <w:ind w:left="1120" w:right="459" w:hanging="333"/>
        <w:spacing w:after="0" w:line="270" w:lineRule="auto"/>
        <w:tabs>
          <w:tab w:leader="none" w:pos="11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1" w:lineRule="exact"/>
        <w:rPr>
          <w:rFonts w:ascii="Arial" w:cs="Arial" w:eastAsia="Arial" w:hAnsi="Arial"/>
          <w:sz w:val="17"/>
          <w:szCs w:val="17"/>
          <w:color w:val="auto"/>
        </w:rPr>
      </w:pPr>
    </w:p>
    <w:p>
      <w:pPr>
        <w:jc w:val="both"/>
        <w:ind w:left="1120" w:right="459" w:hanging="333"/>
        <w:spacing w:after="0" w:line="253" w:lineRule="auto"/>
        <w:tabs>
          <w:tab w:leader="none" w:pos="11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09" w:name="page110"/>
    <w:bookmarkEnd w:id="109"/>
    <w:p>
      <w:pPr>
        <w:jc w:val="both"/>
        <w:ind w:left="1120" w:right="459" w:hanging="333"/>
        <w:spacing w:after="0" w:line="259" w:lineRule="auto"/>
        <w:tabs>
          <w:tab w:leader="none" w:pos="11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59" w:lineRule="exact"/>
        <w:rPr>
          <w:rFonts w:ascii="Arial" w:cs="Arial" w:eastAsia="Arial" w:hAnsi="Arial"/>
          <w:sz w:val="18"/>
          <w:szCs w:val="18"/>
          <w:color w:val="auto"/>
        </w:rPr>
      </w:pPr>
    </w:p>
    <w:p>
      <w:pPr>
        <w:jc w:val="both"/>
        <w:ind w:left="1120" w:right="459" w:hanging="333"/>
        <w:spacing w:after="0" w:line="302" w:lineRule="auto"/>
        <w:tabs>
          <w:tab w:leader="none" w:pos="115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0" w:name="page111"/>
    <w:bookmarkEnd w:id="110"/>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5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6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April 2015, our insiders purchased an aggregate of 1,437,500 shares of our common stock for an aggregate purchase price of $25,000, or approximately $.02 per share. Such shares were issued in connection with our organization pursuant to the exemption from registration contained in Section 4(a)(2) of the Securities Act as they were sold to accredited investors.</w:t>
      </w:r>
    </w:p>
    <w:p>
      <w:pPr>
        <w:spacing w:after="0" w:line="14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M SPAC LLC, an entity controlled by Joshua Sason, our Chief Executive Officer, (and/or its designees) has committed to purchase an aggregate of 250,000 private units from us on a private placement basis simultaneously with the consummation of this offering, for an aggregate purchase price of $2,500,000. These purchases will take place on a private placement basis simultaneously with the consummation of our initial public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purchases will be made pursuant to the exemption from registration contained in Section 4(a)(2) of the Securities Act.</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left="1100" w:hanging="313"/>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1460" w:right="459" w:hanging="331"/>
        <w:spacing w:after="0" w:line="277" w:lineRule="auto"/>
        <w:tabs>
          <w:tab w:leader="none" w:pos="14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800" w:hanging="329"/>
        <w:spacing w:after="0"/>
        <w:tabs>
          <w:tab w:leader="none" w:pos="18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84" w:lineRule="exact"/>
        <w:rPr>
          <w:rFonts w:ascii="Arial" w:cs="Arial" w:eastAsia="Arial" w:hAnsi="Arial"/>
          <w:sz w:val="18"/>
          <w:szCs w:val="18"/>
          <w:color w:val="auto"/>
        </w:rPr>
      </w:pPr>
    </w:p>
    <w:p>
      <w:pPr>
        <w:jc w:val="both"/>
        <w:ind w:left="1800" w:right="459" w:hanging="329"/>
        <w:spacing w:after="0" w:line="288" w:lineRule="auto"/>
        <w:tabs>
          <w:tab w:leader="none" w:pos="2002" w:val="left"/>
        </w:tabs>
        <w:numPr>
          <w:ilvl w:val="2"/>
          <w:numId w:val="7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42" w:lineRule="exact"/>
        <w:rPr>
          <w:rFonts w:ascii="Arial" w:cs="Arial" w:eastAsia="Arial" w:hAnsi="Arial"/>
          <w:sz w:val="16"/>
          <w:szCs w:val="16"/>
          <w:color w:val="auto"/>
        </w:rPr>
      </w:pPr>
    </w:p>
    <w:p>
      <w:pPr>
        <w:jc w:val="both"/>
        <w:ind w:left="1800" w:right="459" w:hanging="329"/>
        <w:spacing w:after="0" w:line="264" w:lineRule="auto"/>
        <w:tabs>
          <w:tab w:leader="none" w:pos="18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rFonts w:ascii="Arial" w:cs="Arial" w:eastAsia="Arial" w:hAnsi="Arial"/>
          <w:sz w:val="18"/>
          <w:szCs w:val="18"/>
          <w:color w:val="auto"/>
        </w:rPr>
      </w:pPr>
    </w:p>
    <w:p>
      <w:pPr>
        <w:jc w:val="both"/>
        <w:ind w:left="1460" w:right="459" w:hanging="331"/>
        <w:spacing w:after="0" w:line="259" w:lineRule="auto"/>
        <w:tabs>
          <w:tab w:leader="none" w:pos="152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Arial" w:cs="Arial" w:eastAsia="Arial" w:hAnsi="Arial"/>
          <w:sz w:val="18"/>
          <w:szCs w:val="18"/>
          <w:color w:val="auto"/>
        </w:rPr>
      </w:pPr>
    </w:p>
    <w:p>
      <w:pPr>
        <w:ind w:left="1460" w:right="459" w:hanging="331"/>
        <w:spacing w:after="0" w:line="277" w:lineRule="auto"/>
        <w:tabs>
          <w:tab w:leader="none" w:pos="14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jc w:val="both"/>
        <w:ind w:left="1460" w:right="459" w:hanging="331"/>
        <w:spacing w:after="0" w:line="255" w:lineRule="auto"/>
        <w:tabs>
          <w:tab w:leader="none" w:pos="15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800" w:right="459" w:hanging="329"/>
        <w:spacing w:after="0" w:line="277" w:lineRule="auto"/>
        <w:tabs>
          <w:tab w:leader="none" w:pos="19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9" w:lineRule="exact"/>
        <w:rPr>
          <w:rFonts w:ascii="Arial" w:cs="Arial" w:eastAsia="Arial" w:hAnsi="Arial"/>
          <w:sz w:val="18"/>
          <w:szCs w:val="18"/>
          <w:color w:val="auto"/>
        </w:rPr>
      </w:pPr>
    </w:p>
    <w:p>
      <w:pPr>
        <w:ind w:left="1800" w:right="459" w:hanging="329"/>
        <w:spacing w:after="0" w:line="277" w:lineRule="auto"/>
        <w:tabs>
          <w:tab w:leader="none" w:pos="19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3" w:lineRule="exact"/>
        <w:rPr>
          <w:rFonts w:ascii="Arial" w:cs="Arial" w:eastAsia="Arial" w:hAnsi="Arial"/>
          <w:sz w:val="18"/>
          <w:szCs w:val="18"/>
          <w:color w:val="auto"/>
        </w:rPr>
      </w:pPr>
    </w:p>
    <w:p>
      <w:pPr>
        <w:jc w:val="both"/>
        <w:ind w:left="1800" w:right="459" w:hanging="329"/>
        <w:spacing w:after="0" w:line="264" w:lineRule="auto"/>
        <w:tabs>
          <w:tab w:leader="none" w:pos="18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8"/>
          <w:szCs w:val="18"/>
          <w:color w:val="auto"/>
        </w:rPr>
      </w:pPr>
    </w:p>
    <w:p>
      <w:pPr>
        <w:ind w:left="1800" w:right="459" w:hanging="329"/>
        <w:spacing w:after="0" w:line="277" w:lineRule="auto"/>
        <w:tabs>
          <w:tab w:leader="none" w:pos="18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29" w:lineRule="exact"/>
        <w:rPr>
          <w:rFonts w:ascii="Arial" w:cs="Arial" w:eastAsia="Arial" w:hAnsi="Arial"/>
          <w:sz w:val="18"/>
          <w:szCs w:val="18"/>
          <w:color w:val="auto"/>
        </w:rPr>
      </w:pPr>
    </w:p>
    <w:p>
      <w:pPr>
        <w:jc w:val="both"/>
        <w:ind w:left="1460" w:right="459" w:hanging="331"/>
        <w:spacing w:after="0" w:line="287" w:lineRule="auto"/>
        <w:tabs>
          <w:tab w:leader="none" w:pos="14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both"/>
        <w:ind w:left="1120" w:right="459" w:hanging="333"/>
        <w:spacing w:after="0" w:line="264" w:lineRule="auto"/>
        <w:tabs>
          <w:tab w:leader="none" w:pos="12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4" w:lineRule="exact"/>
        <w:rPr>
          <w:rFonts w:ascii="Arial" w:cs="Arial" w:eastAsia="Arial" w:hAnsi="Arial"/>
          <w:sz w:val="18"/>
          <w:szCs w:val="18"/>
          <w:color w:val="auto"/>
        </w:rPr>
      </w:pPr>
    </w:p>
    <w:p>
      <w:pPr>
        <w:jc w:val="both"/>
        <w:ind w:left="1120" w:right="459" w:hanging="333"/>
        <w:spacing w:after="0" w:line="287" w:lineRule="auto"/>
        <w:tabs>
          <w:tab w:leader="none" w:pos="114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6"/>
          <w:szCs w:val="16"/>
          <w:color w:val="auto"/>
        </w:rPr>
      </w:pPr>
    </w:p>
    <w:p>
      <w:pPr>
        <w:ind w:left="1120" w:hanging="333"/>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84" w:lineRule="exact"/>
        <w:rPr>
          <w:rFonts w:ascii="Arial" w:cs="Arial" w:eastAsia="Arial" w:hAnsi="Arial"/>
          <w:sz w:val="18"/>
          <w:szCs w:val="18"/>
          <w:color w:val="auto"/>
        </w:rPr>
      </w:pPr>
    </w:p>
    <w:p>
      <w:pPr>
        <w:jc w:val="both"/>
        <w:ind w:left="1460" w:right="459" w:hanging="331"/>
        <w:spacing w:after="0" w:line="257" w:lineRule="auto"/>
        <w:tabs>
          <w:tab w:leader="none" w:pos="157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8"/>
          <w:szCs w:val="18"/>
          <w:color w:val="auto"/>
        </w:rPr>
      </w:pPr>
    </w:p>
    <w:p>
      <w:pPr>
        <w:jc w:val="both"/>
        <w:ind w:left="1460" w:right="459" w:hanging="331"/>
        <w:spacing w:after="0" w:line="259" w:lineRule="auto"/>
        <w:tabs>
          <w:tab w:leader="none" w:pos="14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w:t>
      </w:r>
    </w:p>
    <w:p>
      <w:pPr>
        <w:ind w:left="460"/>
        <w:spacing w:after="0"/>
        <w:rPr>
          <w:sz w:val="20"/>
          <w:szCs w:val="20"/>
          <w:color w:val="auto"/>
        </w:rPr>
      </w:pPr>
      <w:r>
        <w:rPr>
          <w:rFonts w:ascii="Arial" w:cs="Arial" w:eastAsia="Arial" w:hAnsi="Arial"/>
          <w:sz w:val="18"/>
          <w:szCs w:val="18"/>
          <w:color w:val="auto"/>
        </w:rPr>
        <w:t>_____________, State of ___________, on the ___ day of December, 2015.</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 I ACQUISITIONS, INC.</w:t>
      </w:r>
    </w:p>
    <w:p>
      <w:pPr>
        <w:spacing w:after="0" w:line="28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By:__________________________</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Joshua Sason</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Joshua Sason and ____________ his true and lawful attorney-in-fact, with full power of substitution</w:t>
      </w:r>
    </w:p>
    <w:p>
      <w:pPr>
        <w:jc w:val="both"/>
        <w:ind w:left="460" w:right="459"/>
        <w:spacing w:after="0" w:line="253" w:lineRule="auto"/>
        <w:rPr>
          <w:sz w:val="20"/>
          <w:szCs w:val="20"/>
          <w:color w:val="auto"/>
        </w:rPr>
      </w:pPr>
      <w:r>
        <w:rPr>
          <w:rFonts w:ascii="Arial" w:cs="Arial" w:eastAsia="Arial" w:hAnsi="Arial"/>
          <w:sz w:val="18"/>
          <w:szCs w:val="18"/>
          <w:color w:val="auto"/>
        </w:rPr>
        <w:t>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5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20" w:type="dxa"/>
            <w:vAlign w:val="bottom"/>
          </w:tcPr>
          <w:p>
            <w:pPr>
              <w:spacing w:after="0"/>
              <w:rPr>
                <w:sz w:val="18"/>
                <w:szCs w:val="18"/>
                <w:color w:val="auto"/>
              </w:rPr>
            </w:pPr>
          </w:p>
        </w:tc>
        <w:tc>
          <w:tcPr>
            <w:tcW w:w="1460" w:type="dxa"/>
            <w:vAlign w:val="bottom"/>
          </w:tcPr>
          <w:p>
            <w:pPr>
              <w:ind w:left="56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___,</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3"/>
              </w:rPr>
              <w:t>(Principal Executive, Accounting and Financial Officer)</w:t>
            </w:r>
          </w:p>
        </w:tc>
        <w:tc>
          <w:tcPr>
            <w:tcW w:w="1580" w:type="dxa"/>
            <w:vAlign w:val="bottom"/>
            <w:gridSpan w:val="2"/>
            <w:vMerge w:val="restart"/>
          </w:tcPr>
          <w:p>
            <w:pPr>
              <w:ind w:left="120"/>
              <w:spacing w:after="0"/>
              <w:rPr>
                <w:sz w:val="20"/>
                <w:szCs w:val="20"/>
                <w:color w:val="auto"/>
              </w:rPr>
            </w:pPr>
            <w:r>
              <w:rPr>
                <w:rFonts w:ascii="Arial" w:cs="Arial" w:eastAsia="Arial" w:hAnsi="Arial"/>
                <w:sz w:val="18"/>
                <w:szCs w:val="18"/>
                <w:color w:val="auto"/>
              </w:rPr>
              <w:t>December ___,</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Samuel S. Holdsworth</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8"/>
                <w:szCs w:val="18"/>
                <w:color w:val="auto"/>
              </w:rPr>
              <w:t>December ___,</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David Schulhof</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II-7</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14" w:name="page115"/>
    <w:bookmarkEnd w:id="114"/>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12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940" w:type="dxa"/>
            <w:vAlign w:val="bottom"/>
          </w:tcPr>
          <w:p>
            <w:pPr>
              <w:ind w:left="60"/>
              <w:spacing w:after="0"/>
              <w:rPr>
                <w:sz w:val="20"/>
                <w:szCs w:val="20"/>
                <w:color w:val="auto"/>
              </w:rPr>
            </w:pPr>
            <w:r>
              <w:rPr>
                <w:rFonts w:ascii="Arial" w:cs="Arial" w:eastAsia="Arial" w:hAnsi="Arial"/>
                <w:sz w:val="16"/>
                <w:szCs w:val="16"/>
                <w:b w:val="1"/>
                <w:bCs w:val="1"/>
                <w:color w:val="auto"/>
              </w:rPr>
              <w:t>Exhibit No.</w:t>
            </w:r>
          </w:p>
        </w:tc>
        <w:tc>
          <w:tcPr>
            <w:tcW w:w="7120" w:type="dxa"/>
            <w:vAlign w:val="bottom"/>
          </w:tcPr>
          <w:p>
            <w:pPr>
              <w:ind w:left="3240"/>
              <w:spacing w:after="0"/>
              <w:rPr>
                <w:sz w:val="20"/>
                <w:szCs w:val="20"/>
                <w:color w:val="auto"/>
              </w:rPr>
            </w:pPr>
            <w:r>
              <w:rPr>
                <w:rFonts w:ascii="Arial" w:cs="Arial" w:eastAsia="Arial" w:hAnsi="Arial"/>
                <w:sz w:val="16"/>
                <w:szCs w:val="16"/>
                <w:b w:val="1"/>
                <w:bCs w:val="1"/>
                <w:color w:val="auto"/>
              </w:rPr>
              <w:t>Description</w:t>
            </w: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auto"/>
              </w:rPr>
              <w:t>1.1*</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Underwriting Agreement.</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7120" w:type="dxa"/>
            <w:vAlign w:val="bottom"/>
          </w:tcPr>
          <w:p>
            <w:pPr>
              <w:ind w:left="100"/>
              <w:spacing w:after="0"/>
              <w:rPr>
                <w:sz w:val="20"/>
                <w:szCs w:val="20"/>
                <w:color w:val="auto"/>
              </w:rPr>
            </w:pPr>
            <w:r>
              <w:rPr>
                <w:rFonts w:ascii="Arial" w:cs="Arial" w:eastAsia="Arial" w:hAnsi="Arial"/>
                <w:sz w:val="18"/>
                <w:szCs w:val="18"/>
                <w:color w:val="auto"/>
              </w:rPr>
              <w:t>Certificate of Incorporation.</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3.3</w:t>
            </w:r>
          </w:p>
        </w:tc>
        <w:tc>
          <w:tcPr>
            <w:tcW w:w="7120" w:type="dxa"/>
            <w:vAlign w:val="bottom"/>
          </w:tcPr>
          <w:p>
            <w:pPr>
              <w:ind w:left="100"/>
              <w:spacing w:after="0"/>
              <w:rPr>
                <w:sz w:val="20"/>
                <w:szCs w:val="20"/>
                <w:color w:val="auto"/>
              </w:rPr>
            </w:pPr>
            <w:r>
              <w:rPr>
                <w:rFonts w:ascii="Arial" w:cs="Arial" w:eastAsia="Arial" w:hAnsi="Arial"/>
                <w:sz w:val="18"/>
                <w:szCs w:val="18"/>
                <w:color w:val="auto"/>
              </w:rPr>
              <w:t>Bylaws.</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7120" w:type="dxa"/>
            <w:vAlign w:val="bottom"/>
          </w:tcPr>
          <w:p>
            <w:pPr>
              <w:ind w:left="100"/>
              <w:spacing w:after="0"/>
              <w:rPr>
                <w:sz w:val="20"/>
                <w:szCs w:val="20"/>
                <w:color w:val="auto"/>
              </w:rPr>
            </w:pPr>
            <w:r>
              <w:rPr>
                <w:rFonts w:ascii="Arial" w:cs="Arial" w:eastAsia="Arial" w:hAnsi="Arial"/>
                <w:sz w:val="18"/>
                <w:szCs w:val="18"/>
                <w:color w:val="auto"/>
              </w:rPr>
              <w:t>Specimen Unit Certificate.</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7120" w:type="dxa"/>
            <w:vAlign w:val="bottom"/>
          </w:tcPr>
          <w:p>
            <w:pPr>
              <w:ind w:left="100"/>
              <w:spacing w:after="0"/>
              <w:rPr>
                <w:sz w:val="20"/>
                <w:szCs w:val="20"/>
                <w:color w:val="auto"/>
              </w:rPr>
            </w:pPr>
            <w:r>
              <w:rPr>
                <w:rFonts w:ascii="Arial" w:cs="Arial" w:eastAsia="Arial" w:hAnsi="Arial"/>
                <w:sz w:val="18"/>
                <w:szCs w:val="18"/>
                <w:color w:val="auto"/>
              </w:rPr>
              <w:t>Specimen Common Stock Certificate.</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7120" w:type="dxa"/>
            <w:vAlign w:val="bottom"/>
          </w:tcPr>
          <w:p>
            <w:pPr>
              <w:ind w:left="100"/>
              <w:spacing w:after="0"/>
              <w:rPr>
                <w:sz w:val="20"/>
                <w:szCs w:val="20"/>
                <w:color w:val="auto"/>
              </w:rPr>
            </w:pPr>
            <w:r>
              <w:rPr>
                <w:rFonts w:ascii="Arial" w:cs="Arial" w:eastAsia="Arial" w:hAnsi="Arial"/>
                <w:sz w:val="18"/>
                <w:szCs w:val="18"/>
                <w:color w:val="auto"/>
              </w:rPr>
              <w:t>Specimen Warrant Certificate.</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7120" w:type="dxa"/>
            <w:vAlign w:val="bottom"/>
          </w:tcPr>
          <w:p>
            <w:pPr>
              <w:ind w:left="100"/>
              <w:spacing w:after="0"/>
              <w:rPr>
                <w:sz w:val="20"/>
                <w:szCs w:val="20"/>
                <w:color w:val="auto"/>
              </w:rPr>
            </w:pPr>
            <w:r>
              <w:rPr>
                <w:rFonts w:ascii="Arial" w:cs="Arial" w:eastAsia="Arial" w:hAnsi="Arial"/>
                <w:sz w:val="18"/>
                <w:szCs w:val="18"/>
                <w:color w:val="auto"/>
                <w:w w:val="92"/>
              </w:rPr>
              <w:t>Form of Warrant Agreement by and between Continental Stock Transfer &amp; Trust Company and</w:t>
            </w:r>
          </w:p>
        </w:tc>
      </w:tr>
      <w:tr>
        <w:trPr>
          <w:trHeight w:val="230"/>
        </w:trPr>
        <w:tc>
          <w:tcPr>
            <w:tcW w:w="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the Registrant.</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4.5*</w:t>
            </w:r>
          </w:p>
        </w:tc>
        <w:tc>
          <w:tcPr>
            <w:tcW w:w="7120" w:type="dxa"/>
            <w:vAlign w:val="bottom"/>
          </w:tcPr>
          <w:p>
            <w:pPr>
              <w:ind w:left="100"/>
              <w:spacing w:after="0"/>
              <w:rPr>
                <w:sz w:val="20"/>
                <w:szCs w:val="20"/>
                <w:color w:val="auto"/>
              </w:rPr>
            </w:pPr>
            <w:r>
              <w:rPr>
                <w:rFonts w:ascii="Arial" w:cs="Arial" w:eastAsia="Arial" w:hAnsi="Arial"/>
                <w:sz w:val="18"/>
                <w:szCs w:val="18"/>
                <w:color w:val="auto"/>
                <w:w w:val="97"/>
              </w:rPr>
              <w:t>Form of Unit Purchase Option between the Registrant and Chardan Capital Markets, LLC.</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5.1</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Opinion of Loeb &amp; Loeb LLP</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7120" w:type="dxa"/>
            <w:vAlign w:val="bottom"/>
          </w:tcPr>
          <w:p>
            <w:pPr>
              <w:ind w:left="100"/>
              <w:spacing w:after="0"/>
              <w:rPr>
                <w:sz w:val="20"/>
                <w:szCs w:val="20"/>
                <w:color w:val="auto"/>
              </w:rPr>
            </w:pPr>
            <w:r>
              <w:rPr>
                <w:rFonts w:ascii="Arial" w:cs="Arial" w:eastAsia="Arial" w:hAnsi="Arial"/>
                <w:sz w:val="18"/>
                <w:szCs w:val="18"/>
                <w:color w:val="auto"/>
                <w:w w:val="96"/>
              </w:rPr>
              <w:t>Form of Letter Agreement among the Registrant and the Registrant’s Officers and Directors</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7120" w:type="dxa"/>
            <w:vAlign w:val="bottom"/>
          </w:tcPr>
          <w:p>
            <w:pPr>
              <w:ind w:left="100"/>
              <w:spacing w:after="0"/>
              <w:rPr>
                <w:sz w:val="20"/>
                <w:szCs w:val="20"/>
                <w:color w:val="auto"/>
              </w:rPr>
            </w:pPr>
            <w:r>
              <w:rPr>
                <w:rFonts w:ascii="Arial" w:cs="Arial" w:eastAsia="Arial" w:hAnsi="Arial"/>
                <w:sz w:val="18"/>
                <w:szCs w:val="18"/>
                <w:color w:val="auto"/>
                <w:w w:val="90"/>
              </w:rPr>
              <w:t>Form of Investment Management Trust Agreement by and between Continental Stock Transfer &amp;</w:t>
            </w:r>
          </w:p>
        </w:tc>
      </w:tr>
      <w:tr>
        <w:trPr>
          <w:trHeight w:val="230"/>
        </w:trPr>
        <w:tc>
          <w:tcPr>
            <w:tcW w:w="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Trust Company and the Registrant</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7120" w:type="dxa"/>
            <w:vAlign w:val="bottom"/>
          </w:tcPr>
          <w:p>
            <w:pPr>
              <w:ind w:left="100"/>
              <w:spacing w:after="0"/>
              <w:rPr>
                <w:sz w:val="20"/>
                <w:szCs w:val="20"/>
                <w:color w:val="auto"/>
              </w:rPr>
            </w:pPr>
            <w:r>
              <w:rPr>
                <w:rFonts w:ascii="Arial" w:cs="Arial" w:eastAsia="Arial" w:hAnsi="Arial"/>
                <w:sz w:val="18"/>
                <w:szCs w:val="18"/>
                <w:color w:val="auto"/>
                <w:w w:val="95"/>
              </w:rPr>
              <w:t>Form of Stock Escrow Agreement among the Registrant, Continental Stock Transfer &amp; Trust</w:t>
            </w:r>
          </w:p>
        </w:tc>
      </w:tr>
      <w:tr>
        <w:trPr>
          <w:trHeight w:val="230"/>
        </w:trPr>
        <w:tc>
          <w:tcPr>
            <w:tcW w:w="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Company, and the Initial Stockholders</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7120" w:type="dxa"/>
            <w:vAlign w:val="bottom"/>
          </w:tcPr>
          <w:p>
            <w:pPr>
              <w:ind w:left="100"/>
              <w:spacing w:after="0"/>
              <w:rPr>
                <w:sz w:val="20"/>
                <w:szCs w:val="20"/>
                <w:color w:val="auto"/>
              </w:rPr>
            </w:pPr>
            <w:r>
              <w:rPr>
                <w:rFonts w:ascii="Arial" w:cs="Arial" w:eastAsia="Arial" w:hAnsi="Arial"/>
                <w:sz w:val="18"/>
                <w:szCs w:val="18"/>
                <w:color w:val="auto"/>
                <w:w w:val="93"/>
              </w:rPr>
              <w:t>Form of Registration Rights Agreement by and between the Registrant and Initial Stockholders</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Indemnity Agreement</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7120" w:type="dxa"/>
            <w:vAlign w:val="bottom"/>
          </w:tcPr>
          <w:p>
            <w:pPr>
              <w:ind w:left="100"/>
              <w:spacing w:after="0"/>
              <w:rPr>
                <w:sz w:val="20"/>
                <w:szCs w:val="20"/>
                <w:color w:val="auto"/>
              </w:rPr>
            </w:pPr>
            <w:r>
              <w:rPr>
                <w:rFonts w:ascii="Arial" w:cs="Arial" w:eastAsia="Arial" w:hAnsi="Arial"/>
                <w:sz w:val="18"/>
                <w:szCs w:val="18"/>
                <w:color w:val="auto"/>
                <w:w w:val="95"/>
              </w:rPr>
              <w:t>Administrative Services Agreement by and between the Registrant and Magna Management</w:t>
            </w:r>
          </w:p>
        </w:tc>
      </w:tr>
      <w:tr>
        <w:trPr>
          <w:trHeight w:val="230"/>
        </w:trPr>
        <w:tc>
          <w:tcPr>
            <w:tcW w:w="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LLC.</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Subscription Agreement between the Registrant and M SPAC LLC</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14</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Code of Ethics</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7120" w:type="dxa"/>
            <w:vAlign w:val="bottom"/>
          </w:tcPr>
          <w:p>
            <w:pPr>
              <w:ind w:left="100"/>
              <w:spacing w:after="0"/>
              <w:rPr>
                <w:sz w:val="20"/>
                <w:szCs w:val="20"/>
                <w:color w:val="auto"/>
              </w:rPr>
            </w:pPr>
            <w:r>
              <w:rPr>
                <w:rFonts w:ascii="Arial" w:cs="Arial" w:eastAsia="Arial" w:hAnsi="Arial"/>
                <w:sz w:val="18"/>
                <w:szCs w:val="18"/>
                <w:color w:val="auto"/>
              </w:rPr>
              <w:t>Consent of Marcum LLP</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23.2</w:t>
            </w:r>
          </w:p>
        </w:tc>
        <w:tc>
          <w:tcPr>
            <w:tcW w:w="7120" w:type="dxa"/>
            <w:vAlign w:val="bottom"/>
          </w:tcPr>
          <w:p>
            <w:pPr>
              <w:ind w:left="100"/>
              <w:spacing w:after="0"/>
              <w:rPr>
                <w:sz w:val="20"/>
                <w:szCs w:val="20"/>
                <w:color w:val="auto"/>
              </w:rPr>
            </w:pPr>
            <w:r>
              <w:rPr>
                <w:rFonts w:ascii="Arial" w:cs="Arial" w:eastAsia="Arial" w:hAnsi="Arial"/>
                <w:sz w:val="18"/>
                <w:szCs w:val="18"/>
                <w:color w:val="auto"/>
              </w:rPr>
              <w:t>Consent of Loeb &amp; Loeb LLP (included on Exhibit 5.1).</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24</w:t>
            </w:r>
          </w:p>
        </w:tc>
        <w:tc>
          <w:tcPr>
            <w:tcW w:w="7120" w:type="dxa"/>
            <w:vAlign w:val="bottom"/>
          </w:tcPr>
          <w:p>
            <w:pPr>
              <w:ind w:left="10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Audit Committee Charter</w:t>
            </w:r>
          </w:p>
        </w:tc>
      </w:tr>
      <w:tr>
        <w:trPr>
          <w:trHeight w:val="500"/>
        </w:trPr>
        <w:tc>
          <w:tcPr>
            <w:tcW w:w="940" w:type="dxa"/>
            <w:vAlign w:val="bottom"/>
          </w:tcPr>
          <w:p>
            <w:pPr>
              <w:spacing w:after="0"/>
              <w:rPr>
                <w:sz w:val="20"/>
                <w:szCs w:val="20"/>
                <w:color w:val="auto"/>
              </w:rPr>
            </w:pPr>
            <w:r>
              <w:rPr>
                <w:rFonts w:ascii="Arial" w:cs="Arial" w:eastAsia="Arial" w:hAnsi="Arial"/>
                <w:sz w:val="18"/>
                <w:szCs w:val="18"/>
                <w:color w:val="auto"/>
              </w:rPr>
              <w:t>99.2</w:t>
            </w:r>
          </w:p>
        </w:tc>
        <w:tc>
          <w:tcPr>
            <w:tcW w:w="7120" w:type="dxa"/>
            <w:vAlign w:val="bottom"/>
          </w:tcPr>
          <w:p>
            <w:pPr>
              <w:ind w:left="100"/>
              <w:spacing w:after="0"/>
              <w:rPr>
                <w:sz w:val="20"/>
                <w:szCs w:val="20"/>
                <w:color w:val="auto"/>
              </w:rPr>
            </w:pPr>
            <w:r>
              <w:rPr>
                <w:rFonts w:ascii="Arial" w:cs="Arial" w:eastAsia="Arial" w:hAnsi="Arial"/>
                <w:sz w:val="18"/>
                <w:szCs w:val="18"/>
                <w:color w:val="auto"/>
              </w:rPr>
              <w:t>Form of Compensation Committee Charter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-8137525</wp:posOffset>
            </wp:positionV>
            <wp:extent cx="5145405" cy="8164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16419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780" w:hanging="318"/>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jc w:val="right"/>
        <w:ind w:right="20"/>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FM ACQUISITIONS I,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FM Acquisitions I, Inc., a Delaware corporation (the “Corporation”), does hereby certify that:</w:t>
      </w:r>
    </w:p>
    <w:p>
      <w:pPr>
        <w:spacing w:after="0" w:line="221" w:lineRule="exact"/>
        <w:rPr>
          <w:sz w:val="20"/>
          <w:szCs w:val="20"/>
          <w:color w:val="auto"/>
        </w:rPr>
      </w:pPr>
    </w:p>
    <w:p>
      <w:pPr>
        <w:jc w:val="both"/>
        <w:ind w:right="320"/>
        <w:spacing w:after="0" w:line="314"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That the Board of Directors of the Corporation by unanimous written consent dated as of September 16, 2015, adopted resolutions setting forth a</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amendment to the Certificate of Incorporation of the Corporation, declaring such amendment to be advisable and calling for the submission of such amendment to the stockholders of the Corporation for consideration thereof. The resolutions setting forth the proposed amendments are as follows:</w:t>
      </w:r>
    </w:p>
    <w:p>
      <w:pPr>
        <w:spacing w:after="0" w:line="142" w:lineRule="exact"/>
        <w:rPr>
          <w:sz w:val="20"/>
          <w:szCs w:val="20"/>
          <w:color w:val="auto"/>
        </w:rPr>
      </w:pPr>
    </w:p>
    <w:p>
      <w:pPr>
        <w:jc w:val="both"/>
        <w:ind w:right="34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Certificate of Incorporation of the Corporation be amended by deleting the text of Article “FIRST” and adding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 its place: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this corporation is M I Acquisitions, Inc. (the “Corporation”).</w:t>
      </w:r>
    </w:p>
    <w:p>
      <w:pPr>
        <w:spacing w:after="0" w:line="22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That thereafter,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228 of the General Corporation Law of the State of Delaware, a written consent approving the amendment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above was signed by the holders of outstanding voting stock having not less than the minimum number of votes that would be necessary to authorize or take such action at a meeting on such date at which all shares entitled to vote thereon were present and voted.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That said amendment was duly adopted in accordance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242 of the General Corporation Law of the State of Delaware.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18</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54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5080" w:type="dxa"/>
            <w:vAlign w:val="bottom"/>
            <w:gridSpan w:val="2"/>
          </w:tcPr>
          <w:p>
            <w:pPr>
              <w:ind w:left="40"/>
              <w:spacing w:after="0"/>
              <w:rPr>
                <w:sz w:val="20"/>
                <w:szCs w:val="20"/>
                <w:color w:val="auto"/>
              </w:rPr>
            </w:pPr>
            <w:r>
              <w:rPr>
                <w:rFonts w:ascii="Arial" w:cs="Arial" w:eastAsia="Arial" w:hAnsi="Arial"/>
                <w:sz w:val="18"/>
                <w:szCs w:val="18"/>
                <w:color w:val="auto"/>
              </w:rPr>
              <w:t>/s/ Joshua Sason</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2"/>
        </w:trPr>
        <w:tc>
          <w:tcPr>
            <w:tcW w:w="6040" w:type="dxa"/>
            <w:vAlign w:val="bottom"/>
          </w:tcPr>
          <w:p>
            <w:pPr>
              <w:spacing w:after="0"/>
              <w:rPr>
                <w:sz w:val="19"/>
                <w:szCs w:val="19"/>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(Authorized Officer)</w:t>
            </w:r>
          </w:p>
        </w:tc>
      </w:tr>
      <w:tr>
        <w:trPr>
          <w:trHeight w:val="216"/>
        </w:trPr>
        <w:tc>
          <w:tcPr>
            <w:tcW w:w="6040" w:type="dxa"/>
            <w:vAlign w:val="bottom"/>
          </w:tcPr>
          <w:p>
            <w:pPr>
              <w:ind w:left="5420"/>
              <w:spacing w:after="0"/>
              <w:rPr>
                <w:sz w:val="20"/>
                <w:szCs w:val="20"/>
                <w:color w:val="auto"/>
              </w:rPr>
            </w:pPr>
            <w:r>
              <w:rPr>
                <w:rFonts w:ascii="Arial" w:cs="Arial" w:eastAsia="Arial" w:hAnsi="Arial"/>
                <w:sz w:val="18"/>
                <w:szCs w:val="18"/>
                <w:color w:val="auto"/>
              </w:rPr>
              <w:t>Name:</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Joshua Sason</w:t>
            </w:r>
          </w:p>
        </w:tc>
      </w:tr>
      <w:tr>
        <w:trPr>
          <w:trHeight w:val="230"/>
        </w:trPr>
        <w:tc>
          <w:tcPr>
            <w:tcW w:w="6040" w:type="dxa"/>
            <w:vAlign w:val="bottom"/>
          </w:tcPr>
          <w:p>
            <w:pPr>
              <w:ind w:left="5420"/>
              <w:spacing w:after="0"/>
              <w:rPr>
                <w:sz w:val="20"/>
                <w:szCs w:val="20"/>
                <w:color w:val="auto"/>
              </w:rPr>
            </w:pPr>
            <w:r>
              <w:rPr>
                <w:rFonts w:ascii="Arial" w:cs="Arial" w:eastAsia="Arial" w:hAnsi="Arial"/>
                <w:sz w:val="18"/>
                <w:szCs w:val="18"/>
                <w:color w:val="auto"/>
              </w:rPr>
              <w:t>Title:</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6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112" w:right="2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FM ACQUISITIONS I,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for the purpose of incorporating and organizing a corporation under the General Corporation Law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does hereby execute this Certificate of Incorporation and does hereby certify as follows: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FM Acquisitions I, Inc. (hereinafter called the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registered office of the Corporation is to be located at 28 Old Rudnick Lane, in the City of Dover, in the County of Kent, in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19901. The name of its registered agent at that address is Corp1, Inc.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Delaware.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 NY 10154.</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total number of shares which the Corporation shall have authority to issue is fifty million (50,000,000) shares of common stock, $0.001 par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07"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A Director of the Corporation shall not be liable to the Corporation or its stockholders for monetary damages for breach of fiduciary duty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 prior to such amendment or repeal.</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 authorized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7160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80"/>
          </w:cols>
          <w:pgMar w:left="320" w:top="688" w:right="299" w:bottom="1440" w:gutter="0" w:footer="0" w:header="0"/>
        </w:sectPr>
      </w:pPr>
    </w:p>
    <w:bookmarkStart w:id="117" w:name="page118"/>
    <w:bookmarkEnd w:id="117"/>
    <w:p>
      <w:pPr>
        <w:jc w:val="both"/>
        <w:ind w:right="20" w:firstLine="648"/>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In furtherance of and not in limitation of powers conferred by statute, it is further provided:</w:t>
      </w:r>
    </w:p>
    <w:p>
      <w:pPr>
        <w:spacing w:after="0" w:line="229" w:lineRule="exact"/>
        <w:rPr>
          <w:sz w:val="20"/>
          <w:szCs w:val="20"/>
          <w:color w:val="auto"/>
        </w:rPr>
      </w:pPr>
    </w:p>
    <w:p>
      <w:pPr>
        <w:ind w:left="820" w:hanging="172"/>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820" w:hanging="172"/>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648"/>
        <w:spacing w:after="0" w:line="277" w:lineRule="auto"/>
        <w:tabs>
          <w:tab w:leader="none" w:pos="8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in the manner now or hereafter prescribed by statute, and all rights conferred upon stockholders herein are granted subject to this reservation.</w:t>
      </w:r>
    </w:p>
    <w:p>
      <w:pPr>
        <w:spacing w:after="0" w:line="184"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 this 23</w:t>
      </w:r>
      <w:r>
        <w:rPr>
          <w:rFonts w:ascii="Arial" w:cs="Arial" w:eastAsia="Arial" w:hAnsi="Arial"/>
          <w:sz w:val="30"/>
          <w:szCs w:val="30"/>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u w:val="single" w:color="auto"/>
          <w:color w:val="auto"/>
        </w:rPr>
        <w:t>/s/ Jaszick Maldonado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Jaszick Maldonado,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1780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280"/>
          </w:cols>
          <w:pgMar w:left="320" w:top="904"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 I Acquisitions, Inc., a corporation existing under the laws of the State of Delaware (the “Corporation”), by its Chief Executive Officer, hereby certifies as follows:</w:t>
      </w:r>
    </w:p>
    <w:p>
      <w:pPr>
        <w:spacing w:after="0" w:line="170" w:lineRule="exact"/>
        <w:rPr>
          <w:sz w:val="20"/>
          <w:szCs w:val="20"/>
          <w:color w:val="auto"/>
        </w:rPr>
      </w:pPr>
    </w:p>
    <w:p>
      <w:pPr>
        <w:ind w:left="640" w:hanging="635"/>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(hereinafter called the “Corporation’).</w:t>
      </w:r>
    </w:p>
    <w:p>
      <w:pPr>
        <w:spacing w:after="0" w:line="225" w:lineRule="exact"/>
        <w:rPr>
          <w:rFonts w:ascii="Arial" w:cs="Arial" w:eastAsia="Arial" w:hAnsi="Arial"/>
          <w:sz w:val="18"/>
          <w:szCs w:val="18"/>
          <w:color w:val="auto"/>
        </w:rPr>
      </w:pPr>
    </w:p>
    <w:p>
      <w:pPr>
        <w:ind w:left="640" w:hanging="635"/>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Corporation’s Certificate of Incorporation was filed in the office of the Secretary of State of the State of Delaware on April 23, 2015.</w:t>
      </w:r>
    </w:p>
    <w:p>
      <w:pPr>
        <w:spacing w:after="0" w:line="236" w:lineRule="exact"/>
        <w:rPr>
          <w:rFonts w:ascii="Arial" w:cs="Arial" w:eastAsia="Arial" w:hAnsi="Arial"/>
          <w:sz w:val="17"/>
          <w:szCs w:val="17"/>
          <w:color w:val="auto"/>
        </w:rPr>
      </w:pPr>
    </w:p>
    <w:p>
      <w:pPr>
        <w:ind w:left="640" w:hanging="635"/>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firstLine="5"/>
        <w:spacing w:after="0" w:line="264" w:lineRule="auto"/>
        <w:tabs>
          <w:tab w:leader="none" w:pos="8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81" w:lineRule="exact"/>
        <w:rPr>
          <w:rFonts w:ascii="Arial" w:cs="Arial" w:eastAsia="Arial" w:hAnsi="Arial"/>
          <w:sz w:val="18"/>
          <w:szCs w:val="18"/>
          <w:color w:val="auto"/>
        </w:rPr>
      </w:pPr>
    </w:p>
    <w:p>
      <w:pPr>
        <w:ind w:left="640" w:hanging="635"/>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The name of the corporation is M I Acquisitions, Inc. (hereinafter called the "Corporation").</w:t>
      </w:r>
    </w:p>
    <w:p>
      <w:pPr>
        <w:spacing w:after="0" w:line="225"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SECOND: The registered office of the Corporation is to be located at 28 Old Rudnick Lane, in the City of Dover, in the County of Kent, in the State of Delaware 19901. The name of its registered agent at that address is Corp1, Inc.</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FOURTH: The name and mailing address of the incorporator is: [Jaszick Maldonado, c/o Loeb &amp; Loeb LLP, 345 Park Avenue, New York NY 10154.]</w:t>
      </w:r>
    </w:p>
    <w:p>
      <w:pPr>
        <w:spacing w:after="0" w:line="170"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FIFTH: The total number of shares of all classes of capital stock which the Corporation shall have authority to issue is 51,000,000, of which 50,000,000 shares shall be common stock of the par value $.001 per share (“Common Stock”) and 1,000,000 shares shall be preferred stock of the par value of $.001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415925</wp:posOffset>
            </wp:positionV>
            <wp:extent cx="7160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80" w:top="355" w:right="319" w:bottom="1440" w:gutter="0" w:footer="0" w:header="0"/>
        </w:sectPr>
      </w:pPr>
    </w:p>
    <w:bookmarkStart w:id="119" w:name="page120"/>
    <w:bookmarkEnd w:id="119"/>
    <w:p>
      <w:pPr>
        <w:jc w:val="both"/>
        <w:ind w:left="660" w:hanging="3"/>
        <w:spacing w:after="0" w:line="270" w:lineRule="auto"/>
        <w:tabs>
          <w:tab w:leader="none" w:pos="146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rFonts w:ascii="Arial" w:cs="Arial" w:eastAsia="Arial" w:hAnsi="Arial"/>
          <w:sz w:val="17"/>
          <w:szCs w:val="17"/>
          <w:color w:val="auto"/>
        </w:rPr>
      </w:pPr>
    </w:p>
    <w:p>
      <w:pPr>
        <w:ind w:left="660" w:hanging="3"/>
        <w:spacing w:after="0" w:line="308" w:lineRule="auto"/>
        <w:tabs>
          <w:tab w:leader="none" w:pos="13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stock purchase,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deferred underwriting commissions and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w:t>
      </w:r>
    </w:p>
    <w:p>
      <w:pPr>
        <w:spacing w:after="0" w:line="197" w:lineRule="exact"/>
        <w:rPr>
          <w:sz w:val="20"/>
          <w:szCs w:val="20"/>
          <w:color w:val="auto"/>
        </w:rPr>
      </w:pPr>
    </w:p>
    <w:p>
      <w:pPr>
        <w:jc w:val="both"/>
        <w:ind w:left="660" w:hanging="3"/>
        <w:spacing w:after="0" w:line="259" w:lineRule="auto"/>
        <w:tabs>
          <w:tab w:leader="none" w:pos="14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6" w:lineRule="exact"/>
        <w:rPr>
          <w:rFonts w:ascii="Arial" w:cs="Arial" w:eastAsia="Arial" w:hAnsi="Arial"/>
          <w:sz w:val="18"/>
          <w:szCs w:val="18"/>
          <w:color w:val="auto"/>
        </w:rPr>
      </w:pPr>
    </w:p>
    <w:p>
      <w:pPr>
        <w:jc w:val="both"/>
        <w:ind w:left="660" w:hanging="3"/>
        <w:spacing w:after="0" w:line="286" w:lineRule="auto"/>
        <w:tabs>
          <w:tab w:leader="none" w:pos="1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405765</wp:posOffset>
            </wp:positionV>
            <wp:extent cx="7160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20" w:name="page121"/>
    <w:bookmarkEnd w:id="120"/>
    <w:p>
      <w:pPr>
        <w:jc w:val="both"/>
        <w:ind w:left="180" w:hanging="3"/>
        <w:spacing w:after="0" w:line="267" w:lineRule="auto"/>
        <w:tabs>
          <w:tab w:leader="none" w:pos="8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exchanges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1" w:lineRule="exact"/>
        <w:rPr>
          <w:rFonts w:ascii="Arial" w:cs="Arial" w:eastAsia="Arial" w:hAnsi="Arial"/>
          <w:sz w:val="17"/>
          <w:szCs w:val="17"/>
          <w:color w:val="auto"/>
        </w:rPr>
      </w:pPr>
    </w:p>
    <w:p>
      <w:pPr>
        <w:ind w:left="180" w:hanging="3"/>
        <w:spacing w:after="0" w:line="277" w:lineRule="auto"/>
        <w:tabs>
          <w:tab w:leader="none" w:pos="9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Corporation will not consummate any Business Combination unless it has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408940</wp:posOffset>
            </wp:positionV>
            <wp:extent cx="7160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4" w:right="319" w:bottom="1440" w:gutter="0" w:footer="0" w:header="0"/>
        </w:sectPr>
      </w:pPr>
    </w:p>
    <w:bookmarkStart w:id="121" w:name="page122"/>
    <w:bookmarkEnd w:id="121"/>
    <w:p>
      <w:pPr>
        <w:jc w:val="both"/>
        <w:ind w:left="180" w:hanging="3"/>
        <w:spacing w:after="0" w:line="286" w:lineRule="auto"/>
        <w:tabs>
          <w:tab w:leader="none" w:pos="86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that the Corporation does not consummate a Business Combination by (i) 18 months from the consummation of the IPO or (ii) 21 months from the consummation of the IPO if the Corporation executed a letter of intent or definitive agreement for a Business Combination within 18 months from the closing of the IPO but has not completed the Business Combination within such 18-month period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for its working capital requirements or necessary to pay its taxes divided by the total number of IPO Shares then outstanding.</w:t>
      </w:r>
    </w:p>
    <w:p>
      <w:pPr>
        <w:spacing w:after="0" w:line="168" w:lineRule="exact"/>
        <w:rPr>
          <w:rFonts w:ascii="Arial" w:cs="Arial" w:eastAsia="Arial" w:hAnsi="Arial"/>
          <w:sz w:val="16"/>
          <w:szCs w:val="16"/>
          <w:color w:val="auto"/>
        </w:rPr>
      </w:pPr>
    </w:p>
    <w:p>
      <w:pPr>
        <w:jc w:val="both"/>
        <w:ind w:left="180" w:hanging="3"/>
        <w:spacing w:after="0" w:line="259" w:lineRule="auto"/>
        <w:tabs>
          <w:tab w:leader="none" w:pos="8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86" w:lineRule="exact"/>
        <w:rPr>
          <w:rFonts w:ascii="Arial" w:cs="Arial" w:eastAsia="Arial" w:hAnsi="Arial"/>
          <w:sz w:val="18"/>
          <w:szCs w:val="18"/>
          <w:color w:val="auto"/>
        </w:rPr>
      </w:pPr>
    </w:p>
    <w:p>
      <w:pPr>
        <w:jc w:val="both"/>
        <w:ind w:left="180" w:hanging="3"/>
        <w:spacing w:after="0" w:line="264" w:lineRule="auto"/>
        <w:tabs>
          <w:tab w:leader="none" w:pos="10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81" w:lineRule="exact"/>
        <w:rPr>
          <w:rFonts w:ascii="Arial" w:cs="Arial" w:eastAsia="Arial" w:hAnsi="Arial"/>
          <w:sz w:val="18"/>
          <w:szCs w:val="18"/>
          <w:color w:val="auto"/>
        </w:rPr>
      </w:pPr>
    </w:p>
    <w:p>
      <w:pPr>
        <w:jc w:val="both"/>
        <w:ind w:left="180" w:hanging="3"/>
        <w:spacing w:after="0" w:line="267" w:lineRule="auto"/>
        <w:tabs>
          <w:tab w:leader="none" w:pos="86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422910</wp:posOffset>
            </wp:positionV>
            <wp:extent cx="7160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5" w:right="319" w:bottom="1440" w:gutter="0" w:footer="0" w:header="0"/>
        </w:sectPr>
      </w:pPr>
    </w:p>
    <w:bookmarkStart w:id="122" w:name="page123"/>
    <w:bookmarkEnd w:id="122"/>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1320" w:hanging="663"/>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of the Corporation so provide.</w:t>
      </w:r>
    </w:p>
    <w:p>
      <w:pPr>
        <w:spacing w:after="0" w:line="225" w:lineRule="exact"/>
        <w:rPr>
          <w:rFonts w:ascii="Arial" w:cs="Arial" w:eastAsia="Arial" w:hAnsi="Arial"/>
          <w:sz w:val="18"/>
          <w:szCs w:val="18"/>
          <w:color w:val="auto"/>
        </w:rPr>
      </w:pPr>
    </w:p>
    <w:p>
      <w:pPr>
        <w:ind w:left="660" w:hanging="3"/>
        <w:spacing w:after="0" w:line="277" w:lineRule="auto"/>
        <w:tabs>
          <w:tab w:leader="none" w:pos="13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 as provided in the by-laws of the Corporation.</w:t>
      </w:r>
    </w:p>
    <w:p>
      <w:pPr>
        <w:spacing w:after="0" w:line="170" w:lineRule="exact"/>
        <w:rPr>
          <w:rFonts w:ascii="Arial" w:cs="Arial" w:eastAsia="Arial" w:hAnsi="Arial"/>
          <w:sz w:val="18"/>
          <w:szCs w:val="18"/>
          <w:color w:val="auto"/>
        </w:rPr>
      </w:pPr>
    </w:p>
    <w:p>
      <w:pPr>
        <w:jc w:val="both"/>
        <w:ind w:left="660" w:hanging="3"/>
        <w:spacing w:after="0" w:line="255" w:lineRule="auto"/>
        <w:tabs>
          <w:tab w:leader="none" w:pos="15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9" w:lineRule="exact"/>
        <w:rPr>
          <w:rFonts w:ascii="Arial" w:cs="Arial" w:eastAsia="Arial" w:hAnsi="Arial"/>
          <w:sz w:val="18"/>
          <w:szCs w:val="18"/>
          <w:color w:val="auto"/>
        </w:rPr>
      </w:pPr>
    </w:p>
    <w:p>
      <w:pPr>
        <w:jc w:val="both"/>
        <w:ind w:left="660" w:hanging="3"/>
        <w:spacing w:after="0" w:line="257" w:lineRule="auto"/>
        <w:tabs>
          <w:tab w:leader="none" w:pos="149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of Incorporation, and to any bylaws from time to time made by the stockholders; provided, however, that no bylaw so made shall invalidate any prior act of the directors which would have been valid if such bylaw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420370</wp:posOffset>
            </wp:positionV>
            <wp:extent cx="7160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60" w:hanging="3"/>
        <w:spacing w:after="0" w:line="271" w:lineRule="auto"/>
        <w:tabs>
          <w:tab w:leader="none" w:pos="1483"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78" w:lineRule="exact"/>
        <w:rPr>
          <w:rFonts w:ascii="Arial" w:cs="Arial" w:eastAsia="Arial" w:hAnsi="Arial"/>
          <w:sz w:val="17"/>
          <w:szCs w:val="17"/>
          <w:color w:val="auto"/>
        </w:rPr>
      </w:pPr>
    </w:p>
    <w:p>
      <w:pPr>
        <w:jc w:val="both"/>
        <w:ind w:left="660" w:hanging="3"/>
        <w:spacing w:after="0" w:line="255" w:lineRule="auto"/>
        <w:tabs>
          <w:tab w:leader="none" w:pos="14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3" w:lineRule="exact"/>
        <w:rPr>
          <w:rFonts w:ascii="Arial" w:cs="Arial" w:eastAsia="Arial" w:hAnsi="Arial"/>
          <w:sz w:val="18"/>
          <w:szCs w:val="18"/>
          <w:color w:val="auto"/>
        </w:rPr>
      </w:pPr>
    </w:p>
    <w:p>
      <w:pPr>
        <w:jc w:val="both"/>
        <w:ind w:left="660" w:hanging="3"/>
        <w:spacing w:after="0" w:line="279" w:lineRule="auto"/>
        <w:tabs>
          <w:tab w:leader="none" w:pos="13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416560</wp:posOffset>
            </wp:positionV>
            <wp:extent cx="7160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1124" w:right="31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signed by Joshua Sason, its Chief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7"/>
              </w:rPr>
              <w:t>Executive Officer, as of the ___ day of</w:t>
            </w:r>
          </w:p>
        </w:tc>
        <w:tc>
          <w:tcPr>
            <w:tcW w:w="2620" w:type="dxa"/>
            <w:vAlign w:val="bottom"/>
          </w:tcPr>
          <w:p>
            <w:pPr>
              <w:jc w:val="right"/>
              <w:ind w:right="1850"/>
              <w:spacing w:after="0"/>
              <w:rPr>
                <w:sz w:val="20"/>
                <w:szCs w:val="20"/>
                <w:color w:val="auto"/>
              </w:rPr>
            </w:pPr>
            <w:r>
              <w:rPr>
                <w:rFonts w:ascii="Arial" w:cs="Arial" w:eastAsia="Arial" w:hAnsi="Arial"/>
                <w:sz w:val="18"/>
                <w:szCs w:val="18"/>
                <w:color w:val="auto"/>
              </w:rPr>
              <w:t>, 2015.</w:t>
            </w:r>
          </w:p>
        </w:tc>
        <w:tc>
          <w:tcPr>
            <w:tcW w:w="5660" w:type="dxa"/>
            <w:vAlign w:val="bottom"/>
          </w:tcPr>
          <w:p>
            <w:pPr>
              <w:spacing w:after="0"/>
              <w:rPr>
                <w:sz w:val="20"/>
                <w:szCs w:val="20"/>
                <w:color w:val="auto"/>
              </w:rPr>
            </w:pPr>
          </w:p>
        </w:tc>
      </w:tr>
      <w:tr>
        <w:trPr>
          <w:trHeight w:val="418"/>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Pr>
          <w:p>
            <w:pPr>
              <w:spacing w:after="0"/>
              <w:rPr>
                <w:sz w:val="24"/>
                <w:szCs w:val="24"/>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w w:val="97"/>
              </w:rPr>
              <w:t>Joshua Sason, Chief Executive Officer</w:t>
            </w:r>
          </w:p>
        </w:tc>
        <w:tc>
          <w:tcPr>
            <w:tcW w:w="26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661"/>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1125" w:right="2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3.3</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BYLAWS</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OF</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M I ACQUISITIONS, INC.</w:t>
      </w:r>
    </w:p>
    <w:p>
      <w:pPr>
        <w:spacing w:after="0" w:line="23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 A Delaware Corporation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377825</wp:posOffset>
            </wp:positionV>
            <wp:extent cx="7160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Chairman or the President.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and Purpose of Meetings</w:t>
      </w:r>
      <w:r>
        <w:rPr>
          <w:rFonts w:ascii="Arial" w:cs="Arial" w:eastAsia="Arial" w:hAnsi="Arial"/>
          <w:sz w:val="18"/>
          <w:szCs w:val="18"/>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10 nor more than 60 days before the date of the meeting, either personally, or by mail, or if prior consent has been received by a stockholder by electronic transmission, by or at the direction of the Chairman or the President, the Secretary, or the persons calling the meeting, to each stockholder of record entitled to vote at such meeting.</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27" w:name="page128"/>
    <w:bookmarkEnd w:id="127"/>
    <w:p>
      <w:pPr>
        <w:jc w:val="both"/>
        <w:ind w:firstLine="1297"/>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Process</w:t>
      </w:r>
      <w:r>
        <w:rPr>
          <w:rFonts w:ascii="Arial" w:cs="Arial" w:eastAsia="Arial" w:hAnsi="Arial"/>
          <w:sz w:val="18"/>
          <w:szCs w:val="18"/>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stockholder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Qualifications, Term</w:t>
      </w:r>
      <w:r>
        <w:rPr>
          <w:rFonts w:ascii="Arial" w:cs="Arial" w:eastAsia="Arial" w:hAnsi="Arial"/>
          <w:sz w:val="18"/>
          <w:szCs w:val="18"/>
          <w:color w:val="auto"/>
        </w:rPr>
        <w:t>. The board of directors shall consist of one or more members. The number of directors shall be fixed by the board of directors and may thereafter be changed from time to time by resolution of the board of directors. Directors need not be residents of the State of Delaware nor stockholders of the corporation.</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board of directors, regular or special, may be held either within or without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28" w:name="page129"/>
    <w:bookmarkEnd w:id="128"/>
    <w:p>
      <w:pPr>
        <w:jc w:val="both"/>
        <w:ind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or the President or by the number of directors who then legally constitute a quorum.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charges prepaid, at least three days before the date of the meeting. .</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any provisions of applicable law, any or all of the directors may be removed by vote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of Committees</w:t>
      </w:r>
      <w:r>
        <w:rPr>
          <w:rFonts w:ascii="Arial" w:cs="Arial" w:eastAsia="Arial" w:hAnsi="Arial"/>
          <w:sz w:val="18"/>
          <w:szCs w:val="18"/>
          <w:color w:val="auto"/>
        </w:rPr>
        <w:t>. The board of directors may, by resolution adopted by a majority of the whole board, designate one or more committees, each of which shall, except as otherwise prescribed by law, have such authority of the board of directors as shall be specified in the resolution of the board designating such committee. The board of directors shall have the power at any time to change the membership of, to fill all vacancies in and to discharge any such committee, either with or without cause.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29" w:name="page130"/>
    <w:bookmarkEnd w:id="129"/>
    <w:p>
      <w:pPr>
        <w:jc w:val="both"/>
        <w:ind w:firstLine="1297"/>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Committee meetings, of which no notice shall be necessary, may be held at such times and places as shall be fixed by resolution adopted by a majority of the members thereof. So far as applicable, the provisions of Article III of these by-laws relating to notice, quorum and voting requirements applicable to meetings of the board of directors shall govern meetings of any committee of the board. Each committee of the board of directors shall keep written minutes of its proceedings and circulate summaries of such written minutes to the board of directors before or at the next meeting of the board.</w:t>
      </w:r>
    </w:p>
    <w:p>
      <w:pPr>
        <w:spacing w:after="0" w:line="1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board of directors at its first meeting after each annual meeting of stockholders shall choose a Chief Executive Officer, a Secretary and a Treasurer, none of whom need be a member of the board. The board of directors may also choose a Chairman from among the directors, one or more Executive Vice Presidents, one or more Vice Presidents, Assistant Secretaries and Assistant Treasurers. The board of directors may appoint such other officers and agents as it shall deem necessary, who shall hold their offices for such terms and shall exercise such powers and perform such duties as shall be determined from time to time by the board of directors. More than two offices may be held by the same person.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Compensation</w:t>
      </w:r>
      <w:r>
        <w:rPr>
          <w:rFonts w:ascii="Arial" w:cs="Arial" w:eastAsia="Arial" w:hAnsi="Arial"/>
          <w:sz w:val="16"/>
          <w:szCs w:val="16"/>
          <w:color w:val="auto"/>
        </w:rPr>
        <w:t>. The salaries or other compensation of all officers of the corporation shall be fixed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shall be prevented from receiving a salary or other compensation by reason of the fact that he is also a director.</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preside at all meetings of the stockholders and the board of directors in the absence of the Chairman, shall have general supervision over the business of the corporation and shall see that all directions and resolutions of the board of directors are carried into effect.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in the absence or disability of the Chief Executive Officer, perform the duties and exercise the powers of the Chief Executive Officer and shall perform such other duties and have such other powers as the board of directors may from time to time prescribe.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130" w:name="page131"/>
    <w:bookmarkEnd w:id="130"/>
    <w:p>
      <w:pPr>
        <w:jc w:val="both"/>
        <w:ind w:firstLine="1297"/>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President</w:t>
      </w:r>
      <w:r>
        <w:rPr>
          <w:rFonts w:ascii="Arial" w:cs="Arial" w:eastAsia="Arial" w:hAnsi="Arial"/>
          <w:sz w:val="18"/>
          <w:szCs w:val="18"/>
          <w:color w:val="auto"/>
        </w:rPr>
        <w:t>. The Executive Vice Presidents shall, in the absence or disability of the President, perform the duties and exercise the powers of the President and shall perform such other duties and have such other powers as the board of directors may from time to time prescribe. If there shall be more than one Executive Vice President, the Executive Vice Presidents shall perform such duties and exercise such powers in the absence or disability of the President, in the order determined by the board of directors. The Vice Presidents shall, in the absence or disability of the President and of the Executive Vice Presidents, perform the duties and exercise the powers of the President and shall perform such other duties and have such other powers as the board of directors may from time to time prescribe. If there shall be more than one vice president, the vice presidents shall perform such duties and exercise such powers in the absence or disability of the President and of the Executive Vice President, in the order determined by the board of directors.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or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President and the board of directors, at its regular meetings, or when the board of directors so requires, an account of all of his transactions as Treasurer and of the financial condition of the corporation.</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Form</w:t>
      </w:r>
      <w:r>
        <w:rPr>
          <w:rFonts w:ascii="Arial" w:cs="Arial" w:eastAsia="Arial" w:hAnsi="Arial"/>
          <w:sz w:val="18"/>
          <w:szCs w:val="18"/>
          <w:color w:val="auto"/>
        </w:rPr>
        <w:t>. The shares of the capital stock of the corporation shall be represented by certificates in such form as shall be approved by the board of directors and shall be signed by the Chairman, the President, an Executive Vice President or a Vice President, and by the Treasurer or an assistant treasurer or the Secretary or an Assistant Secretary of the corporation, and may be sealed with the seal of the corporation or a facsimile thereof.</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69" w:lineRule="exact"/>
        <w:rPr>
          <w:sz w:val="20"/>
          <w:szCs w:val="20"/>
          <w:color w:val="auto"/>
        </w:rPr>
      </w:pPr>
    </w:p>
    <w:p>
      <w:pPr>
        <w:jc w:val="both"/>
        <w:ind w:firstLine="1297"/>
        <w:spacing w:after="0" w:line="270" w:lineRule="auto"/>
        <w:tabs>
          <w:tab w:leader="none" w:pos="1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32" w:name="page133"/>
    <w:bookmarkEnd w:id="132"/>
    <w:p>
      <w:pPr>
        <w:jc w:val="both"/>
        <w:ind w:firstLine="1297"/>
        <w:spacing w:after="0" w:line="286" w:lineRule="auto"/>
        <w:tabs>
          <w:tab w:leader="none" w:pos="154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1297"/>
        <w:spacing w:after="0" w:line="255" w:lineRule="auto"/>
        <w:tabs>
          <w:tab w:leader="none" w:pos="15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3" w:lineRule="exact"/>
        <w:rPr>
          <w:rFonts w:ascii="Arial" w:cs="Arial" w:eastAsia="Arial" w:hAnsi="Arial"/>
          <w:sz w:val="18"/>
          <w:szCs w:val="18"/>
          <w:color w:val="auto"/>
        </w:rPr>
      </w:pPr>
    </w:p>
    <w:p>
      <w:pPr>
        <w:jc w:val="both"/>
        <w:ind w:firstLine="1297"/>
        <w:spacing w:after="0" w:line="302" w:lineRule="auto"/>
        <w:tabs>
          <w:tab w:leader="none" w:pos="1548"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154" w:lineRule="exact"/>
        <w:rPr>
          <w:rFonts w:ascii="Arial" w:cs="Arial" w:eastAsia="Arial" w:hAnsi="Arial"/>
          <w:sz w:val="16"/>
          <w:szCs w:val="16"/>
          <w:color w:val="auto"/>
        </w:rPr>
      </w:pPr>
    </w:p>
    <w:p>
      <w:pPr>
        <w:jc w:val="both"/>
        <w:ind w:firstLine="1297"/>
        <w:spacing w:after="0" w:line="302" w:lineRule="auto"/>
        <w:tabs>
          <w:tab w:leader="none" w:pos="153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4" w:lineRule="exact"/>
        <w:rPr>
          <w:rFonts w:ascii="Arial" w:cs="Arial" w:eastAsia="Arial" w:hAnsi="Arial"/>
          <w:sz w:val="16"/>
          <w:szCs w:val="16"/>
          <w:color w:val="auto"/>
        </w:rPr>
      </w:pPr>
    </w:p>
    <w:p>
      <w:pPr>
        <w:jc w:val="both"/>
        <w:ind w:firstLine="1297"/>
        <w:spacing w:after="0" w:line="279" w:lineRule="auto"/>
        <w:tabs>
          <w:tab w:leader="none" w:pos="155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33" w:name="page134"/>
    <w:bookmarkEnd w:id="133"/>
    <w:p>
      <w:pPr>
        <w:jc w:val="both"/>
        <w:ind w:firstLine="1297"/>
        <w:spacing w:after="0" w:line="293" w:lineRule="auto"/>
        <w:tabs>
          <w:tab w:leader="none" w:pos="1557"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1297"/>
        <w:spacing w:after="0" w:line="273" w:lineRule="auto"/>
        <w:tabs>
          <w:tab w:leader="none" w:pos="1517"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8" w:lineRule="exact"/>
        <w:rPr>
          <w:rFonts w:ascii="Arial" w:cs="Arial" w:eastAsia="Arial" w:hAnsi="Arial"/>
          <w:sz w:val="17"/>
          <w:szCs w:val="17"/>
          <w:color w:val="auto"/>
        </w:rPr>
      </w:pPr>
    </w:p>
    <w:p>
      <w:pPr>
        <w:jc w:val="both"/>
        <w:ind w:firstLine="1297"/>
        <w:spacing w:after="0" w:line="264" w:lineRule="auto"/>
        <w:tabs>
          <w:tab w:leader="none" w:pos="15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181" w:lineRule="exact"/>
        <w:rPr>
          <w:rFonts w:ascii="Arial" w:cs="Arial" w:eastAsia="Arial" w:hAnsi="Arial"/>
          <w:sz w:val="18"/>
          <w:szCs w:val="18"/>
          <w:color w:val="auto"/>
        </w:rPr>
      </w:pPr>
    </w:p>
    <w:p>
      <w:pPr>
        <w:ind w:firstLine="1297"/>
        <w:spacing w:after="0" w:line="308" w:lineRule="auto"/>
        <w:tabs>
          <w:tab w:leader="none" w:pos="156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officers and directors of the Company, as individuals, shall not be liable until all funds of the Company have been distributed, with the exception of the proceeds contained in a trust account, that is subject to the trust agreement to be entered into by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and may be changed, by resolution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9"/>
          <w:szCs w:val="19"/>
          <w:b w:val="1"/>
          <w:bCs w:val="1"/>
          <w:color w:val="auto"/>
        </w:rPr>
        <w:t>Exhibit 4.1</w:t>
      </w:r>
    </w:p>
    <w:p>
      <w:pPr>
        <w:sectPr>
          <w:pgSz w:w="11900" w:h="16838" w:orient="portrait"/>
          <w:cols w:equalWidth="0" w:num="1">
            <w:col w:w="11260"/>
          </w:cols>
          <w:pgMar w:left="320" w:top="355" w:right="319" w:bottom="1440" w:gutter="0" w:footer="0" w:header="0"/>
        </w:sectPr>
      </w:pPr>
    </w:p>
    <w:p>
      <w:pPr>
        <w:spacing w:after="0" w:line="27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U-__________</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424" w:lineRule="exact"/>
        <w:rPr>
          <w:sz w:val="20"/>
          <w:szCs w:val="20"/>
          <w:color w:val="auto"/>
        </w:rPr>
      </w:pPr>
    </w:p>
    <w:p>
      <w:pPr>
        <w:sectPr>
          <w:pgSz w:w="11900" w:h="16838" w:orient="portrait"/>
          <w:cols w:equalWidth="0" w:num="2">
            <w:col w:w="9140" w:space="720"/>
            <w:col w:w="1400"/>
          </w:cols>
          <w:pgMar w:left="320" w:top="355" w:right="319" w:bottom="1440" w:gutter="0" w:footer="0" w:header="0"/>
          <w:type w:val="continuous"/>
        </w:sectPr>
      </w:pPr>
    </w:p>
    <w:p>
      <w:pPr>
        <w:ind w:left="920"/>
        <w:spacing w:after="0"/>
        <w:tabs>
          <w:tab w:leader="none" w:pos="4340" w:val="left"/>
        </w:tabs>
        <w:rPr>
          <w:sz w:val="20"/>
          <w:szCs w:val="20"/>
          <w:color w:val="auto"/>
        </w:rPr>
      </w:pPr>
      <w:r>
        <w:rPr>
          <w:rFonts w:ascii="Arial" w:cs="Arial" w:eastAsia="Arial" w:hAnsi="Arial"/>
          <w:sz w:val="18"/>
          <w:szCs w:val="18"/>
          <w:color w:val="auto"/>
        </w:rPr>
        <w:t>SEE REVERSE FOR</w:t>
      </w:r>
      <w:r>
        <w:rPr>
          <w:sz w:val="20"/>
          <w:szCs w:val="20"/>
          <w:color w:val="auto"/>
        </w:rPr>
        <w:tab/>
      </w:r>
      <w:r>
        <w:rPr>
          <w:rFonts w:ascii="Arial" w:cs="Arial" w:eastAsia="Arial" w:hAnsi="Arial"/>
          <w:sz w:val="22"/>
          <w:szCs w:val="22"/>
          <w:b w:val="1"/>
          <w:bCs w:val="1"/>
          <w:color w:val="auto"/>
        </w:rPr>
        <w:t>M I ACQUISITIONS, INC.</w:t>
      </w:r>
    </w:p>
    <w:p>
      <w:pPr>
        <w:ind w:left="740"/>
        <w:spacing w:after="0"/>
        <w:rPr>
          <w:sz w:val="20"/>
          <w:szCs w:val="20"/>
          <w:color w:val="auto"/>
        </w:rPr>
      </w:pPr>
      <w:r>
        <w:rPr>
          <w:rFonts w:ascii="Arial" w:cs="Arial" w:eastAsia="Arial" w:hAnsi="Arial"/>
          <w:sz w:val="18"/>
          <w:szCs w:val="18"/>
          <w:color w:val="auto"/>
        </w:rPr>
        <w:t>CERTAIN DEFINITIONS</w:t>
      </w:r>
    </w:p>
    <w:p>
      <w:pPr>
        <w:spacing w:after="0" w:line="205"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CUSIP</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UNITS CONSISTING OF ONE SHARE OF COMMON STOCK AND</w:t>
      </w:r>
    </w:p>
    <w:p>
      <w:pPr>
        <w:spacing w:after="0" w:line="27" w:lineRule="exact"/>
        <w:rPr>
          <w:sz w:val="20"/>
          <w:szCs w:val="20"/>
          <w:color w:val="auto"/>
        </w:rPr>
      </w:pPr>
    </w:p>
    <w:p>
      <w:pPr>
        <w:ind w:right="1020" w:firstLine="1029"/>
        <w:spacing w:after="0" w:line="492" w:lineRule="auto"/>
        <w:rPr>
          <w:sz w:val="20"/>
          <w:szCs w:val="20"/>
          <w:color w:val="auto"/>
        </w:rPr>
      </w:pPr>
      <w:r>
        <w:rPr>
          <w:rFonts w:ascii="Arial" w:cs="Arial" w:eastAsia="Arial" w:hAnsi="Arial"/>
          <w:sz w:val="18"/>
          <w:szCs w:val="18"/>
          <w:b w:val="1"/>
          <w:bCs w:val="1"/>
          <w:color w:val="auto"/>
        </w:rPr>
        <w:t xml:space="preserve">ONE WARRANT ENTITLING ITS HOLDER TO PURCHASE ONE-HALF OF ONE SHARE OF COMMON STOCK </w:t>
      </w:r>
      <w:r>
        <w:rPr>
          <w:rFonts w:ascii="Arial" w:cs="Arial" w:eastAsia="Arial" w:hAnsi="Arial"/>
          <w:sz w:val="18"/>
          <w:szCs w:val="18"/>
          <w:color w:val="auto"/>
        </w:rPr>
        <w:t>THIS CERTIFIES THAT ________________________________________________________________________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 ________________________________________________________________________________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Unit (“Unit”) consists of one share of common stock, par value $.001 per share, of M I Acquisitions, Inc., a Delaware corporation (the “Company”) and one warrant. Each warrant entitles the holder to purchase one-half of one share of common stock of the Company at $12.00 per share (subject to adjustment), upon the later to occur of (i) 30 days following the Company’s completion of an initial merger, capital stock exchange, asset acquisition or other similar business combination with one or more businesses or entities (a “Business Combination”) or (ii) 12 months from the closing of the initial public offering. Each warrant expires five years after the completion of our initial Business Combination, at 5:00 p.m., New York City time, or earlier upon redemption.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ninety (90) days after the date of the prospectus relating to the initial public offering of the Company, unless Chardan Capital Markets, LLC informs us of its decision to allow earlier separate trading, provided that we have filed with the SEC a Current Report on Form 8-K, which includes an audited balance sheet reflecting our receipt of the proceeds of the initial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warrants are governed by a warrant agreement (the “Warrant Agreement”), dated as of _______, 2015, between the Company and</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17 Battery Place, New York,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York 10004, and are available to any warrant holder on written request and without cost.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480"/>
        <w:spacing w:after="0"/>
        <w:tabs>
          <w:tab w:leader="none" w:pos="620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-130175</wp:posOffset>
            </wp:positionV>
            <wp:extent cx="64319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905" w:right="319" w:bottom="1440" w:gutter="0" w:footer="0" w:header="0"/>
        </w:sectPr>
      </w:pP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as tenants in 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_____ Custodian ______</w:t>
      </w:r>
    </w:p>
    <w:p>
      <w:pPr>
        <w:spacing w:after="0" w:line="35" w:lineRule="exact"/>
        <w:rPr>
          <w:sz w:val="20"/>
          <w:szCs w:val="20"/>
          <w:color w:val="auto"/>
        </w:rPr>
      </w:pPr>
    </w:p>
    <w:p>
      <w:pPr>
        <w:ind w:left="1780"/>
        <w:spacing w:after="0"/>
        <w:tabs>
          <w:tab w:leader="none" w:pos="306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under Uniform Gifts to Minors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Act ______________</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3">
            <w:col w:w="1580" w:space="340"/>
            <w:col w:w="3780" w:space="720"/>
            <w:col w:w="4840"/>
          </w:cols>
          <w:pgMar w:left="320" w:top="905"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PLEASE INSERT SOCIAL SECURITY OR OTHER</w:t>
      </w:r>
    </w:p>
    <w:p>
      <w:pPr>
        <w:ind w:left="320"/>
        <w:spacing w:after="0"/>
        <w:rPr>
          <w:sz w:val="20"/>
          <w:szCs w:val="20"/>
          <w:color w:val="auto"/>
        </w:rPr>
      </w:pPr>
      <w:r>
        <w:rPr>
          <w:rFonts w:ascii="Arial" w:cs="Arial" w:eastAsia="Arial" w:hAnsi="Arial"/>
          <w:sz w:val="14"/>
          <w:szCs w:val="14"/>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3584575" cy="29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84575"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wp:posOffset>
            </wp:positionV>
            <wp:extent cx="7160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160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589280</wp:posOffset>
            </wp:positionV>
            <wp:extent cx="7160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760"/>
        <w:spacing w:after="0"/>
        <w:rPr>
          <w:sz w:val="20"/>
          <w:szCs w:val="20"/>
          <w:color w:val="auto"/>
        </w:rPr>
      </w:pPr>
      <w:r>
        <w:rPr>
          <w:rFonts w:ascii="Arial" w:cs="Arial" w:eastAsia="Arial" w:hAnsi="Arial"/>
          <w:sz w:val="18"/>
          <w:szCs w:val="18"/>
          <w:i w:val="1"/>
          <w:iCs w:val="1"/>
          <w:color w:val="auto"/>
        </w:rPr>
        <w:t>Units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8008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7322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Dated </w:t>
      </w:r>
      <w:r>
        <w:rPr>
          <w:rFonts w:ascii="Arial" w:cs="Arial" w:eastAsia="Arial" w:hAnsi="Arial"/>
          <w:sz w:val="18"/>
          <w:szCs w:val="18"/>
          <w:i w:val="1"/>
          <w:iCs w:val="1"/>
          <w:u w:val="single" w:color="auto"/>
          <w:color w:val="auto"/>
        </w:rPr>
        <w:t>_______________</w:t>
      </w:r>
    </w:p>
    <w:p>
      <w:pPr>
        <w:spacing w:after="0" w:line="200" w:lineRule="exact"/>
        <w:rPr>
          <w:sz w:val="20"/>
          <w:szCs w:val="20"/>
          <w:color w:val="auto"/>
        </w:rPr>
      </w:pPr>
    </w:p>
    <w:p>
      <w:pPr>
        <w:spacing w:after="0" w:line="251" w:lineRule="exact"/>
        <w:rPr>
          <w:sz w:val="20"/>
          <w:szCs w:val="20"/>
          <w:color w:val="auto"/>
        </w:rPr>
      </w:pPr>
    </w:p>
    <w:p>
      <w:pPr>
        <w:jc w:val="both"/>
        <w:ind w:left="5180" w:hanging="659"/>
        <w:spacing w:after="0" w:line="264" w:lineRule="auto"/>
        <w:tabs>
          <w:tab w:leader="none" w:pos="516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-429895</wp:posOffset>
            </wp:positionV>
            <wp:extent cx="42881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0" w:lineRule="exact"/>
        <w:rPr>
          <w:sz w:val="20"/>
          <w:szCs w:val="20"/>
          <w:color w:val="auto"/>
        </w:rPr>
      </w:pPr>
    </w:p>
    <w:p>
      <w:pPr>
        <w:ind w:right="4660"/>
        <w:spacing w:after="0" w:line="234" w:lineRule="auto"/>
        <w:rPr>
          <w:sz w:val="20"/>
          <w:szCs w:val="20"/>
          <w:color w:val="auto"/>
        </w:rPr>
      </w:pPr>
      <w:r>
        <w:rPr>
          <w:rFonts w:ascii="Arial" w:cs="Arial" w:eastAsia="Arial" w:hAnsi="Arial"/>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42964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holder of this certificate shall be entitled to receive funds with respect to the underlying shares of common stock from the trust fund only in the event of the Company’s liquidation upon failure to consummate a business combination or if the holder seeks to convert his or her respective shares of common stock underlying the unit upon consummation of such business combination or in connection with certain amendments to the Company’s Amended and Restated Certificate of Incorporation. In no other circumstances shall the holder have any right or interest of any kind in or to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160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4.2</w:t>
      </w:r>
    </w:p>
    <w:p>
      <w:pPr>
        <w:sectPr>
          <w:pgSz w:w="11900" w:h="16838" w:orient="portrait"/>
          <w:cols w:equalWidth="0" w:num="1">
            <w:col w:w="11260"/>
          </w:cols>
          <w:pgMar w:left="320" w:top="337" w:right="319" w:bottom="1440" w:gutter="0" w:footer="0" w:header="0"/>
        </w:sect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NUMBER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SHARES</w:t>
      </w:r>
    </w:p>
    <w:p>
      <w:pPr>
        <w:spacing w:after="0" w:line="222" w:lineRule="exact"/>
        <w:rPr>
          <w:sz w:val="20"/>
          <w:szCs w:val="20"/>
          <w:color w:val="auto"/>
        </w:rPr>
      </w:pPr>
    </w:p>
    <w:p>
      <w:pPr>
        <w:sectPr>
          <w:pgSz w:w="11900" w:h="16838" w:orient="portrait"/>
          <w:cols w:equalWidth="0" w:num="2">
            <w:col w:w="9000" w:space="720"/>
            <w:col w:w="1540"/>
          </w:cols>
          <w:pgMar w:left="320" w:top="337" w:right="319" w:bottom="1440" w:gutter="0" w:footer="0" w:header="0"/>
          <w:type w:val="continuous"/>
        </w:sectPr>
      </w:pP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 ______</w:t>
      </w:r>
    </w:p>
    <w:p>
      <w:pPr>
        <w:sectPr>
          <w:pgSz w:w="11900" w:h="16838" w:orient="portrait"/>
          <w:cols w:equalWidth="0" w:num="1">
            <w:col w:w="11260"/>
          </w:cols>
          <w:pgMar w:left="320" w:top="337" w:right="319" w:bottom="1440" w:gutter="0" w:footer="0" w:header="0"/>
          <w:type w:val="continuous"/>
        </w:sectPr>
      </w:pPr>
    </w:p>
    <w:p>
      <w:pPr>
        <w:spacing w:after="0" w:line="23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M I ACQUISITIONS, INC.</w:t>
      </w: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This Certifies that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 the owner of</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FULLY PAID AND NON-ASSESSABLE SHARES OF COMMON STOCK OF</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M I ACQUISITIONS, INC.</w:t>
      </w:r>
    </w:p>
    <w:p>
      <w:pPr>
        <w:spacing w:after="0" w:line="219" w:lineRule="exact"/>
        <w:rPr>
          <w:sz w:val="20"/>
          <w:szCs w:val="20"/>
          <w:color w:val="auto"/>
        </w:rPr>
      </w:pPr>
    </w:p>
    <w:p>
      <w:pPr>
        <w:jc w:val="center"/>
        <w:ind w:left="980" w:right="100"/>
        <w:spacing w:after="0" w:line="269" w:lineRule="auto"/>
        <w:rPr>
          <w:sz w:val="20"/>
          <w:szCs w:val="20"/>
          <w:color w:val="auto"/>
        </w:rPr>
      </w:pPr>
      <w:r>
        <w:rPr>
          <w:rFonts w:ascii="Arial" w:cs="Arial" w:eastAsia="Arial" w:hAnsi="Arial"/>
          <w:sz w:val="17"/>
          <w:szCs w:val="17"/>
          <w:i w:val="1"/>
          <w:iCs w:val="1"/>
          <w:color w:val="auto"/>
        </w:rPr>
        <w:t>transferable on the books of the Company in person or by duly authorized attorney upon surrender of this certificate properly endorsed. The Company will be forced to liquidate if it is unable to complete an initial business combination within the meaning as defined in and the time period as required by its Amended and Restated Certificate of Incorporation, as the same may be amended from time to time. This certificate is not valid unless countersigned by the Transfer Agent and registered by the Registrar.</w:t>
      </w:r>
    </w:p>
    <w:p>
      <w:pPr>
        <w:spacing w:after="0" w:line="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Witness the facsimile seal of the Company and the facsimile signatures of its duly authorized officers.</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55" w:lineRule="exact"/>
        <w:rPr>
          <w:sz w:val="20"/>
          <w:szCs w:val="20"/>
          <w:color w:val="auto"/>
        </w:rPr>
      </w:pPr>
    </w:p>
    <w:p>
      <w:pPr>
        <w:spacing w:after="0"/>
        <w:tabs>
          <w:tab w:leader="none" w:pos="73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-130175</wp:posOffset>
            </wp:positionV>
            <wp:extent cx="24955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2504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38" w:name="page139"/>
    <w:bookmarkEnd w:id="138"/>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TEN COM –</w:t>
            </w:r>
          </w:p>
        </w:tc>
        <w:tc>
          <w:tcPr>
            <w:tcW w:w="3560" w:type="dxa"/>
            <w:vAlign w:val="bottom"/>
          </w:tcPr>
          <w:p>
            <w:pPr>
              <w:ind w:left="580"/>
              <w:spacing w:after="0"/>
              <w:rPr>
                <w:sz w:val="20"/>
                <w:szCs w:val="20"/>
                <w:color w:val="auto"/>
              </w:rPr>
            </w:pPr>
            <w:r>
              <w:rPr>
                <w:rFonts w:ascii="Arial" w:cs="Arial" w:eastAsia="Arial" w:hAnsi="Arial"/>
                <w:sz w:val="18"/>
                <w:szCs w:val="18"/>
                <w:color w:val="auto"/>
              </w:rPr>
              <w:t>as tenants in common</w:t>
            </w:r>
          </w:p>
        </w:tc>
        <w:tc>
          <w:tcPr>
            <w:tcW w:w="2260" w:type="dxa"/>
            <w:vAlign w:val="bottom"/>
          </w:tcPr>
          <w:p>
            <w:pPr>
              <w:spacing w:after="0"/>
              <w:rPr>
                <w:sz w:val="20"/>
                <w:szCs w:val="20"/>
                <w:color w:val="auto"/>
              </w:rPr>
            </w:pPr>
            <w:r>
              <w:rPr>
                <w:rFonts w:ascii="Arial" w:cs="Arial" w:eastAsia="Arial" w:hAnsi="Arial"/>
                <w:sz w:val="18"/>
                <w:szCs w:val="18"/>
                <w:color w:val="auto"/>
              </w:rPr>
              <w:t>UNIF GIFT MIN ACT -</w:t>
            </w:r>
          </w:p>
        </w:tc>
        <w:tc>
          <w:tcPr>
            <w:tcW w:w="2760" w:type="dxa"/>
            <w:vAlign w:val="bottom"/>
            <w:gridSpan w:val="2"/>
          </w:tcPr>
          <w:p>
            <w:pPr>
              <w:ind w:left="480"/>
              <w:spacing w:after="0"/>
              <w:rPr>
                <w:sz w:val="20"/>
                <w:szCs w:val="20"/>
                <w:color w:val="auto"/>
              </w:rPr>
            </w:pPr>
            <w:r>
              <w:rPr>
                <w:rFonts w:ascii="Arial" w:cs="Arial" w:eastAsia="Arial" w:hAnsi="Arial"/>
                <w:sz w:val="18"/>
                <w:szCs w:val="18"/>
                <w:color w:val="auto"/>
              </w:rPr>
              <w:t>_____ Custodian ______</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TEN ENT –</w:t>
            </w:r>
          </w:p>
        </w:tc>
        <w:tc>
          <w:tcPr>
            <w:tcW w:w="3560" w:type="dxa"/>
            <w:vAlign w:val="bottom"/>
          </w:tcPr>
          <w:p>
            <w:pPr>
              <w:ind w:left="580"/>
              <w:spacing w:after="0"/>
              <w:rPr>
                <w:sz w:val="20"/>
                <w:szCs w:val="20"/>
                <w:color w:val="auto"/>
              </w:rPr>
            </w:pPr>
            <w:r>
              <w:rPr>
                <w:rFonts w:ascii="Arial" w:cs="Arial" w:eastAsia="Arial" w:hAnsi="Arial"/>
                <w:sz w:val="18"/>
                <w:szCs w:val="18"/>
                <w:color w:val="auto"/>
              </w:rPr>
              <w:t>as tenants by the entireties</w:t>
            </w:r>
          </w:p>
        </w:tc>
        <w:tc>
          <w:tcPr>
            <w:tcW w:w="2260" w:type="dxa"/>
            <w:vAlign w:val="bottom"/>
          </w:tcPr>
          <w:p>
            <w:pPr>
              <w:spacing w:after="0"/>
              <w:rPr>
                <w:sz w:val="18"/>
                <w:szCs w:val="18"/>
                <w:color w:val="auto"/>
              </w:rPr>
            </w:pPr>
          </w:p>
        </w:tc>
        <w:tc>
          <w:tcPr>
            <w:tcW w:w="1580" w:type="dxa"/>
            <w:vAlign w:val="bottom"/>
          </w:tcPr>
          <w:p>
            <w:pPr>
              <w:ind w:left="1080"/>
              <w:spacing w:after="0"/>
              <w:rPr>
                <w:sz w:val="20"/>
                <w:szCs w:val="20"/>
                <w:color w:val="auto"/>
              </w:rPr>
            </w:pPr>
            <w:r>
              <w:rPr>
                <w:rFonts w:ascii="Arial" w:cs="Arial" w:eastAsia="Arial" w:hAnsi="Arial"/>
                <w:sz w:val="18"/>
                <w:szCs w:val="18"/>
                <w:color w:val="auto"/>
                <w:w w:val="97"/>
              </w:rPr>
              <w:t>(Cust)</w:t>
            </w:r>
          </w:p>
        </w:tc>
        <w:tc>
          <w:tcPr>
            <w:tcW w:w="1180" w:type="dxa"/>
            <w:vAlign w:val="bottom"/>
          </w:tcPr>
          <w:p>
            <w:pPr>
              <w:ind w:left="540"/>
              <w:spacing w:after="0"/>
              <w:rPr>
                <w:sz w:val="20"/>
                <w:szCs w:val="20"/>
                <w:color w:val="auto"/>
              </w:rPr>
            </w:pPr>
            <w:r>
              <w:rPr>
                <w:rFonts w:ascii="Arial" w:cs="Arial" w:eastAsia="Arial" w:hAnsi="Arial"/>
                <w:sz w:val="18"/>
                <w:szCs w:val="18"/>
                <w:color w:val="auto"/>
              </w:rPr>
              <w:t>(Minor)</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JT TEN –</w:t>
            </w:r>
          </w:p>
        </w:tc>
        <w:tc>
          <w:tcPr>
            <w:tcW w:w="3560" w:type="dxa"/>
            <w:vAlign w:val="bottom"/>
          </w:tcPr>
          <w:p>
            <w:pPr>
              <w:ind w:left="580"/>
              <w:spacing w:after="0"/>
              <w:rPr>
                <w:sz w:val="20"/>
                <w:szCs w:val="20"/>
                <w:color w:val="auto"/>
              </w:rPr>
            </w:pPr>
            <w:r>
              <w:rPr>
                <w:rFonts w:ascii="Arial" w:cs="Arial" w:eastAsia="Arial" w:hAnsi="Arial"/>
                <w:sz w:val="18"/>
                <w:szCs w:val="18"/>
                <w:color w:val="auto"/>
                <w:w w:val="92"/>
              </w:rPr>
              <w:t>as joint tenants with right of survivorship</w:t>
            </w:r>
          </w:p>
        </w:tc>
        <w:tc>
          <w:tcPr>
            <w:tcW w:w="2260" w:type="dxa"/>
            <w:vAlign w:val="bottom"/>
          </w:tcPr>
          <w:p>
            <w:pPr>
              <w:spacing w:after="0"/>
              <w:rPr>
                <w:sz w:val="18"/>
                <w:szCs w:val="18"/>
                <w:color w:val="auto"/>
              </w:rPr>
            </w:pPr>
          </w:p>
        </w:tc>
        <w:tc>
          <w:tcPr>
            <w:tcW w:w="2760" w:type="dxa"/>
            <w:vAlign w:val="bottom"/>
            <w:gridSpan w:val="2"/>
          </w:tcPr>
          <w:p>
            <w:pPr>
              <w:ind w:left="540"/>
              <w:spacing w:after="0"/>
              <w:rPr>
                <w:sz w:val="20"/>
                <w:szCs w:val="20"/>
                <w:color w:val="auto"/>
              </w:rPr>
            </w:pPr>
            <w:r>
              <w:rPr>
                <w:rFonts w:ascii="Arial" w:cs="Arial" w:eastAsia="Arial" w:hAnsi="Arial"/>
                <w:sz w:val="18"/>
                <w:szCs w:val="18"/>
                <w:color w:val="auto"/>
                <w:w w:val="93"/>
              </w:rPr>
              <w:t>under Uniform Gifts to Minors</w:t>
            </w:r>
          </w:p>
        </w:tc>
      </w:tr>
      <w:tr>
        <w:trPr>
          <w:trHeight w:val="216"/>
        </w:trPr>
        <w:tc>
          <w:tcPr>
            <w:tcW w:w="1520" w:type="dxa"/>
            <w:vAlign w:val="bottom"/>
          </w:tcPr>
          <w:p>
            <w:pPr>
              <w:spacing w:after="0"/>
              <w:rPr>
                <w:sz w:val="18"/>
                <w:szCs w:val="18"/>
                <w:color w:val="auto"/>
              </w:rPr>
            </w:pPr>
          </w:p>
        </w:tc>
        <w:tc>
          <w:tcPr>
            <w:tcW w:w="3560" w:type="dxa"/>
            <w:vAlign w:val="bottom"/>
          </w:tcPr>
          <w:p>
            <w:pPr>
              <w:ind w:left="580"/>
              <w:spacing w:after="0"/>
              <w:rPr>
                <w:sz w:val="20"/>
                <w:szCs w:val="20"/>
                <w:color w:val="auto"/>
              </w:rPr>
            </w:pPr>
            <w:r>
              <w:rPr>
                <w:rFonts w:ascii="Arial" w:cs="Arial" w:eastAsia="Arial" w:hAnsi="Arial"/>
                <w:sz w:val="18"/>
                <w:szCs w:val="18"/>
                <w:color w:val="auto"/>
              </w:rPr>
              <w:t>and not as tenants in common</w:t>
            </w:r>
          </w:p>
        </w:tc>
        <w:tc>
          <w:tcPr>
            <w:tcW w:w="2260" w:type="dxa"/>
            <w:vAlign w:val="bottom"/>
          </w:tcPr>
          <w:p>
            <w:pPr>
              <w:spacing w:after="0"/>
              <w:rPr>
                <w:sz w:val="18"/>
                <w:szCs w:val="18"/>
                <w:color w:val="auto"/>
              </w:rPr>
            </w:pPr>
          </w:p>
        </w:tc>
        <w:tc>
          <w:tcPr>
            <w:tcW w:w="2760" w:type="dxa"/>
            <w:vAlign w:val="bottom"/>
            <w:gridSpan w:val="2"/>
          </w:tcPr>
          <w:p>
            <w:pPr>
              <w:ind w:left="480"/>
              <w:spacing w:after="0"/>
              <w:rPr>
                <w:sz w:val="20"/>
                <w:szCs w:val="20"/>
                <w:color w:val="auto"/>
              </w:rPr>
            </w:pPr>
            <w:r>
              <w:rPr>
                <w:rFonts w:ascii="Arial" w:cs="Arial" w:eastAsia="Arial" w:hAnsi="Arial"/>
                <w:sz w:val="18"/>
                <w:szCs w:val="18"/>
                <w:color w:val="auto"/>
              </w:rPr>
              <w:t>Act ______________</w:t>
            </w:r>
          </w:p>
        </w:tc>
      </w:tr>
      <w:tr>
        <w:trPr>
          <w:trHeight w:val="230"/>
        </w:trPr>
        <w:tc>
          <w:tcPr>
            <w:tcW w:w="1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(State)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will furnish without charge to each stockholder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preferred stock (copies of which may be obtained from the secretary of the Company), to all of which the holder of this certificate by acceptance hereof assents.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PLEASE INSERT SOCIAL SECURITY OR OTHER</w:t>
      </w:r>
    </w:p>
    <w:p>
      <w:pPr>
        <w:ind w:left="180"/>
        <w:spacing w:after="0"/>
        <w:rPr>
          <w:sz w:val="20"/>
          <w:szCs w:val="20"/>
          <w:color w:val="auto"/>
        </w:rPr>
      </w:pPr>
      <w:r>
        <w:rPr>
          <w:rFonts w:ascii="Arial" w:cs="Arial" w:eastAsia="Arial" w:hAnsi="Arial"/>
          <w:sz w:val="14"/>
          <w:szCs w:val="14"/>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2658745"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572135</wp:posOffset>
            </wp:positionV>
            <wp:extent cx="71520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289560</wp:posOffset>
            </wp:positionV>
            <wp:extent cx="71520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800"/>
        <w:spacing w:after="0"/>
        <w:rPr>
          <w:sz w:val="20"/>
          <w:szCs w:val="20"/>
          <w:color w:val="auto"/>
        </w:rPr>
      </w:pPr>
      <w:r>
        <w:rPr>
          <w:rFonts w:ascii="Arial" w:cs="Arial" w:eastAsia="Arial" w:hAnsi="Arial"/>
          <w:sz w:val="15"/>
          <w:szCs w:val="15"/>
          <w:i w:val="1"/>
          <w:iCs w:val="1"/>
          <w:color w:val="auto"/>
        </w:rPr>
        <w:t>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common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8008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stock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6548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14605</wp:posOffset>
            </wp:positionV>
            <wp:extent cx="15951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560" w:hanging="659"/>
        <w:spacing w:after="0" w:line="342" w:lineRule="auto"/>
        <w:tabs>
          <w:tab w:leader="none" w:pos="4540" w:val="left"/>
        </w:tabs>
        <w:rPr>
          <w:sz w:val="20"/>
          <w:szCs w:val="20"/>
          <w:color w:val="auto"/>
        </w:rPr>
      </w:pPr>
      <w:r>
        <w:rPr>
          <w:rFonts w:ascii="Arial" w:cs="Arial" w:eastAsia="Arial" w:hAnsi="Arial"/>
          <w:sz w:val="16"/>
          <w:szCs w:val="16"/>
          <w:b w:val="1"/>
          <w:bCs w:val="1"/>
          <w:color w:val="auto"/>
        </w:rPr>
        <w:t>Notice:</w:t>
      </w:r>
      <w:r>
        <w:rPr>
          <w:sz w:val="20"/>
          <w:szCs w:val="20"/>
          <w:color w:val="auto"/>
        </w:rPr>
        <w:tab/>
      </w:r>
      <w:r>
        <w:rPr>
          <w:rFonts w:ascii="Arial" w:cs="Arial" w:eastAsia="Arial" w:hAnsi="Arial"/>
          <w:sz w:val="16"/>
          <w:szCs w:val="16"/>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-329565</wp:posOffset>
            </wp:positionV>
            <wp:extent cx="46736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383" w:lineRule="exact"/>
        <w:rPr>
          <w:sz w:val="20"/>
          <w:szCs w:val="20"/>
          <w:color w:val="auto"/>
        </w:rPr>
      </w:pPr>
    </w:p>
    <w:p>
      <w:pPr>
        <w:ind w:right="4660"/>
        <w:spacing w:after="0" w:line="234" w:lineRule="auto"/>
        <w:rPr>
          <w:sz w:val="20"/>
          <w:szCs w:val="20"/>
          <w:color w:val="auto"/>
        </w:rPr>
      </w:pPr>
      <w:r>
        <w:rPr>
          <w:rFonts w:ascii="Arial" w:cs="Arial" w:eastAsia="Arial" w:hAnsi="Arial"/>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4296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of this certificate shall be entitled to receive funds from the trust account only in the event of the Company’s liquidation upon failure to consummate a business combination within the required time period set forth in the Company’s Amended and Restated Certificate of Incorporation as the same may be amended from time to time, or if the holder seeks to convert his or her shares of common stock upon consummation of a business combination or in connection with certain amendments to the Company’s Amended and Restated Certificate of Incorporation.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7160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9" w:name="page140"/>
    <w:bookmarkEnd w:id="139"/>
    <w:p>
      <w:pPr>
        <w:ind w:left="1042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SPECIMEN WARRANT CERTIFICATE</w:t>
      </w:r>
    </w:p>
    <w:p>
      <w:pPr>
        <w:sectPr>
          <w:pgSz w:w="11900" w:h="16838" w:orient="portrait"/>
          <w:cols w:equalWidth="0" w:num="1">
            <w:col w:w="11260"/>
          </w:cols>
          <w:pgMar w:left="320" w:top="337" w:right="3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WARRANTS</w:t>
      </w:r>
    </w:p>
    <w:p>
      <w:pPr>
        <w:spacing w:after="0" w:line="34" w:lineRule="exact"/>
        <w:rPr>
          <w:sz w:val="20"/>
          <w:szCs w:val="20"/>
          <w:color w:val="auto"/>
        </w:rPr>
      </w:pPr>
    </w:p>
    <w:p>
      <w:pPr>
        <w:sectPr>
          <w:pgSz w:w="11900" w:h="16838" w:orient="portrait"/>
          <w:cols w:equalWidth="0" w:num="3">
            <w:col w:w="9200" w:space="720"/>
            <w:col w:w="60" w:space="180"/>
            <w:col w:w="1100"/>
          </w:cols>
          <w:pgMar w:left="320" w:top="337" w:right="319" w:bottom="1440" w:gutter="0" w:footer="0" w:header="0"/>
          <w:type w:val="continuous"/>
        </w:sectPr>
      </w:pPr>
    </w:p>
    <w:p>
      <w:pPr>
        <w:spacing w:after="0"/>
        <w:rPr>
          <w:sz w:val="20"/>
          <w:szCs w:val="20"/>
          <w:color w:val="auto"/>
        </w:rPr>
      </w:pPr>
      <w:r>
        <w:rPr>
          <w:rFonts w:ascii="Arial" w:cs="Arial" w:eastAsia="Arial" w:hAnsi="Arial"/>
          <w:sz w:val="17"/>
          <w:szCs w:val="17"/>
          <w:color w:val="auto"/>
        </w:rPr>
        <w:t>WA-</w:t>
      </w:r>
    </w:p>
    <w:p>
      <w:pPr>
        <w:sectPr>
          <w:pgSz w:w="11900" w:h="16838" w:orient="portrait"/>
          <w:cols w:equalWidth="0" w:num="1">
            <w:col w:w="11260"/>
          </w:cols>
          <w:pgMar w:left="320" w:top="337" w:right="319" w:bottom="1440" w:gutter="0" w:footer="0" w:header="0"/>
          <w:type w:val="continuous"/>
        </w:sectPr>
      </w:pP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PUBLIC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CUSIP 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THIS WARRANT CERTIFIES THAT, for value received</w:t>
      </w:r>
      <w:r>
        <w:rPr>
          <w:sz w:val="20"/>
          <w:szCs w:val="20"/>
          <w:color w:val="auto"/>
        </w:rPr>
        <w:tab/>
      </w:r>
      <w:r>
        <w:rPr>
          <w:rFonts w:ascii="Arial" w:cs="Arial" w:eastAsia="Arial" w:hAnsi="Arial"/>
          <w:sz w:val="16"/>
          <w:szCs w:val="16"/>
          <w:color w:val="auto"/>
        </w:rPr>
        <w:t>, or registered agents, is the registered holder of a Warrant or Warrants</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expiring on a date which is five (5) years from the closing date (the “Warrant”) of the Company’s initial public offering (the “Offering”), to purchase one-half of one fully paid and non-assessable share (the “Warrant Shares”), of common stock, par value $0.001 per share (the “Common Stock”), of M I ACQUISITIONS, INC., a Delaware corporation (the “Company”), for each Warrant evidenced by this Warrant Certificate. This Warrant Certificate is subject to and shall be interpreted under the terms and conditions of the Warrant Agreement (as defined below).</w:t>
      </w:r>
    </w:p>
    <w:p>
      <w:pPr>
        <w:spacing w:after="0" w:line="177"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 (i) 30 days following the completion of the Company’s initial business combination and (ii) twelve (12) months following the closing of the Public Offering, such number of Warrant Shares at the price of $12.00 per share (the “Warrant Price”), upon surrender of this Warrant Certificate and payment of the Warrant Price at the office or agency of Continental Stock Transfer &amp; Trust Company (the “Warrant Agent”), such payment to be made subject to the</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conditions set forth herein and in the Warrant Agreement, dated [ ], 2015,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Warrant Share at which Warrant Shares may be purchased at the time the Warrant is exercised.</w:t>
      </w:r>
    </w:p>
    <w:p>
      <w:pPr>
        <w:spacing w:after="0" w:line="17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40" w:name="page141"/>
    <w:bookmarkEnd w:id="140"/>
    <w:p>
      <w:pPr>
        <w:jc w:val="both"/>
        <w:ind w:firstLine="441"/>
        <w:spacing w:after="0" w:line="31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7" w:lineRule="exact"/>
        <w:rPr>
          <w:sz w:val="20"/>
          <w:szCs w:val="20"/>
          <w:color w:val="auto"/>
        </w:rPr>
      </w:pPr>
    </w:p>
    <w:p>
      <w:pPr>
        <w:ind w:right="440" w:firstLine="441"/>
        <w:spacing w:after="0" w:line="31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After the Warrant becomes exercisable and prior to its expiration date, the Company reserves the right to call the Warrant at any time, with a notice of call in writing to the holder(s) of record of the Warrant, giving 30 days’ notice of such call if the last reported sale price of the Warrant Shares has been equal to or greater than $16.00 per share of the Warrant Price for any 20 trading days within a 30 consecutive trading day period ending on the third business day prior to the date on which notice of such call is given, provided that (i) a registration statement under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Securities Act of 1933, as amended. The call price is $0.01 per Warrant Share.</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[REVERSE OF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365"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2480" w:type="dxa"/>
            <w:vAlign w:val="bottom"/>
          </w:tcPr>
          <w:p>
            <w:pPr>
              <w:ind w:left="280"/>
              <w:spacing w:after="0"/>
              <w:rPr>
                <w:sz w:val="20"/>
                <w:szCs w:val="20"/>
                <w:color w:val="auto"/>
              </w:rPr>
            </w:pPr>
            <w:r>
              <w:rPr>
                <w:rFonts w:ascii="Arial" w:cs="Arial" w:eastAsia="Arial" w:hAnsi="Arial"/>
                <w:sz w:val="18"/>
                <w:szCs w:val="18"/>
                <w:color w:val="auto"/>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2480" w:type="dxa"/>
            <w:vAlign w:val="bottom"/>
          </w:tcPr>
          <w:p>
            <w:pPr>
              <w:ind w:left="540"/>
              <w:spacing w:after="0"/>
              <w:rPr>
                <w:sz w:val="20"/>
                <w:szCs w:val="20"/>
                <w:color w:val="auto"/>
              </w:rPr>
            </w:pPr>
            <w:r>
              <w:rPr>
                <w:rFonts w:ascii="Arial" w:cs="Arial" w:eastAsia="Arial" w:hAnsi="Arial"/>
                <w:sz w:val="18"/>
                <w:szCs w:val="18"/>
                <w:color w:val="auto"/>
                <w:w w:val="85"/>
              </w:rPr>
              <w:t>Warrant Shares because on</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-385445</wp:posOffset>
            </wp:positionV>
            <wp:extent cx="12865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-111125</wp:posOffset>
            </wp:positionV>
            <wp:extent cx="12865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8"/>
          <w:szCs w:val="18"/>
          <w:color w:val="auto"/>
        </w:rPr>
        <w:t>the date of this exercise, there is no effective registration statement</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registering the Warrant Shares, or the prospectus contained therein is not available for the resale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20" w:type="dxa"/>
            <w:vAlign w:val="bottom"/>
            <w:gridSpan w:val="3"/>
          </w:tcPr>
          <w:p>
            <w:pPr>
              <w:ind w:left="3720"/>
              <w:spacing w:after="0"/>
              <w:rPr>
                <w:sz w:val="20"/>
                <w:szCs w:val="20"/>
                <w:color w:val="auto"/>
              </w:rPr>
            </w:pPr>
            <w:r>
              <w:rPr>
                <w:rFonts w:ascii="Arial" w:cs="Arial" w:eastAsia="Arial" w:hAnsi="Arial"/>
                <w:sz w:val="18"/>
                <w:szCs w:val="18"/>
                <w:color w:val="auto"/>
                <w:w w:val="96"/>
              </w:rPr>
              <w:t>Warrant Shares, in which event the Company shall deliver to the registered holder(s)</w:t>
            </w:r>
          </w:p>
        </w:tc>
        <w:tc>
          <w:tcPr>
            <w:tcW w:w="1040" w:type="dxa"/>
            <w:vAlign w:val="bottom"/>
          </w:tcPr>
          <w:p>
            <w:pPr>
              <w:ind w:left="400"/>
              <w:spacing w:after="0"/>
              <w:rPr>
                <w:sz w:val="20"/>
                <w:szCs w:val="20"/>
                <w:color w:val="auto"/>
              </w:rPr>
            </w:pPr>
            <w:r>
              <w:rPr>
                <w:rFonts w:ascii="Arial" w:cs="Arial" w:eastAsia="Arial" w:hAnsi="Arial"/>
                <w:sz w:val="18"/>
                <w:szCs w:val="18"/>
                <w:color w:val="auto"/>
              </w:rPr>
              <w:t>shares</w:t>
            </w:r>
          </w:p>
        </w:tc>
      </w:tr>
      <w:tr>
        <w:trPr>
          <w:trHeight w:val="190"/>
        </w:trPr>
        <w:tc>
          <w:tcPr>
            <w:tcW w:w="10220" w:type="dxa"/>
            <w:vAlign w:val="bottom"/>
            <w:gridSpan w:val="3"/>
          </w:tcPr>
          <w:p>
            <w:pPr>
              <w:ind w:left="3720"/>
              <w:spacing w:after="0" w:line="190" w:lineRule="exact"/>
              <w:rPr>
                <w:sz w:val="20"/>
                <w:szCs w:val="20"/>
                <w:color w:val="auto"/>
              </w:rPr>
            </w:pPr>
            <w:r>
              <w:rPr>
                <w:rFonts w:ascii="Arial" w:cs="Arial" w:eastAsia="Arial" w:hAnsi="Arial"/>
                <w:sz w:val="18"/>
                <w:szCs w:val="18"/>
                <w:color w:val="auto"/>
              </w:rPr>
              <w:t>of Common Stock pursuant to Section 3.3.2 of the Warrant Agreement.</w:t>
            </w:r>
          </w:p>
        </w:tc>
        <w:tc>
          <w:tcPr>
            <w:tcW w:w="104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10220" w:type="dxa"/>
            <w:vAlign w:val="bottom"/>
            <w:gridSpan w:val="3"/>
          </w:tcPr>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tc>
        <w:tc>
          <w:tcPr>
            <w:tcW w:w="1040" w:type="dxa"/>
            <w:vAlign w:val="bottom"/>
          </w:tcPr>
          <w:p>
            <w:pPr>
              <w:spacing w:after="0"/>
              <w:rPr>
                <w:sz w:val="24"/>
                <w:szCs w:val="24"/>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10220" w:type="dxa"/>
            <w:vAlign w:val="bottom"/>
            <w:gridSpan w:val="3"/>
          </w:tcPr>
          <w:p>
            <w:pPr>
              <w:spacing w:after="0"/>
              <w:rPr>
                <w:sz w:val="20"/>
                <w:szCs w:val="20"/>
                <w:color w:val="auto"/>
              </w:rPr>
            </w:pPr>
            <w:r>
              <w:rPr>
                <w:rFonts w:ascii="Arial" w:cs="Arial" w:eastAsia="Arial" w:hAnsi="Arial"/>
                <w:sz w:val="18"/>
                <w:szCs w:val="18"/>
                <w:color w:val="auto"/>
              </w:rPr>
              <w:t>(PLEASE TYPE OR PRINT NAME(S) AND ADDRESS)</w:t>
            </w:r>
          </w:p>
        </w:tc>
        <w:tc>
          <w:tcPr>
            <w:tcW w:w="1040" w:type="dxa"/>
            <w:vAlign w:val="bottom"/>
          </w:tcPr>
          <w:p>
            <w:pPr>
              <w:spacing w:after="0"/>
              <w:rPr>
                <w:sz w:val="21"/>
                <w:szCs w:val="21"/>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-130810</wp:posOffset>
            </wp:positionV>
            <wp:extent cx="61487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615315</wp:posOffset>
            </wp:positionV>
            <wp:extent cx="3576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To Be Executed by the Registered Holder in Order to Assign Warrants</w:t>
      </w:r>
    </w:p>
    <w:p>
      <w:pPr>
        <w:spacing w:after="0" w:line="248"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37217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37217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7250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4725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-130810</wp:posOffset>
            </wp:positionV>
            <wp:extent cx="3576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ectPr>
          <w:pgSz w:w="11900" w:h="16838" w:orient="portrait"/>
          <w:cols w:equalWidth="0" w:num="1">
            <w:col w:w="11220"/>
          </w:cols>
          <w:pgMar w:left="320" w:top="922" w:right="359" w:bottom="1440" w:gutter="0" w:footer="0" w:header="0"/>
        </w:sectPr>
      </w:pP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of the Warrants represented by this Warrant Certificate, and hereby irrevocably constitute and appoint Certificate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Attorney to transfer this Warrant</w:t>
      </w:r>
    </w:p>
    <w:p>
      <w:pPr>
        <w:spacing w:after="0" w:line="464" w:lineRule="exact"/>
        <w:rPr>
          <w:sz w:val="20"/>
          <w:szCs w:val="20"/>
          <w:color w:val="auto"/>
        </w:rPr>
      </w:pPr>
    </w:p>
    <w:p>
      <w:pPr>
        <w:sectPr>
          <w:pgSz w:w="11900" w:h="16838" w:orient="portrait"/>
          <w:cols w:equalWidth="0" w:num="2">
            <w:col w:w="7580" w:space="720"/>
            <w:col w:w="2920"/>
          </w:cols>
          <w:pgMar w:left="320" w:top="922" w:right="35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28555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-10160</wp:posOffset>
            </wp:positionV>
            <wp:extent cx="2684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__________, 2015, by and between M I Acquisitions, Inc., a Delaware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is engaged in a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of 5,000,000 units (the “</w:t>
      </w:r>
      <w:r>
        <w:rPr>
          <w:rFonts w:ascii="Arial" w:cs="Arial" w:eastAsia="Arial" w:hAnsi="Arial"/>
          <w:sz w:val="17"/>
          <w:szCs w:val="17"/>
          <w:b w:val="1"/>
          <w:bCs w:val="1"/>
          <w:color w:val="auto"/>
        </w:rPr>
        <w:t>Units</w:t>
      </w:r>
      <w:r>
        <w:rPr>
          <w:rFonts w:ascii="Arial" w:cs="Arial" w:eastAsia="Arial" w:hAnsi="Arial"/>
          <w:sz w:val="17"/>
          <w:szCs w:val="17"/>
          <w:color w:val="auto"/>
        </w:rPr>
        <w:t>”) of the Company (including up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750,000 additional Units, if the underwriters’ over-allotment option is exercised in full), each Unit consisting of one share of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xml:space="preserve"> entitling its holder to purchase one-half of one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WHEREAS, the Company has received a binding commitment from M SPAC LLC (“</w:t>
      </w:r>
      <w:r>
        <w:rPr>
          <w:rFonts w:ascii="Arial" w:cs="Arial" w:eastAsia="Arial" w:hAnsi="Arial"/>
          <w:sz w:val="17"/>
          <w:szCs w:val="17"/>
          <w:b w:val="1"/>
          <w:bCs w:val="1"/>
          <w:color w:val="auto"/>
        </w:rPr>
        <w:t>M SPAC</w:t>
      </w:r>
      <w:r>
        <w:rPr>
          <w:rFonts w:ascii="Arial" w:cs="Arial" w:eastAsia="Arial" w:hAnsi="Arial"/>
          <w:sz w:val="17"/>
          <w:szCs w:val="17"/>
          <w:color w:val="auto"/>
        </w:rPr>
        <w:t>”) to purchase up to an aggregate of 250,000 Units (or 272,500 Units, if the underwriters’ over-allotment option is exercised in full) pursuant to a Subscription Agreement dated _____________, 2015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and, in connection therewith, will issue and deliver up to an aggregate of 250,000 warrants (or 272,500 warrants, if the underwriters’ over-allotment option is exercised in full) underlying such units (the “</w:t>
      </w:r>
      <w:r>
        <w:rPr>
          <w:rFonts w:ascii="Arial" w:cs="Arial" w:eastAsia="Arial" w:hAnsi="Arial"/>
          <w:sz w:val="18"/>
          <w:szCs w:val="18"/>
          <w:b w:val="1"/>
          <w:bCs w:val="1"/>
          <w:color w:val="auto"/>
        </w:rPr>
        <w:t>Private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has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 Registration Statement on Form S-1, No. 333-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among other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 and</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right="500"/>
        <w:spacing w:after="0" w:line="264" w:lineRule="auto"/>
        <w:tabs>
          <w:tab w:leader="none" w:pos="67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4" w:name="page145"/>
    <w:bookmarkEnd w:id="144"/>
    <w:p>
      <w:pPr>
        <w:ind w:left="680" w:hanging="680"/>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(a) issued in registered form only, (b) in substantially the form of Exhibit A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Warrants comprising the Units will begin to trade separately on (i) the first trading day following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our receipt of the gross proceeds of this Public Offering and (ii) issues a press release announcing when such separate trading will begin.</w:t>
      </w:r>
    </w:p>
    <w:p>
      <w:pPr>
        <w:spacing w:after="0" w:line="15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The Private Warrants will be issued in the same form as the Public Warrants except that (i) they will be exercisable either for cash or on a cashless basis pursuant to Section 3.3 but at the holder’s option and (ii) they will not be redeemable by the Company, in either case as long as the Private Warrants are held by the initial purchasers or any of their permitted transferees (as prescribed in the Subscription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5" w:name="page146"/>
    <w:bookmarkEnd w:id="145"/>
    <w:p>
      <w:pPr>
        <w:ind w:left="680" w:hanging="680"/>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$12.00 per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Common Stock may be purchased at the time such Warrant is exercised.</w:t>
      </w:r>
    </w:p>
    <w:p>
      <w:pPr>
        <w:spacing w:after="0" w:line="18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the later to occur of (i) 30 days following the completion of the Company’s initial business combination and (ii) 12 months following the closing of the Public Offering, and terminating at 5:00 p.m., New York City time, on the earlier to occur of (i) five years following the date the Warrants became exercisable,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10 days to Registered Holders of such extension and that such extension shall be identical in duration among all of the then outstanding Warrants.</w:t>
      </w:r>
    </w:p>
    <w:p>
      <w:pPr>
        <w:spacing w:after="0" w:line="16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 Morgan Chase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1300"/>
        <w:spacing w:after="0"/>
        <w:tabs>
          <w:tab w:leader="none" w:pos="21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on there is no effective registration statement</w:t>
      </w:r>
    </w:p>
    <w:p>
      <w:pPr>
        <w:spacing w:after="0" w:line="2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registering the Warrant Shares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completion of the Company’s initial business combination, if the Registered Holder desires to exercise the Warrants, the Registered Holder may only exercise the Warrants in whole or in part in lieu of making a cash payment, by providing notice to the Chief Financial Officer of the Company in a subscription form of its election to utilize cashless exercise, in which event the Company shall issue to the Holder the number of Warrant Shares determined as follows:</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25" w:lineRule="exact"/>
        <w:rPr>
          <w:sz w:val="20"/>
          <w:szCs w:val="20"/>
          <w:color w:val="auto"/>
        </w:rPr>
      </w:pPr>
    </w:p>
    <w:p>
      <w:pPr>
        <w:jc w:val="both"/>
        <w:ind w:left="640" w:right="80" w:firstLine="8"/>
        <w:spacing w:after="0" w:line="279" w:lineRule="auto"/>
        <w:tabs>
          <w:tab w:leader="none" w:pos="8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Company’s Common Stock is listed and traded on the New York Stock Exchange, the NYSE MKT, the NASDAQ Global Select Market, the NASDAQ Global Market, the NASDAQ Capital Market or the OTC Bulletin Board (each, a “Trading Market”),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71" w:lineRule="exact"/>
        <w:rPr>
          <w:rFonts w:ascii="Arial" w:cs="Arial" w:eastAsia="Arial" w:hAnsi="Arial"/>
          <w:sz w:val="17"/>
          <w:szCs w:val="17"/>
          <w:color w:val="auto"/>
        </w:rPr>
      </w:pPr>
    </w:p>
    <w:p>
      <w:pPr>
        <w:ind w:left="640" w:right="120" w:firstLine="8"/>
        <w:spacing w:after="0" w:line="264" w:lineRule="auto"/>
        <w:tabs>
          <w:tab w:leader="none" w:pos="9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Company’s Common Stock is not listed on a Trading Market, but is traded in the over-the-counter market, the fair market value shall be deemed to be the average of the bid price on such Trading Market for the 10 trading day ending on the third trading day immediately prior to the date the subscription form is submitted in connection with the exercise of the Warrant; or</w:t>
      </w:r>
    </w:p>
    <w:p>
      <w:pPr>
        <w:spacing w:after="0" w:line="181" w:lineRule="exact"/>
        <w:rPr>
          <w:rFonts w:ascii="Arial" w:cs="Arial" w:eastAsia="Arial" w:hAnsi="Arial"/>
          <w:sz w:val="18"/>
          <w:szCs w:val="18"/>
          <w:color w:val="auto"/>
        </w:rPr>
      </w:pPr>
    </w:p>
    <w:p>
      <w:pPr>
        <w:ind w:left="640" w:right="40" w:firstLine="8"/>
        <w:spacing w:after="0" w:line="277" w:lineRule="auto"/>
        <w:tabs>
          <w:tab w:leader="none" w:pos="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right="80" w:firstLine="1297"/>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ind w:left="720" w:hanging="720"/>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w:t>
      </w:r>
    </w:p>
    <w:p>
      <w:pPr>
        <w:spacing w:after="0" w:line="3" w:lineRule="exact"/>
        <w:rPr>
          <w:sz w:val="20"/>
          <w:szCs w:val="20"/>
          <w:color w:val="auto"/>
        </w:rPr>
      </w:pPr>
    </w:p>
    <w:p>
      <w:pPr>
        <w:ind w:right="20"/>
        <w:spacing w:after="0" w:line="254"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8" w:name="page149"/>
    <w:bookmarkEnd w:id="148"/>
    <w:p>
      <w:pPr>
        <w:ind w:right="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9" w:name="page150"/>
    <w:bookmarkEnd w:id="149"/>
    <w:p>
      <w:pPr>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Sections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0" w:name="page151"/>
    <w:bookmarkEnd w:id="150"/>
    <w:p>
      <w:pPr>
        <w:ind w:right="20"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8" w:lineRule="exact"/>
        <w:rPr>
          <w:sz w:val="20"/>
          <w:szCs w:val="20"/>
          <w:color w:val="auto"/>
        </w:rPr>
      </w:pPr>
    </w:p>
    <w:p>
      <w:pPr>
        <w:ind w:left="620" w:hanging="620"/>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1" w:name="page152"/>
    <w:bookmarkEnd w:id="151"/>
    <w:p>
      <w:pPr>
        <w:jc w:val="both"/>
        <w:ind w:right="160"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ind w:left="680" w:hanging="680"/>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the second sentence of this Section 6.1, all (and not less than all) of the outstanding Warrants may be redeemed, in whole and not in part, at the option of the Company, at any time from and after the Warrants become exerciseble, and prior to their expiration, at the office of the Warrant Agent, upon the notice referred to in Section 6.2, at the price of $.01 per Warrant (“</w:t>
      </w:r>
      <w:r>
        <w:rPr>
          <w:rFonts w:ascii="Arial" w:cs="Arial" w:eastAsia="Arial" w:hAnsi="Arial"/>
          <w:sz w:val="17"/>
          <w:szCs w:val="17"/>
          <w:b w:val="1"/>
          <w:bCs w:val="1"/>
          <w:color w:val="auto"/>
        </w:rPr>
        <w:t>Redemption Price</w:t>
      </w:r>
      <w:r>
        <w:rPr>
          <w:rFonts w:ascii="Arial" w:cs="Arial" w:eastAsia="Arial" w:hAnsi="Arial"/>
          <w:sz w:val="17"/>
          <w:szCs w:val="17"/>
          <w:color w:val="auto"/>
        </w:rPr>
        <w:t>”);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(i) there is a current registration statement in effect with respect to the shares of Common Stock underlying the Warrants for each day in the 30-Day Trading Period and continuing each day thereafter until the Redemption Date (defined below) or (ii) the cashless exercise is exempt from the registration requirements under the Act.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pursuant to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2" w:name="page153"/>
    <w:bookmarkEnd w:id="152"/>
    <w:p>
      <w:pPr>
        <w:ind w:left="680" w:hanging="68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93" w:lineRule="exact"/>
        <w:rPr>
          <w:sz w:val="20"/>
          <w:szCs w:val="20"/>
          <w:color w:val="auto"/>
        </w:rPr>
      </w:pPr>
    </w:p>
    <w:p>
      <w:pPr>
        <w:ind w:left="680" w:hanging="680"/>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3" w:name="page154"/>
    <w:bookmarkEnd w:id="153"/>
    <w:p>
      <w:pPr>
        <w:ind w:right="20" w:firstLine="1297"/>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Merger or Consolidation of Warrant Agent</w:t>
      </w:r>
      <w:r>
        <w:rPr>
          <w:rFonts w:ascii="Arial" w:cs="Arial" w:eastAsia="Arial" w:hAnsi="Arial"/>
          <w:sz w:val="17"/>
          <w:szCs w:val="17"/>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4" w:name="page155"/>
    <w:bookmarkEnd w:id="154"/>
    <w:p>
      <w:pPr>
        <w:ind w:firstLine="1297"/>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negligence, willful misconduct or bad faith.</w:t>
      </w:r>
    </w:p>
    <w:p>
      <w:pPr>
        <w:spacing w:after="0" w:line="187"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620" w:hanging="620"/>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5" w:name="page156"/>
    <w:bookmarkEnd w:id="155"/>
    <w:p>
      <w:pPr>
        <w:ind w:left="2600"/>
        <w:spacing w:after="0"/>
        <w:rPr>
          <w:sz w:val="20"/>
          <w:szCs w:val="20"/>
          <w:color w:val="auto"/>
        </w:rPr>
      </w:pPr>
      <w:r>
        <w:rPr>
          <w:rFonts w:ascii="Arial" w:cs="Arial" w:eastAsia="Arial" w:hAnsi="Arial"/>
          <w:sz w:val="18"/>
          <w:szCs w:val="18"/>
          <w:color w:val="auto"/>
        </w:rPr>
        <w:t>M I Acquistion,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Sason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6" w:name="page157"/>
    <w:bookmarkEnd w:id="156"/>
    <w:p>
      <w:pPr>
        <w:ind w:firstLine="648"/>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9.2 hereof, the Representative and the underwriters, any right, remedy, or claim under or by reason of this Warrant Agreement or of any covenant, condition, stipulation, promise, or agreement hereof. The Representative, and each of the underwriters, shall be deemed to be a third party beneficiary of this Warrant Agreement with respect to Sections 6.1, 9.2 and 9.8 hereof. All covenants, conditions, stipulations, promises, and agreements contained in this Warrant Agreement shall be for the sole and exclusive benefit of the parties hereto (and the Representative and underwriters with respect to the Sections 9.2 hereof) and their successors and assigns and of the Registered Holders of the Warrants.</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w:t>
      </w:r>
    </w:p>
    <w:p>
      <w:pPr>
        <w:spacing w:after="0" w:line="5" w:lineRule="exact"/>
        <w:rPr>
          <w:sz w:val="20"/>
          <w:szCs w:val="20"/>
          <w:color w:val="auto"/>
        </w:rPr>
      </w:pPr>
    </w:p>
    <w:p>
      <w:pPr>
        <w:ind w:left="300" w:hanging="300"/>
        <w:spacing w:after="0"/>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adding to the covenants of the Company for the benefit of the Registered Holders or surrendering any right or power conferred upon the Company</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57" w:name="page158"/>
    <w:bookmarkEnd w:id="157"/>
    <w:p>
      <w:pPr>
        <w:ind w:left="3440"/>
        <w:spacing w:after="0"/>
        <w:rPr>
          <w:sz w:val="20"/>
          <w:szCs w:val="20"/>
          <w:color w:val="auto"/>
        </w:rPr>
      </w:pPr>
      <w:r>
        <w:rPr>
          <w:rFonts w:ascii="Arial" w:cs="Arial" w:eastAsia="Arial" w:hAnsi="Arial"/>
          <w:sz w:val="18"/>
          <w:szCs w:val="18"/>
          <w:color w:val="auto"/>
        </w:rPr>
        <w:t>[SIGNATURE PAGE TO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480"/>
          </w:cols>
          <w:pgMar w:left="320" w:top="908" w:right="10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909320" cy="909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4620"/>
        <w:spacing w:after="0"/>
        <w:tabs>
          <w:tab w:leader="none" w:pos="7860" w:val="left"/>
          <w:tab w:leader="none" w:pos="9000" w:val="left"/>
        </w:tabs>
        <w:rPr>
          <w:sz w:val="20"/>
          <w:szCs w:val="20"/>
          <w:color w:val="auto"/>
        </w:rPr>
      </w:pPr>
      <w:r>
        <w:rPr>
          <w:rFonts w:ascii="Arial" w:cs="Arial" w:eastAsia="Arial" w:hAnsi="Arial"/>
          <w:sz w:val="18"/>
          <w:szCs w:val="18"/>
          <w:color w:val="auto"/>
        </w:rPr>
        <w:t>New York, NY 10154-1895</w:t>
      </w:r>
      <w:r>
        <w:rPr>
          <w:sz w:val="20"/>
          <w:szCs w:val="20"/>
          <w:color w:val="auto"/>
        </w:rPr>
        <w:tab/>
      </w:r>
      <w:r>
        <w:rPr>
          <w:rFonts w:ascii="Arial" w:cs="Arial" w:eastAsia="Arial" w:hAnsi="Arial"/>
          <w:sz w:val="18"/>
          <w:szCs w:val="18"/>
          <w:b w:val="1"/>
          <w:bCs w:val="1"/>
          <w:color w:val="auto"/>
        </w:rPr>
        <w:t>Main</w:t>
      </w:r>
      <w:r>
        <w:rPr>
          <w:sz w:val="20"/>
          <w:szCs w:val="20"/>
          <w:color w:val="auto"/>
        </w:rPr>
        <w:tab/>
      </w:r>
      <w:r>
        <w:rPr>
          <w:rFonts w:ascii="Arial" w:cs="Arial" w:eastAsia="Arial" w:hAnsi="Arial"/>
          <w:sz w:val="16"/>
          <w:szCs w:val="16"/>
          <w:color w:val="auto"/>
        </w:rPr>
        <w:t>212.407.4000</w:t>
      </w:r>
    </w:p>
    <w:p>
      <w:pPr>
        <w:spacing w:after="0" w:line="9" w:lineRule="exact"/>
        <w:rPr>
          <w:sz w:val="20"/>
          <w:szCs w:val="20"/>
          <w:color w:val="auto"/>
        </w:rPr>
      </w:pPr>
    </w:p>
    <w:p>
      <w:pPr>
        <w:ind w:left="7880"/>
        <w:spacing w:after="0"/>
        <w:tabs>
          <w:tab w:leader="none" w:pos="9000" w:val="left"/>
        </w:tabs>
        <w:rPr>
          <w:sz w:val="20"/>
          <w:szCs w:val="20"/>
          <w:color w:val="auto"/>
        </w:rPr>
      </w:pPr>
      <w:r>
        <w:rPr>
          <w:rFonts w:ascii="Arial" w:cs="Arial" w:eastAsia="Arial" w:hAnsi="Arial"/>
          <w:sz w:val="18"/>
          <w:szCs w:val="18"/>
          <w:b w:val="1"/>
          <w:bCs w:val="1"/>
          <w:color w:val="auto"/>
        </w:rPr>
        <w:t>Fax</w:t>
      </w:r>
      <w:r>
        <w:rPr>
          <w:sz w:val="20"/>
          <w:szCs w:val="20"/>
          <w:color w:val="auto"/>
        </w:rPr>
        <w:tab/>
      </w:r>
      <w:r>
        <w:rPr>
          <w:rFonts w:ascii="Arial" w:cs="Arial" w:eastAsia="Arial" w:hAnsi="Arial"/>
          <w:sz w:val="18"/>
          <w:szCs w:val="18"/>
          <w:color w:val="auto"/>
        </w:rPr>
        <w:t>212.407.4990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December 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0" w:lineRule="exact"/>
        <w:rPr>
          <w:sz w:val="20"/>
          <w:szCs w:val="20"/>
          <w:color w:val="auto"/>
        </w:rPr>
      </w:pPr>
    </w:p>
    <w:p>
      <w:pPr>
        <w:spacing w:after="0" w:line="22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M I Acquisitions,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filing of the Registration Statement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Form S-1, as amended prior to being declared effective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Registration Statement relates to an underwritten public offering and sale of up to (i) 5,750,000 units (the “</w:t>
      </w:r>
      <w:r>
        <w:rPr>
          <w:rFonts w:ascii="Arial" w:cs="Arial" w:eastAsia="Arial" w:hAnsi="Arial"/>
          <w:sz w:val="16"/>
          <w:szCs w:val="16"/>
          <w:b w:val="1"/>
          <w:bCs w:val="1"/>
          <w:color w:val="auto"/>
        </w:rPr>
        <w:t>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Units</w:t>
      </w:r>
      <w:r>
        <w:rPr>
          <w:rFonts w:ascii="Arial" w:cs="Arial" w:eastAsia="Arial" w:hAnsi="Arial"/>
          <w:sz w:val="17"/>
          <w:szCs w:val="17"/>
          <w:color w:val="auto"/>
        </w:rPr>
        <w:t>”), which includes 750,000 Units that may be purchased by the underwriters pursuant to an option to purchase additional units to cover over-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allotment, if any, (ii) one unit purchase option entitling the representative of the underwriters to purchase 500,000 Units (the “</w:t>
      </w:r>
      <w:r>
        <w:rPr>
          <w:rFonts w:ascii="Arial" w:cs="Arial" w:eastAsia="Arial" w:hAnsi="Arial"/>
          <w:sz w:val="17"/>
          <w:szCs w:val="17"/>
          <w:b w:val="1"/>
          <w:bCs w:val="1"/>
          <w:color w:val="auto"/>
        </w:rPr>
        <w:t>UPO</w:t>
      </w:r>
      <w:r>
        <w:rPr>
          <w:rFonts w:ascii="Arial" w:cs="Arial" w:eastAsia="Arial" w:hAnsi="Arial"/>
          <w:sz w:val="17"/>
          <w:szCs w:val="17"/>
          <w:color w:val="auto"/>
        </w:rPr>
        <w:t>”) and (iii) 500,000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underlying the UPO (the “</w:t>
      </w:r>
      <w:r>
        <w:rPr>
          <w:rFonts w:ascii="Arial" w:cs="Arial" w:eastAsia="Arial" w:hAnsi="Arial"/>
          <w:sz w:val="17"/>
          <w:szCs w:val="17"/>
          <w:b w:val="1"/>
          <w:bCs w:val="1"/>
          <w:color w:val="auto"/>
        </w:rPr>
        <w:t>Representative’s Units</w:t>
      </w:r>
      <w:r>
        <w:rPr>
          <w:rFonts w:ascii="Arial" w:cs="Arial" w:eastAsia="Arial" w:hAnsi="Arial"/>
          <w:sz w:val="17"/>
          <w:szCs w:val="17"/>
          <w:color w:val="auto"/>
        </w:rPr>
        <w:t>”, together with the “Firm Units”, as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consists of (i) one share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of Common Stock, $0.001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and (ii) one Warrant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half of one share of Common Stock (each a “</w:t>
      </w:r>
      <w:r>
        <w:rPr>
          <w:rFonts w:ascii="Arial" w:cs="Arial" w:eastAsia="Arial" w:hAnsi="Arial"/>
          <w:sz w:val="16"/>
          <w:szCs w:val="16"/>
          <w:b w:val="1"/>
          <w:bCs w:val="1"/>
          <w:color w:val="auto"/>
        </w:rPr>
        <w:t>Warrant Share</w:t>
      </w:r>
      <w:r>
        <w:rPr>
          <w:rFonts w:ascii="Arial" w:cs="Arial" w:eastAsia="Arial" w:hAnsi="Arial"/>
          <w:sz w:val="16"/>
          <w:szCs w:val="16"/>
          <w:color w:val="auto"/>
        </w:rPr>
        <w:t>”). The Warrants will be issued and sold pursuant to the terms of the Warrant Agreement,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an exhibit to the Registration Statement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Company’s Amended and Restated Certificate of Incorporation and Bylaws, the Warrant Agreement, the UPO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60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___,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the foregoing, we are of the opinion that (i) the Firm Units have been duly authorized by the Company and, when issued and sold by the Company and delivered by the Company against receipt of the purchase price therefor, in the manner contemplated by the Registration Statement, will be valid and legally binding obligations of the Company, (ii) the UPO has been duly authorized by the Company and, when issued and sold by the Company and delivered by the Company against receipt of the purchase price therefor, in the manner contemplated by the Registration Statement, will be a valid and legally binding obligation of the Company, (iii) the Representative’s Units have been duly authorized by the Company and, when issued and sold by the Company and delivered by the Company against payment therefor upon exercise of the UPO in accordance with the terms therein, will be valid and legally binding obligations of the Company, (iv) the Shares have been duly authorized by the Company and, when issued and sold by the Company and delivered by the Company against receipt of the purchase price therefor, in the manner contemplated by the Registration Statement, will be validly issued, fully paid and non-assessable, (v) the Warrants have been duly authorized by the Company and, provided that the Warrants have been duly executed and delivered by the Company and duly delivered to the purchasers thereof against payment therefor, then the Warrants, when issued and sold in the manner contemplated by the Registration Statement, will be valid and legally binding obligations of the Company, enforceable against the Company in accordance with their terms, and (vi) the Warrant Shares have been duly authorized and, when issued and delivered by the Company against payment therefor, upon exercise of the Warrants in accordance with the terms therein and the terms of the Warrant Agreements, will be validly issued, fully paid and non-assessable.</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1780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60" w:name="page161"/>
    <w:bookmarkEnd w:id="160"/>
    <w:p>
      <w:pPr>
        <w:ind w:left="1034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60"/>
          </w:cols>
          <w:pgMar w:left="320" w:top="337"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Dated as of [_____], 2015</w:t>
      </w:r>
    </w:p>
    <w:p>
      <w:pPr>
        <w:spacing w:after="0" w:line="200" w:lineRule="exact"/>
        <w:rPr>
          <w:sz w:val="20"/>
          <w:szCs w:val="20"/>
          <w:color w:val="auto"/>
        </w:rPr>
      </w:pPr>
    </w:p>
    <w:p>
      <w:pPr>
        <w:sectPr>
          <w:pgSz w:w="11900" w:h="16838" w:orient="portrait"/>
          <w:cols w:equalWidth="0" w:num="2">
            <w:col w:w="8660" w:space="720"/>
            <w:col w:w="1880"/>
          </w:cols>
          <w:pgMar w:left="320" w:top="337" w:right="319" w:bottom="1440" w:gutter="0" w:footer="0" w:header="0"/>
          <w:type w:val="continuous"/>
        </w:sectPr>
      </w:pPr>
    </w:p>
    <w:p>
      <w:pPr>
        <w:spacing w:after="0" w:line="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 I Acquisitions, Inc., a Delaware corporation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[___________] or its registered assigns 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successors in interest (the “</w:t>
      </w:r>
      <w:r>
        <w:rPr>
          <w:rFonts w:ascii="Arial" w:cs="Arial" w:eastAsia="Arial" w:hAnsi="Arial"/>
          <w:sz w:val="17"/>
          <w:szCs w:val="17"/>
          <w:b w:val="1"/>
          <w:bCs w:val="1"/>
          <w:color w:val="auto"/>
        </w:rPr>
        <w:t>Payee</w:t>
      </w:r>
      <w:r>
        <w:rPr>
          <w:rFonts w:ascii="Arial" w:cs="Arial" w:eastAsia="Arial" w:hAnsi="Arial"/>
          <w:sz w:val="17"/>
          <w:szCs w:val="17"/>
          <w:color w:val="auto"/>
        </w:rPr>
        <w:t>”) the principal sum of [______] dollars ($[____]) in lawful money of the United States of America, on the terms and</w:t>
      </w:r>
    </w:p>
    <w:p>
      <w:pPr>
        <w:spacing w:after="0" w:line="2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35" w:lineRule="exact"/>
        <w:rPr>
          <w:sz w:val="20"/>
          <w:szCs w:val="20"/>
          <w:color w:val="auto"/>
        </w:rPr>
      </w:pPr>
    </w:p>
    <w:p>
      <w:pPr>
        <w:ind w:left="640" w:right="100" w:hanging="640"/>
        <w:spacing w:after="0" w:line="266" w:lineRule="auto"/>
        <w:tabs>
          <w:tab w:leader="none" w:pos="640"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promptly after the date on which the Maker consummates</w:t>
      </w:r>
      <w:r>
        <w:rPr>
          <w:rFonts w:ascii="Arial" w:cs="Arial" w:eastAsia="Arial" w:hAnsi="Arial"/>
          <w:sz w:val="18"/>
          <w:szCs w:val="18"/>
          <w:b w:val="1"/>
          <w:bCs w:val="1"/>
          <w:color w:val="auto"/>
        </w:rPr>
        <w:t xml:space="preserve"> </w:t>
      </w:r>
      <w:r>
        <w:rPr>
          <w:rFonts w:ascii="Arial" w:cs="Arial" w:eastAsia="Arial" w:hAnsi="Arial"/>
          <w:sz w:val="18"/>
          <w:szCs w:val="18"/>
          <w:color w:val="auto"/>
        </w:rPr>
        <w:t>an initial public offering of its securities or the date on which the Company determines not to conduct an initial public offering of its securities. The principal balance may be prepaid at any time.</w:t>
      </w:r>
    </w:p>
    <w:p>
      <w:pPr>
        <w:spacing w:after="0" w:line="176" w:lineRule="exact"/>
        <w:rPr>
          <w:rFonts w:ascii="Arial" w:cs="Arial" w:eastAsia="Arial" w:hAnsi="Arial"/>
          <w:sz w:val="18"/>
          <w:szCs w:val="18"/>
          <w:color w:val="010000"/>
        </w:rPr>
      </w:pPr>
    </w:p>
    <w:p>
      <w:pPr>
        <w:ind w:left="640" w:hanging="640"/>
        <w:spacing w:after="0"/>
        <w:tabs>
          <w:tab w:leader="none" w:pos="640"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40" w:right="160" w:hanging="640"/>
        <w:spacing w:after="0" w:line="266" w:lineRule="auto"/>
        <w:tabs>
          <w:tab w:leader="none" w:pos="640"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40" w:hanging="640"/>
        <w:spacing w:after="0"/>
        <w:tabs>
          <w:tab w:leader="none" w:pos="640"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20" w:hanging="652"/>
        <w:spacing w:after="0" w:line="282" w:lineRule="auto"/>
        <w:tabs>
          <w:tab w:leader="none" w:pos="1300" w:val="left"/>
        </w:tabs>
        <w:numPr>
          <w:ilvl w:val="1"/>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220" w:hanging="652"/>
        <w:spacing w:after="0" w:line="258" w:lineRule="auto"/>
        <w:tabs>
          <w:tab w:leader="none" w:pos="1300" w:val="left"/>
        </w:tabs>
        <w:numPr>
          <w:ilvl w:val="1"/>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419735</wp:posOffset>
            </wp:positionV>
            <wp:extent cx="7160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61" w:name="page162"/>
    <w:bookmarkEnd w:id="161"/>
    <w:p>
      <w:pPr>
        <w:ind w:left="1300" w:right="80" w:hanging="652"/>
        <w:spacing w:after="0" w:line="258" w:lineRule="auto"/>
        <w:tabs>
          <w:tab w:leader="none" w:pos="1300" w:val="left"/>
        </w:tabs>
        <w:numPr>
          <w:ilvl w:val="1"/>
          <w:numId w:val="99"/>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w:t>
      </w:r>
      <w:r>
        <w:rPr>
          <w:rFonts w:ascii="Arial" w:cs="Arial" w:eastAsia="Arial" w:hAnsi="Arial"/>
          <w:sz w:val="18"/>
          <w:szCs w:val="18"/>
          <w:b w:val="1"/>
          <w:bCs w:val="1"/>
          <w:color w:val="auto"/>
        </w:rPr>
        <w:t xml:space="preserve"> </w:t>
      </w:r>
      <w:r>
        <w:rPr>
          <w:rFonts w:ascii="Arial" w:cs="Arial" w:eastAsia="Arial" w:hAnsi="Arial"/>
          <w:sz w:val="18"/>
          <w:szCs w:val="18"/>
          <w:color w:val="auto"/>
        </w:rPr>
        <w:t>in 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40" w:hanging="640"/>
        <w:spacing w:after="0"/>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300" w:right="40" w:hanging="652"/>
        <w:spacing w:after="0" w:line="302" w:lineRule="auto"/>
        <w:tabs>
          <w:tab w:leader="none" w:pos="1300"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54" w:lineRule="exact"/>
        <w:rPr>
          <w:rFonts w:ascii="Arial" w:cs="Arial" w:eastAsia="Arial" w:hAnsi="Arial"/>
          <w:sz w:val="16"/>
          <w:szCs w:val="16"/>
          <w:color w:val="010000"/>
        </w:rPr>
      </w:pPr>
    </w:p>
    <w:p>
      <w:pPr>
        <w:jc w:val="both"/>
        <w:ind w:left="1300" w:right="200" w:hanging="652"/>
        <w:spacing w:after="0" w:line="264" w:lineRule="auto"/>
        <w:tabs>
          <w:tab w:leader="none" w:pos="1300"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40" w:right="40" w:hanging="640"/>
        <w:spacing w:after="0" w:line="255" w:lineRule="auto"/>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40" w:hanging="640"/>
        <w:spacing w:after="0" w:line="256" w:lineRule="auto"/>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62" w:name="page163"/>
    <w:bookmarkEnd w:id="162"/>
    <w:p>
      <w:pPr>
        <w:ind w:left="640" w:right="400" w:hanging="640"/>
        <w:spacing w:after="0" w:line="314" w:lineRule="auto"/>
        <w:tabs>
          <w:tab w:leader="none" w:pos="640" w:val="left"/>
        </w:tabs>
        <w:numPr>
          <w:ilvl w:val="0"/>
          <w:numId w:val="101"/>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w:t>
      </w:r>
    </w:p>
    <w:p>
      <w:pPr>
        <w:spacing w:after="0" w:line="46" w:lineRule="exact"/>
        <w:rPr>
          <w:sz w:val="20"/>
          <w:szCs w:val="20"/>
          <w:color w:val="auto"/>
        </w:rPr>
      </w:pPr>
    </w:p>
    <w:p>
      <w:pPr>
        <w:ind w:right="540"/>
        <w:spacing w:after="0" w:line="261" w:lineRule="auto"/>
        <w:tabs>
          <w:tab w:leader="none" w:pos="3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date reflected on a signed delivery receipt, or (iv) two (2) Business Days following tender of delivery or dispatch by express mail or delivery service.</w:t>
      </w:r>
    </w:p>
    <w:p>
      <w:pPr>
        <w:spacing w:after="0" w:line="180" w:lineRule="exact"/>
        <w:rPr>
          <w:sz w:val="20"/>
          <w:szCs w:val="20"/>
          <w:color w:val="auto"/>
        </w:rPr>
      </w:pPr>
    </w:p>
    <w:p>
      <w:pPr>
        <w:ind w:left="640" w:hanging="640"/>
        <w:spacing w:after="0"/>
        <w:tabs>
          <w:tab w:leader="none" w:pos="640" w:val="left"/>
        </w:tabs>
        <w:numPr>
          <w:ilvl w:val="0"/>
          <w:numId w:val="103"/>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w:t>
      </w:r>
    </w:p>
    <w:p>
      <w:pPr>
        <w:spacing w:after="0" w:line="27" w:lineRule="exact"/>
        <w:rPr>
          <w:rFonts w:ascii="Arial" w:cs="Arial" w:eastAsia="Arial" w:hAnsi="Arial"/>
          <w:sz w:val="18"/>
          <w:szCs w:val="18"/>
          <w:color w:val="010000"/>
        </w:rPr>
      </w:pPr>
    </w:p>
    <w:p>
      <w:pPr>
        <w:ind w:left="640"/>
        <w:spacing w:after="0"/>
        <w:rPr>
          <w:rFonts w:ascii="Arial" w:cs="Arial" w:eastAsia="Arial" w:hAnsi="Arial"/>
          <w:sz w:val="18"/>
          <w:szCs w:val="18"/>
          <w:color w:val="010000"/>
        </w:rPr>
      </w:pPr>
      <w:r>
        <w:rPr>
          <w:rFonts w:ascii="Arial" w:cs="Arial" w:eastAsia="Arial" w:hAnsi="Arial"/>
          <w:sz w:val="18"/>
          <w:szCs w:val="18"/>
          <w:color w:val="auto"/>
        </w:rPr>
        <w:t>WITHOUT REGARD TO CONFLICT OF LAW PROVISIONS THEREOF.</w:t>
      </w:r>
    </w:p>
    <w:p>
      <w:pPr>
        <w:spacing w:after="0" w:line="206" w:lineRule="exact"/>
        <w:rPr>
          <w:rFonts w:ascii="Arial" w:cs="Arial" w:eastAsia="Arial" w:hAnsi="Arial"/>
          <w:sz w:val="18"/>
          <w:szCs w:val="18"/>
          <w:color w:val="010000"/>
        </w:rPr>
      </w:pPr>
    </w:p>
    <w:p>
      <w:pPr>
        <w:ind w:left="640" w:right="260" w:hanging="640"/>
        <w:spacing w:after="0" w:line="266" w:lineRule="auto"/>
        <w:tabs>
          <w:tab w:leader="none" w:pos="640" w:val="left"/>
        </w:tabs>
        <w:numPr>
          <w:ilvl w:val="0"/>
          <w:numId w:val="103"/>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40" w:right="160" w:hanging="640"/>
        <w:spacing w:after="0" w:line="289" w:lineRule="auto"/>
        <w:tabs>
          <w:tab w:leader="none" w:pos="640" w:val="left"/>
        </w:tabs>
        <w:numPr>
          <w:ilvl w:val="0"/>
          <w:numId w:val="103"/>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40" w:hanging="640"/>
        <w:spacing w:after="0"/>
        <w:tabs>
          <w:tab w:leader="none" w:pos="640" w:val="left"/>
        </w:tabs>
        <w:numPr>
          <w:ilvl w:val="0"/>
          <w:numId w:val="103"/>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40" w:right="80"/>
        <w:spacing w:after="0" w:line="253" w:lineRule="auto"/>
        <w:rPr>
          <w:rFonts w:ascii="Arial" w:cs="Arial" w:eastAsia="Arial" w:hAnsi="Arial"/>
          <w:sz w:val="17"/>
          <w:szCs w:val="17"/>
          <w:color w:val="010000"/>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amounts contained in the trust account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conducted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proceeds of the sale of securities in a private placement to occur prior to the effectiveness of the IPO, as described in greater detail in the registration statement and prospectus to be filed with the Securities and Exchange Commission in connection with the IPO, will be placed, and hereby agrees not to seek recourse, reimbursement, payment or satisfaction for any Claim from the trust account or any distribution therefrom for any reason whatsoever.</w:t>
      </w:r>
    </w:p>
    <w:p>
      <w:pPr>
        <w:spacing w:after="0" w:line="187" w:lineRule="exact"/>
        <w:rPr>
          <w:rFonts w:ascii="Arial" w:cs="Arial" w:eastAsia="Arial" w:hAnsi="Arial"/>
          <w:sz w:val="17"/>
          <w:szCs w:val="17"/>
          <w:color w:val="010000"/>
        </w:rPr>
      </w:pPr>
    </w:p>
    <w:p>
      <w:pPr>
        <w:ind w:left="640" w:right="400" w:hanging="640"/>
        <w:spacing w:after="0" w:line="282" w:lineRule="auto"/>
        <w:tabs>
          <w:tab w:leader="none" w:pos="640" w:val="left"/>
        </w:tabs>
        <w:numPr>
          <w:ilvl w:val="0"/>
          <w:numId w:val="103"/>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63" w:name="page164"/>
    <w:bookmarkEnd w:id="163"/>
    <w:p>
      <w:pPr>
        <w:jc w:val="both"/>
        <w:ind w:left="640" w:hanging="640"/>
        <w:spacing w:after="0" w:line="347" w:lineRule="auto"/>
        <w:tabs>
          <w:tab w:leader="none" w:pos="640" w:val="left"/>
        </w:tabs>
        <w:numPr>
          <w:ilvl w:val="0"/>
          <w:numId w:val="104"/>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40" w:right="200" w:hanging="640"/>
        <w:spacing w:after="0" w:line="266" w:lineRule="auto"/>
        <w:tabs>
          <w:tab w:leader="none" w:pos="640" w:val="left"/>
        </w:tabs>
        <w:numPr>
          <w:ilvl w:val="0"/>
          <w:numId w:val="104"/>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party) 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Executive Officer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Name:</w:t>
        <w:tab/>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-130810</wp:posOffset>
            </wp:positionV>
            <wp:extent cx="26498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20"/>
          </w:cols>
          <w:pgMar w:left="320" w:top="905" w:right="45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Exhibit 10.2</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____________,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M I Acquisitions,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warrant, each whole warrant entitling its holder to purchase one-half of one share of Common Stock at a price of $12.00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14 hereof.</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66" w:lineRule="exact"/>
        <w:rPr>
          <w:sz w:val="20"/>
          <w:szCs w:val="20"/>
          <w:color w:val="auto"/>
        </w:rPr>
      </w:pPr>
    </w:p>
    <w:p>
      <w:pPr>
        <w:ind w:firstLine="1297"/>
        <w:spacing w:after="0" w:line="277" w:lineRule="auto"/>
        <w:tabs>
          <w:tab w:leader="none" w:pos="192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1297"/>
        <w:spacing w:after="0" w:line="286" w:lineRule="auto"/>
        <w:tabs>
          <w:tab w:leader="none" w:pos="210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18 months from the closing of the Company’s IPO (or, in the event that the Company executed a letter of intent or definitive agreement for a Business Combination within 18 months from the closing of the IPO but has not completed the Business Combination within such 18-month period, the 21-month anniversary of the closing of the Company’s IPO), the undersigned shall take all reasonable steps to (i) cause the Trust Fund to be liquidated and distributed to the holders of IPO Shares and</w:t>
      </w:r>
    </w:p>
    <w:p>
      <w:pPr>
        <w:spacing w:after="0" w:line="1" w:lineRule="exact"/>
        <w:rPr>
          <w:rFonts w:ascii="Arial" w:cs="Arial" w:eastAsia="Arial" w:hAnsi="Arial"/>
          <w:sz w:val="16"/>
          <w:szCs w:val="16"/>
          <w:color w:val="auto"/>
        </w:rPr>
      </w:pPr>
    </w:p>
    <w:p>
      <w:pPr>
        <w:ind w:left="260" w:hanging="260"/>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cause the Company to liquidate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65" w:name="page166"/>
    <w:bookmarkEnd w:id="165"/>
    <w:p>
      <w:pPr>
        <w:jc w:val="both"/>
        <w:ind w:firstLine="1945"/>
        <w:spacing w:after="0" w:line="255" w:lineRule="auto"/>
        <w:tabs>
          <w:tab w:leader="none" w:pos="261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Fund and any remaining net assets of the Company as a result of such liquidation with respect to his, her or its Insider Shares [including the shares underlying the Private Units]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Warrants underlying the Private Units, all rights of which will terminate on the Company’s liquidation.</w:t>
      </w:r>
    </w:p>
    <w:p>
      <w:pPr>
        <w:spacing w:after="0" w:line="193" w:lineRule="exact"/>
        <w:rPr>
          <w:rFonts w:ascii="Arial" w:cs="Arial" w:eastAsia="Arial" w:hAnsi="Arial"/>
          <w:sz w:val="18"/>
          <w:szCs w:val="18"/>
          <w:color w:val="auto"/>
        </w:rPr>
      </w:pPr>
    </w:p>
    <w:p>
      <w:pPr>
        <w:jc w:val="both"/>
        <w:ind w:firstLine="1945"/>
        <w:spacing w:after="0" w:line="293" w:lineRule="auto"/>
        <w:tabs>
          <w:tab w:leader="none" w:pos="265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apply if such vendor or other person has executed an agreement waiving any claims against the Trust Fund.</w:t>
      </w:r>
    </w:p>
    <w:p>
      <w:pPr>
        <w:spacing w:after="0" w:line="164" w:lineRule="exact"/>
        <w:rPr>
          <w:rFonts w:ascii="Arial" w:cs="Arial" w:eastAsia="Arial" w:hAnsi="Arial"/>
          <w:sz w:val="16"/>
          <w:szCs w:val="16"/>
          <w:color w:val="auto"/>
        </w:rPr>
      </w:pPr>
    </w:p>
    <w:p>
      <w:pPr>
        <w:jc w:val="both"/>
        <w:ind w:firstLine="1945"/>
        <w:spacing w:after="0" w:line="264" w:lineRule="auto"/>
        <w:tabs>
          <w:tab w:leader="none" w:pos="265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81" w:lineRule="exact"/>
        <w:rPr>
          <w:rFonts w:ascii="Arial" w:cs="Arial" w:eastAsia="Arial" w:hAnsi="Arial"/>
          <w:sz w:val="18"/>
          <w:szCs w:val="18"/>
          <w:color w:val="auto"/>
        </w:rPr>
      </w:pPr>
    </w:p>
    <w:p>
      <w:pPr>
        <w:ind w:firstLine="1297"/>
        <w:spacing w:after="0" w:line="277" w:lineRule="auto"/>
        <w:tabs>
          <w:tab w:leader="none" w:pos="197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will escrow all of his, her or its Insider Shares pursuant to the terms of a Stock Escrow Agreement which the Company will enter into with the undersigned and an escrow agent acceptable to the Company.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[4. The undersigned agrees that until the Company consummates a Business Combination, the undersigned’s Private Units will be subject to the transfer restrictions described in the Subscription Agreement relating to the undersigned’s Private Units.]</w:t>
      </w:r>
    </w:p>
    <w:p>
      <w:pPr>
        <w:spacing w:after="0" w:line="170" w:lineRule="exact"/>
        <w:rPr>
          <w:sz w:val="20"/>
          <w:szCs w:val="20"/>
          <w:color w:val="auto"/>
        </w:rPr>
      </w:pPr>
    </w:p>
    <w:p>
      <w:pPr>
        <w:jc w:val="both"/>
        <w:ind w:firstLine="1297"/>
        <w:spacing w:after="0" w:line="259" w:lineRule="auto"/>
        <w:tabs>
          <w:tab w:leader="none" w:pos="18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6" w:name="page167"/>
    <w:bookmarkEnd w:id="166"/>
    <w:p>
      <w:pPr>
        <w:jc w:val="both"/>
        <w:ind w:firstLine="1297"/>
        <w:spacing w:after="0" w:line="276" w:lineRule="auto"/>
        <w:tabs>
          <w:tab w:leader="none" w:pos="208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shareholders from a financial point of view.</w:t>
      </w:r>
    </w:p>
    <w:p>
      <w:pPr>
        <w:spacing w:after="0" w:line="172" w:lineRule="exact"/>
        <w:rPr>
          <w:rFonts w:ascii="Arial" w:cs="Arial" w:eastAsia="Arial" w:hAnsi="Arial"/>
          <w:sz w:val="17"/>
          <w:szCs w:val="17"/>
          <w:color w:val="auto"/>
        </w:rPr>
      </w:pPr>
    </w:p>
    <w:p>
      <w:pPr>
        <w:jc w:val="both"/>
        <w:ind w:firstLine="1297"/>
        <w:spacing w:after="0" w:line="288" w:lineRule="auto"/>
        <w:tabs>
          <w:tab w:leader="none" w:pos="200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Neither the undersigned, any member of the family of the undersigned, nor any affiliate of the undersigned will be entitled to receive and will not accept any compensation or other cash payment prior to, or for services rendered in connection with, the consummation of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allowed to repay a non-interest bearing loan in an aggregate amount of $[_________] made to the</w:t>
      </w:r>
    </w:p>
    <w:p>
      <w:pPr>
        <w:jc w:val="both"/>
        <w:spacing w:after="0" w:line="224" w:lineRule="auto"/>
        <w:rPr>
          <w:sz w:val="20"/>
          <w:szCs w:val="20"/>
          <w:color w:val="auto"/>
        </w:rPr>
      </w:pPr>
      <w:r>
        <w:rPr>
          <w:rFonts w:ascii="Arial" w:cs="Arial" w:eastAsia="Arial" w:hAnsi="Arial"/>
          <w:sz w:val="18"/>
          <w:szCs w:val="18"/>
          <w:color w:val="auto"/>
        </w:rPr>
        <w:t>Company by the undersigned to cover the IPO expenses]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be allowed to repay working capital loans made by the undersigned to the Company in cash upon consummation of the Business Combination. Notwithstanding the foregoing, the undersigned and any affiliate of the undersigned shall be entitled to reimbursement from the Company for their out-of-pocket expenses incurred in connection with identifying, investigating and consummating a Business Combination.</w:t>
      </w:r>
    </w:p>
    <w:p>
      <w:pPr>
        <w:spacing w:after="0" w:line="205" w:lineRule="exact"/>
        <w:rPr>
          <w:sz w:val="20"/>
          <w:szCs w:val="20"/>
          <w:color w:val="auto"/>
        </w:rPr>
      </w:pPr>
    </w:p>
    <w:p>
      <w:pPr>
        <w:jc w:val="both"/>
        <w:ind w:firstLine="1297"/>
        <w:spacing w:after="0" w:line="264" w:lineRule="auto"/>
        <w:tabs>
          <w:tab w:leader="none" w:pos="20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81" w:lineRule="exact"/>
        <w:rPr>
          <w:rFonts w:ascii="Arial" w:cs="Arial" w:eastAsia="Arial" w:hAnsi="Arial"/>
          <w:sz w:val="18"/>
          <w:szCs w:val="18"/>
          <w:color w:val="auto"/>
        </w:rPr>
      </w:pPr>
    </w:p>
    <w:p>
      <w:pPr>
        <w:jc w:val="both"/>
        <w:ind w:firstLine="1297"/>
        <w:spacing w:after="0" w:line="255" w:lineRule="auto"/>
        <w:tabs>
          <w:tab w:leader="none" w:pos="18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undersigned agrees to be the _________ of the Company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previously furnished to the Company and the Representative is true and accurate in all material respects. The undersigned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7926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42" w:lineRule="exact"/>
        <w:rPr>
          <w:sz w:val="20"/>
          <w:szCs w:val="20"/>
          <w:color w:val="auto"/>
        </w:rPr>
      </w:pPr>
    </w:p>
    <w:p>
      <w:pPr>
        <w:ind w:left="120" w:hanging="120"/>
        <w:spacing w:after="0"/>
        <w:tabs>
          <w:tab w:leader="none" w:pos="120" w:val="left"/>
        </w:tabs>
        <w:numPr>
          <w:ilvl w:val="0"/>
          <w:numId w:val="112"/>
        </w:numPr>
        <w:rPr>
          <w:rFonts w:ascii="Arial" w:cs="Arial" w:eastAsia="Arial" w:hAnsi="Arial"/>
          <w:sz w:val="30"/>
          <w:szCs w:val="30"/>
          <w:color w:val="auto"/>
          <w:vertAlign w:val="superscript"/>
        </w:rPr>
      </w:pPr>
      <w:r>
        <w:rPr>
          <w:rFonts w:ascii="Arial" w:cs="Arial" w:eastAsia="Arial" w:hAnsi="Arial"/>
          <w:sz w:val="18"/>
          <w:szCs w:val="18"/>
          <w:color w:val="auto"/>
        </w:rPr>
        <w:t>To be included for Joshua Sason letter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437515</wp:posOffset>
            </wp:positionV>
            <wp:extent cx="7160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67" w:name="page168"/>
    <w:bookmarkEnd w:id="167"/>
    <w:p>
      <w:pPr>
        <w:ind w:left="652" w:hanging="652"/>
        <w:spacing w:after="0" w:line="286" w:lineRule="auto"/>
        <w:tabs>
          <w:tab w:leader="none" w:pos="65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65" w:lineRule="exact"/>
        <w:rPr>
          <w:rFonts w:ascii="Arial" w:cs="Arial" w:eastAsia="Arial" w:hAnsi="Arial"/>
          <w:sz w:val="17"/>
          <w:szCs w:val="17"/>
          <w:color w:val="auto"/>
        </w:rPr>
      </w:pPr>
    </w:p>
    <w:p>
      <w:pPr>
        <w:ind w:left="652" w:right="60" w:hanging="652"/>
        <w:spacing w:after="0" w:line="277" w:lineRule="auto"/>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ind w:left="652" w:right="20" w:hanging="652"/>
        <w:spacing w:after="0" w:line="253" w:lineRule="auto"/>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7" w:lineRule="exact"/>
        <w:rPr>
          <w:rFonts w:ascii="Arial" w:cs="Arial" w:eastAsia="Arial" w:hAnsi="Arial"/>
          <w:sz w:val="18"/>
          <w:szCs w:val="18"/>
          <w:color w:val="auto"/>
        </w:rPr>
      </w:pPr>
    </w:p>
    <w:p>
      <w:pPr>
        <w:ind w:left="652" w:right="60" w:hanging="652"/>
        <w:spacing w:after="0" w:line="291" w:lineRule="auto"/>
        <w:tabs>
          <w:tab w:leader="none" w:pos="6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52"/>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210" w:lineRule="exact"/>
        <w:rPr>
          <w:rFonts w:ascii="Arial" w:cs="Arial" w:eastAsia="Arial" w:hAnsi="Arial"/>
          <w:sz w:val="16"/>
          <w:szCs w:val="16"/>
          <w:color w:val="auto"/>
        </w:rPr>
      </w:pPr>
    </w:p>
    <w:p>
      <w:pPr>
        <w:ind w:left="652" w:right="160" w:hanging="652"/>
        <w:spacing w:after="0" w:line="342" w:lineRule="auto"/>
        <w:tabs>
          <w:tab w:leader="none" w:pos="6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379095</wp:posOffset>
            </wp:positionV>
            <wp:extent cx="71608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9" w:right="339" w:bottom="1440" w:gutter="0" w:footer="0" w:header="0"/>
        </w:sectPr>
      </w:pPr>
    </w:p>
    <w:bookmarkStart w:id="168" w:name="page169"/>
    <w:bookmarkEnd w:id="168"/>
    <w:p>
      <w:pPr>
        <w:ind w:left="652" w:right="440" w:hanging="652"/>
        <w:spacing w:after="0" w:line="264" w:lineRule="auto"/>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81" w:lineRule="exact"/>
        <w:rPr>
          <w:rFonts w:ascii="Arial" w:cs="Arial" w:eastAsia="Arial" w:hAnsi="Arial"/>
          <w:sz w:val="18"/>
          <w:szCs w:val="18"/>
          <w:color w:val="auto"/>
        </w:rPr>
      </w:pPr>
    </w:p>
    <w:p>
      <w:pPr>
        <w:ind w:left="652" w:right="40" w:hanging="652"/>
        <w:spacing w:after="0" w:line="297" w:lineRule="auto"/>
        <w:tabs>
          <w:tab w:leader="none" w:pos="6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58" w:lineRule="exact"/>
        <w:rPr>
          <w:rFonts w:ascii="Arial" w:cs="Arial" w:eastAsia="Arial" w:hAnsi="Arial"/>
          <w:sz w:val="16"/>
          <w:szCs w:val="16"/>
          <w:color w:val="auto"/>
        </w:rPr>
      </w:pPr>
    </w:p>
    <w:p>
      <w:pPr>
        <w:ind w:left="652" w:right="280" w:hanging="652"/>
        <w:spacing w:after="0" w:line="264" w:lineRule="auto"/>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1"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1" w:lineRule="exact"/>
        <w:rPr>
          <w:rFonts w:ascii="Arial" w:cs="Arial" w:eastAsia="Arial" w:hAnsi="Arial"/>
          <w:sz w:val="18"/>
          <w:szCs w:val="18"/>
          <w:color w:val="auto"/>
        </w:rPr>
      </w:pPr>
    </w:p>
    <w:p>
      <w:pPr>
        <w:ind w:left="652" w:right="40" w:hanging="652"/>
        <w:spacing w:after="0" w:line="302" w:lineRule="auto"/>
        <w:tabs>
          <w:tab w:leader="none" w:pos="6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54" w:lineRule="exact"/>
        <w:rPr>
          <w:rFonts w:ascii="Arial" w:cs="Arial" w:eastAsia="Arial" w:hAnsi="Arial"/>
          <w:sz w:val="16"/>
          <w:szCs w:val="16"/>
          <w:color w:val="auto"/>
        </w:rPr>
      </w:pPr>
    </w:p>
    <w:p>
      <w:pPr>
        <w:ind w:left="652" w:right="80" w:hanging="652"/>
        <w:spacing w:after="0" w:line="302" w:lineRule="auto"/>
        <w:tabs>
          <w:tab w:leader="none" w:pos="6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398780</wp:posOffset>
            </wp:positionV>
            <wp:extent cx="7160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69" w:name="page170"/>
    <w:bookmarkEnd w:id="169"/>
    <w:p>
      <w:pPr>
        <w:ind w:left="652" w:right="40" w:hanging="652"/>
        <w:spacing w:after="0" w:line="259" w:lineRule="auto"/>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1" w:lineRule="exact"/>
        <w:rPr>
          <w:rFonts w:ascii="Arial" w:cs="Arial" w:eastAsia="Arial" w:hAnsi="Arial"/>
          <w:sz w:val="18"/>
          <w:szCs w:val="18"/>
          <w:color w:val="auto"/>
        </w:rPr>
      </w:pPr>
    </w:p>
    <w:p>
      <w:pPr>
        <w:ind w:left="652" w:right="200" w:hanging="652"/>
        <w:spacing w:after="0" w:line="264" w:lineRule="auto"/>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1" w:lineRule="exact"/>
        <w:rPr>
          <w:rFonts w:ascii="Arial" w:cs="Arial" w:eastAsia="Arial" w:hAnsi="Arial"/>
          <w:sz w:val="18"/>
          <w:szCs w:val="18"/>
          <w:color w:val="auto"/>
        </w:rPr>
      </w:pPr>
    </w:p>
    <w:p>
      <w:pPr>
        <w:ind w:left="652" w:right="140" w:hanging="652"/>
        <w:spacing w:after="0" w:line="297" w:lineRule="auto"/>
        <w:tabs>
          <w:tab w:leader="none" w:pos="65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58" w:lineRule="exact"/>
        <w:rPr>
          <w:rFonts w:ascii="Arial" w:cs="Arial" w:eastAsia="Arial" w:hAnsi="Arial"/>
          <w:sz w:val="16"/>
          <w:szCs w:val="16"/>
          <w:color w:val="auto"/>
        </w:rPr>
      </w:pPr>
    </w:p>
    <w:p>
      <w:pPr>
        <w:ind w:left="652" w:hanging="652"/>
        <w:spacing w:after="0" w:line="257" w:lineRule="auto"/>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420370</wp:posOffset>
            </wp:positionV>
            <wp:extent cx="7160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8" w:right="339" w:bottom="1440" w:gutter="0" w:footer="0" w:header="0"/>
        </w:sectPr>
      </w:pPr>
    </w:p>
    <w:bookmarkStart w:id="170" w:name="page171"/>
    <w:bookmarkEnd w:id="170"/>
    <w:p>
      <w:pPr>
        <w:jc w:val="both"/>
        <w:ind w:left="652" w:right="560" w:hanging="652"/>
        <w:spacing w:after="0" w:line="312" w:lineRule="auto"/>
        <w:tabs>
          <w:tab w:leader="none" w:pos="6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46" w:lineRule="exact"/>
        <w:rPr>
          <w:rFonts w:ascii="Arial" w:cs="Arial" w:eastAsia="Arial" w:hAnsi="Arial"/>
          <w:sz w:val="16"/>
          <w:szCs w:val="16"/>
          <w:color w:val="auto"/>
        </w:rPr>
      </w:pPr>
    </w:p>
    <w:p>
      <w:pPr>
        <w:ind w:left="-648" w:firstLine="1297"/>
        <w:spacing w:after="0" w:line="277" w:lineRule="auto"/>
        <w:tabs>
          <w:tab w:leader="none" w:pos="148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is bound, to enter into this letter agreement and to serve as _________ of the Company.</w:t>
      </w:r>
    </w:p>
    <w:p>
      <w:pPr>
        <w:spacing w:after="0" w:line="170" w:lineRule="exact"/>
        <w:rPr>
          <w:rFonts w:ascii="Arial" w:cs="Arial" w:eastAsia="Arial" w:hAnsi="Arial"/>
          <w:sz w:val="18"/>
          <w:szCs w:val="18"/>
          <w:color w:val="auto"/>
        </w:rPr>
      </w:pPr>
    </w:p>
    <w:p>
      <w:pPr>
        <w:jc w:val="both"/>
        <w:ind w:left="-648" w:firstLine="1297"/>
        <w:spacing w:after="0" w:line="257" w:lineRule="auto"/>
        <w:tabs>
          <w:tab w:leader="none" w:pos="13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8" w:lineRule="exact"/>
        <w:rPr>
          <w:rFonts w:ascii="Arial" w:cs="Arial" w:eastAsia="Arial" w:hAnsi="Arial"/>
          <w:sz w:val="18"/>
          <w:szCs w:val="18"/>
          <w:color w:val="auto"/>
        </w:rPr>
      </w:pPr>
    </w:p>
    <w:p>
      <w:pPr>
        <w:jc w:val="both"/>
        <w:ind w:left="-648" w:firstLine="1297"/>
        <w:spacing w:after="0" w:line="286" w:lineRule="auto"/>
        <w:tabs>
          <w:tab w:leader="none" w:pos="141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undersigned hereby agrees to not propose, or vote in favor of, an amendment to the Company’s Amended and Restated Certificate of Incorporation with respect to the Company’s pre-Business Combination activities prior to the consummation of a Business Combination unless the Company offers holders of IPO Shares the right to receive their pro rata portion of the funds then held in the Trust Fund.</w:t>
      </w:r>
    </w:p>
    <w:p>
      <w:pPr>
        <w:spacing w:after="0" w:line="165" w:lineRule="exact"/>
        <w:rPr>
          <w:rFonts w:ascii="Arial" w:cs="Arial" w:eastAsia="Arial" w:hAnsi="Arial"/>
          <w:sz w:val="17"/>
          <w:szCs w:val="17"/>
          <w:color w:val="auto"/>
        </w:rPr>
      </w:pPr>
    </w:p>
    <w:p>
      <w:pPr>
        <w:jc w:val="both"/>
        <w:ind w:left="-648" w:firstLine="1297"/>
        <w:spacing w:after="0" w:line="253" w:lineRule="auto"/>
        <w:tabs>
          <w:tab w:leader="none" w:pos="144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(“AAA”).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426085</wp:posOffset>
            </wp:positionV>
            <wp:extent cx="7160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71" w:name="page172"/>
    <w:bookmarkEnd w:id="171"/>
    <w:p>
      <w:pPr>
        <w:jc w:val="both"/>
        <w:ind w:firstLine="1297"/>
        <w:spacing w:after="0" w:line="253" w:lineRule="auto"/>
        <w:tabs>
          <w:tab w:leader="none" w:pos="2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shareholders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mean all of the shares of Common Stock of the Company acquired by an Insider prior to the IPO [and the shares of Common Stock underlying the Private Units];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Units</w:t>
      </w:r>
      <w:r>
        <w:rPr>
          <w:rFonts w:ascii="Arial" w:cs="Arial" w:eastAsia="Arial" w:hAnsi="Arial"/>
          <w:sz w:val="18"/>
          <w:szCs w:val="18"/>
          <w:color w:val="auto"/>
        </w:rPr>
        <w:t>” shall mean (x) the Units purchased in the private placement taking place simultaneously with the consummation of the Company’s IPO and (y) the additional Units that may be purchased in connection with the exercise of the over-allotment option by the underwriters in the IPO as described in the Registration Statement; (vi)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7" w:lineRule="exact"/>
        <w:rPr>
          <w:rFonts w:ascii="Arial" w:cs="Arial" w:eastAsia="Arial" w:hAnsi="Arial"/>
          <w:sz w:val="18"/>
          <w:szCs w:val="18"/>
          <w:color w:val="auto"/>
        </w:rPr>
      </w:pPr>
    </w:p>
    <w:p>
      <w:pPr>
        <w:jc w:val="both"/>
        <w:ind w:firstLine="1297"/>
        <w:spacing w:after="0" w:line="264" w:lineRule="auto"/>
        <w:tabs>
          <w:tab w:leader="none" w:pos="19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504-3013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72" w:name="page173"/>
    <w:bookmarkEnd w:id="172"/>
    <w:p>
      <w:pPr>
        <w:jc w:val="both"/>
        <w:ind w:left="-1120" w:firstLine="1297"/>
        <w:spacing w:after="0" w:line="312" w:lineRule="auto"/>
        <w:tabs>
          <w:tab w:leader="none" w:pos="8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6" w:lineRule="exact"/>
        <w:rPr>
          <w:rFonts w:ascii="Arial" w:cs="Arial" w:eastAsia="Arial" w:hAnsi="Arial"/>
          <w:sz w:val="16"/>
          <w:szCs w:val="16"/>
          <w:color w:val="auto"/>
        </w:rPr>
      </w:pPr>
    </w:p>
    <w:p>
      <w:pPr>
        <w:ind w:left="-1120" w:firstLine="1297"/>
        <w:spacing w:after="0" w:line="277" w:lineRule="auto"/>
        <w:tabs>
          <w:tab w:leader="none" w:pos="10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undersigned acknowledges and understands that the Underwriters and the Company will rely upon the agreements, representations and warranties set forth herein in proceeding with the IPO.</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443865</wp:posOffset>
            </wp:positionV>
            <wp:extent cx="7160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909" w:right="3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Agreement is made as of [________], 2015 by and between M I Acquisitions, Inc. (the “Company”) and Continental Stock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&amp; Trust Company (“Trustee”).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Company’s registration statement on Form S-1, No. 333-[_____] (“Registration Statement”) for its initial public offering</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Memorandum and Articles of Association, $50,000,000 of the gross proceeds of the IPO and the net proceeds of a private placement of $2,500,00 taking place simultaneously therewith ($60,255,000 if the over-allotment option is exercised in full) will be delivered to the Trustee to be deposited and held in a trust account for the benefit of the Company and the holders of the Company’s common stock, par value $.001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8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580" w:hanging="580"/>
        <w:spacing w:after="0"/>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right="400" w:firstLine="1297"/>
        <w:spacing w:after="0" w:line="264" w:lineRule="auto"/>
        <w:tabs>
          <w:tab w:leader="none" w:pos="19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Bank, NA] in the United States, maintained by Trustee, and at a brokerage institution selected by the Trustee that is reasonably satisfactory to the Company;</w:t>
      </w:r>
    </w:p>
    <w:p>
      <w:pPr>
        <w:spacing w:after="0" w:line="181" w:lineRule="exact"/>
        <w:rPr>
          <w:rFonts w:ascii="Arial" w:cs="Arial" w:eastAsia="Arial" w:hAnsi="Arial"/>
          <w:sz w:val="18"/>
          <w:szCs w:val="18"/>
          <w:color w:val="auto"/>
        </w:rPr>
      </w:pPr>
    </w:p>
    <w:p>
      <w:pPr>
        <w:ind w:left="1960" w:hanging="663"/>
        <w:spacing w:after="0"/>
        <w:tabs>
          <w:tab w:leader="none" w:pos="19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540" w:firstLine="1297"/>
        <w:spacing w:after="0" w:line="312" w:lineRule="auto"/>
        <w:tabs>
          <w:tab w:leader="none" w:pos="194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74" w:name="page175"/>
    <w:bookmarkEnd w:id="174"/>
    <w:p>
      <w:pPr>
        <w:ind w:left="1960" w:hanging="663"/>
        <w:spacing w:after="0"/>
        <w:tabs>
          <w:tab w:leader="none" w:pos="19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 is used herein;</w:t>
      </w:r>
    </w:p>
    <w:p>
      <w:pPr>
        <w:spacing w:after="0" w:line="210" w:lineRule="exact"/>
        <w:rPr>
          <w:rFonts w:ascii="Arial" w:cs="Arial" w:eastAsia="Arial" w:hAnsi="Arial"/>
          <w:sz w:val="16"/>
          <w:szCs w:val="16"/>
          <w:color w:val="auto"/>
        </w:rPr>
      </w:pPr>
    </w:p>
    <w:p>
      <w:pPr>
        <w:ind w:left="1940" w:hanging="643"/>
        <w:spacing w:after="0"/>
        <w:tabs>
          <w:tab w:leader="none" w:pos="1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Notify the Company and Chardan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600" w:firstLine="1297"/>
        <w:spacing w:after="0" w:line="277" w:lineRule="auto"/>
        <w:tabs>
          <w:tab w:leader="none" w:pos="19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in connection with the Company’s preparation of its tax returns;</w:t>
      </w:r>
    </w:p>
    <w:p>
      <w:pPr>
        <w:spacing w:after="0" w:line="170" w:lineRule="exact"/>
        <w:rPr>
          <w:rFonts w:ascii="Arial" w:cs="Arial" w:eastAsia="Arial" w:hAnsi="Arial"/>
          <w:sz w:val="18"/>
          <w:szCs w:val="18"/>
          <w:color w:val="auto"/>
        </w:rPr>
      </w:pPr>
    </w:p>
    <w:p>
      <w:pPr>
        <w:ind w:right="220" w:firstLine="1297"/>
        <w:spacing w:after="0" w:line="277" w:lineRule="auto"/>
        <w:tabs>
          <w:tab w:leader="none" w:pos="195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160" w:firstLine="1297"/>
        <w:spacing w:after="0" w:line="277" w:lineRule="auto"/>
        <w:tabs>
          <w:tab w:leader="none" w:pos="195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ind w:firstLine="1297"/>
        <w:spacing w:after="0" w:line="253" w:lineRule="auto"/>
        <w:tabs>
          <w:tab w:leader="none" w:pos="191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18-month anniversary of the closing of the IPO (“Closing”) or, in the event that the Company executed a letter of intent or definitive agreement for a Business Combination within 18 months from the closing of the IPO but has not completed the Business Combination within such 18-month period, the 21-month anniversary of the Closing, (“Last Date”), the Trust Account shall be liquidated in accordance with the procedures set forth in the Termination Letter attached as Exhibit B hereto and distributed to the Public Shareholders as of the Last Date.</w:t>
      </w:r>
    </w:p>
    <w:p>
      <w:pPr>
        <w:spacing w:after="0" w:line="194" w:lineRule="exact"/>
        <w:rPr>
          <w:rFonts w:ascii="Arial" w:cs="Arial" w:eastAsia="Arial" w:hAnsi="Arial"/>
          <w:sz w:val="18"/>
          <w:szCs w:val="18"/>
          <w:color w:val="auto"/>
        </w:rPr>
      </w:pPr>
    </w:p>
    <w:p>
      <w:pPr>
        <w:ind w:left="580" w:hanging="580"/>
        <w:spacing w:after="0"/>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1297"/>
        <w:spacing w:after="0" w:line="264" w:lineRule="auto"/>
        <w:tabs>
          <w:tab w:leader="none" w:pos="19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1" w:lineRule="exact"/>
        <w:rPr>
          <w:rFonts w:ascii="Arial" w:cs="Arial" w:eastAsia="Arial" w:hAnsi="Arial"/>
          <w:sz w:val="18"/>
          <w:szCs w:val="18"/>
          <w:color w:val="auto"/>
        </w:rPr>
      </w:pPr>
    </w:p>
    <w:p>
      <w:pPr>
        <w:ind w:right="160" w:firstLine="1297"/>
        <w:spacing w:after="0" w:line="276" w:lineRule="auto"/>
        <w:tabs>
          <w:tab w:leader="none" w:pos="195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Upon written request from the Company, which may be given from time to time in a form substantially similar to that attached hereto as Exhibit D, the Trustee shall distribute to the Company the amount of interest income earned on the Trust Account requested by the Company to cover expenses related to investigating and selecting a target business and other working capital requirements; provided, however, that the Company will not be allowed to withdraw interest income earned on the Trust Account unless there is an amount of interest income available in the Trust Account sufficient to pay the Company’s tax obligations on such interest income.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5" w:name="page176"/>
    <w:bookmarkEnd w:id="175"/>
    <w:p>
      <w:pPr>
        <w:ind w:right="100" w:firstLine="1297"/>
        <w:spacing w:after="0" w:line="264" w:lineRule="auto"/>
        <w:tabs>
          <w:tab w:leader="none" w:pos="194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limited distributions referred to in Sections 2(a) and 2(b) above shall be made only from income collected on the Property. Except as provided in Section 2(a), and 2(b) above, no other distributions from the Trust Account shall be permitted except in accordance with Section 1(i) hereof.</w:t>
      </w:r>
    </w:p>
    <w:p>
      <w:pPr>
        <w:spacing w:after="0" w:line="181" w:lineRule="exact"/>
        <w:rPr>
          <w:rFonts w:ascii="Arial" w:cs="Arial" w:eastAsia="Arial" w:hAnsi="Arial"/>
          <w:sz w:val="18"/>
          <w:szCs w:val="18"/>
          <w:color w:val="auto"/>
        </w:rPr>
      </w:pPr>
    </w:p>
    <w:p>
      <w:pPr>
        <w:ind w:right="20" w:firstLine="1297"/>
        <w:spacing w:after="0" w:line="277" w:lineRule="auto"/>
        <w:tabs>
          <w:tab w:leader="none" w:pos="195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580" w:hanging="580"/>
        <w:spacing w:after="0"/>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right="260" w:firstLine="1297"/>
        <w:spacing w:after="0" w:line="302" w:lineRule="auto"/>
        <w:tabs>
          <w:tab w:leader="none" w:pos="194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Give all instructions to the Trustee hereunder in writing, signed by the Company’s Chairman of the Board, Chief Executive Officer or Chief Financial Officer. In addition, except with respect to its duties under paragraphs 1(i), 2(a) and 2(b)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54" w:lineRule="exact"/>
        <w:rPr>
          <w:rFonts w:ascii="Arial" w:cs="Arial" w:eastAsia="Arial" w:hAnsi="Arial"/>
          <w:sz w:val="16"/>
          <w:szCs w:val="16"/>
          <w:color w:val="auto"/>
        </w:rPr>
      </w:pPr>
    </w:p>
    <w:p>
      <w:pPr>
        <w:ind w:firstLine="1297"/>
        <w:spacing w:after="0" w:line="288" w:lineRule="auto"/>
        <w:tabs>
          <w:tab w:leader="none" w:pos="195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9" w:lineRule="exact"/>
        <w:rPr>
          <w:rFonts w:ascii="Arial" w:cs="Arial" w:eastAsia="Arial" w:hAnsi="Arial"/>
          <w:sz w:val="16"/>
          <w:szCs w:val="16"/>
          <w:color w:val="auto"/>
        </w:rPr>
      </w:pPr>
    </w:p>
    <w:p>
      <w:pPr>
        <w:ind w:right="100" w:firstLine="1297"/>
        <w:spacing w:after="0" w:line="255" w:lineRule="auto"/>
        <w:tabs>
          <w:tab w:leader="none" w:pos="194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Sections 2(a) and 2(b) as set forth on Schedule A hereto, which fees shall be subject to modification by the parties from time to time. It is expressly understood that the Property shall not be used to pay such fees and further agreed that any fees owed to the Trustee shall be deducted by the Trustee from the disbursements made to the Company pursuant to Sections 1(i) solely in connection with the consummation of a Business Combination, or pursuant to Section 2(b). The Company shall pay the Trustee the initial acceptance fee and first year’s fee at the consummation of the IPO and thereafter on the anniversary of the Effective Date;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76" w:name="page177"/>
    <w:bookmarkEnd w:id="176"/>
    <w:p>
      <w:pPr>
        <w:ind w:right="580" w:firstLine="1297"/>
        <w:spacing w:after="0" w:line="264" w:lineRule="auto"/>
        <w:tabs>
          <w:tab w:leader="none" w:pos="195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1" w:lineRule="exact"/>
        <w:rPr>
          <w:rFonts w:ascii="Arial" w:cs="Arial" w:eastAsia="Arial" w:hAnsi="Arial"/>
          <w:sz w:val="18"/>
          <w:szCs w:val="18"/>
          <w:color w:val="auto"/>
        </w:rPr>
      </w:pPr>
    </w:p>
    <w:p>
      <w:pPr>
        <w:ind w:right="340" w:firstLine="1297"/>
        <w:spacing w:after="0" w:line="308" w:lineRule="auto"/>
        <w:tabs>
          <w:tab w:leader="none" w:pos="194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46" w:lineRule="exact"/>
        <w:rPr>
          <w:rFonts w:ascii="Arial" w:cs="Arial" w:eastAsia="Arial" w:hAnsi="Arial"/>
          <w:sz w:val="17"/>
          <w:szCs w:val="17"/>
          <w:color w:val="auto"/>
        </w:rPr>
      </w:pPr>
    </w:p>
    <w:p>
      <w:pPr>
        <w:ind w:left="580" w:hanging="580"/>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60" w:firstLine="1297"/>
        <w:spacing w:after="0" w:line="277" w:lineRule="auto"/>
        <w:tabs>
          <w:tab w:leader="none" w:pos="194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ind w:right="140" w:firstLine="1297"/>
        <w:spacing w:after="0" w:line="286" w:lineRule="auto"/>
        <w:tabs>
          <w:tab w:leader="none" w:pos="195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940" w:hanging="643"/>
        <w:spacing w:after="0"/>
        <w:tabs>
          <w:tab w:leader="none" w:pos="19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960" w:hanging="663"/>
        <w:spacing w:after="0"/>
        <w:tabs>
          <w:tab w:leader="none" w:pos="19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297"/>
        <w:spacing w:after="0" w:line="308" w:lineRule="auto"/>
        <w:tabs>
          <w:tab w:leader="none" w:pos="193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ind w:firstLine="1297"/>
        <w:spacing w:after="0" w:line="271" w:lineRule="auto"/>
        <w:tabs>
          <w:tab w:leader="none" w:pos="192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ind w:right="20" w:firstLine="1297"/>
        <w:spacing w:after="0" w:line="277" w:lineRule="auto"/>
        <w:tabs>
          <w:tab w:leader="none" w:pos="195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right="300" w:firstLine="1297"/>
        <w:spacing w:after="0" w:line="264" w:lineRule="auto"/>
        <w:tabs>
          <w:tab w:leader="none" w:pos="195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81" w:lineRule="exact"/>
        <w:rPr>
          <w:rFonts w:ascii="Arial" w:cs="Arial" w:eastAsia="Arial" w:hAnsi="Arial"/>
          <w:sz w:val="18"/>
          <w:szCs w:val="18"/>
          <w:color w:val="auto"/>
        </w:rPr>
      </w:pPr>
    </w:p>
    <w:p>
      <w:pPr>
        <w:ind w:right="220" w:firstLine="1297"/>
        <w:spacing w:after="0" w:line="342" w:lineRule="auto"/>
        <w:tabs>
          <w:tab w:leader="none" w:pos="191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23" w:lineRule="exact"/>
        <w:rPr>
          <w:rFonts w:ascii="Arial" w:cs="Arial" w:eastAsia="Arial" w:hAnsi="Arial"/>
          <w:sz w:val="16"/>
          <w:szCs w:val="16"/>
          <w:color w:val="auto"/>
        </w:rPr>
      </w:pPr>
    </w:p>
    <w:p>
      <w:pPr>
        <w:ind w:right="60" w:firstLine="1297"/>
        <w:spacing w:after="0" w:line="277" w:lineRule="auto"/>
        <w:tabs>
          <w:tab w:leader="none" w:pos="191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960" w:hanging="663"/>
        <w:spacing w:after="0"/>
        <w:tabs>
          <w:tab w:leader="none" w:pos="19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Verify calculations, qualify or otherwise approve Company requests for distributions pursuant to Section 1(i), 2(a) or 2(b) above.</w:t>
      </w:r>
    </w:p>
    <w:p>
      <w:pPr>
        <w:spacing w:after="0" w:line="248" w:lineRule="exact"/>
        <w:rPr>
          <w:rFonts w:ascii="Arial" w:cs="Arial" w:eastAsia="Arial" w:hAnsi="Arial"/>
          <w:sz w:val="16"/>
          <w:szCs w:val="16"/>
          <w:color w:val="auto"/>
        </w:rPr>
      </w:pPr>
    </w:p>
    <w:p>
      <w:pPr>
        <w:jc w:val="both"/>
        <w:spacing w:after="0" w:line="302" w:lineRule="auto"/>
        <w:tabs>
          <w:tab w:leader="none" w:pos="58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54" w:lineRule="exact"/>
        <w:rPr>
          <w:rFonts w:ascii="Arial" w:cs="Arial" w:eastAsia="Arial" w:hAnsi="Arial"/>
          <w:sz w:val="16"/>
          <w:szCs w:val="16"/>
          <w:color w:val="auto"/>
        </w:rPr>
      </w:pPr>
    </w:p>
    <w:p>
      <w:pPr>
        <w:ind w:left="580" w:hanging="580"/>
        <w:spacing w:after="0"/>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40" w:firstLine="1297"/>
        <w:spacing w:after="0" w:line="271" w:lineRule="auto"/>
        <w:tabs>
          <w:tab w:leader="none" w:pos="194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78" w:name="page179"/>
    <w:bookmarkEnd w:id="178"/>
    <w:p>
      <w:pPr>
        <w:jc w:val="both"/>
        <w:ind w:right="100" w:firstLine="1297"/>
        <w:spacing w:after="0" w:line="264" w:lineRule="auto"/>
        <w:tabs>
          <w:tab w:leader="none" w:pos="194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1" w:lineRule="exact"/>
        <w:rPr>
          <w:rFonts w:ascii="Arial" w:cs="Arial" w:eastAsia="Arial" w:hAnsi="Arial"/>
          <w:sz w:val="18"/>
          <w:szCs w:val="18"/>
          <w:color w:val="auto"/>
        </w:rPr>
      </w:pPr>
    </w:p>
    <w:p>
      <w:pPr>
        <w:ind w:left="580" w:hanging="580"/>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297"/>
        <w:spacing w:after="0" w:line="293" w:lineRule="auto"/>
        <w:tabs>
          <w:tab w:leader="none" w:pos="194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ind w:right="60" w:firstLine="1297"/>
        <w:spacing w:after="0" w:line="286" w:lineRule="auto"/>
        <w:tabs>
          <w:tab w:leader="none" w:pos="195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ind w:firstLine="1297"/>
        <w:spacing w:after="0" w:line="255" w:lineRule="auto"/>
        <w:tabs>
          <w:tab w:leader="none" w:pos="194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93" w:lineRule="exact"/>
        <w:rPr>
          <w:rFonts w:ascii="Arial" w:cs="Arial" w:eastAsia="Arial" w:hAnsi="Arial"/>
          <w:sz w:val="18"/>
          <w:szCs w:val="18"/>
          <w:color w:val="auto"/>
        </w:rPr>
      </w:pPr>
    </w:p>
    <w:p>
      <w:pPr>
        <w:ind w:right="20" w:firstLine="1297"/>
        <w:spacing w:after="0" w:line="277" w:lineRule="auto"/>
        <w:tabs>
          <w:tab w:leader="none" w:pos="195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79" w:name="page180"/>
    <w:bookmarkEnd w:id="179"/>
    <w:p>
      <w:pPr>
        <w:ind w:firstLine="1297"/>
        <w:spacing w:after="0" w:line="264" w:lineRule="auto"/>
        <w:tabs>
          <w:tab w:leader="none" w:pos="19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(___) 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(646) 465 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920" w:hanging="623"/>
        <w:spacing w:after="0"/>
        <w:tabs>
          <w:tab w:leader="none" w:pos="1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right="60" w:firstLine="1297"/>
        <w:spacing w:after="0" w:line="277" w:lineRule="auto"/>
        <w:tabs>
          <w:tab w:leader="none" w:pos="19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4720" w:right="760" w:hanging="3423"/>
        <w:spacing w:after="0" w:line="528" w:lineRule="auto"/>
        <w:tabs>
          <w:tab w:leader="none" w:pos="19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 [Signature Page Follows]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0" w:name="page181"/>
    <w:bookmarkEnd w:id="180"/>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ind w:left="660"/>
              <w:spacing w:after="0"/>
              <w:rPr>
                <w:sz w:val="20"/>
                <w:szCs w:val="20"/>
                <w:color w:val="auto"/>
              </w:rPr>
            </w:pPr>
            <w:r>
              <w:rPr>
                <w:rFonts w:ascii="Arial" w:cs="Arial" w:eastAsia="Arial" w:hAnsi="Arial"/>
                <w:sz w:val="18"/>
                <w:szCs w:val="18"/>
                <w:b w:val="1"/>
                <w:bCs w:val="1"/>
                <w:color w:val="auto"/>
              </w:rPr>
              <w:t>SCHEDULE A</w:t>
            </w:r>
          </w:p>
        </w:tc>
        <w:tc>
          <w:tcPr>
            <w:tcW w:w="2480" w:type="dxa"/>
            <w:vAlign w:val="bottom"/>
          </w:tcPr>
          <w:p>
            <w:pPr>
              <w:spacing w:after="0"/>
              <w:rPr>
                <w:sz w:val="20"/>
                <w:szCs w:val="20"/>
                <w:color w:val="auto"/>
              </w:rPr>
            </w:pPr>
          </w:p>
        </w:tc>
      </w:tr>
      <w:tr>
        <w:trPr>
          <w:trHeight w:val="64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Fee Item</w:t>
            </w: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Time and method of payment</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[$2,000]</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95"/>
              </w:rPr>
              <w:t>First year, initial closing of IPO by wire transfer; thereafter</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[$10,000]</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5"/>
              </w:rPr>
              <w:t>on the anniversary of the effective date of the IPO by wire</w:t>
            </w:r>
          </w:p>
        </w:tc>
        <w:tc>
          <w:tcPr>
            <w:tcW w:w="24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transfer or check</w:t>
            </w:r>
          </w:p>
        </w:tc>
        <w:tc>
          <w:tcPr>
            <w:tcW w:w="2480" w:type="dxa"/>
            <w:vAlign w:val="bottom"/>
          </w:tcPr>
          <w:p>
            <w:pPr>
              <w:spacing w:after="0"/>
              <w:rPr>
                <w:sz w:val="20"/>
                <w:szCs w:val="20"/>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Transaction processing fee for disbursements to Company</w:t>
            </w: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Deduction by Trustee from accumulated income following</w:t>
            </w:r>
          </w:p>
        </w:tc>
        <w:tc>
          <w:tcPr>
            <w:tcW w:w="24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[$250]</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Section 2</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disbursement made to Company under Section 2</w:t>
            </w:r>
          </w:p>
        </w:tc>
        <w:tc>
          <w:tcPr>
            <w:tcW w:w="2480" w:type="dxa"/>
            <w:vAlign w:val="bottom"/>
            <w:shd w:val="clear" w:color="auto" w:fill="CCEEFF"/>
          </w:tcPr>
          <w:p>
            <w:pPr>
              <w:spacing w:after="0"/>
              <w:rPr>
                <w:sz w:val="20"/>
                <w:szCs w:val="20"/>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4"/>
              </w:rPr>
              <w:t>Paying Agent services as required pursuant to section 1(i)</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Billed to Company upon delivery of service pursuant to</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Prevailing rates</w:t>
            </w: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section 1(i)</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82" w:name="page183"/>
    <w:bookmarkEnd w:id="182"/>
    <w:p>
      <w:pPr>
        <w:ind w:left="103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2015 (“Trust Agreement”), this is to advise you that the Company has entered into an</w:t>
      </w:r>
    </w:p>
    <w:p>
      <w:pPr>
        <w:spacing w:after="0"/>
        <w:rPr>
          <w:sz w:val="20"/>
          <w:szCs w:val="20"/>
          <w:color w:val="auto"/>
        </w:rPr>
      </w:pPr>
      <w:r>
        <w:rPr>
          <w:rFonts w:ascii="Arial" w:cs="Arial" w:eastAsia="Arial" w:hAnsi="Arial"/>
          <w:sz w:val="16"/>
          <w:szCs w:val="16"/>
          <w:color w:val="auto"/>
        </w:rPr>
        <w:t>agreement with [__________________] (“Target Business”) to consummate a business combination with Target Business (“Business Combination”) on or</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about </w:t>
      </w:r>
      <w:r>
        <w:rPr>
          <w:rFonts w:ascii="Arial" w:cs="Arial" w:eastAsia="Arial" w:hAnsi="Arial"/>
          <w:sz w:val="17"/>
          <w:szCs w:val="17"/>
          <w:b w:val="1"/>
          <w:bCs w:val="1"/>
          <w:color w:val="auto"/>
        </w:rPr>
        <w:t>[insert date]</w:t>
      </w:r>
      <w:r>
        <w:rPr>
          <w:rFonts w:ascii="Arial" w:cs="Arial" w:eastAsia="Arial" w:hAnsi="Arial"/>
          <w:sz w:val="17"/>
          <w:szCs w:val="17"/>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[__________] and to transfer the proceeds to the above-referenced account at [______________] to the effect that, on the Consummation Date, all of funds</w:t>
      </w:r>
    </w:p>
    <w:p>
      <w:pPr>
        <w:jc w:val="both"/>
        <w:spacing w:after="0" w:line="255" w:lineRule="auto"/>
        <w:rPr>
          <w:sz w:val="20"/>
          <w:szCs w:val="20"/>
          <w:color w:val="auto"/>
        </w:rPr>
      </w:pPr>
      <w:r>
        <w:rPr>
          <w:rFonts w:ascii="Arial" w:cs="Arial" w:eastAsia="Arial" w:hAnsi="Arial"/>
          <w:sz w:val="18"/>
          <w:szCs w:val="18"/>
          <w:color w:val="auto"/>
        </w:rPr>
        <w:t>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9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Arial" w:cs="Arial" w:eastAsia="Arial" w:hAnsi="Arial"/>
          <w:sz w:val="18"/>
          <w:szCs w:val="18"/>
          <w:color w:val="auto"/>
        </w:rPr>
        <w:t>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83" w:name="page184"/>
    <w:bookmarkEnd w:id="183"/>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-116205</wp:posOffset>
            </wp:positionV>
            <wp:extent cx="30187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-130810</wp:posOffset>
            </wp:positionV>
            <wp:extent cx="18522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426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Trust Account No. [______________] - Termination Letter</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4260" w:type="dxa"/>
            <w:vAlign w:val="bottom"/>
          </w:tcPr>
          <w:p>
            <w:pPr>
              <w:spacing w:after="0"/>
              <w:rPr>
                <w:sz w:val="24"/>
                <w:szCs w:val="24"/>
                <w:color w:val="auto"/>
              </w:rPr>
            </w:pPr>
          </w:p>
        </w:tc>
      </w:tr>
    </w:tbl>
    <w:p>
      <w:pPr>
        <w:spacing w:after="0" w:line="20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2015 (“Trust Agreement”), this is to advise you that the Company has been unable to</w:t>
      </w:r>
    </w:p>
    <w:p>
      <w:pPr>
        <w:jc w:val="both"/>
        <w:spacing w:after="0" w:line="255" w:lineRule="auto"/>
        <w:rPr>
          <w:sz w:val="20"/>
          <w:szCs w:val="20"/>
          <w:color w:val="auto"/>
        </w:rPr>
      </w:pPr>
      <w:r>
        <w:rPr>
          <w:rFonts w:ascii="Arial" w:cs="Arial" w:eastAsia="Arial" w:hAnsi="Arial"/>
          <w:sz w:val="18"/>
          <w:szCs w:val="18"/>
          <w:color w:val="auto"/>
        </w:rPr>
        <w:t>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on [______________] and to transfer the total proceeds to the Trust Checking Account at [_________] to await distribution to the Public Shareholders. The</w:t>
      </w:r>
    </w:p>
    <w:p>
      <w:pPr>
        <w:spacing w:after="0"/>
        <w:rPr>
          <w:sz w:val="20"/>
          <w:szCs w:val="20"/>
          <w:color w:val="auto"/>
        </w:rPr>
      </w:pPr>
      <w:r>
        <w:rPr>
          <w:rFonts w:ascii="Arial" w:cs="Arial" w:eastAsia="Arial" w:hAnsi="Arial"/>
          <w:sz w:val="16"/>
          <w:szCs w:val="16"/>
          <w:color w:val="auto"/>
        </w:rPr>
        <w:t>Company has selected [____________, 20__] as the record date for the purpose of determining the Public Shareholders entitled to receive their share of the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250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paragraph 2(a) of the Investment Management Trust Agreement between M I Acquisitions, Inc. (“Company”) and Continental Stock Transfer &amp; Trust Company (“Trustee”), dated as of [________], 2015 (“Trust Agreement”),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pay for its tax obligations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such interest income. In accordance with the terms of the Trust Agreement, you are hereby directed and authorized to transfer (via wire transfer)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funds promptly upon your receipt of this letter to the Company’s operating account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paragraph 2(b) of the Investment Management Trust Agreement between M I Acquisitions, Inc. (“Company”) and Continental Stock Transfer &amp; Trust Company (“Trustee”), dated as of [________], 2015 (“Trust Agreement”),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cover its expenses relating to</w:t>
      </w:r>
    </w:p>
    <w:p>
      <w:pPr>
        <w:spacing w:after="0" w:line="3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investigating and selecting a target business and other working capital requirements. In accordance with the terms of the Trust Agreement, you are hereby directed and authorized to transfer (via wire transfer) such funds promptly upon your receipt of this letter to the Company’s operating account at: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STOCK ESCROW AGREEMENT, dated as of [________], 2015 (“Agreement”), by and among M I ACQUISITIONS, INC., a Delaware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(“Company”), M SPAC LLC, a [_________] company, (collectively “Initial Shareholders”) and CONTINENTAL STOCK TRANSFER &amp;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TRUST COMPANY, a New York corporation (“Escrow Agent”).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entered into an Underwriting Agreement, dated as of [________], 2015 (“Underwriting Agreement”), with</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Chardan Capital Markets LLC (“Chardan”) acting as representative of the several underwriters (collectively, the “Underwriters”), pursuant to which, among other matters, the Underwriters have agreed to purchase 5,000,000 units (“Units”) of the Company, plus an additional 750,000 Units if the Underwriters exercise their over-allotment option in full. Each Unit consists of one share of Common Stock of the Company, par value $0.001 per share (the “Common Stock”), one warrant entitling the holder thereof to purchase one-half of one share of our Common Stock at an exercise price of $12.00 per share, all as more fully described in the Company’s final Prospectus, dated [________], 2015 (“Prospectus”), comprising part of the Company’s Registration Statement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on Form S-1 (File No. 333-_______) under the Securities Act of 1933, as amended (“Registration Statement”), declared effective on [________],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11"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WHEREAS, the Initial Shareholders have agreed as a condition of the sale of the Units to deposit their Insider Shares (as defined in the Prospectus), as set forth opposite their respective names in Exhibit A attached hereto (collectively “Escrow Shares”), in escrow as hereinafter provided.</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right="20" w:firstLine="648"/>
        <w:spacing w:after="0" w:line="264" w:lineRule="auto"/>
        <w:tabs>
          <w:tab w:leader="none" w:pos="127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1" w:lineRule="exact"/>
        <w:rPr>
          <w:rFonts w:ascii="Arial" w:cs="Arial" w:eastAsia="Arial" w:hAnsi="Arial"/>
          <w:sz w:val="18"/>
          <w:szCs w:val="18"/>
          <w:color w:val="auto"/>
        </w:rPr>
      </w:pPr>
    </w:p>
    <w:p>
      <w:pPr>
        <w:ind w:right="180" w:firstLine="648"/>
        <w:spacing w:after="0" w:line="259" w:lineRule="auto"/>
        <w:tabs>
          <w:tab w:leader="none" w:pos="127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88" w:name="page189"/>
    <w:bookmarkEnd w:id="188"/>
    <w:p>
      <w:pPr>
        <w:ind w:left="1280" w:hanging="632"/>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3.2 Notwithstanding Section 3.1, if the Underwriters do not exercise their over-allotment option to purchase an additional 750,000 Units of the Company in full within 45 days of the date of the Prospectus (as described in the Underwriting Agreement), the Initial Shareholders agree that the Escrow Agent shall return to the Company for cancellation, at no cost, the number of Escrow Shares held by each such holder determined by multiplying (a) the product of (i) 187,500 multiplied by (ii) a fraction, (x) the numerator of which is the number of Escrow Shares held by each such holder, and (y) the denominator of which is the total number of Escrow Shares, by (b) a fraction, (i) the numerator of which is 750,000 minus the number of shares of Common Stock purchased by the Underwriters upon the exercise of their over-allotment option, and (ii) the denominator of which is 750,000.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9" w:lineRule="exact"/>
        <w:rPr>
          <w:sz w:val="20"/>
          <w:szCs w:val="20"/>
          <w:color w:val="auto"/>
        </w:rPr>
      </w:pPr>
    </w:p>
    <w:p>
      <w:pPr>
        <w:ind w:left="1280" w:hanging="632"/>
        <w:spacing w:after="0"/>
        <w:tabs>
          <w:tab w:leader="none" w:pos="12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9" w:name="page190"/>
    <w:bookmarkEnd w:id="189"/>
    <w:p>
      <w:pPr>
        <w:ind w:firstLine="1297"/>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(i) to the Company’s pre-IPO stockholders, or to the Company’s officers, directors, advisors and employees, (ii) if the Initial Shareholder is an entity, as a distribution to partners, members or shareholders of the Initial Shareholder upon the liquidation and dissolution of the Initial Shareholder, (iii) by bona fide gift to a member of the Initial Shareholder’s immediate family or to a trust, the beneficiary of which is the Initial Shareholder or a member of the Initial Shareholder’s immediate family for estate planning purposes, (iv) by virtue of the laws of descent and distribution upon death of the Initial Shareholder, (v) pursuant to a qualified domestic relations order, (vi) by private sales made in connection with the consummation of a Business Combination at prices no greater than the price at which the Private Units were originally purchased or (vii) to the Company for cancellation in accordance with Section 3.2 above or in connection with the consummation of a Business Combination, in each case, except for clause (vii),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8" w:lineRule="exact"/>
        <w:rPr>
          <w:sz w:val="20"/>
          <w:szCs w:val="20"/>
          <w:color w:val="auto"/>
        </w:rPr>
      </w:pPr>
    </w:p>
    <w:p>
      <w:pPr>
        <w:ind w:right="520" w:firstLine="1297"/>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Insider Letters</w:t>
      </w:r>
      <w:r>
        <w:rPr>
          <w:rFonts w:ascii="Arial" w:cs="Arial" w:eastAsia="Arial" w:hAnsi="Arial"/>
          <w:sz w:val="17"/>
          <w:szCs w:val="17"/>
          <w:color w:val="auto"/>
        </w:rPr>
        <w:t>. Each of the Initial Shareholders has executed a letter agreement with Chardan and the Company, dated as indicated on Exhibit A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166" w:lineRule="exact"/>
        <w:rPr>
          <w:sz w:val="20"/>
          <w:szCs w:val="20"/>
          <w:color w:val="auto"/>
        </w:rPr>
      </w:pPr>
    </w:p>
    <w:p>
      <w:pPr>
        <w:ind w:left="1280" w:hanging="632"/>
        <w:spacing w:after="0"/>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0" w:name="page191"/>
    <w:bookmarkEnd w:id="190"/>
    <w:p>
      <w:pPr>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 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78"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7"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91" w:name="page192"/>
    <w:bookmarkEnd w:id="191"/>
    <w:p>
      <w:pPr>
        <w:ind w:left="1280" w:hanging="632"/>
        <w:spacing w:after="0"/>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beneficiaries of this Agreement and this Agreement may not be modified or changed without the prior written consent of Chardan.</w:t>
      </w:r>
    </w:p>
    <w:p>
      <w:pPr>
        <w:spacing w:after="0" w:line="170"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24"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Chief Executive Officer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Shareholder, to his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192" w:name="page193"/>
    <w:bookmarkEnd w:id="192"/>
    <w:p>
      <w:pPr>
        <w:ind w:left="13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93" w:name="page194"/>
    <w:bookmarkEnd w:id="193"/>
    <w:p>
      <w:pPr>
        <w:ind w:left="180"/>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7620</wp:posOffset>
            </wp:positionV>
            <wp:extent cx="7160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660"/>
          </w:cols>
          <w:pgMar w:left="1440" w:top="909" w:right="79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980" w:type="dxa"/>
            <w:vAlign w:val="bottom"/>
            <w:gridSpan w:val="4"/>
          </w:tcPr>
          <w:p>
            <w:pPr>
              <w:ind w:left="1800"/>
              <w:spacing w:after="0"/>
              <w:rPr>
                <w:sz w:val="20"/>
                <w:szCs w:val="20"/>
                <w:color w:val="auto"/>
              </w:rPr>
            </w:pPr>
            <w:r>
              <w:rPr>
                <w:rFonts w:ascii="Arial" w:cs="Arial" w:eastAsia="Arial" w:hAnsi="Arial"/>
                <w:sz w:val="18"/>
                <w:szCs w:val="18"/>
                <w:b w:val="1"/>
                <w:bCs w:val="1"/>
                <w:color w:val="auto"/>
              </w:rPr>
              <w:t>EXHIBIT A</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Name and Address of</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Date of</w:t>
            </w:r>
          </w:p>
        </w:tc>
        <w:tc>
          <w:tcPr>
            <w:tcW w:w="20" w:type="dxa"/>
            <w:vAlign w:val="bottom"/>
          </w:tcPr>
          <w:p>
            <w:pPr>
              <w:spacing w:after="0"/>
              <w:rPr>
                <w:sz w:val="24"/>
                <w:szCs w:val="24"/>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Initial Shareholder</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Certificate Number</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Insider Letter</w:t>
            </w:r>
          </w:p>
        </w:tc>
        <w:tc>
          <w:tcPr>
            <w:tcW w:w="20" w:type="dxa"/>
            <w:vAlign w:val="bottom"/>
          </w:tcPr>
          <w:p>
            <w:pPr>
              <w:spacing w:after="0"/>
              <w:rPr>
                <w:sz w:val="20"/>
                <w:szCs w:val="20"/>
                <w:color w:val="auto"/>
              </w:rPr>
            </w:pPr>
          </w:p>
        </w:tc>
      </w:tr>
      <w:tr>
        <w:trPr>
          <w:trHeight w:val="196"/>
        </w:trPr>
        <w:tc>
          <w:tcPr>
            <w:tcW w:w="33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75"/>
        </w:trPr>
        <w:tc>
          <w:tcPr>
            <w:tcW w:w="3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689" w:right="2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entered into as of the [__] day of [________], 2015, by and among M I</w:t>
      </w:r>
    </w:p>
    <w:p>
      <w:pPr>
        <w:spacing w:after="0" w:line="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Acquisitions,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240" w:hanging="592"/>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right="6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38"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all of the outstanding shares of Common Stock issued prior to the consummation of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446405</wp:posOffset>
            </wp:positionV>
            <wp:extent cx="7160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96" w:name="page197"/>
    <w:bookmarkEnd w:id="19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Over-Allotment Units</w:t>
      </w:r>
      <w:r>
        <w:rPr>
          <w:rFonts w:ascii="Arial" w:cs="Arial" w:eastAsia="Arial" w:hAnsi="Arial"/>
          <w:sz w:val="16"/>
          <w:szCs w:val="16"/>
          <w:color w:val="auto"/>
        </w:rPr>
        <w:t>” means the additional number of Private Units the Investors will be required to purchase in the event that the underwriters in the Company’s initial public offering exercise their over-allotment option, as described in the prospectus relating to the Company’s initial public offering.</w:t>
      </w:r>
    </w:p>
    <w:p>
      <w:pPr>
        <w:spacing w:after="0" w:line="11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Units</w:t>
      </w:r>
      <w:r>
        <w:rPr>
          <w:rFonts w:ascii="Arial" w:cs="Arial" w:eastAsia="Arial" w:hAnsi="Arial"/>
          <w:sz w:val="18"/>
          <w:szCs w:val="18"/>
          <w:color w:val="auto"/>
        </w:rPr>
        <w:t>” means the 250,000 Units the Investors are privately purchasing simultaneously with the consummation of the Company’s initial public offering.</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(i) the Initial Shares, (ii) the Private Units (and underlying shares of Common Stock), (iii) the Over-Allotment Units (and underlying shares of Common Stock), if any, and (iv) any shares issuable upon conversion of loans from Investors to the Company for the Company’s payment of its working capital, if any (the “Working Capital Loan Shares”). Registrable Securities include any warrants, shares of capital stock or other securities of the Company issued as a dividend or other distribution with respect to or in exchange for or in replacement of such Initial Shares, Private Units (and underlying shares of Common Stock), Over-Allotment Units (and underlying shares of Common Stock) and Working Capital Loan Shares.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74"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7160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right="7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 Date</w:t>
      </w:r>
      <w:r>
        <w:rPr>
          <w:rFonts w:ascii="Arial" w:cs="Arial" w:eastAsia="Arial" w:hAnsi="Arial"/>
          <w:sz w:val="17"/>
          <w:szCs w:val="17"/>
          <w:color w:val="auto"/>
        </w:rPr>
        <w:t>” means the date on which the Initial Shares are disbursed from escrow pursuant to Section 3 of that certain Stock Escrow Agreement dated as of [________], 2015 by and among the Investors and Continental Stock Transfer &amp; Trust Company.</w:t>
      </w:r>
    </w:p>
    <w:p>
      <w:pPr>
        <w:spacing w:after="0" w:line="13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shares of Common Stock and one warrant entitling its holder to purchase one-half of one share of Common Stock.</w:t>
      </w:r>
    </w:p>
    <w:p>
      <w:pPr>
        <w:spacing w:after="0" w:line="166" w:lineRule="exact"/>
        <w:rPr>
          <w:sz w:val="20"/>
          <w:szCs w:val="20"/>
          <w:color w:val="auto"/>
        </w:rPr>
      </w:pPr>
    </w:p>
    <w:p>
      <w:pPr>
        <w:ind w:left="1280" w:hanging="632"/>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Units (or underlying shares of common stock), Over-Allotment Units (or underlying shares of Common Stock) and Working Capital Loan Shares or (ii) three months prior to the Release Date with respect to all other Registrable Securities, the holders of a majority-in-interest of the Registrable Securities, as the case may be, held by the Investors, officers or directors of the Company or their affiliates, or the transferees of the Investors, may make a written demand, on no more than two occasions, for registration under the Securities Act of all or part of their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169"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98" w:name="page199"/>
    <w:bookmarkEnd w:id="198"/>
    <w:p>
      <w:pPr>
        <w:ind w:right="120" w:firstLine="1297"/>
        <w:spacing w:after="0" w:line="25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8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2"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Withdrawal</w:t>
      </w:r>
      <w:r>
        <w:rPr>
          <w:rFonts w:ascii="Arial" w:cs="Arial" w:eastAsia="Arial" w:hAnsi="Arial"/>
          <w:sz w:val="17"/>
          <w:szCs w:val="17"/>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60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9" w:name="page200"/>
    <w:bookmarkEnd w:id="199"/>
    <w:p>
      <w:pPr>
        <w:ind w:left="64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0" w:name="page201"/>
    <w:bookmarkEnd w:id="200"/>
    <w:p>
      <w:pPr>
        <w:ind w:left="1940" w:firstLine="653"/>
        <w:spacing w:after="0" w:line="270" w:lineRule="auto"/>
        <w:tabs>
          <w:tab w:leader="none" w:pos="317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1" w:lineRule="exact"/>
        <w:rPr>
          <w:rFonts w:ascii="Arial" w:cs="Arial" w:eastAsia="Arial" w:hAnsi="Arial"/>
          <w:sz w:val="17"/>
          <w:szCs w:val="17"/>
          <w:color w:val="auto"/>
        </w:rPr>
      </w:pPr>
    </w:p>
    <w:p>
      <w:pPr>
        <w:ind w:left="1940" w:firstLine="653"/>
        <w:spacing w:after="0" w:line="287" w:lineRule="auto"/>
        <w:tabs>
          <w:tab w:leader="none" w:pos="318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60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1" w:name="page202"/>
    <w:bookmarkEnd w:id="201"/>
    <w:p>
      <w:pPr>
        <w:ind w:firstLine="1297"/>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3" w:lineRule="exact"/>
        <w:rPr>
          <w:sz w:val="20"/>
          <w:szCs w:val="20"/>
          <w:color w:val="auto"/>
        </w:rPr>
      </w:pPr>
    </w:p>
    <w:p>
      <w:pPr>
        <w:ind w:left="1280" w:hanging="632"/>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Chief Executive Officer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this provision more than once in any 365-day period in respect of a Demand Registration hereunder.</w:t>
      </w:r>
    </w:p>
    <w:p>
      <w:pPr>
        <w:spacing w:after="0" w:line="16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60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02" w:name="page203"/>
    <w:bookmarkEnd w:id="202"/>
    <w:p>
      <w:pPr>
        <w:ind w:right="100" w:firstLine="1297"/>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9"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3" w:name="page204"/>
    <w:bookmarkEnd w:id="203"/>
    <w:p>
      <w:pPr>
        <w:ind w:right="120" w:firstLine="1297"/>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9"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58"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Opinions and Comfort Letters</w:t>
      </w:r>
      <w:r>
        <w:rPr>
          <w:rFonts w:ascii="Arial" w:cs="Arial" w:eastAsia="Arial" w:hAnsi="Arial"/>
          <w:sz w:val="16"/>
          <w:szCs w:val="16"/>
          <w:color w:val="auto"/>
        </w:rPr>
        <w:t>. Upon request, the Company shall furnish to each holder of Registrable Securities included in any Registration Statement a signed counterpart, addressed to such holder, of (i) any opinion of counsel to the Company delivered to any Underwriter and</w:t>
      </w:r>
    </w:p>
    <w:p>
      <w:pPr>
        <w:spacing w:after="0" w:line="254" w:lineRule="auto"/>
        <w:tabs>
          <w:tab w:leader="none" w:pos="2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204" w:name="page205"/>
    <w:bookmarkEnd w:id="204"/>
    <w:p>
      <w:pPr>
        <w:jc w:val="both"/>
        <w:ind w:right="640" w:firstLine="1297"/>
        <w:spacing w:after="0" w:line="286" w:lineRule="auto"/>
        <w:rPr>
          <w:sz w:val="20"/>
          <w:szCs w:val="20"/>
          <w:color w:val="auto"/>
        </w:rPr>
      </w:pPr>
      <w:r>
        <w:rPr>
          <w:rFonts w:ascii="Arial" w:cs="Arial" w:eastAsia="Arial" w:hAnsi="Arial"/>
          <w:sz w:val="17"/>
          <w:szCs w:val="17"/>
          <w:color w:val="auto"/>
        </w:rPr>
        <w:t xml:space="preserve">3.1.10 </w:t>
      </w:r>
      <w:r>
        <w:rPr>
          <w:rFonts w:ascii="Arial" w:cs="Arial" w:eastAsia="Arial" w:hAnsi="Arial"/>
          <w:sz w:val="17"/>
          <w:szCs w:val="17"/>
          <w:u w:val="single" w:color="auto"/>
          <w:color w:val="auto"/>
        </w:rPr>
        <w:t>Earnings Statement</w:t>
      </w:r>
      <w:r>
        <w:rPr>
          <w:rFonts w:ascii="Arial" w:cs="Arial" w:eastAsia="Arial" w:hAnsi="Arial"/>
          <w:sz w:val="17"/>
          <w:szCs w:val="17"/>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66"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u w:val="single" w:color="auto"/>
          <w:color w:val="auto"/>
        </w:rPr>
        <w:t>Road Show</w:t>
      </w:r>
      <w:r>
        <w:rPr>
          <w:rFonts w:ascii="Arial" w:cs="Arial" w:eastAsia="Arial" w:hAnsi="Arial"/>
          <w:sz w:val="16"/>
          <w:szCs w:val="16"/>
          <w:color w:val="auto"/>
        </w:rPr>
        <w:t>. If the registration involves the registration of Registrable Securities involving gross proceeds in excess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[$25,000,000], the Company shall use its reasonable efforts to make available senior executives of the Company to participate in customary “road show”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presentations that may be reasonably requested by the Underwriter in any underwritten offering.</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7160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5" w:name="page206"/>
    <w:bookmarkEnd w:id="205"/>
    <w:p>
      <w:pPr>
        <w:ind w:right="20"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1280" w:hanging="632"/>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7160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6" w:name="page207"/>
    <w:bookmarkEnd w:id="206"/>
    <w:p>
      <w:pPr>
        <w:ind w:right="20"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07" w:name="page208"/>
    <w:bookmarkEnd w:id="207"/>
    <w:p>
      <w:pPr>
        <w:ind w:left="640"/>
        <w:spacing w:after="0"/>
        <w:tabs>
          <w:tab w:leader="none" w:pos="13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1280" w:hanging="632"/>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60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8" w:name="page209"/>
    <w:bookmarkEnd w:id="208"/>
    <w:p>
      <w:pPr>
        <w:ind w:left="1280" w:hanging="632"/>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The Company represents and warrants that, except as disclosed in the Company’s registration statement 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S-1 (File No. 333-[ ]),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6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Mitchell S. Nussbaum,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09" w:name="page210"/>
    <w:bookmarkEnd w:id="209"/>
    <w:p>
      <w:pPr>
        <w:ind w:left="64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6"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the Company unless executed in writing by the Company. No amendment, modification or termination of this Agreement shall be binding upon the holders of the Registrable Securities unless executed in writing by the holders of the majority Registrable Securities.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0" w:name="page211"/>
    <w:bookmarkEnd w:id="210"/>
    <w:p>
      <w:pPr>
        <w:ind w:right="4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1" w:name="page212"/>
    <w:bookmarkEnd w:id="211"/>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-130810</wp:posOffset>
            </wp:positionV>
            <wp:extent cx="31388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-130810</wp:posOffset>
            </wp:positionV>
            <wp:extent cx="31388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443230</wp:posOffset>
            </wp:positionV>
            <wp:extent cx="716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and Address of Initial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458470</wp:posOffset>
            </wp:positionV>
            <wp:extent cx="71608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Exhibit 10.6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[____________], 2015, by and between M I Acquisitions, Inc.,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or in other capacities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20" w:hanging="320"/>
        <w:spacing w:after="0" w:line="289" w:lineRule="auto"/>
        <w:tabs>
          <w:tab w:leader="none" w:pos="32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SERVICES TO THE COMPANY</w:t>
      </w:r>
      <w:r>
        <w:rPr>
          <w:rFonts w:ascii="Arial" w:cs="Arial" w:eastAsia="Arial" w:hAnsi="Arial"/>
          <w:sz w:val="17"/>
          <w:szCs w:val="17"/>
          <w:color w:val="auto"/>
        </w:rPr>
        <w:t>. Indemnitee will serve or continue to serve as an officer, director or key employee of the Company for so long as</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duly elected or appointed or until Indemnitee tenders his resignation, removal or death. The foregoing notwithstanding, this Agreement shall continue in full force and effect after Indemnitee has ceased to serve as a director of the Company, as provided in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160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14" w:name="page215"/>
    <w:bookmarkEnd w:id="214"/>
    <w:p>
      <w:pPr>
        <w:ind w:left="320" w:hanging="320"/>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jc w:val="both"/>
        <w:ind w:left="320" w:firstLine="4"/>
        <w:spacing w:after="0" w:line="259" w:lineRule="auto"/>
        <w:tabs>
          <w:tab w:leader="none" w:pos="56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20" w:firstLine="4"/>
        <w:spacing w:after="0" w:line="277" w:lineRule="auto"/>
        <w:tabs>
          <w:tab w:leader="none" w:pos="57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36"/>
        <w:spacing w:after="0"/>
        <w:tabs>
          <w:tab w:leader="none" w:pos="56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40" w:firstLine="8"/>
        <w:spacing w:after="0" w:line="286" w:lineRule="auto"/>
        <w:tabs>
          <w:tab w:leader="none" w:pos="863" w:val="left"/>
        </w:tabs>
        <w:numPr>
          <w:ilvl w:val="2"/>
          <w:numId w:val="146"/>
        </w:numPr>
        <w:rPr>
          <w:rFonts w:ascii="Arial" w:cs="Arial" w:eastAsia="Arial" w:hAnsi="Arial"/>
          <w:sz w:val="16"/>
          <w:szCs w:val="16"/>
          <w:color w:val="auto"/>
        </w:rPr>
      </w:pPr>
      <w:r>
        <w:rPr>
          <w:rFonts w:ascii="Arial" w:cs="Arial" w:eastAsia="Arial" w:hAnsi="Arial"/>
          <w:sz w:val="16"/>
          <w:szCs w:val="16"/>
          <w:color w:val="auto"/>
        </w:rPr>
        <w:t>Acquisition of Stock by Third Party.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w:t>
      </w:r>
    </w:p>
    <w:p>
      <w:pPr>
        <w:spacing w:after="0" w:line="1" w:lineRule="exact"/>
        <w:rPr>
          <w:rFonts w:ascii="Arial" w:cs="Arial" w:eastAsia="Arial" w:hAnsi="Arial"/>
          <w:sz w:val="16"/>
          <w:szCs w:val="16"/>
          <w:color w:val="auto"/>
        </w:rPr>
      </w:pPr>
    </w:p>
    <w:p>
      <w:pPr>
        <w:ind w:left="640"/>
        <w:spacing w:after="0" w:line="261" w:lineRule="auto"/>
        <w:rPr>
          <w:rFonts w:ascii="Arial" w:cs="Arial" w:eastAsia="Arial" w:hAnsi="Arial"/>
          <w:sz w:val="16"/>
          <w:szCs w:val="16"/>
          <w:color w:val="auto"/>
        </w:rPr>
      </w:pPr>
      <w:r>
        <w:rPr>
          <w:rFonts w:ascii="Arial" w:cs="Arial" w:eastAsia="Arial" w:hAnsi="Arial"/>
          <w:sz w:val="18"/>
          <w:szCs w:val="18"/>
          <w:color w:val="auto"/>
        </w:rPr>
        <w:t>(2) such acquisition was approved in advance by the Continuing Directors (as defined below) and such acquisition would not constitute a Change in Control under part (iii) of this definition;</w:t>
      </w:r>
    </w:p>
    <w:p>
      <w:pPr>
        <w:spacing w:after="0" w:line="183" w:lineRule="exact"/>
        <w:rPr>
          <w:rFonts w:ascii="Arial" w:cs="Arial" w:eastAsia="Arial" w:hAnsi="Arial"/>
          <w:sz w:val="16"/>
          <w:szCs w:val="16"/>
          <w:color w:val="auto"/>
        </w:rPr>
      </w:pPr>
    </w:p>
    <w:p>
      <w:pPr>
        <w:jc w:val="both"/>
        <w:ind w:left="640" w:firstLine="8"/>
        <w:spacing w:after="0" w:line="259" w:lineRule="auto"/>
        <w:tabs>
          <w:tab w:leader="none" w:pos="9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Change in Board of Directors.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“Continuing Directors”),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40" w:firstLine="8"/>
        <w:spacing w:after="0" w:line="269" w:lineRule="auto"/>
        <w:tabs>
          <w:tab w:leader="none" w:pos="96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Corporate Transactions. The effective date of a reorganization, merger or consolidation of the Company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9" w:lineRule="exact"/>
        <w:rPr>
          <w:rFonts w:ascii="Arial" w:cs="Arial" w:eastAsia="Arial" w:hAnsi="Arial"/>
          <w:sz w:val="17"/>
          <w:szCs w:val="17"/>
          <w:color w:val="auto"/>
        </w:rPr>
      </w:pPr>
    </w:p>
    <w:p>
      <w:pPr>
        <w:jc w:val="both"/>
        <w:ind w:left="640" w:firstLine="8"/>
        <w:spacing w:after="0" w:line="259" w:lineRule="auto"/>
        <w:tabs>
          <w:tab w:leader="none" w:pos="976" w:val="left"/>
        </w:tabs>
        <w:numPr>
          <w:ilvl w:val="2"/>
          <w:numId w:val="146"/>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15" w:name="page216"/>
    <w:bookmarkEnd w:id="215"/>
    <w:p>
      <w:pPr>
        <w:jc w:val="both"/>
        <w:ind w:left="320" w:firstLine="8"/>
        <w:spacing w:after="0" w:line="264" w:lineRule="auto"/>
        <w:tabs>
          <w:tab w:leader="none" w:pos="59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rFonts w:ascii="Arial" w:cs="Arial" w:eastAsia="Arial" w:hAnsi="Arial"/>
          <w:sz w:val="18"/>
          <w:szCs w:val="18"/>
          <w:color w:val="auto"/>
        </w:rPr>
      </w:pPr>
    </w:p>
    <w:p>
      <w:pPr>
        <w:ind w:firstLine="4"/>
        <w:spacing w:after="0" w:line="342" w:lineRule="auto"/>
        <w:tabs>
          <w:tab w:leader="none" w:pos="28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240" w:hanging="236"/>
        <w:spacing w:after="0"/>
        <w:tabs>
          <w:tab w:leader="none" w:pos="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firstLine="4"/>
        <w:spacing w:after="0" w:line="277" w:lineRule="auto"/>
        <w:tabs>
          <w:tab w:leader="none" w:pos="22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4"/>
        <w:spacing w:after="0" w:line="259"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60" w:hanging="256"/>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firstLine="4"/>
        <w:spacing w:after="0" w:line="289" w:lineRule="auto"/>
        <w:tabs>
          <w:tab w:leader="none" w:pos="24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firstLine="4"/>
        <w:spacing w:after="0" w:line="255" w:lineRule="auto"/>
        <w:tabs>
          <w:tab w:leader="none" w:pos="2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3" w:lineRule="exact"/>
        <w:rPr>
          <w:rFonts w:ascii="Arial" w:cs="Arial" w:eastAsia="Arial" w:hAnsi="Arial"/>
          <w:sz w:val="18"/>
          <w:szCs w:val="18"/>
          <w:color w:val="auto"/>
        </w:rPr>
      </w:pPr>
    </w:p>
    <w:p>
      <w:pPr>
        <w:jc w:val="both"/>
        <w:ind w:firstLine="4"/>
        <w:spacing w:after="0" w:line="293" w:lineRule="auto"/>
        <w:tabs>
          <w:tab w:leader="none" w:pos="2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37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160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940"/>
          </w:cols>
          <w:pgMar w:left="640" w:top="909" w:right="319" w:bottom="1440" w:gutter="0" w:footer="0" w:header="0"/>
        </w:sectPr>
      </w:pPr>
    </w:p>
    <w:bookmarkStart w:id="216" w:name="page217"/>
    <w:bookmarkEnd w:id="216"/>
    <w:p>
      <w:pPr>
        <w:jc w:val="both"/>
        <w:ind w:left="320" w:firstLine="4"/>
        <w:spacing w:after="0" w:line="293" w:lineRule="auto"/>
        <w:tabs>
          <w:tab w:leader="none" w:pos="54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320" w:firstLine="4"/>
        <w:spacing w:after="0" w:line="272" w:lineRule="auto"/>
        <w:tabs>
          <w:tab w:leader="none" w:pos="66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320" w:firstLine="4"/>
        <w:spacing w:after="0" w:line="277" w:lineRule="auto"/>
        <w:tabs>
          <w:tab w:leader="none" w:pos="57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any Person, shall mean any corporation or other entity of which a majority of the voting power of the voting equity securities or equity interest is owned, directly or indirectly, by that Person.</w:t>
      </w:r>
    </w:p>
    <w:p>
      <w:pPr>
        <w:spacing w:after="0" w:line="166" w:lineRule="exact"/>
        <w:rPr>
          <w:rFonts w:ascii="Arial" w:cs="Arial" w:eastAsia="Arial" w:hAnsi="Arial"/>
          <w:sz w:val="18"/>
          <w:szCs w:val="18"/>
          <w:color w:val="auto"/>
        </w:rPr>
      </w:pPr>
    </w:p>
    <w:p>
      <w:pPr>
        <w:jc w:val="both"/>
        <w:ind w:left="320" w:hanging="320"/>
        <w:spacing w:after="0" w:line="272" w:lineRule="auto"/>
        <w:tabs>
          <w:tab w:leader="none" w:pos="32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w:t>
      </w:r>
    </w:p>
    <w:p>
      <w:pPr>
        <w:spacing w:after="0" w:line="172" w:lineRule="exact"/>
        <w:rPr>
          <w:rFonts w:ascii="Arial" w:cs="Arial" w:eastAsia="Arial" w:hAnsi="Arial"/>
          <w:sz w:val="17"/>
          <w:szCs w:val="17"/>
          <w:color w:val="auto"/>
        </w:rPr>
      </w:pPr>
    </w:p>
    <w:p>
      <w:pPr>
        <w:jc w:val="both"/>
        <w:ind w:left="320" w:hanging="320"/>
        <w:spacing w:after="0" w:line="290" w:lineRule="auto"/>
        <w:tabs>
          <w:tab w:leader="none" w:pos="32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indemnify, hold harmless and exonerate Indemnitee in accordance with the provisions of this Section 4 if Indemnitee was, is, or is threatened to be made, a party to any Proceeding by or in the right of the Company to procure a judgment in its favor. Pursuant to this Section 4, Indemnitee shall be indemnified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59" w:lineRule="exact"/>
        <w:rPr>
          <w:rFonts w:ascii="Arial" w:cs="Arial" w:eastAsia="Arial" w:hAnsi="Arial"/>
          <w:sz w:val="16"/>
          <w:szCs w:val="16"/>
          <w:color w:val="auto"/>
        </w:rPr>
      </w:pPr>
    </w:p>
    <w:p>
      <w:pPr>
        <w:jc w:val="both"/>
        <w:ind w:left="320" w:hanging="320"/>
        <w:spacing w:after="0" w:line="270" w:lineRule="auto"/>
        <w:tabs>
          <w:tab w:leader="none" w:pos="32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to the extent that Indemnitee is a party to and is successful, on the merits or otherwise, in any Proceeding or in defense of any claim, issue or matter therein, in whole or in part, the Company shall, to the fullest extent permitted by applicable law,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on his behalf in connection with each successfully resolved claim, issue or matter. If the Indemnitee is not wholly successful in such Proceeding, the Company also shall, to the fullest extent permitted by applicable law, indemnify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7" w:name="page218"/>
    <w:bookmarkEnd w:id="217"/>
    <w:p>
      <w:pPr>
        <w:jc w:val="both"/>
        <w:ind w:left="320" w:hanging="320"/>
        <w:spacing w:after="0" w:line="289" w:lineRule="auto"/>
        <w:tabs>
          <w:tab w:leader="none" w:pos="32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to the extent that Indemnitee is,</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(as a witness or otherwise) in any Proceeding to which Indemnitee is not a party, he shall, to the fullest extent permitted by applicable law, be indemnified against all Expenses actually and reasonably incurred by him or on his behalf in connection therewith.</w:t>
      </w:r>
    </w:p>
    <w:p>
      <w:pPr>
        <w:spacing w:after="0" w:line="158" w:lineRule="exact"/>
        <w:rPr>
          <w:rFonts w:ascii="Arial" w:cs="Arial" w:eastAsia="Arial" w:hAnsi="Arial"/>
          <w:sz w:val="17"/>
          <w:szCs w:val="17"/>
          <w:color w:val="auto"/>
        </w:rPr>
      </w:pPr>
    </w:p>
    <w:p>
      <w:pPr>
        <w:ind w:left="320" w:hanging="320"/>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stockholders, including an act or omission of it not in good faith, or which involves intentional misconduct or a violation of the law.</w:t>
      </w:r>
    </w:p>
    <w:p>
      <w:pPr>
        <w:spacing w:after="0" w:line="163" w:lineRule="exact"/>
        <w:rPr>
          <w:rFonts w:ascii="Arial" w:cs="Arial" w:eastAsia="Arial" w:hAnsi="Arial"/>
          <w:sz w:val="18"/>
          <w:szCs w:val="18"/>
          <w:color w:val="auto"/>
        </w:rPr>
      </w:pPr>
    </w:p>
    <w:p>
      <w:pPr>
        <w:ind w:left="320" w:hanging="320"/>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97" w:lineRule="auto"/>
        <w:tabs>
          <w:tab w:leader="none" w:pos="60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58" w:lineRule="exact"/>
        <w:rPr>
          <w:rFonts w:ascii="Arial" w:cs="Arial" w:eastAsia="Arial" w:hAnsi="Arial"/>
          <w:sz w:val="16"/>
          <w:szCs w:val="16"/>
          <w:color w:val="auto"/>
        </w:rPr>
      </w:pPr>
    </w:p>
    <w:p>
      <w:pPr>
        <w:ind w:left="320" w:firstLine="4"/>
        <w:spacing w:after="0" w:line="277" w:lineRule="auto"/>
        <w:tabs>
          <w:tab w:leader="none" w:pos="57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20" w:firstLine="4"/>
        <w:spacing w:after="0" w:line="277" w:lineRule="auto"/>
        <w:tabs>
          <w:tab w:leader="none" w:pos="56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20" w:hanging="320"/>
        <w:spacing w:after="0" w:line="282" w:lineRule="auto"/>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hold harmless or exoneration payment in connection with any claim made against Indemnitee:</w:t>
      </w:r>
    </w:p>
    <w:p>
      <w:pPr>
        <w:spacing w:after="0" w:line="165" w:lineRule="exact"/>
        <w:rPr>
          <w:rFonts w:ascii="Arial" w:cs="Arial" w:eastAsia="Arial" w:hAnsi="Arial"/>
          <w:sz w:val="18"/>
          <w:szCs w:val="18"/>
          <w:color w:val="auto"/>
        </w:rPr>
      </w:pPr>
    </w:p>
    <w:p>
      <w:pPr>
        <w:ind w:left="320" w:firstLine="4"/>
        <w:spacing w:after="0" w:line="342" w:lineRule="auto"/>
        <w:tabs>
          <w:tab w:leader="none" w:pos="57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20" w:firstLine="4"/>
        <w:spacing w:after="0" w:line="277" w:lineRule="auto"/>
        <w:tabs>
          <w:tab w:leader="none" w:pos="57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18" w:name="page219"/>
    <w:bookmarkEnd w:id="218"/>
    <w:p>
      <w:pPr>
        <w:jc w:val="both"/>
        <w:ind w:left="320" w:firstLine="4"/>
        <w:spacing w:after="0" w:line="257" w:lineRule="auto"/>
        <w:tabs>
          <w:tab w:leader="none" w:pos="58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agent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4" w:lineRule="exact"/>
        <w:rPr>
          <w:rFonts w:ascii="Arial" w:cs="Arial" w:eastAsia="Arial" w:hAnsi="Arial"/>
          <w:sz w:val="18"/>
          <w:szCs w:val="18"/>
          <w:color w:val="auto"/>
        </w:rPr>
      </w:pPr>
    </w:p>
    <w:p>
      <w:pPr>
        <w:ind w:left="320" w:hanging="320"/>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7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9" w:lineRule="exact"/>
        <w:rPr>
          <w:rFonts w:ascii="Arial" w:cs="Arial" w:eastAsia="Arial" w:hAnsi="Arial"/>
          <w:sz w:val="17"/>
          <w:szCs w:val="17"/>
          <w:color w:val="auto"/>
        </w:rPr>
      </w:pPr>
    </w:p>
    <w:p>
      <w:pPr>
        <w:ind w:left="580" w:hanging="256"/>
        <w:spacing w:after="0"/>
        <w:tabs>
          <w:tab w:leader="none" w:pos="5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20" w:firstLine="4"/>
        <w:spacing w:after="0" w:line="308" w:lineRule="auto"/>
        <w:tabs>
          <w:tab w:leader="none" w:pos="57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are not entitled to be indemnified under this Agreement on the Indemnitee without the Indemnitee’s prior written consent.</w:t>
      </w:r>
    </w:p>
    <w:p>
      <w:pPr>
        <w:spacing w:after="0" w:line="142" w:lineRule="exact"/>
        <w:rPr>
          <w:rFonts w:ascii="Arial" w:cs="Arial" w:eastAsia="Arial" w:hAnsi="Arial"/>
          <w:sz w:val="17"/>
          <w:szCs w:val="17"/>
          <w:color w:val="auto"/>
        </w:rPr>
      </w:pPr>
    </w:p>
    <w:p>
      <w:pPr>
        <w:ind w:left="320" w:hanging="320"/>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59" w:lineRule="auto"/>
        <w:tabs>
          <w:tab w:leader="none" w:pos="58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20" w:firstLine="4"/>
        <w:spacing w:after="0" w:line="259" w:lineRule="auto"/>
        <w:tabs>
          <w:tab w:leader="none" w:pos="61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20" w:hanging="320"/>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6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or (ii)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9" w:name="page220"/>
    <w:bookmarkEnd w:id="219"/>
    <w:p>
      <w:pPr>
        <w:jc w:val="both"/>
        <w:ind w:left="320" w:firstLine="4"/>
        <w:spacing w:after="0" w:line="285" w:lineRule="auto"/>
        <w:tabs>
          <w:tab w:leader="none" w:pos="604"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11(a)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70" w:lineRule="exact"/>
        <w:rPr>
          <w:rFonts w:ascii="Arial" w:cs="Arial" w:eastAsia="Arial" w:hAnsi="Arial"/>
          <w:sz w:val="16"/>
          <w:szCs w:val="16"/>
          <w:color w:val="auto"/>
        </w:rPr>
      </w:pPr>
    </w:p>
    <w:p>
      <w:pPr>
        <w:ind w:left="320" w:firstLine="4"/>
        <w:spacing w:after="0" w:line="342" w:lineRule="auto"/>
        <w:tabs>
          <w:tab w:leader="none" w:pos="573"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auto"/>
        </w:rPr>
      </w:pPr>
    </w:p>
    <w:p>
      <w:pPr>
        <w:ind w:left="320" w:hanging="320"/>
        <w:spacing w:after="0"/>
        <w:tabs>
          <w:tab w:leader="none" w:pos="3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71" w:lineRule="auto"/>
        <w:tabs>
          <w:tab w:leader="none" w:pos="574"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0" w:name="page221"/>
    <w:bookmarkEnd w:id="220"/>
    <w:p>
      <w:pPr>
        <w:jc w:val="both"/>
        <w:ind w:left="320" w:firstLine="4"/>
        <w:spacing w:after="0" w:line="271" w:lineRule="auto"/>
        <w:tabs>
          <w:tab w:leader="none" w:pos="61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20" w:firstLine="4"/>
        <w:spacing w:after="0" w:line="257" w:lineRule="auto"/>
        <w:tabs>
          <w:tab w:leader="none" w:pos="5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reasonably believed to be in or not opposed to the best interests of the Company, with respect to any criminal Proceeding, that Indemnitee had reasonable cause to believe that his conduct was unlawful, in each case.</w:t>
      </w:r>
    </w:p>
    <w:p>
      <w:pPr>
        <w:spacing w:after="0" w:line="188" w:lineRule="exact"/>
        <w:rPr>
          <w:rFonts w:ascii="Arial" w:cs="Arial" w:eastAsia="Arial" w:hAnsi="Arial"/>
          <w:sz w:val="18"/>
          <w:szCs w:val="18"/>
          <w:color w:val="auto"/>
        </w:rPr>
      </w:pPr>
    </w:p>
    <w:p>
      <w:pPr>
        <w:jc w:val="both"/>
        <w:ind w:left="320" w:firstLine="4"/>
        <w:spacing w:after="0" w:line="290" w:lineRule="auto"/>
        <w:tabs>
          <w:tab w:leader="none" w:pos="59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any committee of the Board or any director, or on information or records given or reports made to the Enterprise, its Board, any committee of the Board or any director, by an independent certified public accountant or by an appraiser or other expert selected by the Enterprise, its Board, any committee of the Board or any director, absent a misstatement by Indemnitee of a material fact, or an omission of a material fact necessary to make Indemnitee’s statement not materially misleading, in connection with the determination.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66" w:lineRule="exact"/>
        <w:rPr>
          <w:rFonts w:ascii="Arial" w:cs="Arial" w:eastAsia="Arial" w:hAnsi="Arial"/>
          <w:sz w:val="16"/>
          <w:szCs w:val="16"/>
          <w:color w:val="auto"/>
        </w:rPr>
      </w:pPr>
    </w:p>
    <w:p>
      <w:pPr>
        <w:ind w:left="320" w:firstLine="4"/>
        <w:spacing w:after="0" w:line="308" w:lineRule="auto"/>
        <w:tabs>
          <w:tab w:leader="none" w:pos="56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20" w:hanging="320"/>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7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the Agreement, (iv) payment of indemnification is not made pursuant to Section 5, 6, 7 or the last sentence of Section 12(a) of this Agreement within the timeline set forth in the Agreement, (v) a contribution payment is not made in a timely manner pursuant to Section 8 of this Agreement, (vi) payment of indemnification pursuant to Section 3 or 4 of this Agreement is not made within the timeline set forth in the Agreement, or (vii) payment to Indemnitee pursuant to any hold harmless or exoneration rights under this Agreement or otherwise is not made within the timeline set forth in the Agreement, Indemnitee shall be entitled to an adjudication by the Delaware Court to such indemnification, hold harmless, exoneration, contribution or advancement rights. Alternatively, Indemnitee, at his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79" w:lineRule="exact"/>
        <w:rPr>
          <w:rFonts w:ascii="Arial" w:cs="Arial" w:eastAsia="Arial" w:hAnsi="Arial"/>
          <w:sz w:val="17"/>
          <w:szCs w:val="17"/>
          <w:color w:val="auto"/>
        </w:rPr>
      </w:pPr>
    </w:p>
    <w:p>
      <w:pPr>
        <w:jc w:val="both"/>
        <w:ind w:left="320" w:firstLine="4"/>
        <w:spacing w:after="0" w:line="290" w:lineRule="auto"/>
        <w:tabs>
          <w:tab w:leader="none" w:pos="62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21" w:name="page222"/>
    <w:bookmarkEnd w:id="221"/>
    <w:p>
      <w:pPr>
        <w:jc w:val="both"/>
        <w:ind w:left="320" w:firstLine="4"/>
        <w:spacing w:after="0" w:line="259" w:lineRule="auto"/>
        <w:tabs>
          <w:tab w:leader="none" w:pos="5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20" w:firstLine="4"/>
        <w:spacing w:after="0" w:line="264" w:lineRule="auto"/>
        <w:tabs>
          <w:tab w:leader="none" w:pos="57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1" w:lineRule="exact"/>
        <w:rPr>
          <w:rFonts w:ascii="Arial" w:cs="Arial" w:eastAsia="Arial" w:hAnsi="Arial"/>
          <w:sz w:val="18"/>
          <w:szCs w:val="18"/>
          <w:color w:val="auto"/>
        </w:rPr>
      </w:pPr>
    </w:p>
    <w:p>
      <w:pPr>
        <w:jc w:val="both"/>
        <w:ind w:left="320" w:firstLine="4"/>
        <w:spacing w:after="0" w:line="271" w:lineRule="auto"/>
        <w:tabs>
          <w:tab w:leader="none" w:pos="593"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rights under, or to recover damages for breach of, this Agreement or any other indemnification, hold harmless, exoneration, advancement or contribution agreement or provision of the Charter, or the Company’s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20" w:firstLine="4"/>
        <w:spacing w:after="0" w:line="279" w:lineRule="auto"/>
        <w:tabs>
          <w:tab w:leader="none" w:pos="568"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Interest shall be paid by the Company to Indemnitee at the legal rate under Delaware law for amounts which the Company indemnifies, holds harmless or exonerates, or is obliged to indemnify, hold harmless or exonerate for the period commencing with the date on which the determination is made that the Indemnitee is entitled to such indemnification, to be held harmless, exonerated, contribution, reimbursement or advancement of any Expenses and ending with the date on which such payment is made to Indemnitee by the Company.</w:t>
      </w:r>
    </w:p>
    <w:p>
      <w:pPr>
        <w:spacing w:after="0" w:line="167" w:lineRule="exact"/>
        <w:rPr>
          <w:rFonts w:ascii="Arial" w:cs="Arial" w:eastAsia="Arial" w:hAnsi="Arial"/>
          <w:sz w:val="17"/>
          <w:szCs w:val="17"/>
          <w:color w:val="auto"/>
        </w:rPr>
      </w:pPr>
    </w:p>
    <w:p>
      <w:pPr>
        <w:jc w:val="both"/>
        <w:ind w:left="320" w:hanging="320"/>
        <w:spacing w:after="0" w:line="261" w:lineRule="auto"/>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80" w:lineRule="exact"/>
        <w:rPr>
          <w:rFonts w:ascii="Arial" w:cs="Arial" w:eastAsia="Arial" w:hAnsi="Arial"/>
          <w:sz w:val="18"/>
          <w:szCs w:val="18"/>
          <w:color w:val="auto"/>
        </w:rPr>
      </w:pPr>
    </w:p>
    <w:p>
      <w:pPr>
        <w:ind w:left="320" w:hanging="320"/>
        <w:spacing w:after="0"/>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86" w:lineRule="auto"/>
        <w:tabs>
          <w:tab w:leader="none" w:pos="57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Company’s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Company’s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to the extent of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the Indemnitee. The assertion or employment of any right or remedy hereunder, or otherwise, shall not prevent the concurrent assertion or employment of any other right or remedy.</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2" w:name="page223"/>
    <w:bookmarkEnd w:id="222"/>
    <w:p>
      <w:pPr>
        <w:jc w:val="both"/>
        <w:ind w:left="320" w:firstLine="4"/>
        <w:spacing w:after="0" w:line="271" w:lineRule="auto"/>
        <w:tabs>
          <w:tab w:leader="none" w:pos="60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DGCL and the Company’s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7"/>
          <w:szCs w:val="17"/>
          <w:b w:val="1"/>
          <w:bCs w:val="1"/>
          <w:i w:val="1"/>
          <w:iCs w:val="1"/>
          <w:color w:val="auto"/>
        </w:rPr>
        <w:t>Indemnification Arrangements</w:t>
      </w:r>
      <w:r>
        <w:rPr>
          <w:rFonts w:ascii="Arial" w:cs="Arial" w:eastAsia="Arial" w:hAnsi="Arial"/>
          <w:sz w:val="17"/>
          <w:szCs w:val="17"/>
          <w:color w:val="auto"/>
        </w:rPr>
        <w:t>”) on behalf of Indemnitee against any liability asserted against him or incurred by or on behalf of him or in such capacity as a director, officer, employee or agent of the Company, or arising out of his status as such, whether or not the Company would have the power to indemnify him against such liability under the provisions of this Agreement.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78" w:lineRule="exact"/>
        <w:rPr>
          <w:rFonts w:ascii="Arial" w:cs="Arial" w:eastAsia="Arial" w:hAnsi="Arial"/>
          <w:sz w:val="17"/>
          <w:szCs w:val="17"/>
          <w:color w:val="auto"/>
        </w:rPr>
      </w:pPr>
    </w:p>
    <w:p>
      <w:pPr>
        <w:jc w:val="both"/>
        <w:ind w:left="320" w:firstLine="4"/>
        <w:spacing w:after="0" w:line="290" w:lineRule="auto"/>
        <w:tabs>
          <w:tab w:leader="none" w:pos="586"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6" w:lineRule="exact"/>
        <w:rPr>
          <w:rFonts w:ascii="Arial" w:cs="Arial" w:eastAsia="Arial" w:hAnsi="Arial"/>
          <w:sz w:val="16"/>
          <w:szCs w:val="16"/>
          <w:color w:val="auto"/>
        </w:rPr>
      </w:pPr>
    </w:p>
    <w:p>
      <w:pPr>
        <w:jc w:val="both"/>
        <w:ind w:left="320" w:firstLine="4"/>
        <w:spacing w:after="0" w:line="264" w:lineRule="auto"/>
        <w:tabs>
          <w:tab w:leader="none" w:pos="5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jc w:val="both"/>
        <w:ind w:left="320" w:firstLine="4"/>
        <w:spacing w:after="0" w:line="273" w:lineRule="auto"/>
        <w:tabs>
          <w:tab w:leader="none" w:pos="58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74" w:lineRule="exact"/>
        <w:rPr>
          <w:rFonts w:ascii="Arial" w:cs="Arial" w:eastAsia="Arial" w:hAnsi="Arial"/>
          <w:sz w:val="17"/>
          <w:szCs w:val="17"/>
          <w:color w:val="auto"/>
        </w:rPr>
      </w:pPr>
    </w:p>
    <w:p>
      <w:pPr>
        <w:jc w:val="both"/>
        <w:ind w:left="320" w:hanging="320"/>
        <w:spacing w:after="0" w:line="274" w:lineRule="auto"/>
        <w:tabs>
          <w:tab w:leader="none" w:pos="320" w:val="left"/>
        </w:tabs>
        <w:numPr>
          <w:ilvl w:val="0"/>
          <w:numId w:val="161"/>
        </w:numPr>
        <w:rPr>
          <w:rFonts w:ascii="Arial" w:cs="Arial" w:eastAsia="Arial" w:hAnsi="Arial"/>
          <w:sz w:val="17"/>
          <w:szCs w:val="17"/>
          <w:color w:val="auto"/>
        </w:rPr>
      </w:pPr>
      <w:r>
        <w:rPr>
          <w:rFonts w:ascii="Arial" w:cs="Arial" w:eastAsia="Arial" w:hAnsi="Arial"/>
          <w:sz w:val="17"/>
          <w:szCs w:val="17"/>
          <w:b w:val="1"/>
          <w:bCs w:val="1"/>
          <w:color w:val="auto"/>
        </w:rPr>
        <w:t>DURATION OF AGREEMENT</w:t>
      </w:r>
      <w:r>
        <w:rPr>
          <w:rFonts w:ascii="Arial" w:cs="Arial" w:eastAsia="Arial" w:hAnsi="Arial"/>
          <w:sz w:val="17"/>
          <w:szCs w:val="17"/>
          <w:color w:val="auto"/>
        </w:rPr>
        <w:t>. All agreements and obligations of the Company contained herein shall continue during the period Indemnitee serves</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can be provided under this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3" w:name="page224"/>
    <w:bookmarkEnd w:id="223"/>
    <w:p>
      <w:pPr>
        <w:jc w:val="both"/>
        <w:ind w:left="320" w:hanging="320"/>
        <w:spacing w:after="0" w:line="272" w:lineRule="auto"/>
        <w:tabs>
          <w:tab w:leader="none" w:pos="320"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2" w:lineRule="exact"/>
        <w:rPr>
          <w:rFonts w:ascii="Arial" w:cs="Arial" w:eastAsia="Arial" w:hAnsi="Arial"/>
          <w:sz w:val="17"/>
          <w:szCs w:val="17"/>
          <w:color w:val="auto"/>
        </w:rPr>
      </w:pPr>
    </w:p>
    <w:p>
      <w:pPr>
        <w:ind w:left="320" w:hanging="320"/>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4" w:lineRule="auto"/>
        <w:tabs>
          <w:tab w:leader="none" w:pos="57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1" w:lineRule="exact"/>
        <w:rPr>
          <w:rFonts w:ascii="Arial" w:cs="Arial" w:eastAsia="Arial" w:hAnsi="Arial"/>
          <w:sz w:val="18"/>
          <w:szCs w:val="18"/>
          <w:color w:val="auto"/>
        </w:rPr>
      </w:pPr>
    </w:p>
    <w:p>
      <w:pPr>
        <w:jc w:val="both"/>
        <w:ind w:left="320" w:firstLine="4"/>
        <w:spacing w:after="0" w:line="286" w:lineRule="auto"/>
        <w:tabs>
          <w:tab w:leader="none" w:pos="59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5" w:lineRule="exact"/>
        <w:rPr>
          <w:rFonts w:ascii="Arial" w:cs="Arial" w:eastAsia="Arial" w:hAnsi="Arial"/>
          <w:sz w:val="17"/>
          <w:szCs w:val="17"/>
          <w:color w:val="auto"/>
        </w:rPr>
      </w:pPr>
    </w:p>
    <w:p>
      <w:pPr>
        <w:jc w:val="both"/>
        <w:ind w:left="320" w:firstLine="4"/>
        <w:spacing w:after="0" w:line="276" w:lineRule="auto"/>
        <w:tabs>
          <w:tab w:leader="none" w:pos="57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his spouse, assigns, heirs, devisees, executors and administrators and other legal representatives.</w:t>
      </w:r>
    </w:p>
    <w:p>
      <w:pPr>
        <w:spacing w:after="0" w:line="172" w:lineRule="exact"/>
        <w:rPr>
          <w:rFonts w:ascii="Arial" w:cs="Arial" w:eastAsia="Arial" w:hAnsi="Arial"/>
          <w:sz w:val="17"/>
          <w:szCs w:val="17"/>
          <w:color w:val="auto"/>
        </w:rPr>
      </w:pPr>
    </w:p>
    <w:p>
      <w:pPr>
        <w:jc w:val="both"/>
        <w:ind w:left="320" w:firstLine="4"/>
        <w:spacing w:after="0" w:line="259" w:lineRule="auto"/>
        <w:tabs>
          <w:tab w:leader="none" w:pos="60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shall use its best efforts to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20" w:firstLine="4"/>
        <w:spacing w:after="0" w:line="253" w:lineRule="auto"/>
        <w:tabs>
          <w:tab w:leader="none" w:pos="60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93"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6" w:lineRule="exact"/>
        <w:rPr>
          <w:rFonts w:ascii="Arial" w:cs="Arial" w:eastAsia="Arial" w:hAnsi="Arial"/>
          <w:sz w:val="18"/>
          <w:szCs w:val="18"/>
          <w:color w:val="auto"/>
        </w:rPr>
      </w:pPr>
    </w:p>
    <w:p>
      <w:pPr>
        <w:jc w:val="both"/>
        <w:ind w:left="320" w:hanging="320"/>
        <w:spacing w:after="0" w:line="289" w:lineRule="auto"/>
        <w:tabs>
          <w:tab w:leader="none" w:pos="320"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24" w:name="page225"/>
    <w:bookmarkEnd w:id="224"/>
    <w:p>
      <w:pPr>
        <w:ind w:left="320" w:firstLine="4"/>
        <w:spacing w:after="0" w:line="277" w:lineRule="auto"/>
        <w:tabs>
          <w:tab w:leader="none" w:pos="5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56"/>
        <w:spacing w:after="0"/>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20" w:hanging="320"/>
        <w:spacing w:after="0" w:line="254" w:lineRule="auto"/>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9"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176" w:lineRule="exact"/>
        <w:rPr>
          <w:rFonts w:ascii="Arial" w:cs="Arial" w:eastAsia="Arial" w:hAnsi="Arial"/>
          <w:sz w:val="18"/>
          <w:szCs w:val="18"/>
          <w:color w:val="auto"/>
        </w:rPr>
      </w:pPr>
    </w:p>
    <w:p>
      <w:pPr>
        <w:jc w:val="both"/>
        <w:ind w:left="320" w:hanging="320"/>
        <w:spacing w:after="0" w:line="258" w:lineRule="auto"/>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176" w:lineRule="exact"/>
        <w:rPr>
          <w:rFonts w:ascii="Arial" w:cs="Arial" w:eastAsia="Arial" w:hAnsi="Arial"/>
          <w:sz w:val="18"/>
          <w:szCs w:val="18"/>
          <w:color w:val="auto"/>
        </w:rPr>
      </w:pPr>
    </w:p>
    <w:p>
      <w:pPr>
        <w:jc w:val="both"/>
        <w:ind w:left="320" w:hanging="320"/>
        <w:spacing w:after="0" w:line="303" w:lineRule="auto"/>
        <w:tabs>
          <w:tab w:leader="none" w:pos="320"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 xml:space="preserve">WAIVER OF TRUST CLAIMS. </w:t>
      </w:r>
      <w:r>
        <w:rPr>
          <w:rFonts w:ascii="Arial" w:cs="Arial" w:eastAsia="Arial" w:hAnsi="Arial"/>
          <w:sz w:val="16"/>
          <w:szCs w:val="16"/>
          <w:color w:val="auto"/>
        </w:rPr>
        <w:t>Notwithstanding anything to the contrary contained herein, Indemnitee hereby agrees that it does not have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-130810</wp:posOffset>
            </wp:positionV>
            <wp:extent cx="32848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-130810</wp:posOffset>
            </wp:positionV>
            <wp:extent cx="32848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Address: [__________]</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7620</wp:posOffset>
            </wp:positionV>
            <wp:extent cx="71608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80"/>
          </w:cols>
          <w:pgMar w:left="960" w:top="904" w:right="759" w:bottom="1440" w:gutter="0" w:footer="0" w:header="0"/>
        </w:sectPr>
      </w:pPr>
    </w:p>
    <w:bookmarkStart w:id="226" w:name="page227"/>
    <w:bookmarkEnd w:id="226"/>
    <w:p>
      <w:pPr>
        <w:ind w:left="10160"/>
        <w:spacing w:after="0"/>
        <w:rPr>
          <w:sz w:val="20"/>
          <w:szCs w:val="20"/>
          <w:color w:val="auto"/>
        </w:rPr>
      </w:pPr>
      <w:r>
        <w:rPr>
          <w:rFonts w:ascii="Arial" w:cs="Arial" w:eastAsia="Arial" w:hAnsi="Arial"/>
          <w:sz w:val="19"/>
          <w:szCs w:val="19"/>
          <w:b w:val="1"/>
          <w:bCs w:val="1"/>
          <w:color w:val="auto"/>
        </w:rPr>
        <w:t>Exhibit 10.7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 Management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____________,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letter will confirm our agreement that commencing on the effective date (the “Effective Date”) of the registration statement (the “Registration Statement”) relating to the initial public offering of the securities of M I Acquisitions, Inc. (the “Company”) and continuing until the consummation by the Company of its initial business combination or the distribution of the trust account to the Company’s then public shareholders (as described in the Registration Statement), Magna Management LLC (the “Firm”) shall make available to the Company certain general and administrative services, including the use of office space, utilities and secretarial support, as may be required by the Company from time to time, at [___________________] (or any</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successor location). In exchange therefor, the Company shall pay the Firm at the rate of $10,000 per month. Notwithstanding the foregoing, if the Company’s audit committee determines that the Company lacks sufficient funds outside of the trust account to pay its actual or anticipated expenses, all payments hereunder shall be deferred until the consummation of its initial business combination. Any such deferred amount shall accrue without interest and be due and payable no later than the date of the consummation of our initial business combination.</w:t>
      </w:r>
    </w:p>
    <w:p>
      <w:pPr>
        <w:spacing w:after="0" w:line="200" w:lineRule="exact"/>
        <w:rPr>
          <w:sz w:val="20"/>
          <w:szCs w:val="20"/>
          <w:color w:val="auto"/>
        </w:rPr>
      </w:pP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MAGNA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-130810</wp:posOffset>
            </wp:positionV>
            <wp:extent cx="31388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-130810</wp:posOffset>
            </wp:positionV>
            <wp:extent cx="31388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443230</wp:posOffset>
            </wp:positionV>
            <wp:extent cx="7160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M I Acquisitions, Inc.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The undersigned hereby commits that it will purchase an aggregate of 250,000 units of the Company (“Private Units”), each Private Unit consisting of one share of Common Stock of the Company, par value $0.001 per share (the “Common Stock”), and one warrant entitling its holder to purchase one-half of one share of common Stock (each a “Warrant”), at $10.00 per Private Unit, for an aggregate purchase price of $2,500,000 (the “Private Unit Purchase Price”).</w:t>
      </w:r>
    </w:p>
    <w:p>
      <w:pPr>
        <w:spacing w:after="0" w:line="187"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The undersigned hereby commits that it will purchase an additional amount of units of the Company (“Over-Allotment Units”), up to a maximum of 22,500 Over-Allotment Units, or a maximum purchase price of $225,000 (“Over-Allotment Unit Purchase Price”, together with the Private Unit Purchase Price, the “Purchase Price”), in the event Chardan Capital Markets LLC (“Chardan”) exercises its over-allotment option, such that the amount held in the trust account (as described in the Registration Statement) does not fall below $10.00 per share for each share of Common Stock sold in the IPO.</w:t>
      </w:r>
    </w:p>
    <w:p>
      <w:pPr>
        <w:spacing w:after="0" w:line="18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At least twenty-four (24) hours prior to the effective date of the Registration Statement, the undersigned will cause the Private Unit Purchase Price to be delivered to Loeb &amp; Loeb LLP (“Loeb”), counsel for the Company, by wire transfer as set forth in the instructions attached as Exhibit A to hold in a non-interest bearing account until the Company consummates the IPO.</w:t>
      </w:r>
    </w:p>
    <w:p>
      <w:pPr>
        <w:spacing w:after="0" w:line="18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The consummation of the purchase and issuance of the Private Units shall occur simultaneously with the consummation of the IPO and the consummation of the purchase and issuance of the Over-Allotment Units shall occur simultaneously with the closing of any exercise of the over-allotment option related to the IPO. Simultaneously with the consummation of the IPO, Loeb shall deposit the Private Unit Purchase Price, without interest or deduction, into the trust fund (“Trust Fund”) established by the Company for the benefit of the Company’s public stockholders as described in the Registration Statement. If the Company does not complete the IPO within ten (10) days from the date of this letter, the Purchase Price (without interest or deduction) will be returned to the undersigned.</w:t>
      </w:r>
    </w:p>
    <w:p>
      <w:pPr>
        <w:spacing w:after="0" w:line="19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Each of the Company, Chardan and the undersigned acknowledges and agrees that Loeb is serving hereunder solely as a convenience to the parties to facilitate the purchase of the Private Units and Loeb’s sole obligation under this letter agreement is to act with respect to holding and disbursing the Purchase Price for the Private Units as described above. Loeb shall not be liable to the Company, Chardan or the undersigned or any other person or entity in respect of any act or failure to act hereunder or otherwise in connection with performing its services hereunder unless Loeb has acted in a manner constituting gross negligence or willful misconduct. The Company and the undersigned shall indemnify Loeb against any claim made against it (including reasonable attorney’s fees) by reason of it acting or failing to act in connection with this letter agreement except as a result of its gross negligence or willful misconduct. Loeb may rely and shall be protected in acting or refraining from acting upon any written notice, instruction or request furnished to it hereunder and believed by it to be genuine and to have been signed or presented by the proper party or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7160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28" w:name="page229"/>
    <w:bookmarkEnd w:id="228"/>
    <w:p>
      <w:pPr>
        <w:ind w:right="660" w:firstLine="1297"/>
        <w:spacing w:after="0" w:line="277" w:lineRule="auto"/>
        <w:rPr>
          <w:sz w:val="20"/>
          <w:szCs w:val="20"/>
          <w:color w:val="auto"/>
        </w:rPr>
      </w:pPr>
      <w:r>
        <w:rPr>
          <w:rFonts w:ascii="Arial" w:cs="Arial" w:eastAsia="Arial" w:hAnsi="Arial"/>
          <w:sz w:val="18"/>
          <w:szCs w:val="18"/>
          <w:color w:val="auto"/>
        </w:rPr>
        <w:t>The Private Units and Over-Allotment Units will be identical to the units to be sold by the Company in the IPO. Additionally, the undersigned agrees:</w:t>
      </w:r>
    </w:p>
    <w:p>
      <w:pPr>
        <w:spacing w:after="0" w:line="170" w:lineRule="exact"/>
        <w:rPr>
          <w:sz w:val="20"/>
          <w:szCs w:val="20"/>
          <w:color w:val="auto"/>
        </w:rPr>
      </w:pPr>
    </w:p>
    <w:p>
      <w:pPr>
        <w:ind w:left="1940" w:right="860" w:hanging="643"/>
        <w:spacing w:after="0" w:line="277" w:lineRule="auto"/>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vote the Common Stock included in the Private Units and Over-Allotment Units in favor of any proposed Business Combination;</w:t>
      </w:r>
    </w:p>
    <w:p>
      <w:pPr>
        <w:spacing w:after="0" w:line="170" w:lineRule="exact"/>
        <w:rPr>
          <w:rFonts w:ascii="Arial" w:cs="Arial" w:eastAsia="Arial" w:hAnsi="Arial"/>
          <w:sz w:val="18"/>
          <w:szCs w:val="18"/>
          <w:color w:val="auto"/>
        </w:rPr>
      </w:pPr>
    </w:p>
    <w:p>
      <w:pPr>
        <w:ind w:left="1940" w:right="40" w:hanging="643"/>
        <w:spacing w:after="0" w:line="271" w:lineRule="auto"/>
        <w:tabs>
          <w:tab w:leader="none" w:pos="1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18 months from the closing of the IPO (or 21 months, as applicable),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for the Company’s working capital requirements or to pay the Company’s franchise and income taxes, divided by the number of then outstanding shares of Common Stock sold in the IPO;</w:t>
      </w:r>
    </w:p>
    <w:p>
      <w:pPr>
        <w:spacing w:after="0" w:line="178" w:lineRule="exact"/>
        <w:rPr>
          <w:rFonts w:ascii="Arial" w:cs="Arial" w:eastAsia="Arial" w:hAnsi="Arial"/>
          <w:sz w:val="17"/>
          <w:szCs w:val="17"/>
          <w:color w:val="auto"/>
        </w:rPr>
      </w:pPr>
    </w:p>
    <w:p>
      <w:pPr>
        <w:ind w:left="1940" w:hanging="643"/>
        <w:spacing w:after="0" w:line="279" w:lineRule="auto"/>
        <w:tabs>
          <w:tab w:leader="none" w:pos="1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 to convert any Common Stock included in the Private Units and Over-Allotment Units into the right to receive cash from the Trust Fund in connection with a shareholder vote to approve either a Business Combination or an amendment to the provisions of the Company’s Amended and Restated Certificate of Incorporation, or to tender the Private Units and Over-Allotment Units in connection with a tender offer conducted prior to the closing of a Business Combination;</w:t>
      </w:r>
    </w:p>
    <w:p>
      <w:pPr>
        <w:spacing w:after="0" w:line="171" w:lineRule="exact"/>
        <w:rPr>
          <w:rFonts w:ascii="Arial" w:cs="Arial" w:eastAsia="Arial" w:hAnsi="Arial"/>
          <w:sz w:val="17"/>
          <w:szCs w:val="17"/>
          <w:color w:val="auto"/>
        </w:rPr>
      </w:pPr>
    </w:p>
    <w:p>
      <w:pPr>
        <w:ind w:left="1940" w:right="140" w:hanging="643"/>
        <w:spacing w:after="0" w:line="264" w:lineRule="auto"/>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Units and Over-Allotment Units (but will participate in liquidation distributions with respect to any units or Common Stock purchased by the undersigned in the IPO or in the open market) if the Company fails to consummate a Business Combination;</w:t>
      </w:r>
    </w:p>
    <w:p>
      <w:pPr>
        <w:spacing w:after="0" w:line="181" w:lineRule="exact"/>
        <w:rPr>
          <w:rFonts w:ascii="Arial" w:cs="Arial" w:eastAsia="Arial" w:hAnsi="Arial"/>
          <w:sz w:val="18"/>
          <w:szCs w:val="18"/>
          <w:color w:val="auto"/>
        </w:rPr>
      </w:pPr>
    </w:p>
    <w:p>
      <w:pPr>
        <w:ind w:left="1940" w:hanging="643"/>
        <w:spacing w:after="0" w:line="271" w:lineRule="auto"/>
        <w:tabs>
          <w:tab w:leader="none" w:pos="1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that the Private Units, Over-Allotment Units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made in connection with the consummation of a Business Combination at prices no greater than the price at which the Private Units were originally purchased or (vii) to the Company for cancellation in connection with the consummation of a Business Combination, in each case (except for clause vii) where the transferee agrees to the terms of the transfer restrictions;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9" w:name="page230"/>
    <w:bookmarkEnd w:id="229"/>
    <w:p>
      <w:pPr>
        <w:ind w:left="1940" w:right="260" w:hanging="643"/>
        <w:spacing w:after="0" w:line="264" w:lineRule="auto"/>
        <w:tabs>
          <w:tab w:leader="none" w:pos="19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Private Units and Over-Allotment Units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undersigned acknowledges and agrees that the purchaser of the Private Units and Over-Allotment Units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1940" w:hanging="643"/>
        <w:spacing w:after="0"/>
        <w:tabs>
          <w:tab w:leader="none" w:pos="1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it has been advised that the Private Units and Over-Allotment Units have not been registered under the Securities Act;</w:t>
      </w:r>
    </w:p>
    <w:p>
      <w:pPr>
        <w:spacing w:after="0" w:line="236" w:lineRule="exact"/>
        <w:rPr>
          <w:rFonts w:ascii="Arial" w:cs="Arial" w:eastAsia="Arial" w:hAnsi="Arial"/>
          <w:sz w:val="17"/>
          <w:szCs w:val="17"/>
          <w:color w:val="auto"/>
        </w:rPr>
      </w:pPr>
    </w:p>
    <w:p>
      <w:pPr>
        <w:ind w:left="1940" w:hanging="643"/>
        <w:spacing w:after="0"/>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will be acquiring the Private Units and Over-Allotment Units for its account for investment purposes only;</w:t>
      </w:r>
    </w:p>
    <w:p>
      <w:pPr>
        <w:spacing w:after="0" w:line="225" w:lineRule="exact"/>
        <w:rPr>
          <w:rFonts w:ascii="Arial" w:cs="Arial" w:eastAsia="Arial" w:hAnsi="Arial"/>
          <w:sz w:val="18"/>
          <w:szCs w:val="18"/>
          <w:color w:val="auto"/>
        </w:rPr>
      </w:pPr>
    </w:p>
    <w:p>
      <w:pPr>
        <w:ind w:left="1940" w:right="340" w:hanging="643"/>
        <w:spacing w:after="0" w:line="277" w:lineRule="auto"/>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and Over-Allotment Units in violation of the securities laws of the United States;</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it is an “accredited investor” as defined by Rule 501 of Regulation D promulgated under the Securities Act of 1933, as amended;</w:t>
      </w:r>
    </w:p>
    <w:p>
      <w:pPr>
        <w:spacing w:after="0" w:line="248" w:lineRule="exact"/>
        <w:rPr>
          <w:rFonts w:ascii="Arial" w:cs="Arial" w:eastAsia="Arial" w:hAnsi="Arial"/>
          <w:sz w:val="16"/>
          <w:szCs w:val="16"/>
          <w:color w:val="auto"/>
        </w:rPr>
      </w:pPr>
    </w:p>
    <w:p>
      <w:pPr>
        <w:ind w:left="1940" w:right="440" w:hanging="643"/>
        <w:spacing w:after="0" w:line="308" w:lineRule="auto"/>
        <w:tabs>
          <w:tab w:leader="none" w:pos="1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letter constitutes its legal, valid and binding obligation, and is enforceable against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30" w:name="page231"/>
    <w:bookmarkEnd w:id="230"/>
    <w:p>
      <w:pPr>
        <w:ind w:firstLine="648"/>
        <w:spacing w:after="0" w:line="264"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Units and Over-Allotment Units, and supersedes all prior and contemporaneous understandings, agreements, representations and warranties, both written and oral, with respect to the same.</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2546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-130810</wp:posOffset>
            </wp:positionV>
            <wp:extent cx="25215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458470</wp:posOffset>
            </wp:positionV>
            <wp:extent cx="71608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Exhibit 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Adopted: ____________, 2015</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of M I Acquisitions, Inc. (the “Company”) has adopted this Code of Ethics (this “Code”) to provide value for both our members and stockholders; and</w:t>
      </w:r>
    </w:p>
    <w:p>
      <w:pPr>
        <w:spacing w:after="0" w:line="170" w:lineRule="exact"/>
        <w:rPr>
          <w:sz w:val="20"/>
          <w:szCs w:val="20"/>
          <w:color w:val="auto"/>
        </w:rPr>
      </w:pPr>
    </w:p>
    <w:p>
      <w:pPr>
        <w:ind w:left="980" w:hanging="3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encourage honest and ethical conduct, including fair dealing and the ethical handling of conflicts of interest;</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prompt full, fair, accurate, timely and understandable disclosure;</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comply with applicable laws and governmental rules and regulations;</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prompt internal reporting of violations of this Code;</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protect the Company's legitimate business interests, including corporate opportunities, assets and confidential information; and</w:t>
      </w:r>
    </w:p>
    <w:p>
      <w:pPr>
        <w:spacing w:after="0" w:line="236" w:lineRule="exact"/>
        <w:rPr>
          <w:rFonts w:ascii="Arial" w:cs="Arial" w:eastAsia="Arial" w:hAnsi="Arial"/>
          <w:sz w:val="17"/>
          <w:szCs w:val="17"/>
          <w:color w:val="auto"/>
        </w:rPr>
      </w:pPr>
    </w:p>
    <w:p>
      <w:pPr>
        <w:ind w:left="980" w:hanging="3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deter wrongdoing.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directors, officers, employees and independent contractors of the Company are expected to be familiar with the Code and to adhere to those principles and procedures set forth in the Code. For purposes of the code, all directors, officers, employees and independent contractors will refer to collectively as “employees” or “you” throughout this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Honest and Ethical Conduct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directors, officers, employees and independent contractors have the following duties:</w:t>
      </w:r>
    </w:p>
    <w:p>
      <w:pPr>
        <w:spacing w:after="0" w:line="225" w:lineRule="exact"/>
        <w:rPr>
          <w:sz w:val="20"/>
          <w:szCs w:val="20"/>
          <w:color w:val="auto"/>
        </w:rPr>
      </w:pPr>
    </w:p>
    <w:p>
      <w:pPr>
        <w:ind w:left="640" w:hanging="31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conduct business with professional courtesy and integrity, and act honestly and fairly without prejudice in all commercial dealings;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work in a safe, healthy and efficient manner, using skills, time and experience to the maximum of abilities;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comply with applicable awards, Company policies and job requirements, and adhere to a high standard of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33" w:name="page234"/>
    <w:bookmarkEnd w:id="233"/>
    <w:p>
      <w:pPr>
        <w:ind w:left="640" w:hanging="316"/>
        <w:spacing w:after="0"/>
        <w:tabs>
          <w:tab w:leader="none" w:pos="6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observe both the form and spirit of laws, governmental rules, regulations and accounting standards;</w:t>
      </w:r>
    </w:p>
    <w:p>
      <w:pPr>
        <w:spacing w:after="0" w:line="225" w:lineRule="exact"/>
        <w:rPr>
          <w:rFonts w:ascii="Arial" w:cs="Arial" w:eastAsia="Arial" w:hAnsi="Arial"/>
          <w:sz w:val="18"/>
          <w:szCs w:val="18"/>
          <w:color w:val="auto"/>
        </w:rPr>
      </w:pPr>
    </w:p>
    <w:p>
      <w:pPr>
        <w:ind w:left="640" w:hanging="316"/>
        <w:spacing w:after="0" w:line="277" w:lineRule="auto"/>
        <w:tabs>
          <w:tab w:leader="none" w:pos="6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Not to knowingly make any misleading statements to any person or to be a party to any improper practice in relation to dealings with or by the Company;</w:t>
      </w:r>
    </w:p>
    <w:p>
      <w:pPr>
        <w:spacing w:after="0" w:line="170" w:lineRule="exact"/>
        <w:rPr>
          <w:rFonts w:ascii="Arial" w:cs="Arial" w:eastAsia="Arial" w:hAnsi="Arial"/>
          <w:sz w:val="18"/>
          <w:szCs w:val="18"/>
          <w:color w:val="auto"/>
        </w:rPr>
      </w:pPr>
    </w:p>
    <w:p>
      <w:pPr>
        <w:ind w:left="640" w:hanging="316"/>
        <w:spacing w:after="0"/>
        <w:tabs>
          <w:tab w:leader="none" w:pos="6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ensure that Company resources and properties are used properly;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maintain the confidentiality of information where required or consistent with Company policies; and</w:t>
      </w:r>
    </w:p>
    <w:p>
      <w:pPr>
        <w:spacing w:after="0" w:line="225" w:lineRule="exact"/>
        <w:rPr>
          <w:rFonts w:ascii="Arial" w:cs="Arial" w:eastAsia="Arial" w:hAnsi="Arial"/>
          <w:sz w:val="18"/>
          <w:szCs w:val="18"/>
          <w:color w:val="auto"/>
        </w:rPr>
      </w:pPr>
    </w:p>
    <w:p>
      <w:pPr>
        <w:jc w:val="both"/>
        <w:ind w:left="640" w:hanging="316"/>
        <w:spacing w:after="0" w:line="286" w:lineRule="auto"/>
        <w:tabs>
          <w:tab w:leader="none" w:pos="6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pPr>
        <w:spacing w:after="0" w:line="161" w:lineRule="exact"/>
        <w:rPr>
          <w:rFonts w:ascii="Arial" w:cs="Arial" w:eastAsia="Arial" w:hAnsi="Arial"/>
          <w:sz w:val="17"/>
          <w:szCs w:val="17"/>
          <w:color w:val="auto"/>
        </w:rPr>
      </w:pPr>
    </w:p>
    <w:p>
      <w:pPr>
        <w:ind w:left="240" w:hanging="240"/>
        <w:spacing w:after="0"/>
        <w:tabs>
          <w:tab w:leader="none" w:pos="2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“conflict of interest”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variety of situations in which a conflict of interest may arise. While it would be impractical to attempt to list all possible situations, some common types of conflicts may be:</w:t>
      </w:r>
    </w:p>
    <w:p>
      <w:pPr>
        <w:spacing w:after="0" w:line="170" w:lineRule="exact"/>
        <w:rPr>
          <w:sz w:val="20"/>
          <w:szCs w:val="20"/>
          <w:color w:val="auto"/>
        </w:rPr>
      </w:pPr>
    </w:p>
    <w:p>
      <w:pPr>
        <w:ind w:left="640" w:hanging="316"/>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serve as a director, employee or contractor for a company that has a business relationship with, or is a competitor of the Company;</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have a financial interest in a competitor, supplier or customer of the Company;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receive improper personal benefits from a competitor, supplier or customer, as a result of any transaction or transactions of the Company;</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accept financial interest beyond entertainment or nominal gifts in the ordinary course of business, such as a meal or a coffee mug;</w:t>
      </w:r>
    </w:p>
    <w:p>
      <w:pPr>
        <w:spacing w:after="0" w:line="225" w:lineRule="exact"/>
        <w:rPr>
          <w:rFonts w:ascii="Arial" w:cs="Arial" w:eastAsia="Arial" w:hAnsi="Arial"/>
          <w:sz w:val="18"/>
          <w:szCs w:val="18"/>
          <w:color w:val="auto"/>
        </w:rPr>
      </w:pPr>
    </w:p>
    <w:p>
      <w:pPr>
        <w:jc w:val="both"/>
        <w:ind w:left="640" w:hanging="316"/>
        <w:spacing w:after="0" w:line="264" w:lineRule="auto"/>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present at a conference where the conference sponsor has a real or potential business relationship with the Company (e.g. vendor, customer, or investor), and, the conference sponsor offers travel or accommodation arrangements or other benefits materially in excess of the Company’s standard;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693" w:right="319" w:bottom="1440" w:gutter="0" w:footer="0" w:header="0"/>
        </w:sectPr>
      </w:pPr>
    </w:p>
    <w:bookmarkStart w:id="234" w:name="page235"/>
    <w:bookmarkEnd w:id="234"/>
    <w:p>
      <w:pPr>
        <w:ind w:left="640" w:hanging="316"/>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use for personal gain, rather than for the benefit of the Company, an opportunity that discovered through the role with the Company.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Fidelity or service to the Company should never be subordinated to or dependent on personal gain or advantage. Conflicts of interest should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avoided.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most cases, anything that would constitute a conflict for a director, officer or employee also would present a conflict if it is related to a member of his or her family.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Interests in other companies, including potential competitors and suppliers, that are purely for management of the other entity, or where an otherwise questionable relationship is disclosed to the Board and any necessary action is taken to ensure there will be no effect on the Company, are not considered conflicts unless otherwise determined by the Board.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Evaluating whether a conflict of interest exists can be difficult and may involve a number of considerations. Please refer to other policies, such as employee handbook, for further information. We also encourage you to seek guidance from your manager, Chief Executive Officer or Chief Financial Officer, or their equivalents, when you have any questions or doubts.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Disclosure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director, officer or employee, to the extent involved in the Company's disclosure process, including the Chief Executive Officer or Chief Financial Officer, or their equivalents, the (the “Senior Financial Officers”), is required to be familiar with the Company’s disclosure controls and procedures applicable to him or her so that the Company's public reports and documents comply in all material respects with the applicable securities laws and rules. In addition, each such person having direct or supervisory authority regarding these securities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director, officer or employee, to the extent involved in the Company’s disclosure process, including the Senior Financial Officers, must:</w:t>
      </w:r>
    </w:p>
    <w:p>
      <w:pPr>
        <w:spacing w:after="0" w:line="237" w:lineRule="exact"/>
        <w:rPr>
          <w:sz w:val="20"/>
          <w:szCs w:val="20"/>
          <w:color w:val="auto"/>
        </w:rPr>
      </w:pPr>
    </w:p>
    <w:p>
      <w:pPr>
        <w:ind w:left="640" w:hanging="316"/>
        <w:spacing w:after="0" w:line="277"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Familiarize himself or herself with the disclosure requirements applicable to the Company as well as the business and financial operations of the Company.</w:t>
      </w:r>
    </w:p>
    <w:p>
      <w:pPr>
        <w:spacing w:after="0" w:line="170" w:lineRule="exact"/>
        <w:rPr>
          <w:rFonts w:ascii="Arial" w:cs="Arial" w:eastAsia="Arial" w:hAnsi="Arial"/>
          <w:sz w:val="18"/>
          <w:szCs w:val="18"/>
          <w:color w:val="auto"/>
        </w:rPr>
      </w:pPr>
    </w:p>
    <w:p>
      <w:pPr>
        <w:ind w:left="640" w:hanging="316"/>
        <w:spacing w:after="0" w:line="277"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160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IV.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Company's policy to comply with all applicable laws, rules and regulations. It is the personal responsibility of each employee, officer and director to adhere to the standards and restrictions imposed by those laws, rules and regulations in the performance of their duties for the Company, including those relating to accounting and auditing matters and insider trading.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endeavors to ensure that the directors, officers and employees of the Company act with integrity and observe the highest standards of behavior and business ethics in relation to their corporate activities.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Specifically, that directors, officers and employees must:</w:t>
      </w:r>
    </w:p>
    <w:p>
      <w:pPr>
        <w:spacing w:after="0" w:line="225" w:lineRule="exact"/>
        <w:rPr>
          <w:sz w:val="20"/>
          <w:szCs w:val="20"/>
          <w:color w:val="auto"/>
        </w:rPr>
      </w:pPr>
    </w:p>
    <w:p>
      <w:pPr>
        <w:ind w:left="640" w:hanging="31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Comply with the law;</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Act in the best interests of the Company;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Be responsible and accountable for their actions; and</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Observe the ethical principles of fairness, honesty and truthfulness, including disclosure of potential conflicts.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it is against Company policies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securities laws.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uncertain about the legal rules involving your purchase or sale of any Company securities or any securities in companies that you are familiar with by virtue of your work for the Company, you should consult with the Chief Executive Officer or Chief Financial Officer, or their equivalents, before making any such purchase or sale. Other policies issued by the Company also provide guidance as to certain of the laws, rules and regulations that apply to the Company's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Reporting and Accountability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of Directors has the authority to interpret this Code in any particular situation. Any director, officer or employee who becomes aware of any violation of this Code is required to notify Chief Executive Officer or Chief Financial Officer, or their equivalents, promptly.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questions relating to how these policies should be interpreted or applied should be addressed to your manager, Chief Executive Officer or Chief Financial Officer, or their equivalents. Any material transaction or relationship that could reasonably be expected to give rise to a conflict of interest, as discussed in Section II of this Code, should be discussed with your manager, Chief Executive Officer or Chief Financial Officer, or their equivalents. A director, officer or employee who is unsure of whether a situation violates this Code should discuss the situation with the Chief Executive Officer or Chief Financial Officer, or their equivalents, to prevent possible misunderstandings and embarrassment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608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36" w:name="page237"/>
    <w:bookmarkEnd w:id="236"/>
    <w:p>
      <w:pPr>
        <w:ind w:left="640"/>
        <w:spacing w:after="0"/>
        <w:rPr>
          <w:sz w:val="20"/>
          <w:szCs w:val="20"/>
          <w:color w:val="auto"/>
        </w:rPr>
      </w:pPr>
      <w:r>
        <w:rPr>
          <w:rFonts w:ascii="Arial" w:cs="Arial" w:eastAsia="Arial" w:hAnsi="Arial"/>
          <w:sz w:val="18"/>
          <w:szCs w:val="18"/>
          <w:color w:val="auto"/>
        </w:rPr>
        <w:t>Each director, officer or employee must:</w:t>
      </w:r>
    </w:p>
    <w:p>
      <w:pPr>
        <w:spacing w:after="0" w:line="225" w:lineRule="exact"/>
        <w:rPr>
          <w:sz w:val="20"/>
          <w:szCs w:val="20"/>
          <w:color w:val="auto"/>
        </w:rPr>
      </w:pPr>
    </w:p>
    <w:p>
      <w:pPr>
        <w:ind w:left="640" w:hanging="316"/>
        <w:spacing w:after="0"/>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Notify the Chief Executive Officer or Chief Financial Officer, or their equivalents, promptly of any existing or potential violation of this Code.</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retaliate against any other director, officer or employee for reports of potential violations.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rFonts w:ascii="Arial" w:cs="Arial" w:eastAsia="Arial" w:hAnsi="Arial"/>
          <w:sz w:val="18"/>
          <w:szCs w:val="18"/>
          <w:color w:val="auto"/>
        </w:rPr>
      </w:pPr>
    </w:p>
    <w:p>
      <w:pPr>
        <w:jc w:val="both"/>
        <w:ind w:left="640" w:hanging="316"/>
        <w:spacing w:after="0" w:line="276"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Chief Executive Officer or Chief Financial Officer, or their equivalents, as the case may be, will take all appropriate action to investigate any violations reported. In addition, the Chief Executive Officer or Chief Financial Officer, or their equivalents, as appropriate, shall report each violation and alleged violation involving a director or an executive officer to the Chairman of the Board of Directors. To the extent he or she deems appropriate, the Chairman of the Board of Directors shall participate in any investigation of a director or executive officer. After the conclusion of an investigation of a director or executive officer, the conclusions shall be reported to the Board of Directors.</w:t>
      </w:r>
    </w:p>
    <w:p>
      <w:pPr>
        <w:spacing w:after="0" w:line="172" w:lineRule="exact"/>
        <w:rPr>
          <w:rFonts w:ascii="Arial" w:cs="Arial" w:eastAsia="Arial" w:hAnsi="Arial"/>
          <w:sz w:val="17"/>
          <w:szCs w:val="17"/>
          <w:color w:val="auto"/>
        </w:rPr>
      </w:pPr>
    </w:p>
    <w:p>
      <w:pPr>
        <w:jc w:val="both"/>
        <w:ind w:left="640" w:hanging="316"/>
        <w:spacing w:after="0" w:line="279"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Board of Directors will conduct such additional investigation as it deems necessary. The Board will determine that a director or executive officer has violated this Code. Upon being notified that a violation has occurred, the Chief Executive Officer or Chief Financial Officer, or their equivalents, as the case may be, will take such disciplinary or preventive action as deemed appropriate, up to and including dismissal or, in the event of criminal or other serious violations of law, notification of appropriate law enforcement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Corporate Opportunities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Employees, officers and directors are prohibited from taking (or directing to a third party) a business opportunity that is discovered through the use of corporate property, information or position, unless the Company has already been offered the opportunity and turned it down. More generally, employees, officers and directors are prohibited from using corporate property, information or position for personal gain and from competing with the Company. Sometimes the line between personal and Company benefits is difficult to draw, and sometimes there are both personal and Company benefits in certain activities. Employees, officers and directors who intend to make use of Company property or services in a manner not solely for the benefit of the Company should consult beforehand with your manager, the Chief Executive Officer or Chief Financial Officer,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7160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color w:val="auto"/>
        </w:rPr>
        <w:t>VII. Confidentiality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carrying out the Company's business, employees, officers and directors often learn confidential or proprietary information about the Company, its customers, suppliers, or joint venture parties. Employees, officers and directors must maintain the confidentiality of all information so entrusted to them, except when disclosure is authorized or legally mandated. Confidential or proprietary information of our Company, and of other companies, includes any non-public information that would be harmful to the relevant company or useful or helpful to competitors if disclosed.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Fair Dealing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core value of operating is based on responsiveness, openness, honesty and trust with our members, business partners, employees and stockholders. We do not seek competitive advantages through illegal or unethical business practices. Each employee, officer and director should endeavor to deal fairly with the Company's customers, service providers, suppliers, competitors and employees. No employee, officer or director should take unfair advantage of anyone through manipulation, concealment, abuse of privileged information, misrepresentation of material facts, or any unfair dealing practice.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Protection and Proper Use of Company Assets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employees, officers and directors should protect the Company's assets and ensure their efficient use. All Company assets should be used only for legitimate business purposes. Theft, careless and waste have a direct impact on our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Waivers and Amendments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waive provisions of this Code. Any employee or director who believes that a waiver may be called for should discuss the matter with your manager, the Chief Executive Officer or Chief Financial Officer, or their equivalents.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for executive officers (including Senior Financial Officers) or directors of the Company may be made only by the Board of Directors and must be promptly disclosed to stockholders along with the reasons for such waiver in a manner as required by applicable law or the rules of the applicable stock exchange. Any amendment or waiver of any provision of this Code must be approved in writing by the Board or, if appropriate, its delegate(s) and promptly disclosed pursuant to applicable laws and regulations.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waiver or modification of the Code for a Senior Financial Officer will be promptly disclosed to stockholders if and as required by applicable law or the rules of the applicable stock exchange.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committed to continuously reviewing and updating its policies, and therefore reserves the right to amend this Policy at any time, for any reason,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1608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59"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Adopted: ______________, 2015</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responsibilities and powers of the Audit Committee of the Board of Directors (the “Board”) of M I Acquisitions, Inc. (the “Company”), as delegated by the Board, are set forth in this charter (this “Charter”). Whenever the Audit Committee takes an action, it shall exercise its independent judgment on an informed basis that the action is in the best interests of the Company and its shareholders.</w:t>
      </w:r>
    </w:p>
    <w:p>
      <w:pPr>
        <w:spacing w:after="0" w:line="177" w:lineRule="exact"/>
        <w:rPr>
          <w:sz w:val="20"/>
          <w:szCs w:val="20"/>
          <w:color w:val="auto"/>
        </w:rPr>
      </w:pPr>
    </w:p>
    <w:p>
      <w:pPr>
        <w:ind w:left="640" w:hanging="640"/>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purpose of the Audit Committee shall be to represent and assist the Board in the oversight and monitoring of:</w:t>
      </w:r>
    </w:p>
    <w:p>
      <w:pPr>
        <w:spacing w:after="0" w:line="225" w:lineRule="exact"/>
        <w:rPr>
          <w:rFonts w:ascii="Arial" w:cs="Arial" w:eastAsia="Arial" w:hAnsi="Arial"/>
          <w:sz w:val="18"/>
          <w:szCs w:val="18"/>
          <w:b w:val="1"/>
          <w:bCs w:val="1"/>
          <w:color w:val="auto"/>
        </w:rPr>
      </w:pPr>
    </w:p>
    <w:p>
      <w:pPr>
        <w:ind w:left="640" w:hanging="316"/>
        <w:spacing w:after="0"/>
        <w:tabs>
          <w:tab w:leader="none" w:pos="6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Company’s accounting and financial reporting processes and the audits of the Company’s financial statements;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Company’s internal accounting and financial controls; and</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 and the independent auditors’ qualifications, independence and performance.</w:t>
      </w:r>
    </w:p>
    <w:p>
      <w:pPr>
        <w:spacing w:after="0" w:line="244" w:lineRule="exact"/>
        <w:rPr>
          <w:sz w:val="20"/>
          <w:szCs w:val="20"/>
          <w:color w:val="auto"/>
        </w:rPr>
      </w:pPr>
    </w:p>
    <w:p>
      <w:pPr>
        <w:ind w:left="640" w:hanging="640"/>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Audit Committee will consist of at least three members of the Board. The members of the Audit Committee shall be appointed by and serve at the discretion of the Board. Members of the Audit Committee must meet the following criteria:</w:t>
      </w:r>
    </w:p>
    <w:p>
      <w:pPr>
        <w:spacing w:after="0" w:line="170" w:lineRule="exact"/>
        <w:rPr>
          <w:sz w:val="20"/>
          <w:szCs w:val="20"/>
          <w:color w:val="auto"/>
        </w:rPr>
      </w:pPr>
    </w:p>
    <w:p>
      <w:pPr>
        <w:jc w:val="both"/>
        <w:ind w:left="640" w:hanging="316"/>
        <w:spacing w:after="0" w:line="264"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member must meet the independence and experience requirements and standards established from time to time to time by the Securities and Exchange Commission (the “SEC”) and any securities exchange on which the Company’s securities are listed or quoted for trading, in each case as amended from time to time.</w:t>
      </w:r>
    </w:p>
    <w:p>
      <w:pPr>
        <w:spacing w:after="0" w:line="181" w:lineRule="exact"/>
        <w:rPr>
          <w:rFonts w:ascii="Arial" w:cs="Arial" w:eastAsia="Arial" w:hAnsi="Arial"/>
          <w:sz w:val="18"/>
          <w:szCs w:val="18"/>
          <w:color w:val="auto"/>
        </w:rPr>
      </w:pPr>
    </w:p>
    <w:p>
      <w:pPr>
        <w:ind w:left="640" w:hanging="316"/>
        <w:spacing w:after="0" w:line="277"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member must be financially literate and able to read and understand fundamental financial statements, including the Company’s balance sheet, statement of operations and statement of cash flows, as determined by the Board.</w:t>
      </w:r>
    </w:p>
    <w:p>
      <w:pPr>
        <w:spacing w:after="0" w:line="170" w:lineRule="exact"/>
        <w:rPr>
          <w:rFonts w:ascii="Arial" w:cs="Arial" w:eastAsia="Arial" w:hAnsi="Arial"/>
          <w:sz w:val="18"/>
          <w:szCs w:val="18"/>
          <w:color w:val="auto"/>
        </w:rPr>
      </w:pPr>
    </w:p>
    <w:p>
      <w:pPr>
        <w:jc w:val="both"/>
        <w:ind w:left="640" w:hanging="316"/>
        <w:spacing w:after="0" w:line="312" w:lineRule="auto"/>
        <w:tabs>
          <w:tab w:leader="none" w:pos="6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At least one member must have accounting or related financial management expertise, as the Board interprets such qualification in its business judgment, by virtue of such member’s current or past employment experience in finance or accounting, requisite professional certification in finance or accounting, or any other comparable experience or background which results in such individual’s financial sophistication.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39" w:name="page240"/>
    <w:bookmarkEnd w:id="239"/>
    <w:p>
      <w:pPr>
        <w:ind w:left="640" w:hanging="316"/>
        <w:spacing w:after="0" w:line="342" w:lineRule="auto"/>
        <w:tabs>
          <w:tab w:leader="none" w:pos="6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Each member shall also meet any other requirements and standards established from time to time to time by the SEC and any securities exchange on which the Company’s securities are listed or quoted for trading, in each case as amended from time to time, for audit committee members.</w:t>
      </w:r>
    </w:p>
    <w:p>
      <w:pPr>
        <w:spacing w:after="0" w:line="12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Board shall designate one member of the Audit Committee as its chairperson.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Audit Committee member may resign by delivering his or her written resignation to the chairman of the Board, or may be removed by majority vote of the Board by delivery to such member of written notice of removal, to take effect at a date specified therein, or upon delivery of such written notice to such member if no date is specified. The Board shall have the power at any time to fill vacancies in the Audit Committee, subject to such new member(s) satisfying the above requirements.</w:t>
      </w:r>
    </w:p>
    <w:p>
      <w:pPr>
        <w:spacing w:after="0" w:line="183" w:lineRule="exact"/>
        <w:rPr>
          <w:sz w:val="20"/>
          <w:szCs w:val="20"/>
          <w:color w:val="auto"/>
        </w:rPr>
      </w:pPr>
    </w:p>
    <w:p>
      <w:pPr>
        <w:ind w:left="640" w:hanging="640"/>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will set its own schedule of meetings and will meet at least quarterly, with the option of holding additional meetings at such times as it deems necessary or appropriate. Meetings of the Audit Committee shall be called by a majority of the members of the Audit Committee upon such notice as is provided for in the Company’s charter documents with respect to meetings of the Board. A majority of the Audit Committee members shall constitute a quorum. Actions of the Audit Committee may be taken in person at a meeting or in writing without a meeting. Actions taken at a meeting, to be valid, shall require the approval of a majority of the members of the Audit Committee present and voting. Actions taken in writing, to be valid, shall be signed by all members of the Audit Committee. The Audit Committee will maintain written minutes of its meetings, which minutes will be filed with the minutes of the meetings of the Board. Periodically, the Audit Committee shall meet separately with the Company’s management, with the internal auditors and/or internal control director, and with the independent auditors.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may form subcommittees for any purpose that the Audit Committee deems appropriate and may delegate to such subcommittees such power and authority as the Audit Committee deems appropriate. The Audit Committee shall not delegate to a subcommittee any power or authority required by law, regulation or listing standard to be exercised by the Audit Committee as a whole.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 shall make regular reports to the Board, which reports shall include to the extent that the Audit Committee deems appropriate, any issues that arise with respect to the quality or integrity of the Company’s financial statements, the Company’s compliance with legal or regulatory requirements, the performance and independence of the Company’s independent auditors or the performance of the internal audit function.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1125" w:right="319" w:bottom="1440" w:gutter="0" w:footer="0" w:header="0"/>
        </w:sectPr>
      </w:pPr>
    </w:p>
    <w:bookmarkStart w:id="240" w:name="page241"/>
    <w:bookmarkEnd w:id="240"/>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AUTHORITY AND RESPONSIBILITIES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shall appoint and oversee the work of the independent auditors, approve the compensation of the independent auditors and review and, if appropriate, discharge the independent auditors. In this regard, the independent auditors shall report directly to the Audit Committee, and the Audit Committee shall have the sole authority to approve the hiring and discharging of the independent auditors, all audit engagement fees and terms and all permissible non-audit engagements with the independent auditors.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Audit Committee shall pre-approve (or, where permitted under the rules of the SEC, subsequently approve) engagements of the independent auditors to render audit services and/or establish pre-approval policies and procedures for such engagements, provided that (i) such policies and procedures are detailed as to the particular services rendered, (ii) the Audit Committee is informed of each such service and (iii) such policies and procedures do not include delegation to management of the Audit Committee’s responsibilities under the Securities Exchange Act of 1934 or SEC rules. The Audit Committee shall also pre-approve any non-audit services proposed to be provided to the Company by the independent auditors.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shall review and reassess the adequacy and scope of this Charter annually and recommend any proposed changes to the Board for approval.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shall evaluate its performance annually.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deemed necessary or appropriate, the Audit Committee shall be responsible for: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Oversight of the Company’s Relationship with the Independent Auditor</w:t>
      </w:r>
    </w:p>
    <w:p>
      <w:pPr>
        <w:spacing w:after="0" w:line="225" w:lineRule="exact"/>
        <w:rPr>
          <w:sz w:val="20"/>
          <w:szCs w:val="20"/>
          <w:color w:val="auto"/>
        </w:rPr>
      </w:pPr>
    </w:p>
    <w:p>
      <w:pPr>
        <w:jc w:val="both"/>
        <w:ind w:left="980" w:hanging="332"/>
        <w:spacing w:after="0" w:line="297" w:lineRule="auto"/>
        <w:tabs>
          <w:tab w:leader="none" w:pos="9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auditors, including (i) obtaining on a periodic basis a formal written statement from the independent auditors delineating all relationships between the independent auditors and the Company, (ii) maintaining an active dialogue with the independent auditors, covering any disclosed relationship or services that may impair their objectivity and independence, (iii) presenting this statement to the Board and (iv) to the extent there are any such relationships, monitoring and investigating them and, if necessary, taking, or recommending to the Board that the Board take, appropriate action to maintain the independence of the independent auditors.</w:t>
      </w:r>
    </w:p>
    <w:p>
      <w:pPr>
        <w:spacing w:after="0" w:line="158" w:lineRule="exact"/>
        <w:rPr>
          <w:rFonts w:ascii="Arial" w:cs="Arial" w:eastAsia="Arial" w:hAnsi="Arial"/>
          <w:sz w:val="16"/>
          <w:szCs w:val="16"/>
          <w:color w:val="auto"/>
        </w:rPr>
      </w:pPr>
    </w:p>
    <w:p>
      <w:pPr>
        <w:jc w:val="both"/>
        <w:ind w:left="980" w:hanging="332"/>
        <w:spacing w:after="0" w:line="264" w:lineRule="auto"/>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Evaluate, at least annually, the independent auditors’ qualifications, performance and independence, which evaluation shall include a review and evaluation of the lead partner of the independent auditors, and take appropriate action to oversee the independence of the independent auditors.</w:t>
      </w:r>
    </w:p>
    <w:p>
      <w:pPr>
        <w:spacing w:after="0" w:line="181" w:lineRule="exact"/>
        <w:rPr>
          <w:rFonts w:ascii="Arial" w:cs="Arial" w:eastAsia="Arial" w:hAnsi="Arial"/>
          <w:sz w:val="18"/>
          <w:szCs w:val="18"/>
          <w:color w:val="auto"/>
        </w:rPr>
      </w:pPr>
    </w:p>
    <w:p>
      <w:pPr>
        <w:ind w:left="980" w:hanging="332"/>
        <w:spacing w:after="0"/>
        <w:tabs>
          <w:tab w:leader="none" w:pos="9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Review, in consultation with the independent auditors, the annual audit plan and scope of audit activities and monitor such plan’s progress.</w:t>
      </w:r>
    </w:p>
    <w:p>
      <w:pPr>
        <w:spacing w:after="0" w:line="248" w:lineRule="exact"/>
        <w:rPr>
          <w:rFonts w:ascii="Arial" w:cs="Arial" w:eastAsia="Arial" w:hAnsi="Arial"/>
          <w:sz w:val="16"/>
          <w:szCs w:val="16"/>
          <w:color w:val="auto"/>
        </w:rPr>
      </w:pPr>
    </w:p>
    <w:p>
      <w:pPr>
        <w:ind w:left="980" w:hanging="332"/>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Establish policies regarding the hiring of employees or former employees of the independent auditors.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i w:val="1"/>
          <w:iCs w:val="1"/>
          <w:color w:val="auto"/>
        </w:rPr>
        <w:t>Financial Statements and Disclosure Matters</w:t>
      </w:r>
    </w:p>
    <w:p>
      <w:pPr>
        <w:spacing w:after="0" w:line="225" w:lineRule="exact"/>
        <w:rPr>
          <w:sz w:val="20"/>
          <w:szCs w:val="20"/>
          <w:color w:val="auto"/>
        </w:rPr>
      </w:pPr>
    </w:p>
    <w:p>
      <w:pPr>
        <w:jc w:val="both"/>
        <w:ind w:left="340" w:hanging="332"/>
        <w:spacing w:after="0" w:line="279" w:lineRule="auto"/>
        <w:tabs>
          <w:tab w:leader="none" w:pos="3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Discuss and, as appropriate, review with management and the independent auditors the Company’s financial statements and annual and quarterly reports, including the Company’s disclosures under Management’s Discussion and Analysis of Financial Condition and Results of Operations, discuss with the independent auditors any other matters required to be discussed by accounting and auditing standards, and recommend to the Board whether the audited financial statements should be included in the Company’s annual report.</w:t>
      </w:r>
    </w:p>
    <w:p>
      <w:pPr>
        <w:spacing w:after="0" w:line="171" w:lineRule="exact"/>
        <w:rPr>
          <w:rFonts w:ascii="Arial" w:cs="Arial" w:eastAsia="Arial" w:hAnsi="Arial"/>
          <w:sz w:val="17"/>
          <w:szCs w:val="17"/>
          <w:color w:val="auto"/>
        </w:rPr>
      </w:pPr>
    </w:p>
    <w:p>
      <w:pPr>
        <w:jc w:val="both"/>
        <w:ind w:left="340" w:hanging="332"/>
        <w:spacing w:after="0" w:line="271" w:lineRule="auto"/>
        <w:tabs>
          <w:tab w:leader="none" w:pos="3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Discuss with management, the internal auditor and the independent auditors significant financial reporting issues raised and judgments made in connection with the preparation of the Company’s financial statements, including the review of (i) major issues regarding accounting principles and financial statement presentation, including any significant changes in the Company’s selection or application of accounting principles; (ii) analyses prepared by management and/or the independent auditors setting forth significant financial reporting issues raised and judgments made in connection with the preparation of the financial statements, including analyses of the effects of alternative GAAP methods on the financial statements; (iii) the effect of regulatory and accounting initiatives, as well as off-balance sheet arrangements, on the Company’s financial statements; and (iv) the type and presentation of information be included in earnings press releases, as well as any financial information and earnings guidance to be provided to analysts and rating agencies.</w:t>
      </w:r>
    </w:p>
    <w:p>
      <w:pPr>
        <w:spacing w:after="0" w:line="178"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least annually, obtain and review a report by the independent auditor describing: (i) the audit firm’s internal quality-control procedures; (ii) any material issues raised by the most recent internal quality-control review, or peer review, of the audit firm, or (iii) by any inquiry or investigation by governmental or professional authorities, within the preceding five years, respecting one or more independent audits carried out by the audit firm, and any steps taken to deal with any such issues described in the report.</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Receive, review and discuss quarterly reports from the independent auditors on (i) the Company’s major critical accounting policies and practices; (ii) significant alternative treatments of financial information within GAAP that have been discussed with management; (iii) ramifications of the use of such alternative disclosures and treatments; (iv) any treatments preferred by the independent auditors; and (v) other material written communications between the independent auditors and management, such as any management letter or schedule of unadjusted differences.</w:t>
      </w:r>
    </w:p>
    <w:p>
      <w:pPr>
        <w:spacing w:after="0" w:line="188"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Review on a regular basis with the Company’s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and ensure the resolution of any disagreements between management and the independent auditors regarding financial reporting.</w:t>
      </w:r>
    </w:p>
    <w:p>
      <w:pPr>
        <w:spacing w:after="0" w:line="3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716089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242" w:name="page243"/>
    <w:bookmarkEnd w:id="242"/>
    <w:p>
      <w:pPr>
        <w:ind w:left="980" w:hanging="332"/>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Review disclosures regarding the Company’s internal controls that are required to be included in SEC reports.</w:t>
      </w:r>
    </w:p>
    <w:p>
      <w:pPr>
        <w:spacing w:after="0" w:line="225"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auditors any correspondence with regulators or governmental agencies and any published reports that raise material issues regarding the Company’s financial statements or accounting policies.</w:t>
      </w:r>
    </w:p>
    <w:p>
      <w:pPr>
        <w:spacing w:after="0" w:line="170"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Discuss with management earnings press releases and financial information and earnings guidance to be provided to analysts and rating agencies, including any proposed use of “pro forma” or “adjusted” non- GAAP information.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Oversight of the Company’s Internal Control Function</w:t>
      </w:r>
    </w:p>
    <w:p>
      <w:pPr>
        <w:spacing w:after="0" w:line="225" w:lineRule="exact"/>
        <w:rPr>
          <w:sz w:val="20"/>
          <w:szCs w:val="20"/>
          <w:color w:val="auto"/>
        </w:rPr>
      </w:pPr>
    </w:p>
    <w:p>
      <w:pPr>
        <w:jc w:val="both"/>
        <w:ind w:left="980" w:hanging="332"/>
        <w:spacing w:after="0" w:line="312" w:lineRule="auto"/>
        <w:tabs>
          <w:tab w:leader="none" w:pos="9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Review the adequacy and effectiveness of the Company’s internal control policies and procedures on a regular basis, including the responsibilities, budget and staffing of the Company’s internal audit and control function, as well as the need for any special audit procedures in response to material control deficiencies, through inquiry and discussions with the Company’s independent auditors and management.</w:t>
      </w:r>
    </w:p>
    <w:p>
      <w:pPr>
        <w:spacing w:after="0" w:line="146" w:lineRule="exact"/>
        <w:rPr>
          <w:rFonts w:ascii="Arial" w:cs="Arial" w:eastAsia="Arial" w:hAnsi="Arial"/>
          <w:sz w:val="16"/>
          <w:szCs w:val="16"/>
          <w:color w:val="auto"/>
        </w:rPr>
      </w:pPr>
    </w:p>
    <w:p>
      <w:pPr>
        <w:ind w:left="980" w:hanging="332"/>
        <w:spacing w:after="0" w:line="277"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 the reports prepared by management, assessing the adequacy and effectiveness of the Company’s internal controls and procedures, prior to the inclusion of such reports in the Company’s periodic filings as required under SEC rules.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Compliance Oversight Responsibilities</w:t>
      </w:r>
    </w:p>
    <w:p>
      <w:pPr>
        <w:spacing w:after="0" w:line="225" w:lineRule="exact"/>
        <w:rPr>
          <w:sz w:val="20"/>
          <w:szCs w:val="20"/>
          <w:color w:val="auto"/>
        </w:rPr>
      </w:pPr>
    </w:p>
    <w:p>
      <w:pPr>
        <w:ind w:left="980" w:hanging="332"/>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Discuss and review guidelines and policies with respect to risk assessment and risk management, including the Company’s insurance coverage from time to time.</w:t>
      </w:r>
    </w:p>
    <w:p>
      <w:pPr>
        <w:spacing w:after="0" w:line="170"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Discuss with the Company’s chief legal officer legal matters that may have a material impact on the financial statements or the Company’s compliance procedures.</w:t>
      </w:r>
    </w:p>
    <w:p>
      <w:pPr>
        <w:spacing w:after="0" w:line="170" w:lineRule="exact"/>
        <w:rPr>
          <w:rFonts w:ascii="Arial" w:cs="Arial" w:eastAsia="Arial" w:hAnsi="Arial"/>
          <w:sz w:val="18"/>
          <w:szCs w:val="18"/>
          <w:color w:val="auto"/>
        </w:rPr>
      </w:pPr>
    </w:p>
    <w:p>
      <w:pPr>
        <w:jc w:val="both"/>
        <w:ind w:left="980" w:hanging="332"/>
        <w:spacing w:after="0" w:line="264"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Establish procedures for receiving, retaining and treating complaints received by the Company regarding accounting, internal accounting controls or auditing matters and procedures for the confidential, anonymous submission by employees of concerns regarding questionable accounting or auditing matters.</w:t>
      </w:r>
    </w:p>
    <w:p>
      <w:pPr>
        <w:spacing w:after="0" w:line="181" w:lineRule="exact"/>
        <w:rPr>
          <w:rFonts w:ascii="Arial" w:cs="Arial" w:eastAsia="Arial" w:hAnsi="Arial"/>
          <w:sz w:val="18"/>
          <w:szCs w:val="18"/>
          <w:color w:val="auto"/>
        </w:rPr>
      </w:pPr>
    </w:p>
    <w:p>
      <w:pPr>
        <w:ind w:left="980" w:hanging="332"/>
        <w:spacing w:after="0"/>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 approve and monitor the Company’s code of ethics applicable to its senior financial officers.</w:t>
      </w:r>
    </w:p>
    <w:p>
      <w:pPr>
        <w:spacing w:after="0" w:line="225"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Review any conflicts of interest and related party transactions to assess an impact on the Company’s internal controls or financial reporting and disclosure.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shall have the authority to engage independent counsel and other advisers, as it determines necessary, to carry out its duties. The Company shall provide for appropriate funding, as determined by the Audit Committee, for payment of (i) compensation to the independent auditors engaged for the purpose of preparing or issuing an audit report or performing other audit review or attest services for the Company, (ii) compensation to any advisers employed by the Audit Committee and (iii) ordinary administrative expenses of the Audit Committee that are necessary or appropriate for carrying out its duties.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Adopted: ______________, 2015</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responsibilities and powers of the Compensation Committee of the Board of Directors (the “Board”) of M I Acquisitions, Inc. (the “Company”), as delegated by the Board, are set forth in this charter (this “Charter”). Whenever the Compensation Committee takes an action, it shall exercise its independent judgment on an informed basis that the action is in the best interests of the Company and its shareholders.</w:t>
      </w:r>
    </w:p>
    <w:p>
      <w:pPr>
        <w:spacing w:after="0" w:line="177" w:lineRule="exact"/>
        <w:rPr>
          <w:sz w:val="20"/>
          <w:szCs w:val="20"/>
          <w:color w:val="auto"/>
        </w:rPr>
      </w:pPr>
    </w:p>
    <w:p>
      <w:pPr>
        <w:ind w:left="640" w:hanging="640"/>
        <w:spacing w:after="0"/>
        <w:tabs>
          <w:tab w:leader="none" w:pos="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purpose of the Compensation Committee shall be to assist the Board in determining the compensation of the Chief Executive Officer, the chairman of the Board, the Chief Financial Officer and other executive officers of the Company (collectively, the “Executives”) and make recommendations to the Board with respect to the compensation of the non-Executive officers of the Company and the independent directors.</w:t>
      </w:r>
    </w:p>
    <w:p>
      <w:pPr>
        <w:spacing w:after="0" w:line="162" w:lineRule="exact"/>
        <w:rPr>
          <w:sz w:val="20"/>
          <w:szCs w:val="20"/>
          <w:color w:val="auto"/>
        </w:rPr>
      </w:pPr>
    </w:p>
    <w:p>
      <w:pPr>
        <w:ind w:left="640" w:hanging="640"/>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shall consist of at least two members of the Board. Each member shall meet the independence and experience requirements and standards established from time to time to time by the Securities and Exchange Commission (the “SEC”) and any securities exchange on which the Company’s securities are listed or quoted for trading, in each case as amended from time to time. In addition, each member must qualify as a “Non-Employee Director” under Rule 16b-3 under the Securities Exchange Act of 1934, as amended (the “Exchange Act”), and satisfy the requirements of Section 162(m) of the Internal Revenue Code for “outside directors,” and any other regulatory requirements.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Board shall elect the members of the Compensation Committee at the first Board meeting practicable and may make changes from time to time pursuant to the provisions below. The members of the Compensation Committee shall serve until their successors are appointed and qualify. Unless a chairman of the Compensation Committee (the “Chairman”) is elected by the Board or by a majority of the members of the Compensation Committee, no chairman of the Compensation Committee shall be designated. If appointed by the Board or the members of the Compensation Committee, the Chairman shall be a member of the Compensation Committee and, if present, shall preside at each meeting of the Compensation Committee. The Chairman shall perform such duties as may from time to time be assigned to the Chairman by the Compensation Committee or the Board.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Compensation Committee member may resign by delivering his or her written resignation to the chairman of the Board, or may be removed by majority vote of the Board by delivery to such member of written notice of removal, to take effect at a date specified therein, or upon delivery of such written notice to such member if no date is specified. The Board shall have the power at any time to fill vacancies in the Compensation Committee, subject to such new member(s) satisfying the above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44" w:name="page245"/>
    <w:bookmarkEnd w:id="244"/>
    <w:p>
      <w:pPr>
        <w:ind w:left="640" w:hanging="640"/>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COMMITTEE ACTION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Committee shall meet at such times as it deems necessary to fulfill its responsibilities, but not less frequently than annually. Meetings of the Compensation Committee shall be called by a majority of the members of the Compensation Committee upon such notice as is provided for in the Company’s charter documents with respect to meetings of the Board. A majority of the Compensation Committee members shall constitute a quorum. Actions of the Compensation Committee may be taken in person at a meeting or in writing without a meeting. Actions taken at a meeting, to be valid, shall require the approval of a majority of the members of the Compensation Committee present and voting. Actions taken in writing, to be valid, shall be signed by all members of the Compensation Committee. The Compensation Committee shall report its minutes from each meeting to the Board.</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majority of the members of the Compensation Committee may establish, consistent with the requirements of this Charter, such rules as may from time to time be necessary or appropriate for the conduct of the business of the Compensation Committee. At each meeting, a majority of the members of the Compensation Committee shall appoint as secretary a person who may, but need not, be a member of the Compensation Committee. A certificate of the secretary of the Compensation Committee or minutes of a meeting of the Compensation Committee executed by the secretary setting forth the names of the members of the Compensation Committee present at the meeting or actions taken by the Compensation Committee at the meeting shall be sufficient evidence at all times as to the members of the Compensation Committee who were present, or such actions taken.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shall have the authority to delegate any of its responsibilities to subcommittees as it may deem appropriate in its sole discretion. The Chief Executive Officer of the Company may not be present during voting or deliberations of the Compensation Committee with respect to his compensation.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AUTHORITY AND RESPONSIBILITIES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Committee shall have the following authority and responsibilities:</w:t>
      </w:r>
    </w:p>
    <w:p>
      <w:pPr>
        <w:spacing w:after="0" w:line="225" w:lineRule="exact"/>
        <w:rPr>
          <w:sz w:val="20"/>
          <w:szCs w:val="20"/>
          <w:color w:val="auto"/>
        </w:rPr>
      </w:pPr>
    </w:p>
    <w:p>
      <w:pPr>
        <w:jc w:val="both"/>
        <w:ind w:left="1300" w:hanging="652"/>
        <w:spacing w:after="0" w:line="272" w:lineRule="auto"/>
        <w:tabs>
          <w:tab w:leader="none" w:pos="13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At least annually review the Company’s corporate goals and objectives relevant to the Executives’ compensation; evaluate the Executives’ performance in light of such goals and objectives; and, either as a Compensation Committee or, together with the other independent directors (as directed by the Board), determine and approve the Executives’ compensation level based on this evaluation (and Chief Executive Officer may not be present during voting or deliberations on his or her compensation). In determining the long-term incentive component of the Executives’ compensation, the Compensation Committee will consider the Company’s performance, the value of similar incentive awards to the Executives at comparable companies, the awards given to the Executives in past years and any relevant legal requirements and associated guidance of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160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45" w:name="page246"/>
    <w:bookmarkEnd w:id="245"/>
    <w:p>
      <w:pPr>
        <w:ind w:left="652" w:hanging="652"/>
        <w:spacing w:after="0" w:line="277" w:lineRule="auto"/>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At least annually review and make recommendations to the Board with respect to director compensation to assist the Board in making the final determination as to director compensation.</w:t>
      </w:r>
    </w:p>
    <w:p>
      <w:pPr>
        <w:spacing w:after="0" w:line="170"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Attempt to ensure that the Company’s compensation program is effective in attracting and retaining key employees, reinforce business strategies and objectives for enhanced shareholder value, and administer the compensation program in a fair and equitable manner consistent with established policies and guidelines.</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Administer the Company’s incentive-compensation plans and equity-based plans, insofar as provided therein.</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Make recommendations to the Board regarding approval, disapproval, modification, or termination of existing or proposed employee benefit plans.</w:t>
      </w:r>
    </w:p>
    <w:p>
      <w:pPr>
        <w:spacing w:after="0" w:line="170" w:lineRule="exact"/>
        <w:rPr>
          <w:rFonts w:ascii="Arial" w:cs="Arial" w:eastAsia="Arial" w:hAnsi="Arial"/>
          <w:sz w:val="18"/>
          <w:szCs w:val="18"/>
          <w:color w:val="auto"/>
        </w:rPr>
      </w:pPr>
    </w:p>
    <w:p>
      <w:pPr>
        <w:ind w:left="652" w:hanging="652"/>
        <w:spacing w:after="0" w:line="308" w:lineRule="auto"/>
        <w:tabs>
          <w:tab w:leader="none" w:pos="65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Approve any stock option award or any other type of award as may be required for complying with any tax, securities, or other regulatory requirement, or otherwise determined to be appropriate or desirable by the Compensation Committee or Board.</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Approve the policy for authorizing claims for expenses from the Executives.</w:t>
      </w:r>
    </w:p>
    <w:p>
      <w:pPr>
        <w:spacing w:after="0" w:line="225"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Retain or obtain the advice of a compensation consultant, legal counsel or other adviser, in the sole discretion of the Compensation Committee. The Compensation Committee shall be directly responsible for the appointment, compensation and oversight of the work of any compensation consultant, legal counsel and other adviser retained by the Compensation Committee. The Company shall provide for appropriate funding, as determined by the compensation committee, for payment of reasonable compensation to a compensation consultant, legal counsel or any other adviser retained by the Compensation Committee. The Compensation Committee shall have sole authority to approve related fees and retention terms.</w:t>
      </w:r>
    </w:p>
    <w:p>
      <w:pPr>
        <w:spacing w:after="0" w:line="193"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Review and approve the compensation disclosure and analysis prepared by the Company’s management, as required to be included in the Company’s proxy statement or annual report, or equivalent, filed with the SEC.</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Review and assess the adequacy of this charter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443865</wp:posOffset>
            </wp:positionV>
            <wp:extent cx="71608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sectPr>
      <w:pgSz w:w="11900" w:h="16838" w:orient="portrait"/>
      <w:cols w:equalWidth="0" w:num="1">
        <w:col w:w="10612"/>
      </w:cols>
      <w:pgMar w:left="968" w:top="9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decimal"/>
      <w:start w:val="1"/>
    </w:lvl>
  </w:abstractNum>
  <w:abstractNum w:abstractNumId="1">
    <w:nsid w:val="7055A5F5"/>
    <w:multiLevelType w:val="hybridMultilevel"/>
    <w:lvl w:ilvl="0">
      <w:lvlJc w:val="left"/>
      <w:lvlText w:val="(%1)"/>
      <w:numFmt w:val="decimal"/>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1)"/>
      <w:numFmt w:val="decimal"/>
      <w:start w:val="2"/>
    </w:lvl>
  </w:abstractNum>
  <w:abstractNum w:abstractNumId="5">
    <w:nsid w:val="5FB8011C"/>
    <w:multiLevelType w:val="hybridMultilevel"/>
    <w:lvl w:ilvl="0">
      <w:lvlJc w:val="left"/>
      <w:lvlText w:val="(%1)"/>
      <w:numFmt w:val="lowerRoman"/>
      <w:start w:val="10"/>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1)"/>
      <w:numFmt w:val="lowerRoman"/>
      <w:start w:val="2"/>
    </w:lvl>
  </w:abstractNum>
  <w:abstractNum w:abstractNumId="8">
    <w:nsid w:val="6FC75AF8"/>
    <w:multiLevelType w:val="hybridMultilevel"/>
    <w:lvl w:ilvl="0">
      <w:lvlJc w:val="left"/>
      <w:lvlText w:val="(%1)"/>
      <w:numFmt w:val="decimal"/>
      <w:start w:val="1"/>
    </w:lvl>
  </w:abstractNum>
  <w:abstractNum w:abstractNumId="9">
    <w:nsid w:val="6A5F7029"/>
    <w:multiLevelType w:val="hybridMultilevel"/>
    <w:lvl w:ilvl="0">
      <w:lvlJc w:val="left"/>
      <w:lvlText w:val="(%1)"/>
      <w:numFmt w:val="lowerRoman"/>
      <w:start w:val="2"/>
    </w:lvl>
    <w:lvl w:ilvl="1">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1)"/>
      <w:numFmt w:val="decimal"/>
      <w:start w:val="1"/>
    </w:lvl>
  </w:abstractNum>
  <w:abstractNum w:abstractNumId="20">
    <w:nsid w:val="53299938"/>
    <w:multiLevelType w:val="hybridMultilevel"/>
    <w:lvl w:ilvl="0">
      <w:lvlJc w:val="left"/>
      <w:lvlText w:val="(%1)"/>
      <w:numFmt w:val="decimal"/>
      <w:start w:val="1"/>
    </w:lvl>
  </w:abstractNum>
  <w:abstractNum w:abstractNumId="21">
    <w:nsid w:val="1FBFE8E0"/>
    <w:multiLevelType w:val="hybridMultilevel"/>
    <w:lvl w:ilvl="0">
      <w:lvlJc w:val="left"/>
      <w:lvlText w:val="(%1)"/>
      <w:numFmt w:val="decimal"/>
      <w:start w:val="1"/>
    </w:lvl>
  </w:abstractNum>
  <w:abstractNum w:abstractNumId="22">
    <w:nsid w:val="5092CA79"/>
    <w:multiLevelType w:val="hybridMultilevel"/>
    <w:lvl w:ilvl="0">
      <w:lvlJc w:val="left"/>
      <w:lvlText w:val="(%1)"/>
      <w:numFmt w:val="decimal"/>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lowerRoman"/>
      <w:start w:val="2"/>
    </w:lvl>
  </w:abstractNum>
  <w:abstractNum w:abstractNumId="33">
    <w:nsid w:val="7C58FD05"/>
    <w:multiLevelType w:val="hybridMultilevel"/>
    <w:lvl w:ilvl="0">
      <w:lvlJc w:val="left"/>
      <w:lvlText w:val="(%1)"/>
      <w:numFmt w:val="lowerRoman"/>
      <w:start w:val="2"/>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
      <w:numFmt w:val="bullet"/>
      <w:start w:val="1"/>
    </w:lvl>
  </w:abstractNum>
  <w:abstractNum w:abstractNumId="36">
    <w:nsid w:val="5C10FE21"/>
    <w:multiLevelType w:val="hybridMultilevel"/>
    <w:lvl w:ilvl="0">
      <w:lvlJc w:val="left"/>
      <w:lvlText w:val="•"/>
      <w:numFmt w:val="bullet"/>
      <w:start w:val="1"/>
    </w:lvl>
  </w:abstractNum>
  <w:abstractNum w:abstractNumId="37">
    <w:nsid w:val="E7FFA2B"/>
    <w:multiLevelType w:val="hybridMultilevel"/>
    <w:lvl w:ilvl="0">
      <w:lvlJc w:val="left"/>
      <w:lvlText w:val="•"/>
      <w:numFmt w:val="bullet"/>
      <w:start w:val="1"/>
    </w:lvl>
  </w:abstractNum>
  <w:abstractNum w:abstractNumId="38">
    <w:nsid w:val="3C5991AA"/>
    <w:multiLevelType w:val="hybridMultilevel"/>
    <w:lvl w:ilvl="0">
      <w:lvlJc w:val="left"/>
      <w:lvlText w:val="•"/>
      <w:numFmt w:val="bullet"/>
      <w:start w:val="1"/>
    </w:lvl>
  </w:abstractNum>
  <w:abstractNum w:abstractNumId="39">
    <w:nsid w:val="4BD8591A"/>
    <w:multiLevelType w:val="hybridMultilevel"/>
    <w:lvl w:ilvl="0">
      <w:lvlJc w:val="left"/>
      <w:lvlText w:val="•"/>
      <w:numFmt w:val="bullet"/>
      <w:start w:val="1"/>
    </w:lvl>
  </w:abstractNum>
  <w:abstractNum w:abstractNumId="40">
    <w:nsid w:val="78DF6A55"/>
    <w:multiLevelType w:val="hybridMultilevel"/>
    <w:lvl w:ilvl="0">
      <w:lvlJc w:val="left"/>
      <w:lvlText w:val="&amp;"/>
      <w:numFmt w:val="bullet"/>
      <w:start w:val="1"/>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
      <w:numFmt w:val="bullet"/>
      <w:start w:val="1"/>
    </w:lvl>
  </w:abstractNum>
  <w:abstractNum w:abstractNumId="45">
    <w:nsid w:val="69E373"/>
    <w:multiLevelType w:val="hybridMultilevel"/>
    <w:lvl w:ilvl="0">
      <w:lvlJc w:val="left"/>
      <w:lvlText w:val="(%1)"/>
      <w:numFmt w:val="upperLetter"/>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
      <w:numFmt w:val="bullet"/>
      <w:start w:val="1"/>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1)"/>
      <w:numFmt w:val="decimal"/>
      <w:start w:val="1"/>
    </w:lvl>
  </w:abstractNum>
  <w:abstractNum w:abstractNumId="51">
    <w:nsid w:val="3DD15094"/>
    <w:multiLevelType w:val="hybridMultilevel"/>
    <w:lvl w:ilvl="0">
      <w:lvlJc w:val="left"/>
      <w:lvlText w:val="(%1)"/>
      <w:numFmt w:val="decimal"/>
      <w:start w:val="1"/>
    </w:lvl>
  </w:abstractNum>
  <w:abstractNum w:abstractNumId="52">
    <w:nsid w:val="3DB012B3"/>
    <w:multiLevelType w:val="hybridMultilevel"/>
    <w:lvl w:ilvl="0">
      <w:lvlJc w:val="left"/>
      <w:lvlText w:val="•"/>
      <w:numFmt w:val="bullet"/>
      <w:start w:val="1"/>
    </w:lvl>
  </w:abstractNum>
  <w:abstractNum w:abstractNumId="53">
    <w:nsid w:val="2708C9AF"/>
    <w:multiLevelType w:val="hybridMultilevel"/>
    <w:lvl w:ilvl="0">
      <w:lvlJc w:val="left"/>
      <w:lvlText w:val="•"/>
      <w:numFmt w:val="bullet"/>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1)"/>
      <w:numFmt w:val="decimal"/>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1)"/>
      <w:numFmt w:val="decimal"/>
      <w:start w:val="1"/>
    </w:lvl>
  </w:abstractNum>
  <w:abstractNum w:abstractNumId="63">
    <w:nsid w:val="17A1B582"/>
    <w:multiLevelType w:val="hybridMultilevel"/>
    <w:lvl w:ilvl="0">
      <w:lvlJc w:val="left"/>
      <w:lvlText w:val="(%1)"/>
      <w:numFmt w:val="decimal"/>
      <w:start w:val="1"/>
    </w:lvl>
  </w:abstractNum>
  <w:abstractNum w:abstractNumId="64">
    <w:nsid w:val="4DF72E4E"/>
    <w:multiLevelType w:val="hybridMultilevel"/>
    <w:lvl w:ilvl="0">
      <w:lvlJc w:val="left"/>
      <w:lvlText w:val="(%1)"/>
      <w:numFmt w:val="decimal"/>
      <w:start w:val="1"/>
    </w:lvl>
  </w:abstractNum>
  <w:abstractNum w:abstractNumId="65">
    <w:nsid w:val="5046B5A9"/>
    <w:multiLevelType w:val="hybridMultilevel"/>
    <w:lvl w:ilvl="0">
      <w:lvlJc w:val="left"/>
      <w:lvlText w:val="(%1)"/>
      <w:numFmt w:val="decimal"/>
      <w:start w:val="1"/>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Letter"/>
      <w:start w:val="3"/>
    </w:lvl>
  </w:abstractNum>
  <w:abstractNum w:abstractNumId="68">
    <w:nsid w:val="5EC6AFD4"/>
    <w:multiLevelType w:val="hybridMultilevel"/>
    <w:lvl w:ilvl="0">
      <w:lvlJc w:val="left"/>
      <w:lvlText w:val="(%1)"/>
      <w:numFmt w:val="lowerLetter"/>
      <w:start w:val="10"/>
    </w:lvl>
  </w:abstractNum>
  <w:abstractNum w:abstractNumId="69">
    <w:nsid w:val="19E21B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0">
    <w:nsid w:val="75E0858A"/>
    <w:multiLevelType w:val="hybridMultilevel"/>
    <w:lvl w:ilvl="0">
      <w:lvlJc w:val="left"/>
      <w:lvlText w:val="%1"/>
      <w:numFmt w:val="decimal"/>
      <w:start w:val="1"/>
    </w:lvl>
    <w:lvl w:ilvl="1">
      <w:lvlJc w:val="left"/>
      <w:lvlText w:val="(%2)"/>
      <w:numFmt w:val="lowerRoman"/>
      <w:start w:val="1"/>
    </w:lvl>
  </w:abstractNum>
  <w:abstractNum w:abstractNumId="71">
    <w:nsid w:val="57A61A29"/>
    <w:multiLevelType w:val="hybridMultilevel"/>
    <w:lvl w:ilvl="0">
      <w:lvlJc w:val="left"/>
      <w:lvlText w:val="(%1)"/>
      <w:numFmt w:val="decimal"/>
      <w:start w:val="5"/>
    </w:lvl>
    <w:lvl w:ilvl="1">
      <w:lvlJc w:val="left"/>
      <w:lvlText w:val="%2"/>
      <w:numFmt w:val="lowerRoman"/>
      <w:start w:val="1"/>
    </w:lvl>
  </w:abstractNum>
  <w:abstractNum w:abstractNumId="72">
    <w:nsid w:val="5399C654"/>
    <w:multiLevelType w:val="hybridMultilevel"/>
    <w:lvl w:ilvl="0">
      <w:lvlJc w:val="left"/>
      <w:lvlText w:val="(%1)"/>
      <w:numFmt w:val="lowerLetter"/>
      <w:start w:val="2"/>
    </w:lvl>
    <w:lvl w:ilvl="1">
      <w:lvlJc w:val="left"/>
      <w:lvlText w:val="(%2)"/>
      <w:numFmt w:val="decimal"/>
      <w:start w:val="1"/>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1."/>
      <w:numFmt w:val="decimal"/>
      <w:start w:val="1"/>
    </w:lvl>
  </w:abstractNum>
  <w:abstractNum w:abstractNumId="75">
    <w:nsid w:val="B37E80A"/>
    <w:multiLevelType w:val="hybridMultilevel"/>
    <w:lvl w:ilvl="0">
      <w:lvlJc w:val="left"/>
      <w:lvlText w:val="%1."/>
      <w:numFmt w:val="decimal"/>
      <w:start w:val="1"/>
    </w:lvl>
  </w:abstractNum>
  <w:abstractNum w:abstractNumId="76">
    <w:nsid w:val="2157F6BC"/>
    <w:multiLevelType w:val="hybridMultilevel"/>
    <w:lvl w:ilvl="0">
      <w:lvlJc w:val="left"/>
      <w:lvlText w:val="%1."/>
      <w:numFmt w:val="upperLetter"/>
      <w:start w:val="1"/>
    </w:lvl>
  </w:abstractNum>
  <w:abstractNum w:abstractNumId="77">
    <w:nsid w:val="704E1DD5"/>
    <w:multiLevelType w:val="hybridMultilevel"/>
    <w:lvl w:ilvl="0">
      <w:lvlJc w:val="left"/>
      <w:lvlText w:val="%1."/>
      <w:numFmt w:val="upperLetter"/>
      <w:start w:val="1"/>
    </w:lvl>
  </w:abstractNum>
  <w:abstractNum w:abstractNumId="78">
    <w:nsid w:val="57D2F10E"/>
    <w:multiLevelType w:val="hybridMultilevel"/>
    <w:lvl w:ilvl="0">
      <w:lvlJc w:val="left"/>
      <w:lvlText w:val="%1."/>
      <w:numFmt w:val="upperLetter"/>
      <w:start w:val="3"/>
    </w:lvl>
  </w:abstractNum>
  <w:abstractNum w:abstractNumId="79">
    <w:nsid w:val="BFFAE18"/>
    <w:multiLevelType w:val="hybridMultilevel"/>
    <w:lvl w:ilvl="0">
      <w:lvlJc w:val="left"/>
      <w:lvlText w:val="%1."/>
      <w:numFmt w:val="upperLetter"/>
      <w:start w:val="5"/>
    </w:lvl>
  </w:abstractNum>
  <w:abstractNum w:abstractNumId="80">
    <w:nsid w:val="E3E47A8"/>
    <w:multiLevelType w:val="hybridMultilevel"/>
    <w:lvl w:ilvl="0">
      <w:lvlJc w:val="left"/>
      <w:lvlText w:val="%1."/>
      <w:numFmt w:val="upperLetter"/>
      <w:start w:val="1"/>
    </w:lvl>
  </w:abstractNum>
  <w:abstractNum w:abstractNumId="81">
    <w:nsid w:val="2E48F044"/>
    <w:multiLevelType w:val="hybridMultilevel"/>
    <w:lvl w:ilvl="0">
      <w:lvlJc w:val="left"/>
      <w:lvlText w:val="%1."/>
      <w:numFmt w:val="upperLetter"/>
      <w:start w:val="1"/>
    </w:lvl>
  </w:abstractNum>
  <w:abstractNum w:abstractNumId="82">
    <w:nsid w:val="49D0FEAC"/>
    <w:multiLevelType w:val="hybridMultilevel"/>
    <w:lvl w:ilvl="0">
      <w:lvlJc w:val="left"/>
      <w:lvlText w:val="(%1)"/>
      <w:numFmt w:val="lowerLetter"/>
      <w:start w:val="2"/>
    </w:lvl>
  </w:abstractNum>
  <w:abstractNum w:abstractNumId="83">
    <w:nsid w:val="4BEE5A5B"/>
    <w:multiLevelType w:val="hybridMultilevel"/>
    <w:lvl w:ilvl="0">
      <w:lvlJc w:val="left"/>
      <w:lvlText w:val="(%1)"/>
      <w:numFmt w:val="lowerLetter"/>
      <w:start w:val="3"/>
    </w:lvl>
  </w:abstractNum>
  <w:abstractNum w:abstractNumId="84">
    <w:nsid w:val="5551B9F3"/>
    <w:multiLevelType w:val="hybridMultilevel"/>
    <w:lvl w:ilvl="0">
      <w:lvlJc w:val="left"/>
      <w:lvlText w:val="(%1)"/>
      <w:numFmt w:val="lowerLetter"/>
      <w:start w:val="8"/>
    </w:lvl>
  </w:abstractNum>
  <w:abstractNum w:abstractNumId="85">
    <w:nsid w:val="24F6AB8E"/>
    <w:multiLevelType w:val="hybridMultilevel"/>
    <w:lvl w:ilvl="0">
      <w:lvlJc w:val="left"/>
      <w:lvlText w:val="%1."/>
      <w:numFmt w:val="decimal"/>
      <w:start w:val="1"/>
    </w:lvl>
  </w:abstractNum>
  <w:abstractNum w:abstractNumId="86">
    <w:nsid w:val="634C574C"/>
    <w:multiLevelType w:val="hybridMultilevel"/>
    <w:lvl w:ilvl="0">
      <w:lvlJc w:val="left"/>
      <w:lvlText w:val="%1."/>
      <w:numFmt w:val="decimal"/>
      <w:start w:val="2"/>
    </w:lvl>
  </w:abstractNum>
  <w:abstractNum w:abstractNumId="87">
    <w:nsid w:val="24E99DD7"/>
    <w:multiLevelType w:val="hybridMultilevel"/>
    <w:lvl w:ilvl="0">
      <w:lvlJc w:val="left"/>
      <w:lvlText w:val="%1."/>
      <w:numFmt w:val="decimal"/>
      <w:start w:val="3"/>
    </w:lvl>
  </w:abstractNum>
  <w:abstractNum w:abstractNumId="88">
    <w:nsid w:val="2A31B62D"/>
    <w:multiLevelType w:val="hybridMultilevel"/>
    <w:lvl w:ilvl="0">
      <w:lvlJc w:val="left"/>
      <w:lvlText w:val="(%1)"/>
      <w:numFmt w:val="lowerRoman"/>
      <w:start w:val="1"/>
    </w:lvl>
  </w:abstractNum>
  <w:abstractNum w:abstractNumId="89">
    <w:nsid w:val="1849C29B"/>
    <w:multiLevelType w:val="hybridMultilevel"/>
    <w:lvl w:ilvl="0">
      <w:lvlJc w:val="left"/>
      <w:lvlText w:val="%1."/>
      <w:numFmt w:val="decimal"/>
      <w:start w:val="4"/>
    </w:lvl>
  </w:abstractNum>
  <w:abstractNum w:abstractNumId="90">
    <w:nsid w:val="7DFF9D09"/>
    <w:multiLevelType w:val="hybridMultilevel"/>
    <w:lvl w:ilvl="0">
      <w:lvlJc w:val="left"/>
      <w:lvlText w:val="(%1)"/>
      <w:numFmt w:val="lowerRoman"/>
      <w:start w:val="2"/>
    </w:lvl>
  </w:abstractNum>
  <w:abstractNum w:abstractNumId="91">
    <w:nsid w:val="754342"/>
    <w:multiLevelType w:val="hybridMultilevel"/>
    <w:lvl w:ilvl="0">
      <w:lvlJc w:val="left"/>
      <w:lvlText w:val="%1."/>
      <w:numFmt w:val="decimal"/>
      <w:start w:val="5"/>
    </w:lvl>
  </w:abstractNum>
  <w:abstractNum w:abstractNumId="92">
    <w:nsid w:val="69E7F3E5"/>
    <w:multiLevelType w:val="hybridMultilevel"/>
    <w:lvl w:ilvl="0">
      <w:lvlJc w:val="left"/>
      <w:lvlText w:val="%1."/>
      <w:numFmt w:val="decimal"/>
      <w:start w:val="6"/>
    </w:lvl>
  </w:abstractNum>
  <w:abstractNum w:abstractNumId="93">
    <w:nsid w:val="2A6DE806"/>
    <w:multiLevelType w:val="hybridMultilevel"/>
    <w:lvl w:ilvl="0">
      <w:lvlJc w:val="left"/>
      <w:lvlText w:val="%1."/>
      <w:numFmt w:val="decimal"/>
      <w:start w:val="7"/>
    </w:lvl>
  </w:abstractNum>
  <w:abstractNum w:abstractNumId="94">
    <w:nsid w:val="1816F8C4"/>
    <w:multiLevelType w:val="hybridMultilevel"/>
    <w:lvl w:ilvl="0">
      <w:lvlJc w:val="left"/>
      <w:lvlText w:val="%1."/>
      <w:numFmt w:val="decimal"/>
      <w:start w:val="8"/>
    </w:lvl>
  </w:abstractNum>
  <w:abstractNum w:abstractNumId="95">
    <w:nsid w:val="37DF2233"/>
    <w:multiLevelType w:val="hybridMultilevel"/>
    <w:lvl w:ilvl="0">
      <w:lvlJc w:val="left"/>
      <w:lvlText w:val="%1."/>
      <w:numFmt w:val="decimal"/>
      <w:start w:val="9"/>
    </w:lvl>
  </w:abstractNum>
  <w:abstractNum w:abstractNumId="96">
    <w:nsid w:val="7AB49DAF"/>
    <w:multiLevelType w:val="hybridMultilevel"/>
    <w:lvl w:ilvl="0">
      <w:lvlJc w:val="left"/>
      <w:lvlText w:val="(%1)"/>
      <w:numFmt w:val="lowerRoman"/>
      <w:start w:val="4"/>
    </w:lvl>
  </w:abstractNum>
  <w:abstractNum w:abstractNumId="97">
    <w:nsid w:val="759F82CD"/>
    <w:multiLevelType w:val="hybridMultilevel"/>
    <w:lvl w:ilvl="0">
      <w:lvlJc w:val="left"/>
      <w:lvlText w:val="%1."/>
      <w:numFmt w:val="decimal"/>
      <w:start w:val="1"/>
    </w:lvl>
    <w:lvl w:ilvl="1">
      <w:lvlJc w:val="left"/>
      <w:lvlText w:val="(%2)"/>
      <w:numFmt w:val="lowerLetter"/>
      <w:start w:val="1"/>
    </w:lvl>
  </w:abstractNum>
  <w:abstractNum w:abstractNumId="98">
    <w:nsid w:val="61E74EA3"/>
    <w:multiLevelType w:val="hybridMultilevel"/>
    <w:lvl w:ilvl="0">
      <w:lvlJc w:val="left"/>
      <w:lvlText w:val="%1"/>
      <w:numFmt w:val="decimal"/>
      <w:start w:val="1"/>
    </w:lvl>
    <w:lvl w:ilvl="1">
      <w:lvlJc w:val="left"/>
      <w:lvlText w:val="(%2)"/>
      <w:numFmt w:val="lowerLetter"/>
      <w:start w:val="3"/>
    </w:lvl>
  </w:abstractNum>
  <w:abstractNum w:abstractNumId="99">
    <w:nsid w:val="597B4D84"/>
    <w:multiLevelType w:val="hybridMultilevel"/>
    <w:lvl w:ilvl="0">
      <w:lvlJc w:val="left"/>
      <w:lvlText w:val="%1."/>
      <w:numFmt w:val="decimal"/>
      <w:start w:val="5"/>
    </w:lvl>
    <w:lvl w:ilvl="1">
      <w:lvlJc w:val="left"/>
      <w:lvlText w:val="(%2)"/>
      <w:numFmt w:val="lowerLetter"/>
      <w:start w:val="1"/>
    </w:lvl>
  </w:abstractNum>
  <w:abstractNum w:abstractNumId="100">
    <w:nsid w:val="F819E7F"/>
    <w:multiLevelType w:val="hybridMultilevel"/>
    <w:lvl w:ilvl="0">
      <w:lvlJc w:val="left"/>
      <w:lvlText w:val="%1."/>
      <w:numFmt w:val="decimal"/>
      <w:start w:val="8"/>
    </w:lvl>
  </w:abstractNum>
  <w:abstractNum w:abstractNumId="101">
    <w:nsid w:val="57C7D42D"/>
    <w:multiLevelType w:val="hybridMultilevel"/>
    <w:lvl w:ilvl="0">
      <w:lvlJc w:val="left"/>
      <w:lvlText w:val="(%1)"/>
      <w:numFmt w:val="lowerRoman"/>
      <w:start w:val="3"/>
    </w:lvl>
  </w:abstractNum>
  <w:abstractNum w:abstractNumId="102">
    <w:nsid w:val="312167AD"/>
    <w:multiLevelType w:val="hybridMultilevel"/>
    <w:lvl w:ilvl="0">
      <w:lvlJc w:val="left"/>
      <w:lvlText w:val="%1."/>
      <w:numFmt w:val="decimal"/>
      <w:start w:val="9"/>
    </w:lvl>
  </w:abstractNum>
  <w:abstractNum w:abstractNumId="103">
    <w:nsid w:val="631B64D4"/>
    <w:multiLevelType w:val="hybridMultilevel"/>
    <w:lvl w:ilvl="0">
      <w:lvlJc w:val="left"/>
      <w:lvlText w:val="%1."/>
      <w:numFmt w:val="decimal"/>
      <w:start w:val="14"/>
    </w:lvl>
  </w:abstractNum>
  <w:abstractNum w:abstractNumId="104">
    <w:nsid w:val="78B5E776"/>
    <w:multiLevelType w:val="hybridMultilevel"/>
    <w:lvl w:ilvl="0">
      <w:lvlJc w:val="left"/>
      <w:lvlText w:val="%1"/>
      <w:numFmt w:val="lowerRoman"/>
      <w:start w:val="1"/>
    </w:lvl>
    <w:lvl w:ilvl="1">
      <w:lvlJc w:val="left"/>
      <w:lvlText w:val="%2."/>
      <w:numFmt w:val="decimal"/>
      <w:start w:val="1"/>
    </w:lvl>
  </w:abstractNum>
  <w:abstractNum w:abstractNumId="105">
    <w:nsid w:val="75486E47"/>
    <w:multiLevelType w:val="hybridMultilevel"/>
    <w:lvl w:ilvl="0">
      <w:lvlJc w:val="left"/>
      <w:lvlText w:val="(%1)"/>
      <w:numFmt w:val="lowerRoman"/>
      <w:start w:val="2"/>
    </w:lvl>
    <w:lvl w:ilvl="1">
      <w:lvlJc w:val="left"/>
      <w:lvlText w:val="%2"/>
      <w:numFmt w:val="decimal"/>
      <w:start w:val="1"/>
    </w:lvl>
  </w:abstractNum>
  <w:abstractNum w:abstractNumId="106">
    <w:nsid w:val="6E534CDE"/>
    <w:multiLevelType w:val="hybridMultilevel"/>
    <w:lvl w:ilvl="0">
      <w:lvlJc w:val="left"/>
      <w:lvlText w:val="%1"/>
      <w:numFmt w:val="decimal"/>
      <w:start w:val="1"/>
    </w:lvl>
    <w:lvl w:ilvl="1">
      <w:lvlJc w:val="left"/>
      <w:lvlText w:val="(%2)"/>
      <w:numFmt w:val="lowerLetter"/>
      <w:start w:val="2"/>
    </w:lvl>
  </w:abstractNum>
  <w:abstractNum w:abstractNumId="107">
    <w:nsid w:val="1A0DDE32"/>
    <w:multiLevelType w:val="hybridMultilevel"/>
    <w:lvl w:ilvl="0">
      <w:lvlJc w:val="left"/>
      <w:lvlText w:val="%1."/>
      <w:numFmt w:val="decimal"/>
      <w:start w:val="3"/>
    </w:lvl>
    <w:lvl w:ilvl="1">
      <w:lvlJc w:val="left"/>
      <w:lvlText w:val="%2"/>
      <w:numFmt w:val="lowerLetter"/>
      <w:start w:val="1"/>
    </w:lvl>
  </w:abstractNum>
  <w:abstractNum w:abstractNumId="108">
    <w:nsid w:val="65968C1C"/>
    <w:multiLevelType w:val="hybridMultilevel"/>
    <w:lvl w:ilvl="0">
      <w:lvlJc w:val="left"/>
      <w:lvlText w:val="%1."/>
      <w:numFmt w:val="decimal"/>
      <w:start w:val="5"/>
    </w:lvl>
  </w:abstractNum>
  <w:abstractNum w:abstractNumId="109">
    <w:nsid w:val="46263DEC"/>
    <w:multiLevelType w:val="hybridMultilevel"/>
    <w:lvl w:ilvl="0">
      <w:lvlJc w:val="left"/>
      <w:lvlText w:val="%1."/>
      <w:numFmt w:val="decimal"/>
      <w:start w:val="6"/>
    </w:lvl>
  </w:abstractNum>
  <w:abstractNum w:abstractNumId="110">
    <w:nsid w:val="260D8C4A"/>
    <w:multiLevelType w:val="hybridMultilevel"/>
    <w:lvl w:ilvl="0">
      <w:lvlJc w:val="left"/>
      <w:lvlText w:val="%1."/>
      <w:numFmt w:val="decimal"/>
      <w:start w:val="8"/>
    </w:lvl>
  </w:abstractNum>
  <w:abstractNum w:abstractNumId="111">
    <w:nsid w:val="73D4D3C4"/>
    <w:multiLevelType w:val="hybridMultilevel"/>
    <w:lvl w:ilvl="0">
      <w:lvlJc w:val="left"/>
      <w:lvlText w:val="1"/>
      <w:numFmt w:val="bullet"/>
      <w:start w:val="1"/>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lowerLetter"/>
      <w:start w:val="8"/>
    </w:lvl>
  </w:abstractNum>
  <w:abstractNum w:abstractNumId="114">
    <w:nsid w:val="3FC32E20"/>
    <w:multiLevelType w:val="hybridMultilevel"/>
    <w:lvl w:ilvl="0">
      <w:lvlJc w:val="left"/>
      <w:lvlText w:val="(%1)"/>
      <w:numFmt w:val="lowerLetter"/>
      <w:start w:val="14"/>
    </w:lvl>
  </w:abstractNum>
  <w:abstractNum w:abstractNumId="115">
    <w:nsid w:val="49C0E823"/>
    <w:multiLevelType w:val="hybridMultilevel"/>
    <w:lvl w:ilvl="0">
      <w:lvlJc w:val="left"/>
      <w:lvlText w:val="(%1)"/>
      <w:numFmt w:val="lowerLetter"/>
      <w:start w:val="19"/>
    </w:lvl>
    <w:lvl w:ilvl="1">
      <w:lvlJc w:val="left"/>
      <w:lvlText w:val="%2."/>
      <w:numFmt w:val="decimal"/>
      <w:start w:val="10"/>
    </w:lvl>
  </w:abstractNum>
  <w:abstractNum w:abstractNumId="116">
    <w:nsid w:val="14D53685"/>
    <w:multiLevelType w:val="hybridMultilevel"/>
    <w:lvl w:ilvl="0">
      <w:lvlJc w:val="left"/>
      <w:lvlText w:val="%1."/>
      <w:numFmt w:val="decimal"/>
      <w:start w:val="14"/>
    </w:lvl>
  </w:abstractNum>
  <w:abstractNum w:abstractNumId="117">
    <w:nsid w:val="230F856C"/>
    <w:multiLevelType w:val="hybridMultilevel"/>
    <w:lvl w:ilvl="0">
      <w:lvlJc w:val="left"/>
      <w:lvlText w:val="%1."/>
      <w:numFmt w:val="decimal"/>
      <w:start w:val="16"/>
    </w:lvl>
  </w:abstractNum>
  <w:abstractNum w:abstractNumId="118">
    <w:nsid w:val="6EAA85FB"/>
    <w:multiLevelType w:val="hybridMultilevel"/>
    <w:lvl w:ilvl="0">
      <w:lvlJc w:val="left"/>
      <w:lvlText w:val="%1."/>
      <w:numFmt w:val="decimal"/>
      <w:start w:val="1"/>
    </w:lvl>
    <w:lvl w:ilvl="1">
      <w:lvlJc w:val="left"/>
      <w:lvlText w:val="(%2)"/>
      <w:numFmt w:val="lowerLetter"/>
      <w:start w:val="1"/>
    </w:lvl>
  </w:abstractNum>
  <w:abstractNum w:abstractNumId="119">
    <w:nsid w:val="3F06ECB2"/>
    <w:multiLevelType w:val="hybridMultilevel"/>
    <w:lvl w:ilvl="0">
      <w:lvlJc w:val="left"/>
      <w:lvlText w:val="%1"/>
      <w:numFmt w:val="decimal"/>
      <w:start w:val="1"/>
    </w:lvl>
    <w:lvl w:ilvl="1">
      <w:lvlJc w:val="left"/>
      <w:lvlText w:val="(%2)"/>
      <w:numFmt w:val="lowerLetter"/>
      <w:start w:val="4"/>
    </w:lvl>
  </w:abstractNum>
  <w:abstractNum w:abstractNumId="120">
    <w:nsid w:val="3B594807"/>
    <w:multiLevelType w:val="hybridMultilevel"/>
    <w:lvl w:ilvl="0">
      <w:lvlJc w:val="left"/>
      <w:lvlText w:val="%1."/>
      <w:numFmt w:val="decimal"/>
      <w:start w:val="2"/>
    </w:lvl>
    <w:lvl w:ilvl="1">
      <w:lvlJc w:val="left"/>
      <w:lvlText w:val="(%2)"/>
      <w:numFmt w:val="lowerLetter"/>
      <w:start w:val="1"/>
    </w:lvl>
  </w:abstractNum>
  <w:abstractNum w:abstractNumId="121">
    <w:nsid w:val="6CAA2304"/>
    <w:multiLevelType w:val="hybridMultilevel"/>
    <w:lvl w:ilvl="0">
      <w:lvlJc w:val="left"/>
      <w:lvlText w:val="%1"/>
      <w:numFmt w:val="decimal"/>
      <w:start w:val="1"/>
    </w:lvl>
    <w:lvl w:ilvl="1">
      <w:lvlJc w:val="left"/>
      <w:lvlText w:val="(%2)"/>
      <w:numFmt w:val="lowerLetter"/>
      <w:start w:val="3"/>
    </w:lvl>
  </w:abstractNum>
  <w:abstractNum w:abstractNumId="122">
    <w:nsid w:val="3F7C2FF4"/>
    <w:multiLevelType w:val="hybridMultilevel"/>
    <w:lvl w:ilvl="0">
      <w:lvlJc w:val="left"/>
      <w:lvlText w:val="%1."/>
      <w:numFmt w:val="decimal"/>
      <w:start w:val="3"/>
    </w:lvl>
    <w:lvl w:ilvl="1">
      <w:lvlJc w:val="left"/>
      <w:lvlText w:val="(%2)"/>
      <w:numFmt w:val="lowerLetter"/>
      <w:start w:val="1"/>
    </w:lvl>
  </w:abstractNum>
  <w:abstractNum w:abstractNumId="123">
    <w:nsid w:val="25413BEC"/>
    <w:multiLevelType w:val="hybridMultilevel"/>
    <w:lvl w:ilvl="0">
      <w:lvlJc w:val="left"/>
      <w:lvlText w:val="%1"/>
      <w:numFmt w:val="decimal"/>
      <w:start w:val="1"/>
    </w:lvl>
    <w:lvl w:ilvl="1">
      <w:lvlJc w:val="left"/>
      <w:lvlText w:val="(%2)"/>
      <w:numFmt w:val="lowerLetter"/>
      <w:start w:val="4"/>
    </w:lvl>
  </w:abstractNum>
  <w:abstractNum w:abstractNumId="124">
    <w:nsid w:val="17180B0B"/>
    <w:multiLevelType w:val="hybridMultilevel"/>
    <w:lvl w:ilvl="0">
      <w:lvlJc w:val="left"/>
      <w:lvlText w:val="%1."/>
      <w:numFmt w:val="decimal"/>
      <w:start w:val="4"/>
    </w:lvl>
    <w:lvl w:ilvl="1">
      <w:lvlJc w:val="left"/>
      <w:lvlText w:val="(%2)"/>
      <w:numFmt w:val="lowerLetter"/>
      <w:start w:val="1"/>
    </w:lvl>
  </w:abstractNum>
  <w:abstractNum w:abstractNumId="125">
    <w:nsid w:val="579328B9"/>
    <w:multiLevelType w:val="hybridMultilevel"/>
    <w:lvl w:ilvl="0">
      <w:lvlJc w:val="left"/>
      <w:lvlText w:val="%1"/>
      <w:numFmt w:val="decimal"/>
      <w:start w:val="1"/>
    </w:lvl>
    <w:lvl w:ilvl="1">
      <w:lvlJc w:val="left"/>
      <w:lvlText w:val="(%2)"/>
      <w:numFmt w:val="lowerLetter"/>
      <w:start w:val="7"/>
    </w:lvl>
  </w:abstractNum>
  <w:abstractNum w:abstractNumId="126">
    <w:nsid w:val="5D205E20"/>
    <w:multiLevelType w:val="hybridMultilevel"/>
    <w:lvl w:ilvl="0">
      <w:lvlJc w:val="left"/>
      <w:lvlText w:val="%1."/>
      <w:numFmt w:val="decimal"/>
      <w:start w:val="5"/>
    </w:lvl>
    <w:lvl w:ilvl="1">
      <w:lvlJc w:val="left"/>
      <w:lvlText w:val="(%2)"/>
      <w:numFmt w:val="lowerLetter"/>
      <w:start w:val="1"/>
    </w:lvl>
  </w:abstractNum>
  <w:abstractNum w:abstractNumId="127">
    <w:nsid w:val="11CCA8BA"/>
    <w:multiLevelType w:val="hybridMultilevel"/>
    <w:lvl w:ilvl="0">
      <w:lvlJc w:val="left"/>
      <w:lvlText w:val="%1"/>
      <w:numFmt w:val="decimal"/>
      <w:start w:val="1"/>
    </w:lvl>
    <w:lvl w:ilvl="1">
      <w:lvlJc w:val="left"/>
      <w:lvlText w:val="(%2)"/>
      <w:numFmt w:val="lowerLetter"/>
      <w:start w:val="2"/>
    </w:lvl>
  </w:abstractNum>
  <w:abstractNum w:abstractNumId="128">
    <w:nsid w:val="4D32AB86"/>
    <w:multiLevelType w:val="hybridMultilevel"/>
    <w:lvl w:ilvl="0">
      <w:lvlJc w:val="left"/>
      <w:lvlText w:val="%1."/>
      <w:numFmt w:val="decimal"/>
      <w:start w:val="7"/>
    </w:lvl>
    <w:lvl w:ilvl="1">
      <w:lvlJc w:val="left"/>
      <w:lvlText w:val="(%2)"/>
      <w:numFmt w:val="lowerLetter"/>
      <w:start w:val="1"/>
    </w:lvl>
  </w:abstractNum>
  <w:abstractNum w:abstractNumId="129">
    <w:nsid w:val="3F07ACC3"/>
    <w:multiLevelType w:val="hybridMultilevel"/>
    <w:lvl w:ilvl="0">
      <w:lvlJc w:val="left"/>
      <w:lvlText w:val="(%1)"/>
      <w:numFmt w:val="lowerLetter"/>
      <w:start w:val="5"/>
    </w:lvl>
  </w:abstractNum>
  <w:abstractNum w:abstractNumId="130">
    <w:nsid w:val="6B47F63E"/>
    <w:multiLevelType w:val="hybridMultilevel"/>
    <w:lvl w:ilvl="0">
      <w:lvlJc w:val="left"/>
      <w:lvlText w:val="(%1)"/>
      <w:numFmt w:val="lowerLetter"/>
      <w:start w:val="6"/>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1."/>
      <w:numFmt w:val="decimal"/>
      <w:start w:val="3"/>
    </w:lvl>
  </w:abstractNum>
  <w:abstractNum w:abstractNumId="133">
    <w:nsid w:val="1C695DEC"/>
    <w:multiLevelType w:val="hybridMultilevel"/>
    <w:lvl w:ilvl="0">
      <w:lvlJc w:val="left"/>
      <w:lvlText w:val="%1."/>
      <w:numFmt w:val="decimal"/>
      <w:start w:val="4"/>
    </w:lvl>
  </w:abstractNum>
  <w:abstractNum w:abstractNumId="134">
    <w:nsid w:val="3FCFAED9"/>
    <w:multiLevelType w:val="hybridMultilevel"/>
    <w:lvl w:ilvl="0">
      <w:lvlJc w:val="left"/>
      <w:lvlText w:val="%1."/>
      <w:numFmt w:val="decimal"/>
      <w:start w:val="5"/>
    </w:lvl>
  </w:abstractNum>
  <w:abstractNum w:abstractNumId="135">
    <w:nsid w:val="F856867"/>
    <w:multiLevelType w:val="hybridMultilevel"/>
    <w:lvl w:ilvl="0">
      <w:lvlJc w:val="left"/>
      <w:lvlText w:val="%1."/>
      <w:numFmt w:val="decimal"/>
      <w:start w:val="6"/>
    </w:lvl>
  </w:abstractNum>
  <w:abstractNum w:abstractNumId="136">
    <w:nsid w:val="11B1CC33"/>
    <w:multiLevelType w:val="hybridMultilevel"/>
    <w:lvl w:ilvl="0">
      <w:lvlJc w:val="left"/>
      <w:lvlText w:val="%1."/>
      <w:numFmt w:val="decimal"/>
      <w:start w:val="1"/>
    </w:lvl>
  </w:abstractNum>
  <w:abstractNum w:abstractNumId="137">
    <w:nsid w:val="2E22FBB7"/>
    <w:multiLevelType w:val="hybridMultilevel"/>
    <w:lvl w:ilvl="0">
      <w:lvlJc w:val="left"/>
      <w:lvlText w:val="%1."/>
      <w:numFmt w:val="decimal"/>
      <w:start w:val="2"/>
    </w:lvl>
  </w:abstractNum>
  <w:abstractNum w:abstractNumId="138">
    <w:nsid w:val="29934699"/>
    <w:multiLevelType w:val="hybridMultilevel"/>
    <w:lvl w:ilvl="0">
      <w:lvlJc w:val="left"/>
      <w:lvlText w:val="%1)"/>
      <w:numFmt w:val="lowerLetter"/>
      <w:start w:val="1"/>
    </w:lvl>
  </w:abstractNum>
  <w:abstractNum w:abstractNumId="139">
    <w:nsid w:val="77485850"/>
    <w:multiLevelType w:val="hybridMultilevel"/>
    <w:lvl w:ilvl="0">
      <w:lvlJc w:val="left"/>
      <w:lvlText w:val="%1."/>
      <w:numFmt w:val="decimal"/>
      <w:start w:val="3"/>
    </w:lvl>
  </w:abstractNum>
  <w:abstractNum w:abstractNumId="140">
    <w:nsid w:val="744939A3"/>
    <w:multiLevelType w:val="hybridMultilevel"/>
    <w:lvl w:ilvl="0">
      <w:lvlJc w:val="left"/>
      <w:lvlText w:val="(%1)"/>
      <w:numFmt w:val="lowerRoman"/>
      <w:start w:val="2"/>
    </w:lvl>
  </w:abstractNum>
  <w:abstractNum w:abstractNumId="141">
    <w:nsid w:val="4FA0D2E3"/>
    <w:multiLevelType w:val="hybridMultilevel"/>
    <w:lvl w:ilvl="0">
      <w:lvlJc w:val="left"/>
      <w:lvlText w:val="%1."/>
      <w:numFmt w:val="decimal"/>
      <w:start w:val="4"/>
    </w:lvl>
  </w:abstractNum>
  <w:abstractNum w:abstractNumId="142">
    <w:nsid w:val="6B1D2C14"/>
    <w:multiLevelType w:val="hybridMultilevel"/>
    <w:lvl w:ilvl="0">
      <w:lvlJc w:val="left"/>
      <w:lvlText w:val="%1."/>
      <w:numFmt w:val="decimal"/>
      <w:start w:val="5"/>
    </w:lvl>
  </w:abstractNum>
  <w:abstractNum w:abstractNumId="143">
    <w:nsid w:val="68B867D3"/>
    <w:multiLevelType w:val="hybridMultilevel"/>
    <w:lvl w:ilvl="0">
      <w:lvlJc w:val="left"/>
      <w:lvlText w:val="%1."/>
      <w:numFmt w:val="decimal"/>
      <w:start w:val="6"/>
    </w:lvl>
  </w:abstractNum>
  <w:abstractNum w:abstractNumId="144">
    <w:nsid w:val="3F7F5DD9"/>
    <w:multiLevelType w:val="hybridMultilevel"/>
    <w:lvl w:ilvl="0">
      <w:lvlJc w:val="left"/>
      <w:lvlText w:val="%1."/>
      <w:numFmt w:val="decimal"/>
      <w:start w:val="1"/>
    </w:lvl>
  </w:abstractNum>
  <w:abstractNum w:abstractNumId="145">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6">
    <w:nsid w:val="32794FF7"/>
    <w:multiLevelType w:val="hybridMultilevel"/>
    <w:lvl w:ilvl="0">
      <w:lvlJc w:val="left"/>
      <w:lvlText w:val="%1"/>
      <w:numFmt w:val="lowerLetter"/>
      <w:start w:val="1"/>
    </w:lvl>
    <w:lvl w:ilvl="1">
      <w:lvlJc w:val="left"/>
      <w:lvlText w:val="(%2)"/>
      <w:numFmt w:val="lowerLetter"/>
      <w:start w:val="22"/>
    </w:lvl>
  </w:abstractNum>
  <w:abstractNum w:abstractNumId="147">
    <w:nsid w:val="5454945E"/>
    <w:multiLevelType w:val="hybridMultilevel"/>
    <w:lvl w:ilvl="0">
      <w:lvlJc w:val="left"/>
      <w:lvlText w:val="(%1)"/>
      <w:numFmt w:val="lowerLetter"/>
      <w:start w:val="4"/>
    </w:lvl>
    <w:lvl w:ilvl="1">
      <w:lvlJc w:val="left"/>
      <w:lvlText w:val="%2"/>
      <w:numFmt w:val="lowerLetter"/>
      <w:start w:val="1"/>
    </w:lvl>
  </w:abstractNum>
  <w:abstractNum w:abstractNumId="148">
    <w:nsid w:val="4DEFDFA0"/>
    <w:multiLevelType w:val="hybridMultilevel"/>
    <w:lvl w:ilvl="0">
      <w:lvlJc w:val="left"/>
      <w:lvlText w:val="%1"/>
      <w:numFmt w:val="decimal"/>
      <w:start w:val="1"/>
    </w:lvl>
    <w:lvl w:ilvl="1">
      <w:lvlJc w:val="left"/>
      <w:lvlText w:val="(%2)"/>
      <w:numFmt w:val="lowerLetter"/>
      <w:start w:val="12"/>
    </w:lvl>
  </w:abstractNum>
  <w:abstractNum w:abstractNumId="149">
    <w:nsid w:val="2123D5F2"/>
    <w:multiLevelType w:val="hybridMultilevel"/>
    <w:lvl w:ilvl="0">
      <w:lvlJc w:val="left"/>
      <w:lvlText w:val="%1."/>
      <w:numFmt w:val="decimal"/>
      <w:start w:val="3"/>
    </w:lvl>
    <w:lvl w:ilvl="1">
      <w:lvlJc w:val="left"/>
      <w:lvlText w:val="%2"/>
      <w:numFmt w:val="lowerLetter"/>
      <w:start w:val="1"/>
    </w:lvl>
  </w:abstractNum>
  <w:abstractNum w:abstractNumId="150">
    <w:nsid w:val="135B8110"/>
    <w:multiLevelType w:val="hybridMultilevel"/>
    <w:lvl w:ilvl="0">
      <w:lvlJc w:val="left"/>
      <w:lvlText w:val="%1."/>
      <w:numFmt w:val="decimal"/>
      <w:start w:val="6"/>
    </w:lvl>
    <w:lvl w:ilvl="1">
      <w:lvlJc w:val="left"/>
      <w:lvlText w:val="(%2)"/>
      <w:numFmt w:val="lowerLetter"/>
      <w:start w:val="1"/>
    </w:lvl>
  </w:abstractNum>
  <w:abstractNum w:abstractNumId="151">
    <w:nsid w:val="94927A8"/>
    <w:multiLevelType w:val="hybridMultilevel"/>
    <w:lvl w:ilvl="0">
      <w:lvlJc w:val="left"/>
      <w:lvlText w:val="%1"/>
      <w:numFmt w:val="decimal"/>
      <w:start w:val="1"/>
    </w:lvl>
    <w:lvl w:ilvl="1">
      <w:lvlJc w:val="left"/>
      <w:lvlText w:val="(%2)"/>
      <w:numFmt w:val="lowerLetter"/>
      <w:start w:val="3"/>
    </w:lvl>
  </w:abstractNum>
  <w:abstractNum w:abstractNumId="152">
    <w:nsid w:val="DCDF8F6"/>
    <w:multiLevelType w:val="hybridMultilevel"/>
    <w:lvl w:ilvl="0">
      <w:lvlJc w:val="left"/>
      <w:lvlText w:val="%1."/>
      <w:numFmt w:val="decimal"/>
      <w:start w:val="10"/>
    </w:lvl>
    <w:lvl w:ilvl="1">
      <w:lvlJc w:val="left"/>
      <w:lvlText w:val="(%2)"/>
      <w:numFmt w:val="lowerLetter"/>
      <w:start w:val="1"/>
    </w:lvl>
  </w:abstractNum>
  <w:abstractNum w:abstractNumId="153">
    <w:nsid w:val="52D7B105"/>
    <w:multiLevelType w:val="hybridMultilevel"/>
    <w:lvl w:ilvl="0">
      <w:lvlJc w:val="left"/>
      <w:lvlText w:val="%1"/>
      <w:numFmt w:val="decimal"/>
      <w:start w:val="1"/>
    </w:lvl>
    <w:lvl w:ilvl="1">
      <w:lvlJc w:val="left"/>
      <w:lvlText w:val="(%2)"/>
      <w:numFmt w:val="lowerLetter"/>
      <w:start w:val="2"/>
    </w:lvl>
  </w:abstractNum>
  <w:abstractNum w:abstractNumId="154">
    <w:nsid w:val="2E8A6394"/>
    <w:multiLevelType w:val="hybridMultilevel"/>
    <w:lvl w:ilvl="0">
      <w:lvlJc w:val="left"/>
      <w:lvlText w:val="%1."/>
      <w:numFmt w:val="decimal"/>
      <w:start w:val="13"/>
    </w:lvl>
    <w:lvl w:ilvl="1">
      <w:lvlJc w:val="left"/>
      <w:lvlText w:val="(%2)"/>
      <w:numFmt w:val="lowerLetter"/>
      <w:start w:val="1"/>
    </w:lvl>
  </w:abstractNum>
  <w:abstractNum w:abstractNumId="155">
    <w:nsid w:val="24E60401"/>
    <w:multiLevelType w:val="hybridMultilevel"/>
    <w:lvl w:ilvl="0">
      <w:lvlJc w:val="left"/>
      <w:lvlText w:val="%1"/>
      <w:numFmt w:val="decimal"/>
      <w:start w:val="1"/>
    </w:lvl>
    <w:lvl w:ilvl="1">
      <w:lvlJc w:val="left"/>
      <w:lvlText w:val="(%2)"/>
      <w:numFmt w:val="lowerLetter"/>
      <w:start w:val="2"/>
    </w:lvl>
  </w:abstractNum>
  <w:abstractNum w:abstractNumId="156">
    <w:nsid w:val="2A6AD9BE"/>
    <w:multiLevelType w:val="hybridMultilevel"/>
    <w:lvl w:ilvl="0">
      <w:lvlJc w:val="left"/>
      <w:lvlText w:val="%1."/>
      <w:numFmt w:val="decimal"/>
      <w:start w:val="14"/>
    </w:lvl>
    <w:lvl w:ilvl="1">
      <w:lvlJc w:val="left"/>
      <w:lvlText w:val="(%2)"/>
      <w:numFmt w:val="lowerLetter"/>
      <w:start w:val="1"/>
    </w:lvl>
  </w:abstractNum>
  <w:abstractNum w:abstractNumId="157">
    <w:nsid w:val="BAAC1B4"/>
    <w:multiLevelType w:val="hybridMultilevel"/>
    <w:lvl w:ilvl="0">
      <w:lvlJc w:val="left"/>
      <w:lvlText w:val="%1"/>
      <w:numFmt w:val="decimal"/>
      <w:start w:val="1"/>
    </w:lvl>
    <w:lvl w:ilvl="1">
      <w:lvlJc w:val="left"/>
      <w:lvlText w:val="(%2)"/>
      <w:numFmt w:val="lowerLetter"/>
      <w:start w:val="3"/>
    </w:lvl>
  </w:abstractNum>
  <w:abstractNum w:abstractNumId="158">
    <w:nsid w:val="36B2ACBC"/>
    <w:multiLevelType w:val="hybridMultilevel"/>
    <w:lvl w:ilvl="0">
      <w:lvlJc w:val="left"/>
      <w:lvlText w:val="%1."/>
      <w:numFmt w:val="decimal"/>
      <w:start w:val="15"/>
    </w:lvl>
    <w:lvl w:ilvl="1">
      <w:lvlJc w:val="left"/>
      <w:lvlText w:val="(%2)"/>
      <w:numFmt w:val="lowerLetter"/>
      <w:start w:val="1"/>
    </w:lvl>
  </w:abstractNum>
  <w:abstractNum w:abstractNumId="159">
    <w:nsid w:val="779D8544"/>
    <w:multiLevelType w:val="hybridMultilevel"/>
    <w:lvl w:ilvl="0">
      <w:lvlJc w:val="left"/>
      <w:lvlText w:val="%1"/>
      <w:numFmt w:val="decimal"/>
      <w:start w:val="1"/>
    </w:lvl>
    <w:lvl w:ilvl="1">
      <w:lvlJc w:val="left"/>
      <w:lvlText w:val="(%2)"/>
      <w:numFmt w:val="lowerLetter"/>
      <w:start w:val="2"/>
    </w:lvl>
  </w:abstractNum>
  <w:abstractNum w:abstractNumId="160">
    <w:nsid w:val="4AB26E78"/>
    <w:multiLevelType w:val="hybridMultilevel"/>
    <w:lvl w:ilvl="0">
      <w:lvlJc w:val="left"/>
      <w:lvlText w:val="%1."/>
      <w:numFmt w:val="decimal"/>
      <w:start w:val="17"/>
    </w:lvl>
    <w:lvl w:ilvl="1">
      <w:lvlJc w:val="left"/>
      <w:lvlText w:val="%2"/>
      <w:numFmt w:val="lowerLetter"/>
      <w:start w:val="1"/>
    </w:lvl>
  </w:abstractNum>
  <w:abstractNum w:abstractNumId="161">
    <w:nsid w:val="21FAA2FA"/>
    <w:multiLevelType w:val="hybridMultilevel"/>
    <w:lvl w:ilvl="0">
      <w:lvlJc w:val="left"/>
      <w:lvlText w:val="%1."/>
      <w:numFmt w:val="decimal"/>
      <w:start w:val="18"/>
    </w:lvl>
    <w:lvl w:ilvl="1">
      <w:lvlJc w:val="left"/>
      <w:lvlText w:val="(%2)"/>
      <w:numFmt w:val="lowerLetter"/>
      <w:start w:val="1"/>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decimal"/>
      <w:start w:val="22"/>
    </w:lvl>
  </w:abstractNum>
  <w:abstractNum w:abstractNumId="164">
    <w:nsid w:val="3E6400E6"/>
    <w:multiLevelType w:val="hybridMultilevel"/>
    <w:lvl w:ilvl="0">
      <w:lvlJc w:val="left"/>
      <w:lvlText w:val="·"/>
      <w:numFmt w:val="bullet"/>
      <w:start w:val="1"/>
    </w:lvl>
  </w:abstractNum>
  <w:abstractNum w:abstractNumId="165">
    <w:nsid w:val="14217E23"/>
    <w:multiLevelType w:val="hybridMultilevel"/>
    <w:lvl w:ilvl="0">
      <w:lvlJc w:val="left"/>
      <w:lvlText w:val="·"/>
      <w:numFmt w:val="bullet"/>
      <w:start w:val="1"/>
    </w:lvl>
  </w:abstractNum>
  <w:abstractNum w:abstractNumId="166">
    <w:nsid w:val="710757D0"/>
    <w:multiLevelType w:val="hybridMultilevel"/>
    <w:lvl w:ilvl="0">
      <w:lvlJc w:val="left"/>
      <w:lvlText w:val="(%1)"/>
      <w:numFmt w:val="lowerLetter"/>
      <w:start w:val="1"/>
    </w:lvl>
  </w:abstractNum>
  <w:abstractNum w:abstractNumId="167">
    <w:nsid w:val="5015CD1A"/>
    <w:multiLevelType w:val="hybridMultilevel"/>
    <w:lvl w:ilvl="0">
      <w:lvlJc w:val="left"/>
      <w:lvlText w:val="·"/>
      <w:numFmt w:val="bullet"/>
      <w:start w:val="1"/>
    </w:lvl>
  </w:abstractNum>
  <w:abstractNum w:abstractNumId="168">
    <w:nsid w:val="424479DA"/>
    <w:multiLevelType w:val="hybridMultilevel"/>
    <w:lvl w:ilvl="0">
      <w:lvlJc w:val="left"/>
      <w:lvlText w:val="·"/>
      <w:numFmt w:val="bullet"/>
      <w:start w:val="1"/>
    </w:lvl>
  </w:abstractNum>
  <w:abstractNum w:abstractNumId="169">
    <w:nsid w:val="1A9A9E69"/>
    <w:multiLevelType w:val="hybridMultilevel"/>
    <w:lvl w:ilvl="0">
      <w:lvlJc w:val="left"/>
      <w:lvlText w:val="%1."/>
      <w:numFmt w:val="upperLetter"/>
      <w:start w:val="34"/>
    </w:lvl>
    <w:lvl w:ilvl="1">
      <w:lvlJc w:val="left"/>
      <w:lvlText w:val="·"/>
      <w:numFmt w:val="bullet"/>
      <w:start w:val="1"/>
    </w:lvl>
  </w:abstractNum>
  <w:abstractNum w:abstractNumId="170">
    <w:nsid w:val="475E256A"/>
    <w:multiLevelType w:val="hybridMultilevel"/>
    <w:lvl w:ilvl="0">
      <w:lvlJc w:val="left"/>
      <w:lvlText w:val="·"/>
      <w:numFmt w:val="bullet"/>
      <w:start w:val="1"/>
    </w:lvl>
  </w:abstractNum>
  <w:abstractNum w:abstractNumId="171">
    <w:nsid w:val="368DB37E"/>
    <w:multiLevelType w:val="hybridMultilevel"/>
    <w:lvl w:ilvl="0">
      <w:lvlJc w:val="left"/>
      <w:lvlText w:val="·"/>
      <w:numFmt w:val="bullet"/>
      <w:start w:val="1"/>
    </w:lvl>
  </w:abstractNum>
  <w:abstractNum w:abstractNumId="172">
    <w:nsid w:val="6A3B714C"/>
    <w:multiLevelType w:val="hybridMultilevel"/>
    <w:lvl w:ilvl="0">
      <w:lvlJc w:val="left"/>
      <w:lvlText w:val="·"/>
      <w:numFmt w:val="bullet"/>
      <w:start w:val="1"/>
    </w:lvl>
  </w:abstractNum>
  <w:abstractNum w:abstractNumId="173">
    <w:nsid w:val="327B517E"/>
    <w:multiLevelType w:val="hybridMultilevel"/>
    <w:lvl w:ilvl="0">
      <w:lvlJc w:val="left"/>
      <w:lvlText w:val="·"/>
      <w:numFmt w:val="bullet"/>
      <w:start w:val="1"/>
    </w:lvl>
  </w:abstractNum>
  <w:abstractNum w:abstractNumId="174">
    <w:nsid w:val="1F461B51"/>
    <w:multiLevelType w:val="hybridMultilevel"/>
    <w:lvl w:ilvl="0">
      <w:lvlJc w:val="left"/>
      <w:lvlText w:val="·"/>
      <w:numFmt w:val="bullet"/>
      <w:start w:val="1"/>
    </w:lvl>
  </w:abstractNum>
  <w:abstractNum w:abstractNumId="175">
    <w:nsid w:val="29BACF25"/>
    <w:multiLevelType w:val="hybridMultilevel"/>
    <w:lvl w:ilvl="0">
      <w:lvlJc w:val="left"/>
      <w:lvlText w:val="%1."/>
      <w:numFmt w:val="upperLetter"/>
      <w:start w:val="9"/>
    </w:lvl>
    <w:lvl w:ilvl="1">
      <w:lvlJc w:val="left"/>
      <w:lvlText w:val="·"/>
      <w:numFmt w:val="bullet"/>
      <w:start w:val="1"/>
    </w:lvl>
  </w:abstractNum>
  <w:abstractNum w:abstractNumId="176">
    <w:nsid w:val="5D5BABB3"/>
    <w:multiLevelType w:val="hybridMultilevel"/>
    <w:lvl w:ilvl="0">
      <w:lvlJc w:val="left"/>
      <w:lvlText w:val="%1."/>
      <w:numFmt w:val="upperLetter"/>
      <w:start w:val="35"/>
    </w:lvl>
  </w:abstractNum>
  <w:abstractNum w:abstractNumId="177">
    <w:nsid w:val="51BF6B48"/>
    <w:multiLevelType w:val="hybridMultilevel"/>
    <w:lvl w:ilvl="0">
      <w:lvlJc w:val="left"/>
      <w:lvlText w:val="·"/>
      <w:numFmt w:val="bullet"/>
      <w:start w:val="1"/>
    </w:lvl>
  </w:abstractNum>
  <w:abstractNum w:abstractNumId="178">
    <w:nsid w:val="7E0F6384"/>
    <w:multiLevelType w:val="hybridMultilevel"/>
    <w:lvl w:ilvl="0">
      <w:lvlJc w:val="left"/>
      <w:lvlText w:val="·"/>
      <w:numFmt w:val="bullet"/>
      <w:start w:val="1"/>
    </w:lvl>
  </w:abstractNum>
  <w:abstractNum w:abstractNumId="179">
    <w:nsid w:val="2B4B8B53"/>
    <w:multiLevelType w:val="hybridMultilevel"/>
    <w:lvl w:ilvl="0">
      <w:lvlJc w:val="left"/>
      <w:lvlText w:val="%1."/>
      <w:numFmt w:val="upperLetter"/>
      <w:start w:val="61"/>
    </w:lvl>
  </w:abstractNum>
  <w:abstractNum w:abstractNumId="180">
    <w:nsid w:val="72E3413A"/>
    <w:multiLevelType w:val="hybridMultilevel"/>
    <w:lvl w:ilvl="0">
      <w:lvlJc w:val="left"/>
      <w:lvlText w:val="o"/>
      <w:numFmt w:val="bullet"/>
      <w:start w:val="1"/>
    </w:lvl>
  </w:abstractNum>
  <w:abstractNum w:abstractNumId="181">
    <w:nsid w:val="116AE494"/>
    <w:multiLevelType w:val="hybridMultilevel"/>
    <w:lvl w:ilvl="0">
      <w:lvlJc w:val="left"/>
      <w:lvlText w:val="o"/>
      <w:numFmt w:val="bullet"/>
      <w:start w:val="1"/>
    </w:lvl>
  </w:abstractNum>
  <w:abstractNum w:abstractNumId="182">
    <w:nsid w:val="3494B2FB"/>
    <w:multiLevelType w:val="hybridMultilevel"/>
    <w:lvl w:ilvl="0">
      <w:lvlJc w:val="left"/>
      <w:lvlText w:val="o"/>
      <w:numFmt w:val="bullet"/>
      <w:start w:val="1"/>
    </w:lvl>
  </w:abstractNum>
  <w:abstractNum w:abstractNumId="183">
    <w:nsid w:val="B13A31"/>
    <w:multiLevelType w:val="hybridMultilevel"/>
    <w:lvl w:ilvl="0">
      <w:lvlJc w:val="left"/>
      <w:lvlText w:val="o"/>
      <w:numFmt w:val="bullet"/>
      <w:start w:val="1"/>
    </w:lvl>
  </w:abstractNum>
  <w:abstractNum w:abstractNumId="184">
    <w:nsid w:val="64429599"/>
    <w:multiLevelType w:val="hybridMultilevel"/>
    <w:lvl w:ilvl="0">
      <w:lvlJc w:val="left"/>
      <w:lvlText w:val="o"/>
      <w:numFmt w:val="bullet"/>
      <w:start w:val="1"/>
    </w:lvl>
  </w:abstractNum>
  <w:abstractNum w:abstractNumId="185">
    <w:nsid w:val="631F1690"/>
    <w:multiLevelType w:val="hybridMultilevel"/>
    <w:lvl w:ilvl="0">
      <w:lvlJc w:val="left"/>
      <w:lvlText w:val="%1."/>
      <w:numFmt w:val="upperLetter"/>
      <w:start w:val="9"/>
    </w:lvl>
  </w:abstractNum>
  <w:abstractNum w:abstractNumId="186">
    <w:nsid w:val="25973E32"/>
    <w:multiLevelType w:val="hybridMultilevel"/>
    <w:lvl w:ilvl="0">
      <w:lvlJc w:val="left"/>
      <w:lvlText w:val="%1."/>
      <w:numFmt w:val="upperLetter"/>
      <w:start w:val="35"/>
    </w:lvl>
  </w:abstractNum>
  <w:abstractNum w:abstractNumId="187">
    <w:nsid w:val="EAD6F57"/>
    <w:multiLevelType w:val="hybridMultilevel"/>
    <w:lvl w:ilvl="0">
      <w:lvlJc w:val="left"/>
      <w:lvlText w:val="%1."/>
      <w:numFmt w:val="upperLetter"/>
      <w:start w:val="61"/>
    </w:lvl>
  </w:abstractNum>
  <w:abstractNum w:abstractNumId="188">
    <w:nsid w:val="6EC9D844"/>
    <w:multiLevelType w:val="hybridMultilevel"/>
    <w:lvl w:ilvl="0">
      <w:lvlJc w:val="left"/>
      <w:lvlText w:val="·"/>
      <w:numFmt w:val="bullet"/>
      <w:start w:val="1"/>
    </w:lvl>
  </w:abstractNum>
  <w:abstractNum w:abstractNumId="189">
    <w:nsid w:val="5C49EAE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2020-01-25T14:20:46Z</dcterms:created>
  <dcterms:modified xsi:type="dcterms:W3CDTF">2020-01-25T14:20:46Z</dcterms:modified>
</cp:coreProperties>
</file>