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November 15,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36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November 15, 2021, Priority Technology Holdings, Inc. (“Priority”) issued a press release announcing its financial results for the quarter ended September 30, 2021. A copy of that press release is attached as Exhibit 99.1 to this Current Report on Form 8-K.</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0"/>
          <w:szCs w:val="10"/>
          <w:color w:val="auto"/>
        </w:rPr>
        <w:t>On November 15, 2021, Priority will hold an earnings conference call and webcast at 11:00 a.m. (Eastern Time) to discuss the financial results for the first quarter of 2021. The press release referenced in Item 2.02 contains information</w:t>
      </w:r>
    </w:p>
    <w:p>
      <w:pPr>
        <w:spacing w:after="0" w:line="5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33" w:lineRule="exact"/>
        <w:rPr>
          <w:sz w:val="20"/>
          <w:szCs w:val="20"/>
          <w:color w:val="auto"/>
        </w:rPr>
      </w:pPr>
    </w:p>
    <w:p>
      <w:pPr>
        <w:spacing w:after="0" w:line="374" w:lineRule="auto"/>
        <w:rPr>
          <w:sz w:val="20"/>
          <w:szCs w:val="20"/>
          <w:color w:val="auto"/>
        </w:rPr>
      </w:pPr>
      <w:r>
        <w:rPr>
          <w:rFonts w:ascii="Arial" w:cs="Arial" w:eastAsia="Arial" w:hAnsi="Arial"/>
          <w:sz w:val="11"/>
          <w:szCs w:val="11"/>
          <w:color w:val="auto"/>
        </w:rPr>
        <w:t>Priority Technology Holdings, Inc. (the “Company”) posted to its website, under the Investor Relations tab, a presentation which will be used by Thomas C. Priore, Chairman &amp; Chief Executive Officer and Michael Vollkommer, Chief Financial Officer, in meetings with certain institutional investors and On November 18, 2021 in New York, New York. The investor presentation is attached hereto pursuant to Regulation FD as Exhibit 99.3.</w:t>
      </w:r>
    </w:p>
    <w:p>
      <w:pPr>
        <w:spacing w:after="0" w:line="83" w:lineRule="exact"/>
        <w:rPr>
          <w:sz w:val="20"/>
          <w:szCs w:val="20"/>
          <w:color w:val="auto"/>
        </w:rPr>
      </w:pPr>
    </w:p>
    <w:p>
      <w:pPr>
        <w:ind w:right="20"/>
        <w:spacing w:after="0" w:line="374" w:lineRule="auto"/>
        <w:rPr>
          <w:sz w:val="20"/>
          <w:szCs w:val="20"/>
          <w:color w:val="auto"/>
        </w:rPr>
      </w:pPr>
      <w:r>
        <w:rPr>
          <w:rFonts w:ascii="Arial" w:cs="Arial" w:eastAsia="Arial" w:hAnsi="Arial"/>
          <w:sz w:val="11"/>
          <w:szCs w:val="11"/>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3960" w:type="dxa"/>
            <w:vAlign w:val="bottom"/>
            <w:gridSpan w:val="4"/>
          </w:tcPr>
          <w:p>
            <w:pPr>
              <w:ind w:left="60"/>
              <w:spacing w:after="0"/>
              <w:rPr>
                <w:sz w:val="20"/>
                <w:szCs w:val="20"/>
                <w:color w:val="auto"/>
              </w:rPr>
            </w:pPr>
            <w:r>
              <w:rPr>
                <w:rFonts w:ascii="Arial" w:cs="Arial" w:eastAsia="Arial" w:hAnsi="Arial"/>
                <w:sz w:val="12"/>
                <w:szCs w:val="12"/>
                <w:b w:val="1"/>
                <w:bCs w:val="1"/>
                <w:color w:val="auto"/>
              </w:rPr>
              <w:t>Description of Exhibit</w:t>
            </w:r>
          </w:p>
        </w:tc>
      </w:tr>
      <w:tr>
        <w:trPr>
          <w:trHeight w:val="126"/>
        </w:trPr>
        <w:tc>
          <w:tcPr>
            <w:tcW w:w="220" w:type="dxa"/>
            <w:vAlign w:val="bottom"/>
            <w:tcBorders>
              <w:bottom w:val="single" w:sz="8" w:color="0000FF"/>
            </w:tcBorders>
          </w:tcPr>
          <w:p>
            <w:pPr>
              <w:spacing w:after="0" w:line="126" w:lineRule="exact"/>
              <w:rPr>
                <w:rFonts w:ascii="Arial" w:cs="Arial" w:eastAsia="Arial" w:hAnsi="Arial"/>
                <w:sz w:val="12"/>
                <w:szCs w:val="12"/>
                <w:color w:val="0000FF"/>
                <w:w w:val="85"/>
              </w:rPr>
            </w:pPr>
            <w:hyperlink w:anchor="page3">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980" w:type="dxa"/>
            <w:vAlign w:val="bottom"/>
          </w:tcPr>
          <w:p>
            <w:pPr>
              <w:spacing w:after="0"/>
              <w:rPr>
                <w:sz w:val="10"/>
                <w:szCs w:val="10"/>
                <w:color w:val="auto"/>
              </w:rPr>
            </w:pPr>
          </w:p>
        </w:tc>
        <w:tc>
          <w:tcPr>
            <w:tcW w:w="3780" w:type="dxa"/>
            <w:vAlign w:val="bottom"/>
            <w:tcBorders>
              <w:bottom w:val="single" w:sz="8" w:color="0000FF"/>
            </w:tcBorders>
            <w:gridSpan w:val="3"/>
          </w:tcPr>
          <w:p>
            <w:pPr>
              <w:ind w:left="20"/>
              <w:spacing w:after="0" w:line="126" w:lineRule="exact"/>
              <w:rPr>
                <w:rFonts w:ascii="Arial" w:cs="Arial" w:eastAsia="Arial" w:hAnsi="Arial"/>
                <w:sz w:val="12"/>
                <w:szCs w:val="12"/>
                <w:color w:val="0000FF"/>
                <w:w w:val="89"/>
              </w:rPr>
            </w:pPr>
            <w:hyperlink w:anchor="page3">
              <w:r>
                <w:rPr>
                  <w:rFonts w:ascii="Arial" w:cs="Arial" w:eastAsia="Arial" w:hAnsi="Arial"/>
                  <w:sz w:val="12"/>
                  <w:szCs w:val="12"/>
                  <w:color w:val="0000FF"/>
                  <w:w w:val="89"/>
                </w:rPr>
                <w:t>Press Release of Priority Technology Holdings, Inc. dated November 15, 2021</w:t>
              </w:r>
            </w:hyperlink>
          </w:p>
        </w:tc>
        <w:tc>
          <w:tcPr>
            <w:tcW w:w="180" w:type="dxa"/>
            <w:vAlign w:val="bottom"/>
          </w:tcPr>
          <w:p>
            <w:pPr>
              <w:spacing w:after="0"/>
              <w:rPr>
                <w:sz w:val="10"/>
                <w:szCs w:val="10"/>
                <w:color w:val="auto"/>
              </w:rPr>
            </w:pPr>
          </w:p>
        </w:tc>
      </w:tr>
      <w:tr>
        <w:trPr>
          <w:trHeight w:val="142"/>
        </w:trPr>
        <w:tc>
          <w:tcPr>
            <w:tcW w:w="220" w:type="dxa"/>
            <w:vAlign w:val="bottom"/>
            <w:tcBorders>
              <w:bottom w:val="single" w:sz="8" w:color="0000FF"/>
            </w:tcBorders>
          </w:tcPr>
          <w:p>
            <w:pPr>
              <w:spacing w:after="0"/>
              <w:rPr>
                <w:rFonts w:ascii="Arial" w:cs="Arial" w:eastAsia="Arial" w:hAnsi="Arial"/>
                <w:sz w:val="12"/>
                <w:szCs w:val="12"/>
                <w:color w:val="0000FF"/>
                <w:w w:val="85"/>
              </w:rPr>
            </w:pPr>
            <w:hyperlink w:anchor="page13">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2</w:t>
              </w:r>
            </w:hyperlink>
          </w:p>
        </w:tc>
        <w:tc>
          <w:tcPr>
            <w:tcW w:w="980" w:type="dxa"/>
            <w:vAlign w:val="bottom"/>
          </w:tcPr>
          <w:p>
            <w:pPr>
              <w:spacing w:after="0"/>
              <w:rPr>
                <w:sz w:val="12"/>
                <w:szCs w:val="12"/>
                <w:color w:val="auto"/>
              </w:rPr>
            </w:pPr>
          </w:p>
        </w:tc>
        <w:tc>
          <w:tcPr>
            <w:tcW w:w="880" w:type="dxa"/>
            <w:vAlign w:val="bottom"/>
            <w:tcBorders>
              <w:bottom w:val="single" w:sz="8" w:color="0000FF"/>
            </w:tcBorders>
          </w:tcPr>
          <w:p>
            <w:pPr>
              <w:ind w:left="20"/>
              <w:spacing w:after="0"/>
              <w:rPr>
                <w:rFonts w:ascii="Arial" w:cs="Arial" w:eastAsia="Arial" w:hAnsi="Arial"/>
                <w:sz w:val="12"/>
                <w:szCs w:val="12"/>
                <w:color w:val="0000FF"/>
                <w:w w:val="86"/>
              </w:rPr>
            </w:pPr>
            <w:hyperlink w:anchor="page13">
              <w:r>
                <w:rPr>
                  <w:rFonts w:ascii="Arial" w:cs="Arial" w:eastAsia="Arial" w:hAnsi="Arial"/>
                  <w:sz w:val="12"/>
                  <w:szCs w:val="12"/>
                  <w:color w:val="0000FF"/>
                  <w:w w:val="86"/>
                </w:rPr>
                <w:t>Slide Presentation</w:t>
              </w:r>
            </w:hyperlink>
          </w:p>
        </w:tc>
        <w:tc>
          <w:tcPr>
            <w:tcW w:w="3080" w:type="dxa"/>
            <w:vAlign w:val="bottom"/>
            <w:gridSpan w:val="3"/>
          </w:tcPr>
          <w:p>
            <w:pPr>
              <w:spacing w:after="0"/>
              <w:rPr>
                <w:sz w:val="12"/>
                <w:szCs w:val="12"/>
                <w:color w:val="auto"/>
              </w:rPr>
            </w:pPr>
          </w:p>
        </w:tc>
      </w:tr>
      <w:tr>
        <w:trPr>
          <w:trHeight w:val="142"/>
        </w:trPr>
        <w:tc>
          <w:tcPr>
            <w:tcW w:w="220" w:type="dxa"/>
            <w:vAlign w:val="bottom"/>
            <w:tcBorders>
              <w:bottom w:val="single" w:sz="8" w:color="0000FF"/>
            </w:tcBorders>
          </w:tcPr>
          <w:p>
            <w:pPr>
              <w:spacing w:after="0"/>
              <w:rPr>
                <w:rFonts w:ascii="Arial" w:cs="Arial" w:eastAsia="Arial" w:hAnsi="Arial"/>
                <w:sz w:val="12"/>
                <w:szCs w:val="12"/>
                <w:color w:val="0000FF"/>
                <w:w w:val="85"/>
              </w:rPr>
            </w:pPr>
            <w:hyperlink w:anchor="page29">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3</w:t>
              </w:r>
            </w:hyperlink>
          </w:p>
        </w:tc>
        <w:tc>
          <w:tcPr>
            <w:tcW w:w="980" w:type="dxa"/>
            <w:vAlign w:val="bottom"/>
          </w:tcPr>
          <w:p>
            <w:pPr>
              <w:spacing w:after="0"/>
              <w:rPr>
                <w:sz w:val="12"/>
                <w:szCs w:val="12"/>
                <w:color w:val="auto"/>
              </w:rPr>
            </w:pPr>
          </w:p>
        </w:tc>
        <w:tc>
          <w:tcPr>
            <w:tcW w:w="1840" w:type="dxa"/>
            <w:vAlign w:val="bottom"/>
            <w:tcBorders>
              <w:bottom w:val="single" w:sz="8" w:color="0000FF"/>
            </w:tcBorders>
            <w:gridSpan w:val="2"/>
          </w:tcPr>
          <w:p>
            <w:pPr>
              <w:ind w:left="20"/>
              <w:spacing w:after="0"/>
              <w:rPr>
                <w:rFonts w:ascii="Arial" w:cs="Arial" w:eastAsia="Arial" w:hAnsi="Arial"/>
                <w:sz w:val="12"/>
                <w:szCs w:val="12"/>
                <w:color w:val="0000FF"/>
                <w:w w:val="89"/>
              </w:rPr>
            </w:pPr>
            <w:hyperlink w:anchor="page29">
              <w:r>
                <w:rPr>
                  <w:rFonts w:ascii="Arial" w:cs="Arial" w:eastAsia="Arial" w:hAnsi="Arial"/>
                  <w:sz w:val="12"/>
                  <w:szCs w:val="12"/>
                  <w:color w:val="0000FF"/>
                  <w:w w:val="89"/>
                </w:rPr>
                <w:t>November 2021 Investor Presentation</w:t>
              </w:r>
            </w:hyperlink>
          </w:p>
        </w:tc>
        <w:tc>
          <w:tcPr>
            <w:tcW w:w="2120" w:type="dxa"/>
            <w:vAlign w:val="bottom"/>
            <w:gridSpan w:val="2"/>
          </w:tcPr>
          <w:p>
            <w:pPr>
              <w:spacing w:after="0"/>
              <w:rPr>
                <w:sz w:val="12"/>
                <w:szCs w:val="12"/>
                <w:color w:val="auto"/>
              </w:rPr>
            </w:pPr>
          </w:p>
        </w:tc>
      </w:tr>
      <w:tr>
        <w:trPr>
          <w:trHeight w:val="169"/>
        </w:trPr>
        <w:tc>
          <w:tcPr>
            <w:tcW w:w="220" w:type="dxa"/>
            <w:vAlign w:val="bottom"/>
          </w:tcPr>
          <w:p>
            <w:pPr>
              <w:spacing w:after="0"/>
              <w:rPr>
                <w:sz w:val="20"/>
                <w:szCs w:val="20"/>
                <w:color w:val="auto"/>
              </w:rPr>
            </w:pPr>
            <w:r>
              <w:rPr>
                <w:rFonts w:ascii="Arial" w:cs="Arial" w:eastAsia="Arial" w:hAnsi="Arial"/>
                <w:sz w:val="12"/>
                <w:szCs w:val="12"/>
                <w:color w:val="auto"/>
                <w:w w:val="99"/>
              </w:rPr>
              <w:t>104</w:t>
            </w:r>
          </w:p>
        </w:tc>
        <w:tc>
          <w:tcPr>
            <w:tcW w:w="980" w:type="dxa"/>
            <w:vAlign w:val="bottom"/>
          </w:tcPr>
          <w:p>
            <w:pPr>
              <w:spacing w:after="0"/>
              <w:rPr>
                <w:sz w:val="14"/>
                <w:szCs w:val="14"/>
                <w:color w:val="auto"/>
              </w:rPr>
            </w:pPr>
          </w:p>
        </w:tc>
        <w:tc>
          <w:tcPr>
            <w:tcW w:w="3960" w:type="dxa"/>
            <w:vAlign w:val="bottom"/>
            <w:gridSpan w:val="4"/>
          </w:tcPr>
          <w:p>
            <w:pPr>
              <w:ind w:left="20"/>
              <w:spacing w:after="0"/>
              <w:rPr>
                <w:sz w:val="20"/>
                <w:szCs w:val="20"/>
                <w:color w:val="auto"/>
              </w:rPr>
            </w:pPr>
            <w:r>
              <w:rPr>
                <w:rFonts w:ascii="Arial" w:cs="Arial" w:eastAsia="Arial" w:hAnsi="Arial"/>
                <w:sz w:val="12"/>
                <w:szCs w:val="12"/>
                <w:color w:val="auto"/>
                <w:w w:val="92"/>
              </w:rPr>
              <w:t>The cover page from this Current Report on Form 8-K, formatted in Inline XBRL.</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November 15,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667" w:right="299" w:bottom="1440" w:gutter="0" w:footer="0" w:header="0"/>
        </w:sectPr>
      </w:pPr>
    </w:p>
    <w:bookmarkStart w:id="2" w:name="page3"/>
    <w:bookmarkEnd w:id="2"/>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3185795</wp:posOffset>
            </wp:positionH>
            <wp:positionV relativeFrom="page">
              <wp:posOffset>517525</wp:posOffset>
            </wp:positionV>
            <wp:extent cx="1177290" cy="417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Priority Investor and Media Inquiries: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Chris Kettmann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ckettmann@lincolnchurchilladvisors.com</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(773) 497-7575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Priority Technology Holdings, Inc. Announces Third Quarter 2021 Financial Results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Strong Third Quarter Financial Performance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Completion of Finxera Acquisition Creates Premier Payment Solutions that Collect, Store and Send Money</w:t>
      </w:r>
    </w:p>
    <w:p>
      <w:pPr>
        <w:spacing w:after="0" w:line="180" w:lineRule="exact"/>
        <w:rPr>
          <w:sz w:val="20"/>
          <w:szCs w:val="20"/>
          <w:color w:val="auto"/>
        </w:rPr>
      </w:pPr>
    </w:p>
    <w:p>
      <w:pPr>
        <w:ind w:right="100"/>
        <w:spacing w:after="0" w:line="326" w:lineRule="auto"/>
        <w:rPr>
          <w:sz w:val="20"/>
          <w:szCs w:val="20"/>
          <w:color w:val="auto"/>
        </w:rPr>
      </w:pPr>
      <w:r>
        <w:rPr>
          <w:rFonts w:ascii="Arial" w:cs="Arial" w:eastAsia="Arial" w:hAnsi="Arial"/>
          <w:sz w:val="13"/>
          <w:szCs w:val="13"/>
          <w:color w:val="auto"/>
        </w:rPr>
        <w:t>A</w:t>
      </w:r>
      <w:r>
        <w:rPr>
          <w:rFonts w:ascii="Arial" w:cs="Arial" w:eastAsia="Arial" w:hAnsi="Arial"/>
          <w:sz w:val="14"/>
          <w:szCs w:val="14"/>
          <w:color w:val="auto"/>
        </w:rPr>
        <w:t>LPHARETTA, GA – November 15, 2021 -- Priority Technology Holdings, Inc. (NASDAQ: PRTH) ("Priority" or the "Company"), a leading payments technology company building innovative</w:t>
      </w:r>
      <w:r>
        <w:rPr>
          <w:rFonts w:ascii="Arial" w:cs="Arial" w:eastAsia="Arial" w:hAnsi="Arial"/>
          <w:sz w:val="13"/>
          <w:szCs w:val="13"/>
          <w:color w:val="auto"/>
        </w:rPr>
        <w:t xml:space="preserve"> </w:t>
      </w:r>
      <w:r>
        <w:rPr>
          <w:rFonts w:ascii="Arial" w:cs="Arial" w:eastAsia="Arial" w:hAnsi="Arial"/>
          <w:sz w:val="14"/>
          <w:szCs w:val="14"/>
          <w:color w:val="auto"/>
        </w:rPr>
        <w:t>payment solutions that collect, store and send money to power modern commerce, today announced its third quarter 2021 financial results.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Highlights of Consolidated Results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Third Quarter 2021, Compared with Third Quarter 2020</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Financial highlights of third quarter 2021 compared with third quarter 2020, are as follows (gross profit, gross profit margin, and adjusted EBITDA are non-GAAP measures</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135"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of $132.5 million increased 21.6% from $109.0 million.</w:t>
      </w:r>
    </w:p>
    <w:p>
      <w:pPr>
        <w:spacing w:after="0" w:line="3"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Gross profit of $39.7 million increased 16.8% from $34.0 million.</w:t>
      </w:r>
    </w:p>
    <w:p>
      <w:pPr>
        <w:spacing w:after="0" w:line="2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Gross profit margin of 30.0% decreased from 31.2%.</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Operating Income of $8.3 million increased 17.2% from $7.0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loss of $0.5 million compares with net income of $85.7 million, which included a one-time $94.9 million after tax gain on sale of a business in third quarter 2020.</w:t>
      </w:r>
    </w:p>
    <w:p>
      <w:pPr>
        <w:spacing w:after="0" w:line="37" w:lineRule="exact"/>
        <w:rPr>
          <w:rFonts w:ascii="Arial" w:cs="Arial" w:eastAsia="Arial" w:hAnsi="Arial"/>
          <w:sz w:val="14"/>
          <w:szCs w:val="14"/>
          <w:color w:val="auto"/>
        </w:rPr>
      </w:pPr>
    </w:p>
    <w:p>
      <w:pPr>
        <w:ind w:left="420" w:right="100" w:hanging="212"/>
        <w:spacing w:after="0" w:line="295"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4"/>
          <w:szCs w:val="14"/>
          <w:color w:val="auto"/>
        </w:rPr>
        <w:t>Diluted loss per share of $0.09 compares with diluted earnings per share of $0.60, which included $0.74 diluted earnings per share from the one-time gain on sale of a business in the third quarter 2020.</w:t>
      </w: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EBITDA</w:t>
      </w:r>
      <w:r>
        <w:rPr>
          <w:rFonts w:ascii="Arial" w:cs="Arial" w:eastAsia="Arial" w:hAnsi="Arial"/>
          <w:sz w:val="7"/>
          <w:szCs w:val="7"/>
          <w:color w:val="auto"/>
        </w:rPr>
        <w:t>1,3</w:t>
      </w:r>
      <w:r>
        <w:rPr>
          <w:rFonts w:ascii="Arial" w:cs="Arial" w:eastAsia="Arial" w:hAnsi="Arial"/>
          <w:sz w:val="14"/>
          <w:szCs w:val="14"/>
          <w:color w:val="auto"/>
        </w:rPr>
        <w:t xml:space="preserve"> of $23.6 million increased 20.0% from $19.6 million.</w:t>
      </w:r>
    </w:p>
    <w:p>
      <w:pPr>
        <w:spacing w:after="0" w:line="181" w:lineRule="exact"/>
        <w:rPr>
          <w:sz w:val="20"/>
          <w:szCs w:val="20"/>
          <w:color w:val="auto"/>
        </w:rPr>
      </w:pPr>
    </w:p>
    <w:p>
      <w:pPr>
        <w:spacing w:after="0" w:line="311" w:lineRule="auto"/>
        <w:rPr>
          <w:sz w:val="20"/>
          <w:szCs w:val="20"/>
          <w:color w:val="auto"/>
        </w:rPr>
      </w:pPr>
      <w:r>
        <w:rPr>
          <w:rFonts w:ascii="Arial" w:cs="Arial" w:eastAsia="Arial" w:hAnsi="Arial"/>
          <w:sz w:val="14"/>
          <w:szCs w:val="14"/>
          <w:color w:val="222222"/>
        </w:rPr>
        <w:t>"We delivered exceptional third quarter results, driven by impressive growth in our Consumer segment and strong demand in our Commercial and Integrated Partners businesses,” said Tom Priore, Chairman and Chief Executive Officer of Priority. “We now offer an unmatched suite of payment solutions to collect, store and send money on a single technology platform in several strategic, high-growth verticals.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80"/>
          </w:cols>
          <w:pgMar w:left="300" w:top="1440"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222222"/>
        </w:rPr>
        <w:t>Priority is built for the future of payments and is better positioned than ever to deliver long-term value for shareholders."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Updated Full Year 2021 Financial Guidance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070707"/>
        </w:rPr>
        <w:t>The Company has updated its outlook for full year 2021 to include the forecasted post-acquisition contribution from Finxera, as follows:</w:t>
      </w:r>
    </w:p>
    <w:p>
      <w:pPr>
        <w:spacing w:after="0" w:line="184"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3"/>
          <w:szCs w:val="13"/>
          <w:color w:val="auto"/>
        </w:rPr>
        <w:t>Revenue is forecast to range between $500 to $520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3"/>
          <w:szCs w:val="13"/>
          <w:color w:val="auto"/>
        </w:rPr>
        <w:t>Adjusted EBITDA</w:t>
      </w:r>
      <w:r>
        <w:rPr>
          <w:rFonts w:ascii="Arial" w:cs="Arial" w:eastAsia="Arial" w:hAnsi="Arial"/>
          <w:sz w:val="15"/>
          <w:szCs w:val="15"/>
          <w:color w:val="auto"/>
          <w:vertAlign w:val="superscript"/>
        </w:rPr>
        <w:t>1</w:t>
      </w:r>
      <w:r>
        <w:rPr>
          <w:rFonts w:ascii="Arial" w:cs="Arial" w:eastAsia="Arial" w:hAnsi="Arial"/>
          <w:sz w:val="13"/>
          <w:szCs w:val="13"/>
          <w:color w:val="auto"/>
        </w:rPr>
        <w:t xml:space="preserve"> (a non-GAAP measure) is forecast to range between $94 to $98 million.</w:t>
      </w:r>
    </w:p>
    <w:p>
      <w:pPr>
        <w:spacing w:after="0" w:line="315" w:lineRule="exact"/>
        <w:rPr>
          <w:sz w:val="20"/>
          <w:szCs w:val="20"/>
          <w:color w:val="auto"/>
        </w:rPr>
      </w:pPr>
    </w:p>
    <w:p>
      <w:pPr>
        <w:ind w:left="420" w:hanging="212"/>
        <w:spacing w:after="0" w:line="234" w:lineRule="auto"/>
        <w:tabs>
          <w:tab w:leader="none" w:pos="412"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"Non-GAAP Financial Measures" and the reconciliations of Gross Profit, Gross Profit Margin, and Adjusted EBITDA to their most comparable GAAP measures, and the calculation of Total Net Leverage Ratio as of September 30, 2021 provided below for additional information.</w:t>
      </w:r>
    </w:p>
    <w:p>
      <w:pPr>
        <w:spacing w:after="0" w:line="10" w:lineRule="exact"/>
        <w:rPr>
          <w:rFonts w:ascii="Arial" w:cs="Arial" w:eastAsia="Arial" w:hAnsi="Arial"/>
          <w:sz w:val="16"/>
          <w:szCs w:val="16"/>
          <w:color w:val="auto"/>
          <w:vertAlign w:val="superscript"/>
        </w:rPr>
      </w:pPr>
    </w:p>
    <w:p>
      <w:pPr>
        <w:ind w:left="420" w:right="20" w:hanging="212"/>
        <w:spacing w:after="0" w:line="234" w:lineRule="auto"/>
        <w:tabs>
          <w:tab w:leader="none" w:pos="412"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Revenue in the third quarter of 2021 includes $3.0 million from the Finxera business, acquired on September 17, 2021. Revenue in the third quarter of 2020 includes $3.9 million from the RentPayment business, disposed on September 22, 2020.</w:t>
      </w:r>
    </w:p>
    <w:p>
      <w:pPr>
        <w:spacing w:after="0" w:line="10" w:lineRule="exact"/>
        <w:rPr>
          <w:rFonts w:ascii="Arial" w:cs="Arial" w:eastAsia="Arial" w:hAnsi="Arial"/>
          <w:sz w:val="16"/>
          <w:szCs w:val="16"/>
          <w:i w:val="1"/>
          <w:iCs w:val="1"/>
          <w:color w:val="auto"/>
          <w:vertAlign w:val="superscript"/>
        </w:rPr>
      </w:pPr>
    </w:p>
    <w:p>
      <w:pPr>
        <w:ind w:left="420" w:right="20" w:hanging="212"/>
        <w:spacing w:after="0" w:line="234" w:lineRule="auto"/>
        <w:tabs>
          <w:tab w:leader="none" w:pos="412"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Adjusted EBITDA in the third quarter of 2021 includes $2.0 million from the Finxera business, acquired on September 17, 2021. Adjusted EBITDA in the third quarter of 2020 includes $2.6 million from the RentPayment business, disposed on September 22,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070707"/>
        </w:rPr>
        <w:t xml:space="preserve">Priority's leadership will host a conference call on Monday, November 15, 2021 at 11:00 a.m. EST to discuss its third quarter financial results and business developments. Participants can access the call by </w:t>
      </w:r>
      <w:r>
        <w:rPr>
          <w:rFonts w:ascii="Arial" w:cs="Arial" w:eastAsia="Arial" w:hAnsi="Arial"/>
          <w:sz w:val="12"/>
          <w:szCs w:val="12"/>
          <w:color w:val="000000"/>
        </w:rPr>
        <w:t>Phone: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US/Canada: (877) 501-3161 or International: (786) 815-8443.</w:t>
      </w:r>
    </w:p>
    <w:p>
      <w:pPr>
        <w:spacing w:after="0" w:line="167" w:lineRule="exact"/>
        <w:rPr>
          <w:sz w:val="20"/>
          <w:szCs w:val="20"/>
          <w:color w:val="auto"/>
        </w:rPr>
      </w:pPr>
    </w:p>
    <w:p>
      <w:pPr>
        <w:jc w:val="both"/>
        <w:spacing w:after="0" w:line="347" w:lineRule="auto"/>
        <w:rPr>
          <w:sz w:val="20"/>
          <w:szCs w:val="20"/>
          <w:color w:val="auto"/>
        </w:rPr>
      </w:pPr>
      <w:r>
        <w:rPr>
          <w:rFonts w:ascii="Arial" w:cs="Arial" w:eastAsia="Arial" w:hAnsi="Arial"/>
          <w:sz w:val="12"/>
          <w:szCs w:val="12"/>
          <w:color w:val="auto"/>
        </w:rPr>
        <w:t xml:space="preserve">Internet webcast link and accompanying slide presentation can be accessed at </w:t>
      </w:r>
      <w:r>
        <w:rPr>
          <w:rFonts w:ascii="Arial" w:cs="Arial" w:eastAsia="Arial" w:hAnsi="Arial"/>
          <w:sz w:val="13"/>
          <w:szCs w:val="13"/>
          <w:b w:val="1"/>
          <w:bCs w:val="1"/>
          <w:color w:val="0000FF"/>
        </w:rPr>
        <w:t>https://edge.media-server.com/mmc/p/jv75rtyj</w:t>
      </w:r>
      <w:r>
        <w:rPr>
          <w:rFonts w:ascii="Arial" w:cs="Arial" w:eastAsia="Arial" w:hAnsi="Arial"/>
          <w:sz w:val="12"/>
          <w:szCs w:val="12"/>
          <w:color w:val="auto"/>
        </w:rPr>
        <w:t xml:space="preserve"> and will also be posted in the Investor Relations section of the Company's website at </w:t>
      </w:r>
      <w:r>
        <w:rPr>
          <w:rFonts w:ascii="Arial" w:cs="Arial" w:eastAsia="Arial" w:hAnsi="Arial"/>
          <w:sz w:val="13"/>
          <w:szCs w:val="13"/>
          <w:color w:val="0000FF"/>
        </w:rPr>
        <w:t>www.PRTH.com</w:t>
      </w:r>
      <w:r>
        <w:rPr>
          <w:rFonts w:ascii="Arial" w:cs="Arial" w:eastAsia="Arial" w:hAnsi="Arial"/>
          <w:sz w:val="12"/>
          <w:szCs w:val="12"/>
          <w:color w:val="auto"/>
        </w:rPr>
        <w:t xml:space="preserve">. An audio replay of the call will be available shortly after the conference call until November 18, 2021 at 1:30 pm Eastern Time. To listen to the audio replay, dial (855) 859-2056 or (404) 537-3406 and enter conference ID number </w:t>
      </w:r>
      <w:r>
        <w:rPr>
          <w:rFonts w:ascii="Arial" w:cs="Arial" w:eastAsia="Arial" w:hAnsi="Arial"/>
          <w:sz w:val="13"/>
          <w:szCs w:val="13"/>
          <w:b w:val="1"/>
          <w:bCs w:val="1"/>
          <w:color w:val="auto"/>
        </w:rPr>
        <w:t>8288381</w:t>
      </w:r>
      <w:r>
        <w:rPr>
          <w:rFonts w:ascii="Arial" w:cs="Arial" w:eastAsia="Arial" w:hAnsi="Arial"/>
          <w:sz w:val="12"/>
          <w:szCs w:val="12"/>
          <w:color w:val="auto"/>
        </w:rPr>
        <w:t xml:space="preserve">. Alternatively, you may access the webcast replay in the Investor Relations section of the Company's website at </w:t>
      </w:r>
      <w:r>
        <w:rPr>
          <w:rFonts w:ascii="Arial" w:cs="Arial" w:eastAsia="Arial" w:hAnsi="Arial"/>
          <w:sz w:val="13"/>
          <w:szCs w:val="13"/>
          <w:color w:val="0000FF"/>
        </w:rPr>
        <w:t>www.PRTH.com</w:t>
      </w:r>
      <w:r>
        <w:rPr>
          <w:rFonts w:ascii="Arial" w:cs="Arial" w:eastAsia="Arial" w:hAnsi="Arial"/>
          <w:sz w:val="12"/>
          <w:szCs w:val="12"/>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Non-GAAP Financial Measures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Gross Profit and Gross Profit Margin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56" w:right="299" w:bottom="1440" w:gutter="0" w:footer="0" w:header="0"/>
        </w:sectPr>
      </w:pPr>
    </w:p>
    <w:bookmarkStart w:id="4" w:name="page5"/>
    <w:bookmarkEnd w:id="4"/>
    <w:p>
      <w:pPr>
        <w:jc w:val="both"/>
        <w:spacing w:after="0" w:line="314" w:lineRule="auto"/>
        <w:rPr>
          <w:sz w:val="20"/>
          <w:szCs w:val="20"/>
          <w:color w:val="auto"/>
        </w:rPr>
      </w:pPr>
      <w:r>
        <w:rPr>
          <w:rFonts w:ascii="Arial" w:cs="Arial" w:eastAsia="Arial" w:hAnsi="Arial"/>
          <w:sz w:val="13"/>
          <w:szCs w:val="13"/>
          <w:color w:val="auto"/>
        </w:rPr>
        <w:t>The Company's non-GAAP gross profit metric represents revenues less costs of services. Gross profit margin is gross profit divided by revenues. We review these non-GAAP measures to evaluate our underlying profit trends. The reconciliation of gross profit to its most comparable GAAP measure is provided below:</w:t>
      </w:r>
    </w:p>
    <w:p>
      <w:pPr>
        <w:spacing w:after="0" w:line="132" w:lineRule="exact"/>
        <w:rPr>
          <w:sz w:val="20"/>
          <w:szCs w:val="20"/>
          <w:color w:val="auto"/>
        </w:rPr>
      </w:pPr>
    </w:p>
    <w:tbl>
      <w:tblPr>
        <w:tblLayout w:type="fixed"/>
        <w:tblInd w:w="1000" w:type="dxa"/>
        <w:tblCellMar>
          <w:top w:w="0" w:type="dxa"/>
          <w:left w:w="0" w:type="dxa"/>
          <w:bottom w:w="0" w:type="dxa"/>
          <w:right w:w="0" w:type="dxa"/>
        </w:tblCellMar>
      </w:tblPr>
      <w:tr>
        <w:trPr>
          <w:trHeight w:val="153"/>
        </w:trPr>
        <w:tc>
          <w:tcPr>
            <w:tcW w:w="3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gridSpan w:val="4"/>
          </w:tcPr>
          <w:p>
            <w:pPr>
              <w:jc w:val="right"/>
              <w:ind w:right="780"/>
              <w:spacing w:after="0"/>
              <w:rPr>
                <w:sz w:val="20"/>
                <w:szCs w:val="20"/>
                <w:color w:val="auto"/>
              </w:rPr>
            </w:pPr>
            <w:r>
              <w:rPr>
                <w:rFonts w:ascii="Arial" w:cs="Arial" w:eastAsia="Arial" w:hAnsi="Arial"/>
                <w:sz w:val="12"/>
                <w:szCs w:val="12"/>
                <w:i w:val="1"/>
                <w:iCs w:val="1"/>
                <w:color w:val="auto"/>
              </w:rPr>
              <w:t>(in thousands)</w:t>
            </w:r>
          </w:p>
        </w:tc>
        <w:tc>
          <w:tcPr>
            <w:tcW w:w="600" w:type="dxa"/>
            <w:vAlign w:val="bottom"/>
          </w:tcPr>
          <w:p>
            <w:pPr>
              <w:spacing w:after="0"/>
              <w:rPr>
                <w:sz w:val="13"/>
                <w:szCs w:val="13"/>
                <w:color w:val="auto"/>
              </w:rPr>
            </w:pPr>
          </w:p>
        </w:tc>
      </w:tr>
      <w:tr>
        <w:trPr>
          <w:trHeight w:val="176"/>
        </w:trPr>
        <w:tc>
          <w:tcPr>
            <w:tcW w:w="3420" w:type="dxa"/>
            <w:vAlign w:val="bottom"/>
          </w:tcPr>
          <w:p>
            <w:pPr>
              <w:spacing w:after="0"/>
              <w:rPr>
                <w:sz w:val="15"/>
                <w:szCs w:val="15"/>
                <w:color w:val="auto"/>
              </w:rPr>
            </w:pPr>
          </w:p>
        </w:tc>
        <w:tc>
          <w:tcPr>
            <w:tcW w:w="29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Borders>
              <w:bottom w:val="single" w:sz="8" w:color="auto"/>
            </w:tcBorders>
          </w:tcPr>
          <w:p>
            <w:pPr>
              <w:spacing w:after="0"/>
              <w:rPr>
                <w:sz w:val="15"/>
                <w:szCs w:val="15"/>
                <w:color w:val="auto"/>
              </w:rPr>
            </w:pPr>
          </w:p>
        </w:tc>
      </w:tr>
      <w:tr>
        <w:trPr>
          <w:trHeight w:val="160"/>
        </w:trPr>
        <w:tc>
          <w:tcPr>
            <w:tcW w:w="342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3"/>
                <w:szCs w:val="13"/>
                <w:color w:val="auto"/>
              </w:rPr>
            </w:pPr>
          </w:p>
        </w:tc>
      </w:tr>
      <w:tr>
        <w:trPr>
          <w:trHeight w:val="155"/>
        </w:trPr>
        <w:tc>
          <w:tcPr>
            <w:tcW w:w="3420" w:type="dxa"/>
            <w:vAlign w:val="bottom"/>
          </w:tcPr>
          <w:p>
            <w:pPr>
              <w:spacing w:after="0"/>
              <w:rPr>
                <w:sz w:val="20"/>
                <w:szCs w:val="20"/>
                <w:color w:val="auto"/>
              </w:rPr>
            </w:pPr>
            <w:r>
              <w:rPr>
                <w:rFonts w:ascii="Arial" w:cs="Arial" w:eastAsia="Arial" w:hAnsi="Arial"/>
                <w:sz w:val="12"/>
                <w:szCs w:val="12"/>
                <w:color w:val="auto"/>
              </w:rPr>
              <w:t>Revenues</w:t>
            </w:r>
          </w:p>
        </w:tc>
        <w:tc>
          <w:tcPr>
            <w:tcW w:w="1040" w:type="dxa"/>
            <w:vAlign w:val="bottom"/>
          </w:tcPr>
          <w:p>
            <w:pPr>
              <w:jc w:val="right"/>
              <w:ind w:right="90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w w:val="96"/>
              </w:rPr>
              <w:t>132,542</w:t>
            </w:r>
          </w:p>
        </w:tc>
        <w:tc>
          <w:tcPr>
            <w:tcW w:w="1400" w:type="dxa"/>
            <w:vAlign w:val="bottom"/>
            <w:gridSpan w:val="3"/>
          </w:tcPr>
          <w:p>
            <w:pPr>
              <w:jc w:val="right"/>
              <w:ind w:right="100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108,962</w:t>
            </w:r>
          </w:p>
        </w:tc>
      </w:tr>
      <w:tr>
        <w:trPr>
          <w:trHeight w:val="175"/>
        </w:trPr>
        <w:tc>
          <w:tcPr>
            <w:tcW w:w="3420" w:type="dxa"/>
            <w:vAlign w:val="bottom"/>
          </w:tcPr>
          <w:p>
            <w:pPr>
              <w:spacing w:after="0"/>
              <w:rPr>
                <w:sz w:val="20"/>
                <w:szCs w:val="20"/>
                <w:color w:val="auto"/>
              </w:rPr>
            </w:pPr>
            <w:r>
              <w:rPr>
                <w:rFonts w:ascii="Arial" w:cs="Arial" w:eastAsia="Arial" w:hAnsi="Arial"/>
                <w:sz w:val="12"/>
                <w:szCs w:val="12"/>
                <w:color w:val="auto"/>
              </w:rPr>
              <w:t>Costs of Services</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92,833</w:t>
            </w: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74,971</w:t>
            </w: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Gross Profit</w:t>
            </w:r>
          </w:p>
        </w:tc>
        <w:tc>
          <w:tcPr>
            <w:tcW w:w="1040" w:type="dxa"/>
            <w:vAlign w:val="bottom"/>
          </w:tcPr>
          <w:p>
            <w:pPr>
              <w:jc w:val="right"/>
              <w:ind w:right="90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39,709</w:t>
            </w:r>
          </w:p>
        </w:tc>
        <w:tc>
          <w:tcPr>
            <w:tcW w:w="1400" w:type="dxa"/>
            <w:vAlign w:val="bottom"/>
            <w:gridSpan w:val="3"/>
          </w:tcPr>
          <w:p>
            <w:pPr>
              <w:jc w:val="right"/>
              <w:ind w:right="100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33,991</w:t>
            </w:r>
          </w:p>
        </w:tc>
      </w:tr>
      <w:tr>
        <w:trPr>
          <w:trHeight w:val="20"/>
        </w:trPr>
        <w:tc>
          <w:tcPr>
            <w:tcW w:w="3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309"/>
        </w:trPr>
        <w:tc>
          <w:tcPr>
            <w:tcW w:w="3420" w:type="dxa"/>
            <w:vAlign w:val="bottom"/>
          </w:tcPr>
          <w:p>
            <w:pPr>
              <w:spacing w:after="0"/>
              <w:rPr>
                <w:sz w:val="20"/>
                <w:szCs w:val="20"/>
                <w:color w:val="auto"/>
              </w:rPr>
            </w:pPr>
            <w:r>
              <w:rPr>
                <w:rFonts w:ascii="Arial" w:cs="Arial" w:eastAsia="Arial" w:hAnsi="Arial"/>
                <w:sz w:val="12"/>
                <w:szCs w:val="12"/>
                <w:color w:val="auto"/>
              </w:rPr>
              <w:t>Gross Profit Margin</w:t>
            </w: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31.2   %</w:t>
            </w:r>
          </w:p>
        </w:tc>
      </w:tr>
      <w:tr>
        <w:trPr>
          <w:trHeight w:val="20"/>
        </w:trPr>
        <w:tc>
          <w:tcPr>
            <w:tcW w:w="3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EBITDA, Adjusted EBITDA and Consolidated Adjusted EBITDA</w:t>
      </w:r>
    </w:p>
    <w:p>
      <w:pPr>
        <w:spacing w:after="0" w:line="175"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Consolidated adjusted EBITDA, which is a liquidity measure used in determining our total net leverage ratio, is adjusted EBITDA further adjusted for items specified in the definition of consolidated adjusted EBITDA within our debt agreements, which include the pro-forma impact of acquisitions and dispositions and other specified adjustments. We review the non-GAAP adjusted EBITDA measure to evaluate our business and trends, measure our performance, prepare financial projections, allocate resources, and make strategic decisions.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We review the non-GAAP consolidated adjusted EBITDA to evaluate compliance with our total net leverage ratio at each measurement period. The reconciliation of adjusted EBITDA to its most comparable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GAAP measure is provided below:</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153"/>
        </w:trPr>
        <w:tc>
          <w:tcPr>
            <w:tcW w:w="36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60" w:type="dxa"/>
            <w:vAlign w:val="bottom"/>
            <w:gridSpan w:val="3"/>
          </w:tcPr>
          <w:p>
            <w:pPr>
              <w:jc w:val="right"/>
              <w:ind w:right="788"/>
              <w:spacing w:after="0"/>
              <w:rPr>
                <w:sz w:val="20"/>
                <w:szCs w:val="20"/>
                <w:color w:val="auto"/>
              </w:rPr>
            </w:pPr>
            <w:r>
              <w:rPr>
                <w:rFonts w:ascii="Arial" w:cs="Arial" w:eastAsia="Arial" w:hAnsi="Arial"/>
                <w:sz w:val="12"/>
                <w:szCs w:val="12"/>
                <w:i w:val="1"/>
                <w:iCs w:val="1"/>
                <w:color w:val="auto"/>
              </w:rPr>
              <w:t>(in thousands)</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2"/>
                <w:szCs w:val="12"/>
                <w:b w:val="1"/>
                <w:bCs w:val="1"/>
                <w:color w:val="auto"/>
              </w:rPr>
              <w:t>Three Months Ended September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b w:val="1"/>
                <w:bCs w:val="1"/>
                <w:color w:val="auto"/>
              </w:rPr>
              <w:t>2020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20"/>
                <w:szCs w:val="20"/>
                <w:color w:val="auto"/>
              </w:rPr>
            </w:pPr>
            <w:r>
              <w:rPr>
                <w:rFonts w:ascii="Arial" w:cs="Arial" w:eastAsia="Arial" w:hAnsi="Arial"/>
                <w:sz w:val="12"/>
                <w:szCs w:val="12"/>
                <w:color w:val="auto"/>
              </w:rPr>
              <w:t>Net loss (GAAP)</w:t>
            </w:r>
          </w:p>
        </w:tc>
        <w:tc>
          <w:tcPr>
            <w:tcW w:w="3040" w:type="dxa"/>
            <w:vAlign w:val="bottom"/>
            <w:gridSpan w:val="2"/>
          </w:tcPr>
          <w:p>
            <w:pPr>
              <w:jc w:val="right"/>
              <w:ind w:right="10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(549)</w:t>
            </w:r>
          </w:p>
        </w:tc>
        <w:tc>
          <w:tcPr>
            <w:tcW w:w="120" w:type="dxa"/>
            <w:vAlign w:val="bottom"/>
          </w:tcPr>
          <w:p>
            <w:pPr>
              <w:spacing w:after="0"/>
              <w:rPr>
                <w:sz w:val="13"/>
                <w:szCs w:val="13"/>
                <w:color w:val="auto"/>
              </w:rPr>
            </w:pPr>
          </w:p>
        </w:tc>
        <w:tc>
          <w:tcPr>
            <w:tcW w:w="1100" w:type="dxa"/>
            <w:vAlign w:val="bottom"/>
          </w:tcPr>
          <w:p>
            <w:pPr>
              <w:jc w:val="right"/>
              <w:ind w:right="98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40,392</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2"/>
                <w:szCs w:val="12"/>
                <w:color w:val="auto"/>
              </w:rPr>
              <w:t>Interest expense</w:t>
            </w: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8,155</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13,471</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2"/>
                <w:szCs w:val="12"/>
                <w:color w:val="auto"/>
              </w:rPr>
              <w:t>Income tax expense</w:t>
            </w: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790</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13,737</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8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12,330</w:t>
            </w: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10,251</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20"/>
                <w:szCs w:val="20"/>
                <w:color w:val="auto"/>
              </w:rPr>
            </w:pPr>
            <w:r>
              <w:rPr>
                <w:rFonts w:ascii="Arial" w:cs="Arial" w:eastAsia="Arial" w:hAnsi="Arial"/>
                <w:sz w:val="12"/>
                <w:szCs w:val="12"/>
                <w:color w:val="auto"/>
              </w:rPr>
              <w:t>EBITDA (Non-GAAP)</w:t>
            </w:r>
          </w:p>
        </w:tc>
        <w:tc>
          <w:tcPr>
            <w:tcW w:w="1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20,726</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77,851</w:t>
            </w:r>
          </w:p>
        </w:tc>
        <w:tc>
          <w:tcPr>
            <w:tcW w:w="0" w:type="dxa"/>
            <w:vAlign w:val="bottom"/>
          </w:tcPr>
          <w:p>
            <w:pPr>
              <w:spacing w:after="0"/>
              <w:rPr>
                <w:sz w:val="1"/>
                <w:szCs w:val="1"/>
                <w:color w:val="auto"/>
              </w:rPr>
            </w:pPr>
          </w:p>
        </w:tc>
      </w:tr>
      <w:tr>
        <w:trPr>
          <w:trHeight w:val="171"/>
        </w:trPr>
        <w:tc>
          <w:tcPr>
            <w:tcW w:w="3620" w:type="dxa"/>
            <w:vAlign w:val="bottom"/>
          </w:tcPr>
          <w:p>
            <w:pPr>
              <w:ind w:left="80"/>
              <w:spacing w:after="0"/>
              <w:rPr>
                <w:sz w:val="20"/>
                <w:szCs w:val="20"/>
                <w:color w:val="auto"/>
              </w:rPr>
            </w:pPr>
            <w:r>
              <w:rPr>
                <w:rFonts w:ascii="Arial" w:cs="Arial" w:eastAsia="Arial" w:hAnsi="Arial"/>
                <w:sz w:val="12"/>
                <w:szCs w:val="12"/>
                <w:color w:val="auto"/>
              </w:rPr>
              <w:t>Gain on sale of NCIs</w:t>
            </w: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(62,091)</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2"/>
                <w:szCs w:val="12"/>
                <w:color w:val="auto"/>
              </w:rPr>
              <w:t>Non-cash stock-based compensation</w:t>
            </w: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935</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601</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1,901</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1,751</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Arial" w:cs="Arial" w:eastAsia="Arial" w:hAnsi="Arial"/>
                <w:sz w:val="12"/>
                <w:szCs w:val="12"/>
                <w:color w:val="auto"/>
              </w:rPr>
              <w:t>Debt extinguishment and modification costs</w:t>
            </w:r>
          </w:p>
        </w:tc>
        <w:tc>
          <w:tcPr>
            <w:tcW w:w="18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1,523</w:t>
            </w:r>
          </w:p>
        </w:tc>
        <w:tc>
          <w:tcPr>
            <w:tcW w:w="0" w:type="dxa"/>
            <w:vAlign w:val="bottom"/>
          </w:tcPr>
          <w:p>
            <w:pPr>
              <w:spacing w:after="0"/>
              <w:rPr>
                <w:sz w:val="1"/>
                <w:szCs w:val="1"/>
                <w:color w:val="auto"/>
              </w:rPr>
            </w:pPr>
          </w:p>
        </w:tc>
      </w:tr>
      <w:tr>
        <w:trPr>
          <w:trHeight w:val="165"/>
        </w:trPr>
        <w:tc>
          <w:tcPr>
            <w:tcW w:w="3620" w:type="dxa"/>
            <w:vAlign w:val="bottom"/>
          </w:tcPr>
          <w:p>
            <w:pPr>
              <w:spacing w:after="0"/>
              <w:rPr>
                <w:sz w:val="20"/>
                <w:szCs w:val="20"/>
                <w:color w:val="auto"/>
              </w:rPr>
            </w:pPr>
            <w:r>
              <w:rPr>
                <w:rFonts w:ascii="Arial" w:cs="Arial" w:eastAsia="Arial" w:hAnsi="Arial"/>
                <w:sz w:val="12"/>
                <w:szCs w:val="12"/>
                <w:b w:val="1"/>
                <w:bCs w:val="1"/>
                <w:color w:val="auto"/>
              </w:rPr>
              <w:t>Adjusted EBITDA (Non-GAAP)</w:t>
            </w:r>
          </w:p>
        </w:tc>
        <w:tc>
          <w:tcPr>
            <w:tcW w:w="3040" w:type="dxa"/>
            <w:vAlign w:val="bottom"/>
            <w:gridSpan w:val="2"/>
          </w:tcPr>
          <w:p>
            <w:pPr>
              <w:jc w:val="right"/>
              <w:ind w:right="104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100"/>
              <w:spacing w:after="0"/>
              <w:rPr>
                <w:sz w:val="20"/>
                <w:szCs w:val="20"/>
                <w:color w:val="auto"/>
              </w:rPr>
            </w:pPr>
            <w:r>
              <w:rPr>
                <w:rFonts w:ascii="Arial" w:cs="Arial" w:eastAsia="Arial" w:hAnsi="Arial"/>
                <w:sz w:val="12"/>
                <w:szCs w:val="12"/>
                <w:b w:val="1"/>
                <w:bCs w:val="1"/>
                <w:color w:val="auto"/>
              </w:rPr>
              <w:t>23,562</w:t>
            </w:r>
          </w:p>
        </w:tc>
        <w:tc>
          <w:tcPr>
            <w:tcW w:w="120" w:type="dxa"/>
            <w:vAlign w:val="bottom"/>
          </w:tcPr>
          <w:p>
            <w:pPr>
              <w:spacing w:after="0"/>
              <w:rPr>
                <w:sz w:val="14"/>
                <w:szCs w:val="14"/>
                <w:color w:val="auto"/>
              </w:rPr>
            </w:pPr>
          </w:p>
        </w:tc>
        <w:tc>
          <w:tcPr>
            <w:tcW w:w="1100" w:type="dxa"/>
            <w:vAlign w:val="bottom"/>
          </w:tcPr>
          <w:p>
            <w:pPr>
              <w:jc w:val="right"/>
              <w:ind w:right="98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ind w:right="100"/>
              <w:spacing w:after="0"/>
              <w:rPr>
                <w:sz w:val="20"/>
                <w:szCs w:val="20"/>
                <w:color w:val="auto"/>
              </w:rPr>
            </w:pPr>
            <w:r>
              <w:rPr>
                <w:rFonts w:ascii="Arial" w:cs="Arial" w:eastAsia="Arial" w:hAnsi="Arial"/>
                <w:sz w:val="12"/>
                <w:szCs w:val="12"/>
                <w:b w:val="1"/>
                <w:bCs w:val="1"/>
                <w:color w:val="auto"/>
              </w:rPr>
              <w:t>19,635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80" w:type="dxa"/>
            <w:vAlign w:val="bottom"/>
            <w:vMerge w:val="restart"/>
          </w:tcPr>
          <w:p>
            <w:pPr>
              <w:jc w:val="right"/>
              <w:ind w:right="240"/>
              <w:spacing w:after="0"/>
              <w:rPr>
                <w:sz w:val="20"/>
                <w:szCs w:val="20"/>
                <w:color w:val="auto"/>
              </w:rPr>
            </w:pPr>
            <w:r>
              <w:rPr>
                <w:rFonts w:ascii="Arial" w:cs="Arial" w:eastAsia="Arial" w:hAnsi="Arial"/>
                <w:sz w:val="12"/>
                <w:szCs w:val="12"/>
                <w:color w:val="auto"/>
              </w:rPr>
              <w:t>3</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6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0" w:right="299" w:bottom="1440" w:gutter="0" w:footer="0" w:header="0"/>
        </w:sectPr>
      </w:pPr>
    </w:p>
    <w:bookmarkStart w:id="5" w:name="page6"/>
    <w:bookmarkEnd w:id="5"/>
    <w:p>
      <w:pPr>
        <w:spacing w:after="0" w:line="314" w:lineRule="auto"/>
        <w:rPr>
          <w:sz w:val="20"/>
          <w:szCs w:val="20"/>
          <w:color w:val="auto"/>
        </w:rPr>
      </w:pPr>
      <w:r>
        <w:rPr>
          <w:rFonts w:ascii="Arial" w:cs="Arial" w:eastAsia="Arial" w:hAnsi="Arial"/>
          <w:sz w:val="13"/>
          <w:szCs w:val="13"/>
          <w:color w:val="auto"/>
        </w:rPr>
        <w:t>Reconciliation of Adjusted EBITDA to Consolidated Adjusted EBITDA for the last twelve months ended September 30, 2021 and the calculation of the Total Net Leverage Ratio at September 30, 2021 are provided below:</w:t>
      </w:r>
    </w:p>
    <w:p>
      <w:pPr>
        <w:sectPr>
          <w:pgSz w:w="11900" w:h="16838" w:orient="portrait"/>
          <w:cols w:equalWidth="0" w:num="1">
            <w:col w:w="11280"/>
          </w:cols>
          <w:pgMar w:left="300" w:top="966" w:right="319" w:bottom="1440" w:gutter="0" w:footer="0" w:header="0"/>
        </w:sectPr>
      </w:pP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Adjusted EBITDA (Non-GAAP)</w:t>
      </w:r>
    </w:p>
    <w:p>
      <w:pPr>
        <w:spacing w:after="0" w:line="213"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Other adjustments</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Pro forma impact of acquisitions</w:t>
      </w:r>
    </w:p>
    <w:p>
      <w:pPr>
        <w:spacing w:after="0" w:line="56"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Consolidated Adjusted EBITDA (Non-GAAP)</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0"/>
          <w:szCs w:val="10"/>
          <w:color w:val="auto"/>
        </w:rPr>
        <w:t>Consolidated Total Debt at September 30, 2021:</w:t>
      </w:r>
    </w:p>
    <w:p>
      <w:pPr>
        <w:spacing w:after="0" w:line="5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Current portion of long-term debt</w:t>
      </w:r>
    </w:p>
    <w:p>
      <w:pPr>
        <w:spacing w:after="0" w:line="33"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Long-term debt, net of current portion</w:t>
      </w:r>
    </w:p>
    <w:p>
      <w:pPr>
        <w:spacing w:after="0" w:line="33"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Unamortized discounts and costs</w:t>
      </w:r>
    </w:p>
    <w:p>
      <w:pPr>
        <w:spacing w:after="0" w:line="213"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Less unrestricted cash</w:t>
      </w:r>
    </w:p>
    <w:p>
      <w:pPr>
        <w:spacing w:after="0" w:line="56"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Consolidated Net Debt</w:t>
      </w:r>
    </w:p>
    <w:p>
      <w:pPr>
        <w:spacing w:after="0" w:line="231"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Total Net Leverage Ratio</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048" w:hanging="1048"/>
        <w:spacing w:after="0"/>
        <w:tabs>
          <w:tab w:leader="none" w:pos="1048" w:val="left"/>
        </w:tabs>
        <w:numPr>
          <w:ilvl w:val="0"/>
          <w:numId w:val="5"/>
        </w:numPr>
        <w:rPr>
          <w:rFonts w:ascii="Arial" w:cs="Arial" w:eastAsia="Arial" w:hAnsi="Arial"/>
          <w:sz w:val="12"/>
          <w:szCs w:val="12"/>
          <w:color w:val="auto"/>
        </w:rPr>
      </w:pPr>
      <w:r>
        <w:rPr>
          <w:rFonts w:ascii="Arial" w:cs="Arial" w:eastAsia="Arial" w:hAnsi="Arial"/>
          <w:sz w:val="12"/>
          <w:szCs w:val="12"/>
          <w:color w:val="auto"/>
        </w:rPr>
        <w:t>80,812</w:t>
      </w:r>
    </w:p>
    <w:p>
      <w:pPr>
        <w:spacing w:after="0" w:line="213" w:lineRule="exact"/>
        <w:rPr>
          <w:sz w:val="20"/>
          <w:szCs w:val="20"/>
          <w:color w:val="auto"/>
        </w:rPr>
      </w:pPr>
    </w:p>
    <w:p>
      <w:pPr>
        <w:ind w:left="1108"/>
        <w:spacing w:after="0"/>
        <w:rPr>
          <w:sz w:val="20"/>
          <w:szCs w:val="20"/>
          <w:color w:val="auto"/>
        </w:rPr>
      </w:pPr>
      <w:r>
        <w:rPr>
          <w:rFonts w:ascii="Arial" w:cs="Arial" w:eastAsia="Arial" w:hAnsi="Arial"/>
          <w:sz w:val="12"/>
          <w:szCs w:val="12"/>
          <w:color w:val="auto"/>
        </w:rPr>
        <w:t>1,759</w:t>
      </w:r>
    </w:p>
    <w:p>
      <w:pPr>
        <w:spacing w:after="0" w:line="33" w:lineRule="exact"/>
        <w:rPr>
          <w:sz w:val="20"/>
          <w:szCs w:val="20"/>
          <w:color w:val="auto"/>
        </w:rPr>
      </w:pPr>
    </w:p>
    <w:p>
      <w:pPr>
        <w:ind w:left="1048"/>
        <w:spacing w:after="0"/>
        <w:rPr>
          <w:sz w:val="20"/>
          <w:szCs w:val="20"/>
          <w:color w:val="auto"/>
        </w:rPr>
      </w:pPr>
      <w:r>
        <w:rPr>
          <w:rFonts w:ascii="Arial" w:cs="Arial" w:eastAsia="Arial" w:hAnsi="Arial"/>
          <w:sz w:val="12"/>
          <w:szCs w:val="12"/>
          <w:color w:val="auto"/>
        </w:rPr>
        <w:t>65,274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8" w:lineRule="exact"/>
        <w:rPr>
          <w:sz w:val="20"/>
          <w:szCs w:val="20"/>
          <w:color w:val="auto"/>
        </w:rPr>
      </w:pPr>
    </w:p>
    <w:p>
      <w:pPr>
        <w:ind w:left="988" w:hanging="988"/>
        <w:spacing w:after="0"/>
        <w:tabs>
          <w:tab w:leader="none" w:pos="98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147,845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1" w:lineRule="exact"/>
        <w:rPr>
          <w:sz w:val="20"/>
          <w:szCs w:val="20"/>
          <w:color w:val="auto"/>
        </w:rPr>
      </w:pPr>
    </w:p>
    <w:p>
      <w:pPr>
        <w:ind w:left="1108" w:hanging="1108"/>
        <w:spacing w:after="0"/>
        <w:tabs>
          <w:tab w:leader="none" w:pos="1108" w:val="left"/>
        </w:tabs>
        <w:numPr>
          <w:ilvl w:val="0"/>
          <w:numId w:val="7"/>
        </w:numPr>
        <w:rPr>
          <w:rFonts w:ascii="Arial" w:cs="Arial" w:eastAsia="Arial" w:hAnsi="Arial"/>
          <w:sz w:val="12"/>
          <w:szCs w:val="12"/>
          <w:color w:val="auto"/>
        </w:rPr>
      </w:pPr>
      <w:r>
        <w:rPr>
          <w:rFonts w:ascii="Arial" w:cs="Arial" w:eastAsia="Arial" w:hAnsi="Arial"/>
          <w:sz w:val="12"/>
          <w:szCs w:val="12"/>
          <w:color w:val="auto"/>
        </w:rPr>
        <w:t>6,200</w:t>
      </w:r>
    </w:p>
    <w:p>
      <w:pPr>
        <w:spacing w:after="0" w:line="33" w:lineRule="exact"/>
        <w:rPr>
          <w:rFonts w:ascii="Arial" w:cs="Arial" w:eastAsia="Arial" w:hAnsi="Arial"/>
          <w:sz w:val="12"/>
          <w:szCs w:val="12"/>
          <w:color w:val="auto"/>
        </w:rPr>
      </w:pPr>
    </w:p>
    <w:p>
      <w:pPr>
        <w:ind w:left="988"/>
        <w:spacing w:after="0"/>
        <w:rPr>
          <w:rFonts w:ascii="Arial" w:cs="Arial" w:eastAsia="Arial" w:hAnsi="Arial"/>
          <w:sz w:val="12"/>
          <w:szCs w:val="12"/>
          <w:color w:val="auto"/>
        </w:rPr>
      </w:pPr>
      <w:r>
        <w:rPr>
          <w:rFonts w:ascii="Arial" w:cs="Arial" w:eastAsia="Arial" w:hAnsi="Arial"/>
          <w:sz w:val="12"/>
          <w:szCs w:val="12"/>
          <w:color w:val="auto"/>
        </w:rPr>
        <w:t>619,957</w:t>
      </w:r>
    </w:p>
    <w:p>
      <w:pPr>
        <w:spacing w:after="0" w:line="33" w:lineRule="exact"/>
        <w:rPr>
          <w:rFonts w:ascii="Arial" w:cs="Arial" w:eastAsia="Arial" w:hAnsi="Arial"/>
          <w:sz w:val="12"/>
          <w:szCs w:val="12"/>
          <w:color w:val="auto"/>
        </w:rPr>
      </w:pPr>
    </w:p>
    <w:p>
      <w:pPr>
        <w:ind w:left="1048"/>
        <w:spacing w:after="0"/>
        <w:rPr>
          <w:rFonts w:ascii="Arial" w:cs="Arial" w:eastAsia="Arial" w:hAnsi="Arial"/>
          <w:sz w:val="12"/>
          <w:szCs w:val="12"/>
          <w:color w:val="auto"/>
        </w:rPr>
      </w:pPr>
      <w:r>
        <w:rPr>
          <w:rFonts w:ascii="Arial" w:cs="Arial" w:eastAsia="Arial" w:hAnsi="Arial"/>
          <w:sz w:val="12"/>
          <w:szCs w:val="12"/>
          <w:color w:val="auto"/>
        </w:rPr>
        <w:t>22,293</w:t>
      </w:r>
    </w:p>
    <w:p>
      <w:pPr>
        <w:spacing w:after="0" w:line="42" w:lineRule="exact"/>
        <w:rPr>
          <w:rFonts w:ascii="Arial" w:cs="Arial" w:eastAsia="Arial" w:hAnsi="Arial"/>
          <w:sz w:val="12"/>
          <w:szCs w:val="12"/>
          <w:color w:val="auto"/>
        </w:rPr>
      </w:pPr>
    </w:p>
    <w:p>
      <w:pPr>
        <w:ind w:left="988"/>
        <w:spacing w:after="0"/>
        <w:rPr>
          <w:rFonts w:ascii="Arial" w:cs="Arial" w:eastAsia="Arial" w:hAnsi="Arial"/>
          <w:sz w:val="12"/>
          <w:szCs w:val="12"/>
          <w:color w:val="auto"/>
        </w:rPr>
      </w:pPr>
      <w:r>
        <w:rPr>
          <w:rFonts w:ascii="Arial" w:cs="Arial" w:eastAsia="Arial" w:hAnsi="Arial"/>
          <w:sz w:val="12"/>
          <w:szCs w:val="12"/>
          <w:color w:val="auto"/>
        </w:rPr>
        <w:t>648,450</w:t>
      </w:r>
    </w:p>
    <w:p>
      <w:pPr>
        <w:spacing w:after="0" w:line="33" w:lineRule="exact"/>
        <w:rPr>
          <w:rFonts w:ascii="Arial" w:cs="Arial" w:eastAsia="Arial" w:hAnsi="Arial"/>
          <w:sz w:val="12"/>
          <w:szCs w:val="12"/>
          <w:color w:val="auto"/>
        </w:rPr>
      </w:pPr>
    </w:p>
    <w:p>
      <w:pPr>
        <w:ind w:left="988"/>
        <w:spacing w:after="0"/>
        <w:rPr>
          <w:rFonts w:ascii="Arial" w:cs="Arial" w:eastAsia="Arial" w:hAnsi="Arial"/>
          <w:sz w:val="12"/>
          <w:szCs w:val="12"/>
          <w:color w:val="auto"/>
        </w:rPr>
      </w:pPr>
      <w:r>
        <w:rPr>
          <w:rFonts w:ascii="Arial" w:cs="Arial" w:eastAsia="Arial" w:hAnsi="Arial"/>
          <w:sz w:val="12"/>
          <w:szCs w:val="12"/>
          <w:color w:val="auto"/>
        </w:rPr>
        <w:t>(16,974)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8" w:lineRule="exact"/>
        <w:rPr>
          <w:sz w:val="20"/>
          <w:szCs w:val="20"/>
          <w:color w:val="auto"/>
        </w:rPr>
      </w:pPr>
    </w:p>
    <w:p>
      <w:pPr>
        <w:ind w:left="988" w:hanging="988"/>
        <w:spacing w:after="0"/>
        <w:tabs>
          <w:tab w:leader="none" w:pos="98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631,476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9829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1" w:lineRule="exact"/>
        <w:rPr>
          <w:sz w:val="20"/>
          <w:szCs w:val="20"/>
          <w:color w:val="auto"/>
        </w:rPr>
      </w:pPr>
    </w:p>
    <w:p>
      <w:pPr>
        <w:jc w:val="right"/>
        <w:ind w:right="4000"/>
        <w:spacing w:after="0"/>
        <w:rPr>
          <w:sz w:val="20"/>
          <w:szCs w:val="20"/>
          <w:color w:val="auto"/>
        </w:rPr>
      </w:pPr>
      <w:r>
        <w:rPr>
          <w:rFonts w:ascii="Arial" w:cs="Arial" w:eastAsia="Arial" w:hAnsi="Arial"/>
          <w:sz w:val="12"/>
          <w:szCs w:val="12"/>
          <w:b w:val="1"/>
          <w:bCs w:val="1"/>
          <w:color w:val="auto"/>
        </w:rPr>
        <w:t>4.27x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829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9829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032" w:space="720"/>
            <w:col w:w="5528"/>
          </w:cols>
          <w:pgMar w:left="300" w:top="96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280"/>
          </w:cols>
          <w:pgMar w:left="300" w:top="966" w:right="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color w:val="auto"/>
        </w:rPr>
        <w:t>Further detail of certain of these adjustments, and where these items are recorded in our consolidated statements of operations, is provided below:</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rPr>
              <w:t>Segment</w:t>
            </w:r>
          </w:p>
        </w:tc>
        <w:tc>
          <w:tcPr>
            <w:tcW w:w="0" w:type="dxa"/>
            <w:vAlign w:val="bottom"/>
          </w:tcPr>
          <w:p>
            <w:pPr>
              <w:spacing w:after="0"/>
              <w:rPr>
                <w:sz w:val="1"/>
                <w:szCs w:val="1"/>
                <w:color w:val="auto"/>
              </w:rPr>
            </w:pPr>
          </w:p>
        </w:tc>
      </w:tr>
      <w:tr>
        <w:trPr>
          <w:trHeight w:val="295"/>
        </w:trPr>
        <w:tc>
          <w:tcPr>
            <w:tcW w:w="4540" w:type="dxa"/>
            <w:vAlign w:val="bottom"/>
          </w:tcPr>
          <w:p>
            <w:pPr>
              <w:spacing w:after="0"/>
              <w:rPr>
                <w:sz w:val="20"/>
                <w:szCs w:val="20"/>
                <w:color w:val="auto"/>
              </w:rPr>
            </w:pPr>
            <w:r>
              <w:rPr>
                <w:rFonts w:ascii="Arial" w:cs="Arial" w:eastAsia="Arial" w:hAnsi="Arial"/>
                <w:sz w:val="12"/>
                <w:szCs w:val="12"/>
                <w:b w:val="1"/>
                <w:bCs w:val="1"/>
                <w:color w:val="auto"/>
              </w:rPr>
              <w:t>Selling, general and administrative expense:</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Litigation settlement recoveries</w:t>
            </w:r>
          </w:p>
        </w:tc>
        <w:tc>
          <w:tcPr>
            <w:tcW w:w="3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(801)</w:t>
            </w:r>
          </w:p>
        </w:tc>
        <w:tc>
          <w:tcPr>
            <w:tcW w:w="20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Certain legal fees and expenses</w:t>
            </w:r>
          </w:p>
        </w:tc>
        <w:tc>
          <w:tcPr>
            <w:tcW w:w="36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2"/>
                <w:szCs w:val="12"/>
                <w:color w:val="auto"/>
              </w:rPr>
              <w:t>932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color w:val="auto"/>
              </w:rPr>
              <w:t>560</w:t>
            </w:r>
          </w:p>
        </w:tc>
        <w:tc>
          <w:tcPr>
            <w:tcW w:w="20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Professional, accounting and consulting fees</w:t>
            </w:r>
          </w:p>
        </w:tc>
        <w:tc>
          <w:tcPr>
            <w:tcW w:w="36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Acquisition transition services</w:t>
            </w:r>
          </w:p>
        </w:tc>
        <w:tc>
          <w:tcPr>
            <w:tcW w:w="3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color w:val="auto"/>
              </w:rPr>
              <w:t>1,012</w:t>
            </w:r>
          </w:p>
        </w:tc>
        <w:tc>
          <w:tcPr>
            <w:tcW w:w="20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Integrated Partners</w:t>
            </w: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Intangible carrying value adjustment</w:t>
            </w:r>
          </w:p>
        </w:tc>
        <w:tc>
          <w:tcPr>
            <w:tcW w:w="3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color w:val="auto"/>
              </w:rPr>
              <w:t>980</w:t>
            </w:r>
          </w:p>
        </w:tc>
        <w:tc>
          <w:tcPr>
            <w:tcW w:w="20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Consumer</w:t>
            </w: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586</w:t>
            </w: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1,901</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1,751</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2"/>
                <w:szCs w:val="12"/>
                <w:b w:val="1"/>
                <w:bCs w:val="1"/>
                <w:color w:val="auto"/>
              </w:rPr>
              <w:t>Salary and employee benefit expense:</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Non-cash stock-based compensation</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0"/>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4"/>
                <w:szCs w:val="14"/>
                <w:color w:val="auto"/>
              </w:rPr>
            </w:pPr>
          </w:p>
        </w:tc>
        <w:tc>
          <w:tcPr>
            <w:tcW w:w="980" w:type="dxa"/>
            <w:vAlign w:val="bottom"/>
          </w:tcPr>
          <w:p>
            <w:pPr>
              <w:jc w:val="right"/>
              <w:ind w:right="8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120"/>
              <w:spacing w:after="0"/>
              <w:rPr>
                <w:sz w:val="20"/>
                <w:szCs w:val="20"/>
                <w:color w:val="auto"/>
              </w:rPr>
            </w:pPr>
            <w:r>
              <w:rPr>
                <w:rFonts w:ascii="Arial" w:cs="Arial" w:eastAsia="Arial" w:hAnsi="Arial"/>
                <w:sz w:val="12"/>
                <w:szCs w:val="12"/>
                <w:color w:val="auto"/>
              </w:rPr>
              <w:t>111</w:t>
            </w:r>
          </w:p>
        </w:tc>
        <w:tc>
          <w:tcPr>
            <w:tcW w:w="20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Consumer</w:t>
            </w: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Non-cash stock-based compensation</w:t>
            </w:r>
          </w:p>
        </w:tc>
        <w:tc>
          <w:tcPr>
            <w:tcW w:w="36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Commercial</w:t>
            </w: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Non-cash stock-based compensation</w:t>
            </w:r>
          </w:p>
        </w:tc>
        <w:tc>
          <w:tcPr>
            <w:tcW w:w="36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color w:val="auto"/>
              </w:rPr>
              <w:t>2</w:t>
            </w:r>
          </w:p>
        </w:tc>
        <w:tc>
          <w:tcPr>
            <w:tcW w:w="20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Integrated Partners</w:t>
            </w: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rPr>
                <w:sz w:val="20"/>
                <w:szCs w:val="20"/>
                <w:color w:val="auto"/>
              </w:rPr>
            </w:pPr>
            <w:r>
              <w:rPr>
                <w:rFonts w:ascii="Arial" w:cs="Arial" w:eastAsia="Arial" w:hAnsi="Arial"/>
                <w:sz w:val="12"/>
                <w:szCs w:val="12"/>
                <w:color w:val="auto"/>
              </w:rPr>
              <w:t>Non-cash stock-based compensation</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824</w:t>
            </w: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458</w:t>
            </w:r>
          </w:p>
        </w:tc>
        <w:tc>
          <w:tcPr>
            <w:tcW w:w="200" w:type="dxa"/>
            <w:vAlign w:val="bottom"/>
          </w:tcPr>
          <w:p>
            <w:pPr>
              <w:spacing w:after="0"/>
              <w:rPr>
                <w:sz w:val="15"/>
                <w:szCs w:val="15"/>
                <w:color w:val="auto"/>
              </w:rPr>
            </w:pPr>
          </w:p>
        </w:tc>
        <w:tc>
          <w:tcPr>
            <w:tcW w:w="1740" w:type="dxa"/>
            <w:vAlign w:val="bottom"/>
          </w:tcPr>
          <w:p>
            <w:pPr>
              <w:ind w:left="20"/>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935</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601</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2"/>
                <w:szCs w:val="12"/>
                <w:b w:val="1"/>
                <w:bCs w:val="1"/>
                <w:color w:val="auto"/>
              </w:rPr>
              <w:t>Other income,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2"/>
                <w:szCs w:val="12"/>
                <w:color w:val="auto"/>
              </w:rPr>
              <w:t>Debt extinguishment and modification costs</w:t>
            </w:r>
          </w:p>
        </w:tc>
        <w:tc>
          <w:tcPr>
            <w:tcW w:w="3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(1,523)</w:t>
            </w: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80"/>
              <w:spacing w:after="0"/>
              <w:rPr>
                <w:sz w:val="20"/>
                <w:szCs w:val="20"/>
                <w:color w:val="auto"/>
              </w:rPr>
            </w:pPr>
            <w:r>
              <w:rPr>
                <w:rFonts w:ascii="Arial" w:cs="Arial" w:eastAsia="Arial" w:hAnsi="Arial"/>
                <w:sz w:val="12"/>
                <w:szCs w:val="12"/>
                <w:color w:val="auto"/>
              </w:rPr>
              <w:t>Gain on sale of business</w:t>
            </w:r>
          </w:p>
        </w:tc>
        <w:tc>
          <w:tcPr>
            <w:tcW w:w="3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color w:val="auto"/>
                <w:w w:val="92"/>
              </w:rPr>
              <w:t>107,239</w:t>
            </w: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rPr>
                <w:sz w:val="20"/>
                <w:szCs w:val="20"/>
                <w:color w:val="auto"/>
              </w:rPr>
            </w:pPr>
            <w:r>
              <w:rPr>
                <w:rFonts w:ascii="Arial" w:cs="Arial" w:eastAsia="Arial" w:hAnsi="Arial"/>
                <w:sz w:val="12"/>
                <w:szCs w:val="12"/>
                <w:color w:val="auto"/>
              </w:rPr>
              <w:t>Attributable to NCIs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8"/>
              </w:rPr>
              <w:t>(45,148)</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w:t>
            </w:r>
          </w:p>
        </w:tc>
        <w:tc>
          <w:tcPr>
            <w:tcW w:w="980" w:type="dxa"/>
            <w:vAlign w:val="bottom"/>
          </w:tcPr>
          <w:p>
            <w:pPr>
              <w:jc w:val="right"/>
              <w:ind w:right="84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Pr>
          <w:p>
            <w:pPr>
              <w:jc w:val="right"/>
              <w:ind w:right="120"/>
              <w:spacing w:after="0"/>
              <w:rPr>
                <w:sz w:val="20"/>
                <w:szCs w:val="20"/>
                <w:color w:val="auto"/>
              </w:rPr>
            </w:pPr>
            <w:r>
              <w:rPr>
                <w:rFonts w:ascii="Arial" w:cs="Arial" w:eastAsia="Arial" w:hAnsi="Arial"/>
                <w:sz w:val="12"/>
                <w:szCs w:val="12"/>
                <w:b w:val="1"/>
                <w:bCs w:val="1"/>
                <w:color w:val="auto"/>
              </w:rPr>
              <w:t>60,568</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660"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u w:val="single" w:color="auto"/>
          <w:color w:val="auto"/>
        </w:rPr>
        <w:t>About Priority Technology Holdings, Inc.</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 xml:space="preserve">Priority is a payments powerhouse driving the convergence of payments and banking. The company has built a single platform to collect, store, and send money that operates at scale. We help our customers take and make payments while managing business and consumer operating accounts to monetize payment networks. Our tailored, agile technology powers high-value, payments products bolstered by our industry-leading personalized support. Additional information can be found at </w:t>
      </w:r>
      <w:r>
        <w:rPr>
          <w:rFonts w:ascii="Arial" w:cs="Arial" w:eastAsia="Arial" w:hAnsi="Arial"/>
          <w:sz w:val="14"/>
          <w:szCs w:val="14"/>
          <w:color w:val="0000FF"/>
        </w:rPr>
        <w:t>www.PRTH.com</w:t>
      </w:r>
      <w:r>
        <w:rPr>
          <w:rFonts w:ascii="Arial" w:cs="Arial" w:eastAsia="Arial" w:hAnsi="Arial"/>
          <w:sz w:val="14"/>
          <w:szCs w:val="14"/>
          <w:color w:val="auto"/>
        </w:rPr>
        <w:t>.</w:t>
      </w:r>
    </w:p>
    <w:p>
      <w:pPr>
        <w:jc w:val="center"/>
        <w:spacing w:after="0"/>
        <w:rPr>
          <w:sz w:val="20"/>
          <w:szCs w:val="20"/>
          <w:color w:val="auto"/>
        </w:rPr>
      </w:pPr>
      <w:r>
        <w:rPr>
          <w:rFonts w:ascii="Arial" w:cs="Arial" w:eastAsia="Arial" w:hAnsi="Arial"/>
          <w:sz w:val="13"/>
          <w:szCs w:val="13"/>
          <w:b w:val="1"/>
          <w:bCs w:val="1"/>
          <w:u w:val="single" w:color="auto"/>
          <w:color w:val="0A0A0A"/>
        </w:rPr>
        <w:t>Forward-Looking Statements</w:t>
      </w:r>
    </w:p>
    <w:p>
      <w:pPr>
        <w:spacing w:after="0" w:line="179" w:lineRule="exact"/>
        <w:rPr>
          <w:sz w:val="20"/>
          <w:szCs w:val="20"/>
          <w:color w:val="auto"/>
        </w:rPr>
      </w:pPr>
    </w:p>
    <w:p>
      <w:pPr>
        <w:jc w:val="both"/>
        <w:spacing w:after="0" w:line="328"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Priority Technology Holdings, Inc.'s ("Priority," "we," "our," or "us") 2021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31, 2021. These filings are available online at www.sec.gov or www.PRTH.com.</w:t>
      </w:r>
    </w:p>
    <w:p>
      <w:pPr>
        <w:spacing w:after="0" w:line="122" w:lineRule="exact"/>
        <w:rPr>
          <w:sz w:val="20"/>
          <w:szCs w:val="20"/>
          <w:color w:val="auto"/>
        </w:rPr>
      </w:pPr>
    </w:p>
    <w:p>
      <w:pPr>
        <w:jc w:val="both"/>
        <w:spacing w:after="0" w:line="325" w:lineRule="auto"/>
        <w:rPr>
          <w:sz w:val="20"/>
          <w:szCs w:val="20"/>
          <w:color w:val="auto"/>
        </w:rPr>
      </w:pPr>
      <w:r>
        <w:rPr>
          <w:rFonts w:ascii="Arial" w:cs="Arial" w:eastAsia="Arial" w:hAnsi="Arial"/>
          <w:sz w:val="12"/>
          <w:szCs w:val="1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656"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Condensed Consolidated Statements of Operations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20"/>
                <w:szCs w:val="20"/>
                <w:color w:val="auto"/>
              </w:rPr>
            </w:pPr>
            <w:r>
              <w:rPr>
                <w:rFonts w:ascii="Arial" w:cs="Arial" w:eastAsia="Arial" w:hAnsi="Arial"/>
                <w:sz w:val="12"/>
                <w:szCs w:val="12"/>
                <w:i w:val="1"/>
                <w:iCs w:val="1"/>
                <w:color w:val="auto"/>
              </w:rPr>
              <w:t>(in thousands, except per share amounts)</w:t>
            </w:r>
          </w:p>
        </w:tc>
        <w:tc>
          <w:tcPr>
            <w:tcW w:w="320" w:type="dxa"/>
            <w:vAlign w:val="bottom"/>
          </w:tcPr>
          <w:p>
            <w:pPr>
              <w:spacing w:after="0"/>
              <w:rPr>
                <w:sz w:val="14"/>
                <w:szCs w:val="14"/>
                <w:color w:val="auto"/>
              </w:rPr>
            </w:pPr>
          </w:p>
        </w:tc>
        <w:tc>
          <w:tcPr>
            <w:tcW w:w="2820" w:type="dxa"/>
            <w:vAlign w:val="bottom"/>
            <w:gridSpan w:val="5"/>
          </w:tcPr>
          <w:p>
            <w:pPr>
              <w:jc w:val="right"/>
              <w:ind w:right="700"/>
              <w:spacing w:after="0"/>
              <w:rPr>
                <w:sz w:val="20"/>
                <w:szCs w:val="20"/>
                <w:color w:val="auto"/>
              </w:rPr>
            </w:pPr>
            <w:r>
              <w:rPr>
                <w:rFonts w:ascii="Arial" w:cs="Arial" w:eastAsia="Arial" w:hAnsi="Arial"/>
                <w:sz w:val="12"/>
                <w:szCs w:val="12"/>
                <w:b w:val="1"/>
                <w:bCs w:val="1"/>
                <w:color w:val="auto"/>
              </w:rPr>
              <w:t>Three Months Ended September 30,</w:t>
            </w:r>
          </w:p>
        </w:tc>
        <w:tc>
          <w:tcPr>
            <w:tcW w:w="340" w:type="dxa"/>
            <w:vAlign w:val="bottom"/>
          </w:tcPr>
          <w:p>
            <w:pPr>
              <w:spacing w:after="0"/>
              <w:rPr>
                <w:sz w:val="14"/>
                <w:szCs w:val="14"/>
                <w:color w:val="auto"/>
              </w:rPr>
            </w:pPr>
          </w:p>
        </w:tc>
        <w:tc>
          <w:tcPr>
            <w:tcW w:w="2700" w:type="dxa"/>
            <w:vAlign w:val="bottom"/>
            <w:gridSpan w:val="4"/>
          </w:tcPr>
          <w:p>
            <w:pPr>
              <w:ind w:left="28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20"/>
                <w:szCs w:val="20"/>
                <w:color w:val="auto"/>
              </w:rPr>
            </w:pPr>
            <w:r>
              <w:rPr>
                <w:rFonts w:ascii="Arial" w:cs="Arial" w:eastAsia="Arial" w:hAnsi="Arial"/>
                <w:sz w:val="12"/>
                <w:szCs w:val="12"/>
                <w:b w:val="1"/>
                <w:bCs w:val="1"/>
                <w:color w:val="auto"/>
              </w:rPr>
              <w:t>Revenue</w:t>
            </w: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132,542</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108,962</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370,853</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298,251</w:t>
            </w:r>
          </w:p>
        </w:tc>
        <w:tc>
          <w:tcPr>
            <w:tcW w:w="0" w:type="dxa"/>
            <w:vAlign w:val="bottom"/>
          </w:tcPr>
          <w:p>
            <w:pPr>
              <w:spacing w:after="0"/>
              <w:rPr>
                <w:sz w:val="1"/>
                <w:szCs w:val="1"/>
                <w:color w:val="auto"/>
              </w:rPr>
            </w:pPr>
          </w:p>
        </w:tc>
      </w:tr>
      <w:tr>
        <w:trPr>
          <w:trHeight w:val="286"/>
        </w:trPr>
        <w:tc>
          <w:tcPr>
            <w:tcW w:w="512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Costs of services</w:t>
            </w:r>
          </w:p>
        </w:tc>
        <w:tc>
          <w:tcPr>
            <w:tcW w:w="32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92,833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74,971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20"/>
              <w:spacing w:after="0"/>
              <w:rPr>
                <w:sz w:val="20"/>
                <w:szCs w:val="20"/>
                <w:color w:val="auto"/>
              </w:rPr>
            </w:pPr>
            <w:r>
              <w:rPr>
                <w:rFonts w:ascii="Arial" w:cs="Arial" w:eastAsia="Arial" w:hAnsi="Arial"/>
                <w:sz w:val="12"/>
                <w:szCs w:val="12"/>
                <w:color w:val="auto"/>
              </w:rPr>
              <w:t>264,527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203,733</w:t>
            </w: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Salary and employee benefits</w:t>
            </w:r>
          </w:p>
        </w:tc>
        <w:tc>
          <w:tcPr>
            <w:tcW w:w="32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11,909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10,010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20"/>
              <w:spacing w:after="0"/>
              <w:rPr>
                <w:sz w:val="20"/>
                <w:szCs w:val="20"/>
                <w:color w:val="auto"/>
              </w:rPr>
            </w:pPr>
            <w:r>
              <w:rPr>
                <w:rFonts w:ascii="Arial" w:cs="Arial" w:eastAsia="Arial" w:hAnsi="Arial"/>
                <w:sz w:val="12"/>
                <w:szCs w:val="12"/>
                <w:color w:val="auto"/>
              </w:rPr>
              <w:t>31,808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29,695</w:t>
            </w: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32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12,330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10,251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20"/>
              <w:spacing w:after="0"/>
              <w:rPr>
                <w:sz w:val="20"/>
                <w:szCs w:val="20"/>
                <w:color w:val="auto"/>
              </w:rPr>
            </w:pPr>
            <w:r>
              <w:rPr>
                <w:rFonts w:ascii="Arial" w:cs="Arial" w:eastAsia="Arial" w:hAnsi="Arial"/>
                <w:sz w:val="12"/>
                <w:szCs w:val="12"/>
                <w:color w:val="auto"/>
              </w:rPr>
              <w:t>32,123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30,886</w:t>
            </w:r>
          </w:p>
        </w:tc>
        <w:tc>
          <w:tcPr>
            <w:tcW w:w="0" w:type="dxa"/>
            <w:vAlign w:val="bottom"/>
          </w:tcPr>
          <w:p>
            <w:pPr>
              <w:spacing w:after="0"/>
              <w:rPr>
                <w:sz w:val="1"/>
                <w:szCs w:val="1"/>
                <w:color w:val="auto"/>
              </w:rPr>
            </w:pPr>
          </w:p>
        </w:tc>
      </w:tr>
      <w:tr>
        <w:trPr>
          <w:trHeight w:val="176"/>
        </w:trPr>
        <w:tc>
          <w:tcPr>
            <w:tcW w:w="512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6,688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22,213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19,305</w:t>
            </w:r>
          </w:p>
        </w:tc>
        <w:tc>
          <w:tcPr>
            <w:tcW w:w="0" w:type="dxa"/>
            <w:vAlign w:val="bottom"/>
          </w:tcPr>
          <w:p>
            <w:pPr>
              <w:spacing w:after="0"/>
              <w:rPr>
                <w:sz w:val="1"/>
                <w:szCs w:val="1"/>
                <w:color w:val="auto"/>
              </w:rPr>
            </w:pPr>
          </w:p>
        </w:tc>
      </w:tr>
      <w:tr>
        <w:trPr>
          <w:trHeight w:val="155"/>
        </w:trPr>
        <w:tc>
          <w:tcPr>
            <w:tcW w:w="5120" w:type="dxa"/>
            <w:vAlign w:val="bottom"/>
          </w:tcPr>
          <w:p>
            <w:pPr>
              <w:ind w:left="140"/>
              <w:spacing w:after="0"/>
              <w:rPr>
                <w:sz w:val="20"/>
                <w:szCs w:val="20"/>
                <w:color w:val="auto"/>
              </w:rPr>
            </w:pPr>
            <w:r>
              <w:rPr>
                <w:rFonts w:ascii="Arial" w:cs="Arial" w:eastAsia="Arial" w:hAnsi="Arial"/>
                <w:sz w:val="12"/>
                <w:szCs w:val="12"/>
                <w:color w:val="auto"/>
              </w:rPr>
              <w:t>Total operating expenses</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124,292</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101,920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350,671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283,619</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20"/>
                <w:szCs w:val="20"/>
                <w:color w:val="auto"/>
              </w:rPr>
            </w:pPr>
            <w:r>
              <w:rPr>
                <w:rFonts w:ascii="Arial" w:cs="Arial" w:eastAsia="Arial" w:hAnsi="Arial"/>
                <w:sz w:val="12"/>
                <w:szCs w:val="12"/>
                <w:b w:val="1"/>
                <w:bCs w:val="1"/>
                <w:color w:val="auto"/>
              </w:rPr>
              <w:t>Operating Income</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8,250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7,042</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20,182</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14,632</w:t>
            </w:r>
          </w:p>
        </w:tc>
        <w:tc>
          <w:tcPr>
            <w:tcW w:w="0" w:type="dxa"/>
            <w:vAlign w:val="bottom"/>
          </w:tcPr>
          <w:p>
            <w:pPr>
              <w:spacing w:after="0"/>
              <w:rPr>
                <w:sz w:val="1"/>
                <w:szCs w:val="1"/>
                <w:color w:val="auto"/>
              </w:rPr>
            </w:pPr>
          </w:p>
        </w:tc>
      </w:tr>
      <w:tr>
        <w:trPr>
          <w:trHeight w:val="259"/>
        </w:trPr>
        <w:tc>
          <w:tcPr>
            <w:tcW w:w="5120" w:type="dxa"/>
            <w:vAlign w:val="bottom"/>
          </w:tcPr>
          <w:p>
            <w:pPr>
              <w:spacing w:after="0"/>
              <w:rPr>
                <w:sz w:val="20"/>
                <w:szCs w:val="20"/>
                <w:color w:val="auto"/>
              </w:rPr>
            </w:pPr>
            <w:r>
              <w:rPr>
                <w:rFonts w:ascii="Arial" w:cs="Arial" w:eastAsia="Arial" w:hAnsi="Arial"/>
                <w:sz w:val="12"/>
                <w:szCs w:val="12"/>
                <w:b w:val="1"/>
                <w:bCs w:val="1"/>
                <w:color w:val="auto"/>
              </w:rPr>
              <w:t>Other (expenses) income</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32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(8,155)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(13,471)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(24,608)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(35,454)</w:t>
            </w: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Debt extinguishment and modification costs</w:t>
            </w:r>
          </w:p>
        </w:tc>
        <w:tc>
          <w:tcPr>
            <w:tcW w:w="3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(1,523)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(8,322)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(1,899)</w:t>
            </w: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Gain on sale of business</w:t>
            </w:r>
          </w:p>
        </w:tc>
        <w:tc>
          <w:tcPr>
            <w:tcW w:w="3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107,239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107,239</w:t>
            </w:r>
          </w:p>
        </w:tc>
        <w:tc>
          <w:tcPr>
            <w:tcW w:w="0" w:type="dxa"/>
            <w:vAlign w:val="bottom"/>
          </w:tcPr>
          <w:p>
            <w:pPr>
              <w:spacing w:after="0"/>
              <w:rPr>
                <w:sz w:val="1"/>
                <w:szCs w:val="1"/>
                <w:color w:val="auto"/>
              </w:rPr>
            </w:pPr>
          </w:p>
        </w:tc>
      </w:tr>
      <w:tr>
        <w:trPr>
          <w:trHeight w:val="176"/>
        </w:trPr>
        <w:tc>
          <w:tcPr>
            <w:tcW w:w="5120" w:type="dxa"/>
            <w:vAlign w:val="bottom"/>
          </w:tcPr>
          <w:p>
            <w:pPr>
              <w:ind w:left="80"/>
              <w:spacing w:after="0"/>
              <w:rPr>
                <w:sz w:val="20"/>
                <w:szCs w:val="20"/>
                <w:color w:val="auto"/>
              </w:rPr>
            </w:pPr>
            <w:r>
              <w:rPr>
                <w:rFonts w:ascii="Arial" w:cs="Arial" w:eastAsia="Arial" w:hAnsi="Arial"/>
                <w:sz w:val="12"/>
                <w:szCs w:val="12"/>
                <w:color w:val="auto"/>
              </w:rPr>
              <w:t>Other income, net</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160"/>
        </w:trPr>
        <w:tc>
          <w:tcPr>
            <w:tcW w:w="5120" w:type="dxa"/>
            <w:vAlign w:val="bottom"/>
          </w:tcPr>
          <w:p>
            <w:pPr>
              <w:ind w:left="140"/>
              <w:spacing w:after="0"/>
              <w:rPr>
                <w:sz w:val="20"/>
                <w:szCs w:val="20"/>
                <w:color w:val="auto"/>
              </w:rPr>
            </w:pPr>
            <w:r>
              <w:rPr>
                <w:rFonts w:ascii="Arial" w:cs="Arial" w:eastAsia="Arial" w:hAnsi="Arial"/>
                <w:sz w:val="12"/>
                <w:szCs w:val="12"/>
                <w:color w:val="auto"/>
              </w:rPr>
              <w:t>Total other (expenses) income, net</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(8,009)</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92,435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(32,838)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70,300</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20"/>
                <w:szCs w:val="20"/>
                <w:color w:val="auto"/>
              </w:rPr>
            </w:pPr>
            <w:r>
              <w:rPr>
                <w:rFonts w:ascii="Arial" w:cs="Arial" w:eastAsia="Arial" w:hAnsi="Arial"/>
                <w:sz w:val="12"/>
                <w:szCs w:val="12"/>
                <w:color w:val="auto"/>
              </w:rPr>
              <w:t>Income (loss) before income taxes</w:t>
            </w:r>
          </w:p>
        </w:tc>
        <w:tc>
          <w:tcPr>
            <w:tcW w:w="32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99,477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(12,656)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84,932</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20"/>
                <w:szCs w:val="20"/>
                <w:color w:val="auto"/>
              </w:rPr>
            </w:pPr>
            <w:r>
              <w:rPr>
                <w:rFonts w:ascii="Arial" w:cs="Arial" w:eastAsia="Arial" w:hAnsi="Arial"/>
                <w:sz w:val="12"/>
                <w:szCs w:val="12"/>
                <w:color w:val="auto"/>
              </w:rPr>
              <w:t>Income tax expense</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790</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13,737</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12,919</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20"/>
                <w:szCs w:val="20"/>
                <w:color w:val="auto"/>
              </w:rPr>
            </w:pPr>
            <w:r>
              <w:rPr>
                <w:rFonts w:ascii="Arial" w:cs="Arial" w:eastAsia="Arial" w:hAnsi="Arial"/>
                <w:sz w:val="12"/>
                <w:szCs w:val="12"/>
                <w:b w:val="1"/>
                <w:bCs w:val="1"/>
                <w:color w:val="auto"/>
              </w:rPr>
              <w:t>Net (loss) income</w:t>
            </w:r>
          </w:p>
        </w:tc>
        <w:tc>
          <w:tcPr>
            <w:tcW w:w="320" w:type="dxa"/>
            <w:vAlign w:val="bottom"/>
          </w:tcPr>
          <w:p>
            <w:pPr>
              <w:spacing w:after="0"/>
              <w:rPr>
                <w:sz w:val="13"/>
                <w:szCs w:val="13"/>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(549)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85,740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(12,705)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72,013</w:t>
            </w: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Dividends and accretion attributable to redeemable senior preferred stockholders</w:t>
            </w:r>
          </w:p>
        </w:tc>
        <w:tc>
          <w:tcPr>
            <w:tcW w:w="32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(5,813)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(9,724)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Non-controlling interest preferred unit redemptions</w:t>
            </w:r>
          </w:p>
        </w:tc>
        <w:tc>
          <w:tcPr>
            <w:tcW w:w="3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(10,777)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20" w:type="dxa"/>
            <w:vAlign w:val="bottom"/>
          </w:tcPr>
          <w:p>
            <w:pPr>
              <w:ind w:left="80"/>
              <w:spacing w:after="0"/>
              <w:rPr>
                <w:sz w:val="20"/>
                <w:szCs w:val="20"/>
                <w:color w:val="auto"/>
              </w:rPr>
            </w:pPr>
            <w:r>
              <w:rPr>
                <w:rFonts w:ascii="Arial" w:cs="Arial" w:eastAsia="Arial" w:hAnsi="Arial"/>
                <w:sz w:val="12"/>
                <w:szCs w:val="12"/>
                <w:color w:val="auto"/>
                <w:w w:val="95"/>
              </w:rPr>
              <w:t>Less net income attributable to redeemable non-controlling interests and redeemed non-controlling</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20" w:type="dxa"/>
            <w:vAlign w:val="bottom"/>
          </w:tcPr>
          <w:p>
            <w:pPr>
              <w:ind w:left="80"/>
              <w:spacing w:after="0"/>
              <w:rPr>
                <w:sz w:val="20"/>
                <w:szCs w:val="20"/>
                <w:color w:val="auto"/>
              </w:rPr>
            </w:pPr>
            <w:r>
              <w:rPr>
                <w:rFonts w:ascii="Arial" w:cs="Arial" w:eastAsia="Arial" w:hAnsi="Arial"/>
                <w:sz w:val="12"/>
                <w:szCs w:val="12"/>
                <w:color w:val="auto"/>
              </w:rPr>
              <w:t>interests</w:t>
            </w:r>
          </w:p>
        </w:tc>
        <w:tc>
          <w:tcPr>
            <w:tcW w:w="32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(45,348)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(45,348)</w:t>
            </w:r>
          </w:p>
        </w:tc>
        <w:tc>
          <w:tcPr>
            <w:tcW w:w="0" w:type="dxa"/>
            <w:vAlign w:val="bottom"/>
          </w:tcPr>
          <w:p>
            <w:pPr>
              <w:spacing w:after="0"/>
              <w:rPr>
                <w:sz w:val="1"/>
                <w:szCs w:val="1"/>
                <w:color w:val="auto"/>
              </w:rPr>
            </w:pPr>
          </w:p>
        </w:tc>
      </w:tr>
      <w:tr>
        <w:trPr>
          <w:trHeight w:val="164"/>
        </w:trPr>
        <w:tc>
          <w:tcPr>
            <w:tcW w:w="5120" w:type="dxa"/>
            <w:vAlign w:val="bottom"/>
          </w:tcPr>
          <w:p>
            <w:pPr>
              <w:spacing w:after="0"/>
              <w:rPr>
                <w:sz w:val="20"/>
                <w:szCs w:val="20"/>
                <w:color w:val="auto"/>
              </w:rPr>
            </w:pPr>
            <w:r>
              <w:rPr>
                <w:rFonts w:ascii="Arial" w:cs="Arial" w:eastAsia="Arial" w:hAnsi="Arial"/>
                <w:sz w:val="12"/>
                <w:szCs w:val="12"/>
                <w:b w:val="1"/>
                <w:bCs w:val="1"/>
                <w:color w:val="auto"/>
              </w:rPr>
              <w:t>Net (loss) income attributable to common stockholders</w:t>
            </w: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(6,362)</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rPr>
              <w:t>40,392</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(33,206)</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rPr>
              <w:t>26,665</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2"/>
                <w:szCs w:val="12"/>
                <w:b w:val="1"/>
                <w:bCs w:val="1"/>
                <w:color w:val="auto"/>
              </w:rPr>
              <w:t>(Loss) earnings per common share: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0.60</w:t>
            </w:r>
          </w:p>
        </w:tc>
        <w:tc>
          <w:tcPr>
            <w:tcW w:w="10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(0.48)</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2"/>
                <w:szCs w:val="12"/>
                <w:b w:val="1"/>
                <w:bCs w:val="1"/>
                <w:color w:val="auto"/>
              </w:rPr>
              <w:t>Weighted-average common shares outstanding:</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32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71,979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67,167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20"/>
              <w:spacing w:after="0"/>
              <w:rPr>
                <w:sz w:val="20"/>
                <w:szCs w:val="20"/>
                <w:color w:val="auto"/>
              </w:rPr>
            </w:pPr>
            <w:r>
              <w:rPr>
                <w:rFonts w:ascii="Arial" w:cs="Arial" w:eastAsia="Arial" w:hAnsi="Arial"/>
                <w:sz w:val="12"/>
                <w:szCs w:val="12"/>
                <w:color w:val="auto"/>
              </w:rPr>
              <w:t>69,689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20"/>
              <w:spacing w:after="0"/>
              <w:rPr>
                <w:sz w:val="20"/>
                <w:szCs w:val="20"/>
                <w:color w:val="auto"/>
              </w:rPr>
            </w:pPr>
            <w:r>
              <w:rPr>
                <w:rFonts w:ascii="Arial" w:cs="Arial" w:eastAsia="Arial" w:hAnsi="Arial"/>
                <w:sz w:val="12"/>
                <w:szCs w:val="12"/>
                <w:color w:val="auto"/>
              </w:rPr>
              <w:t>67,114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649"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2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September 30, 2021</w:t>
            </w:r>
          </w:p>
        </w:tc>
        <w:tc>
          <w:tcPr>
            <w:tcW w:w="300" w:type="dxa"/>
            <w:vAlign w:val="bottom"/>
          </w:tcPr>
          <w:p>
            <w:pPr>
              <w:spacing w:after="0"/>
              <w:rPr>
                <w:sz w:val="13"/>
                <w:szCs w:val="13"/>
                <w:color w:val="auto"/>
              </w:rPr>
            </w:pPr>
          </w:p>
        </w:tc>
        <w:tc>
          <w:tcPr>
            <w:tcW w:w="1720" w:type="dxa"/>
            <w:vAlign w:val="bottom"/>
          </w:tcPr>
          <w:p>
            <w:pPr>
              <w:jc w:val="right"/>
              <w:ind w:right="46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51"/>
        </w:trPr>
        <w:tc>
          <w:tcPr>
            <w:tcW w:w="468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5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2"/>
                <w:szCs w:val="12"/>
                <w:color w:val="auto"/>
              </w:rPr>
              <w:t>Current assets:</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Cash</w:t>
            </w:r>
          </w:p>
        </w:tc>
        <w:tc>
          <w:tcPr>
            <w:tcW w:w="2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16,974</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9,241</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17,258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78,879</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Accounts receivable, net of allowance</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52,651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41,321</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13,331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Current portion of notes receivable, net of allowance</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2,190</w:t>
            </w:r>
          </w:p>
        </w:tc>
        <w:tc>
          <w:tcPr>
            <w:tcW w:w="0" w:type="dxa"/>
            <w:vAlign w:val="bottom"/>
          </w:tcPr>
          <w:p>
            <w:pPr>
              <w:spacing w:after="0"/>
              <w:rPr>
                <w:sz w:val="1"/>
                <w:szCs w:val="1"/>
                <w:color w:val="auto"/>
              </w:rPr>
            </w:pPr>
          </w:p>
        </w:tc>
      </w:tr>
      <w:tr>
        <w:trPr>
          <w:trHeight w:val="176"/>
        </w:trPr>
        <w:tc>
          <w:tcPr>
            <w:tcW w:w="4680" w:type="dxa"/>
            <w:vAlign w:val="bottom"/>
          </w:tcPr>
          <w:p>
            <w:pPr>
              <w:ind w:left="80"/>
              <w:spacing w:after="0"/>
              <w:rPr>
                <w:sz w:val="20"/>
                <w:szCs w:val="20"/>
                <w:color w:val="auto"/>
              </w:rPr>
            </w:pPr>
            <w:r>
              <w:rPr>
                <w:rFonts w:ascii="Arial" w:cs="Arial" w:eastAsia="Arial" w:hAnsi="Arial"/>
                <w:sz w:val="12"/>
                <w:szCs w:val="12"/>
                <w:color w:val="auto"/>
              </w:rPr>
              <w:t>Settlement assets and customer account balances</w:t>
            </w:r>
          </w:p>
        </w:tc>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480,315</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753</w:t>
            </w:r>
          </w:p>
        </w:tc>
        <w:tc>
          <w:tcPr>
            <w:tcW w:w="0" w:type="dxa"/>
            <w:vAlign w:val="bottom"/>
          </w:tcPr>
          <w:p>
            <w:pPr>
              <w:spacing w:after="0"/>
              <w:rPr>
                <w:sz w:val="1"/>
                <w:szCs w:val="1"/>
                <w:color w:val="auto"/>
              </w:rPr>
            </w:pPr>
          </w:p>
        </w:tc>
      </w:tr>
      <w:tr>
        <w:trPr>
          <w:trHeight w:val="155"/>
        </w:trPr>
        <w:tc>
          <w:tcPr>
            <w:tcW w:w="468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2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580,681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135,884</w:t>
            </w:r>
          </w:p>
        </w:tc>
        <w:tc>
          <w:tcPr>
            <w:tcW w:w="0" w:type="dxa"/>
            <w:vAlign w:val="bottom"/>
          </w:tcPr>
          <w:p>
            <w:pPr>
              <w:spacing w:after="0"/>
              <w:rPr>
                <w:sz w:val="1"/>
                <w:szCs w:val="1"/>
                <w:color w:val="auto"/>
              </w:rPr>
            </w:pPr>
          </w:p>
        </w:tc>
      </w:tr>
      <w:tr>
        <w:trPr>
          <w:trHeight w:val="342"/>
        </w:trPr>
        <w:tc>
          <w:tcPr>
            <w:tcW w:w="4680" w:type="dxa"/>
            <w:vAlign w:val="bottom"/>
          </w:tcPr>
          <w:p>
            <w:pPr>
              <w:spacing w:after="0"/>
              <w:rPr>
                <w:sz w:val="20"/>
                <w:szCs w:val="20"/>
                <w:color w:val="auto"/>
              </w:rPr>
            </w:pPr>
            <w:r>
              <w:rPr>
                <w:rFonts w:ascii="Arial" w:cs="Arial" w:eastAsia="Arial" w:hAnsi="Arial"/>
                <w:sz w:val="12"/>
                <w:szCs w:val="12"/>
                <w:color w:val="auto"/>
              </w:rPr>
              <w:t>Notes receivable, less current portion</w:t>
            </w: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3,977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5,527</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2"/>
                <w:szCs w:val="12"/>
                <w:color w:val="auto"/>
              </w:rPr>
              <w:t>Property, equipment, and software, net</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24,915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22,875</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2"/>
                <w:szCs w:val="12"/>
                <w:color w:val="auto"/>
              </w:rPr>
              <w:t>Goodwill</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372,702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106,832</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2"/>
                <w:szCs w:val="12"/>
                <w:color w:val="auto"/>
              </w:rPr>
              <w:t>Intangible assets, net</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346,695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98,057</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2"/>
                <w:szCs w:val="12"/>
                <w:color w:val="auto"/>
              </w:rPr>
              <w:t>Deferred income taxes, net</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3,462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46,697</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2,752</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1,957</w:t>
            </w:r>
          </w:p>
        </w:tc>
        <w:tc>
          <w:tcPr>
            <w:tcW w:w="0" w:type="dxa"/>
            <w:vAlign w:val="bottom"/>
          </w:tcPr>
          <w:p>
            <w:pPr>
              <w:spacing w:after="0"/>
              <w:rPr>
                <w:sz w:val="1"/>
                <w:szCs w:val="1"/>
                <w:color w:val="auto"/>
              </w:rPr>
            </w:pPr>
          </w:p>
        </w:tc>
      </w:tr>
      <w:tr>
        <w:trPr>
          <w:trHeight w:val="164"/>
        </w:trPr>
        <w:tc>
          <w:tcPr>
            <w:tcW w:w="4680" w:type="dxa"/>
            <w:vAlign w:val="bottom"/>
          </w:tcPr>
          <w:p>
            <w:pPr>
              <w:ind w:left="440"/>
              <w:spacing w:after="0"/>
              <w:rPr>
                <w:sz w:val="20"/>
                <w:szCs w:val="20"/>
                <w:color w:val="auto"/>
              </w:rPr>
            </w:pPr>
            <w:r>
              <w:rPr>
                <w:rFonts w:ascii="Arial" w:cs="Arial" w:eastAsia="Arial" w:hAnsi="Arial"/>
                <w:sz w:val="12"/>
                <w:szCs w:val="12"/>
                <w:b w:val="1"/>
                <w:bCs w:val="1"/>
                <w:color w:val="auto"/>
              </w:rPr>
              <w:t>Total assets</w:t>
            </w:r>
          </w:p>
        </w:tc>
        <w:tc>
          <w:tcPr>
            <w:tcW w:w="2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1,335,184</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417,829</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2"/>
                <w:szCs w:val="12"/>
                <w:b w:val="1"/>
                <w:bCs w:val="1"/>
                <w:color w:val="auto"/>
              </w:rPr>
              <w:t>Liabilities, Redeemable Senior Preferred Stock and Stockholders' Deficit</w:t>
            </w:r>
          </w:p>
        </w:tc>
        <w:tc>
          <w:tcPr>
            <w:tcW w:w="2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680" w:type="dxa"/>
            <w:vAlign w:val="bottom"/>
            <w:vMerge w:val="continue"/>
          </w:tcPr>
          <w:p>
            <w:pPr>
              <w:spacing w:after="0"/>
              <w:rPr>
                <w:sz w:val="22"/>
                <w:szCs w:val="22"/>
                <w:color w:val="auto"/>
              </w:rPr>
            </w:pPr>
          </w:p>
        </w:tc>
        <w:tc>
          <w:tcPr>
            <w:tcW w:w="2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2"/>
                <w:szCs w:val="12"/>
                <w:color w:val="auto"/>
              </w:rPr>
              <w:t>Current liabilities:</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Accounts payable and accrued expenses</w:t>
            </w:r>
          </w:p>
        </w:tc>
        <w:tc>
          <w:tcPr>
            <w:tcW w:w="2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42,103</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29,821</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Accrued residual commissions</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27,984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23,824</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Customer deposits and advance payments</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3,597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2,883</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Current portion of long-term debt</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6,200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19,442</w:t>
            </w:r>
          </w:p>
        </w:tc>
        <w:tc>
          <w:tcPr>
            <w:tcW w:w="0" w:type="dxa"/>
            <w:vAlign w:val="bottom"/>
          </w:tcPr>
          <w:p>
            <w:pPr>
              <w:spacing w:after="0"/>
              <w:rPr>
                <w:sz w:val="1"/>
                <w:szCs w:val="1"/>
                <w:color w:val="auto"/>
              </w:rPr>
            </w:pPr>
          </w:p>
        </w:tc>
      </w:tr>
      <w:tr>
        <w:trPr>
          <w:trHeight w:val="176"/>
        </w:trPr>
        <w:tc>
          <w:tcPr>
            <w:tcW w:w="4680" w:type="dxa"/>
            <w:vAlign w:val="bottom"/>
          </w:tcPr>
          <w:p>
            <w:pPr>
              <w:ind w:left="80"/>
              <w:spacing w:after="0"/>
              <w:rPr>
                <w:sz w:val="20"/>
                <w:szCs w:val="20"/>
                <w:color w:val="auto"/>
              </w:rPr>
            </w:pPr>
            <w:r>
              <w:rPr>
                <w:rFonts w:ascii="Arial" w:cs="Arial" w:eastAsia="Arial" w:hAnsi="Arial"/>
                <w:sz w:val="12"/>
                <w:szCs w:val="12"/>
                <w:color w:val="auto"/>
              </w:rPr>
              <w:t>Settlement and customer account obligations</w:t>
            </w:r>
          </w:p>
        </w:tc>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489,326</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72,878</w:t>
            </w:r>
          </w:p>
        </w:tc>
        <w:tc>
          <w:tcPr>
            <w:tcW w:w="0" w:type="dxa"/>
            <w:vAlign w:val="bottom"/>
          </w:tcPr>
          <w:p>
            <w:pPr>
              <w:spacing w:after="0"/>
              <w:rPr>
                <w:sz w:val="1"/>
                <w:szCs w:val="1"/>
                <w:color w:val="auto"/>
              </w:rPr>
            </w:pPr>
          </w:p>
        </w:tc>
      </w:tr>
      <w:tr>
        <w:trPr>
          <w:trHeight w:val="160"/>
        </w:trPr>
        <w:tc>
          <w:tcPr>
            <w:tcW w:w="4680" w:type="dxa"/>
            <w:vAlign w:val="bottom"/>
          </w:tcPr>
          <w:p>
            <w:pPr>
              <w:ind w:left="300"/>
              <w:spacing w:after="0"/>
              <w:rPr>
                <w:sz w:val="20"/>
                <w:szCs w:val="20"/>
                <w:color w:val="auto"/>
              </w:rPr>
            </w:pPr>
            <w:r>
              <w:rPr>
                <w:rFonts w:ascii="Arial" w:cs="Arial" w:eastAsia="Arial" w:hAnsi="Arial"/>
                <w:sz w:val="12"/>
                <w:szCs w:val="12"/>
                <w:color w:val="auto"/>
              </w:rPr>
              <w:t>Total current liabilities</w:t>
            </w:r>
          </w:p>
        </w:tc>
        <w:tc>
          <w:tcPr>
            <w:tcW w:w="2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569,210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148,848</w:t>
            </w:r>
          </w:p>
        </w:tc>
        <w:tc>
          <w:tcPr>
            <w:tcW w:w="0" w:type="dxa"/>
            <w:vAlign w:val="bottom"/>
          </w:tcPr>
          <w:p>
            <w:pPr>
              <w:spacing w:after="0"/>
              <w:rPr>
                <w:sz w:val="1"/>
                <w:szCs w:val="1"/>
                <w:color w:val="auto"/>
              </w:rPr>
            </w:pPr>
          </w:p>
        </w:tc>
      </w:tr>
      <w:tr>
        <w:trPr>
          <w:trHeight w:val="254"/>
        </w:trPr>
        <w:tc>
          <w:tcPr>
            <w:tcW w:w="4680" w:type="dxa"/>
            <w:vAlign w:val="bottom"/>
          </w:tcPr>
          <w:p>
            <w:pPr>
              <w:spacing w:after="0"/>
              <w:rPr>
                <w:sz w:val="20"/>
                <w:szCs w:val="20"/>
                <w:color w:val="auto"/>
              </w:rPr>
            </w:pPr>
            <w:r>
              <w:rPr>
                <w:rFonts w:ascii="Arial" w:cs="Arial" w:eastAsia="Arial" w:hAnsi="Arial"/>
                <w:sz w:val="12"/>
                <w:szCs w:val="12"/>
                <w:color w:val="auto"/>
              </w:rPr>
              <w:t>Long-term debt, net of current portion, discounts and debt issuance costs</w:t>
            </w:r>
          </w:p>
        </w:tc>
        <w:tc>
          <w:tcPr>
            <w:tcW w:w="2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619,957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357,873</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14,111</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9,672</w:t>
            </w:r>
          </w:p>
        </w:tc>
        <w:tc>
          <w:tcPr>
            <w:tcW w:w="0" w:type="dxa"/>
            <w:vAlign w:val="bottom"/>
          </w:tcPr>
          <w:p>
            <w:pPr>
              <w:spacing w:after="0"/>
              <w:rPr>
                <w:sz w:val="1"/>
                <w:szCs w:val="1"/>
                <w:color w:val="auto"/>
              </w:rPr>
            </w:pPr>
          </w:p>
        </w:tc>
      </w:tr>
      <w:tr>
        <w:trPr>
          <w:trHeight w:val="155"/>
        </w:trPr>
        <w:tc>
          <w:tcPr>
            <w:tcW w:w="4680" w:type="dxa"/>
            <w:vAlign w:val="bottom"/>
          </w:tcPr>
          <w:p>
            <w:pPr>
              <w:ind w:left="300"/>
              <w:spacing w:after="0"/>
              <w:rPr>
                <w:sz w:val="20"/>
                <w:szCs w:val="20"/>
                <w:color w:val="auto"/>
              </w:rPr>
            </w:pPr>
            <w:r>
              <w:rPr>
                <w:rFonts w:ascii="Arial" w:cs="Arial" w:eastAsia="Arial" w:hAnsi="Arial"/>
                <w:sz w:val="12"/>
                <w:szCs w:val="12"/>
                <w:color w:val="auto"/>
              </w:rPr>
              <w:t>Total long-term liabilities</w:t>
            </w:r>
          </w:p>
        </w:tc>
        <w:tc>
          <w:tcPr>
            <w:tcW w:w="2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634,068</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367,545</w:t>
            </w:r>
          </w:p>
        </w:tc>
        <w:tc>
          <w:tcPr>
            <w:tcW w:w="0" w:type="dxa"/>
            <w:vAlign w:val="bottom"/>
          </w:tcPr>
          <w:p>
            <w:pPr>
              <w:spacing w:after="0"/>
              <w:rPr>
                <w:sz w:val="1"/>
                <w:szCs w:val="1"/>
                <w:color w:val="auto"/>
              </w:rPr>
            </w:pPr>
          </w:p>
        </w:tc>
      </w:tr>
      <w:tr>
        <w:trPr>
          <w:trHeight w:val="227"/>
        </w:trPr>
        <w:tc>
          <w:tcPr>
            <w:tcW w:w="4680" w:type="dxa"/>
            <w:vAlign w:val="bottom"/>
          </w:tcPr>
          <w:p>
            <w:pPr>
              <w:ind w:left="440"/>
              <w:spacing w:after="0"/>
              <w:rPr>
                <w:sz w:val="20"/>
                <w:szCs w:val="20"/>
                <w:color w:val="auto"/>
              </w:rPr>
            </w:pPr>
            <w:r>
              <w:rPr>
                <w:rFonts w:ascii="Arial" w:cs="Arial" w:eastAsia="Arial" w:hAnsi="Arial"/>
                <w:sz w:val="12"/>
                <w:szCs w:val="12"/>
                <w:b w:val="1"/>
                <w:bCs w:val="1"/>
                <w:color w:val="auto"/>
              </w:rPr>
              <w:t>Total liabilities</w:t>
            </w:r>
          </w:p>
        </w:tc>
        <w:tc>
          <w:tcPr>
            <w:tcW w:w="2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1,203,278</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516,393</w:t>
            </w:r>
          </w:p>
        </w:tc>
        <w:tc>
          <w:tcPr>
            <w:tcW w:w="0" w:type="dxa"/>
            <w:vAlign w:val="bottom"/>
          </w:tcPr>
          <w:p>
            <w:pPr>
              <w:spacing w:after="0"/>
              <w:rPr>
                <w:sz w:val="1"/>
                <w:szCs w:val="1"/>
                <w:color w:val="auto"/>
              </w:rPr>
            </w:pPr>
          </w:p>
        </w:tc>
      </w:tr>
      <w:tr>
        <w:trPr>
          <w:trHeight w:val="255"/>
        </w:trPr>
        <w:tc>
          <w:tcPr>
            <w:tcW w:w="4680" w:type="dxa"/>
            <w:vAlign w:val="bottom"/>
          </w:tcPr>
          <w:p>
            <w:pPr>
              <w:spacing w:after="0"/>
              <w:rPr>
                <w:sz w:val="20"/>
                <w:szCs w:val="20"/>
                <w:color w:val="auto"/>
              </w:rPr>
            </w:pPr>
            <w:r>
              <w:rPr>
                <w:rFonts w:ascii="Arial" w:cs="Arial" w:eastAsia="Arial" w:hAnsi="Arial"/>
                <w:sz w:val="12"/>
                <w:szCs w:val="12"/>
                <w:color w:val="auto"/>
              </w:rPr>
              <w:t>Senior preferred stock</w:t>
            </w:r>
          </w:p>
        </w:tc>
        <w:tc>
          <w:tcPr>
            <w:tcW w:w="2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205,318</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12"/>
                <w:szCs w:val="12"/>
                <w:color w:val="auto"/>
              </w:rPr>
              <w:t>Stockholders' deficit:</w:t>
            </w:r>
          </w:p>
        </w:tc>
        <w:tc>
          <w:tcPr>
            <w:tcW w:w="2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44,640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5,769</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Treasury stock, at cost</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80"/>
              <w:spacing w:after="0"/>
              <w:rPr>
                <w:sz w:val="20"/>
                <w:szCs w:val="20"/>
                <w:color w:val="auto"/>
              </w:rPr>
            </w:pPr>
            <w:r>
              <w:rPr>
                <w:rFonts w:ascii="Arial" w:cs="Arial" w:eastAsia="Arial" w:hAnsi="Arial"/>
                <w:sz w:val="12"/>
                <w:szCs w:val="12"/>
                <w:color w:val="auto"/>
              </w:rPr>
              <w:t>(3,411)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80"/>
              <w:spacing w:after="0"/>
              <w:rPr>
                <w:sz w:val="20"/>
                <w:szCs w:val="20"/>
                <w:color w:val="auto"/>
              </w:rPr>
            </w:pPr>
            <w:r>
              <w:rPr>
                <w:rFonts w:ascii="Arial" w:cs="Arial" w:eastAsia="Arial" w:hAnsi="Arial"/>
                <w:sz w:val="12"/>
                <w:szCs w:val="12"/>
                <w:color w:val="auto"/>
              </w:rPr>
              <w:t>(2,388)</w:t>
            </w:r>
          </w:p>
        </w:tc>
        <w:tc>
          <w:tcPr>
            <w:tcW w:w="0" w:type="dxa"/>
            <w:vAlign w:val="bottom"/>
          </w:tcPr>
          <w:p>
            <w:pPr>
              <w:spacing w:after="0"/>
              <w:rPr>
                <w:sz w:val="1"/>
                <w:szCs w:val="1"/>
                <w:color w:val="auto"/>
              </w:rPr>
            </w:pPr>
          </w:p>
        </w:tc>
      </w:tr>
      <w:tr>
        <w:trPr>
          <w:trHeight w:val="171"/>
        </w:trPr>
        <w:tc>
          <w:tcPr>
            <w:tcW w:w="468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2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(114,718)</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(102,013)</w:t>
            </w:r>
          </w:p>
        </w:tc>
        <w:tc>
          <w:tcPr>
            <w:tcW w:w="0" w:type="dxa"/>
            <w:vAlign w:val="bottom"/>
          </w:tcPr>
          <w:p>
            <w:pPr>
              <w:spacing w:after="0"/>
              <w:rPr>
                <w:sz w:val="1"/>
                <w:szCs w:val="1"/>
                <w:color w:val="auto"/>
              </w:rPr>
            </w:pPr>
          </w:p>
        </w:tc>
      </w:tr>
      <w:tr>
        <w:trPr>
          <w:trHeight w:val="165"/>
        </w:trPr>
        <w:tc>
          <w:tcPr>
            <w:tcW w:w="4680" w:type="dxa"/>
            <w:vAlign w:val="bottom"/>
          </w:tcPr>
          <w:p>
            <w:pPr>
              <w:ind w:left="360"/>
              <w:spacing w:after="0"/>
              <w:rPr>
                <w:sz w:val="20"/>
                <w:szCs w:val="20"/>
                <w:color w:val="auto"/>
              </w:rPr>
            </w:pPr>
            <w:r>
              <w:rPr>
                <w:rFonts w:ascii="Arial" w:cs="Arial" w:eastAsia="Arial" w:hAnsi="Arial"/>
                <w:sz w:val="12"/>
                <w:szCs w:val="12"/>
                <w:b w:val="1"/>
                <w:bCs w:val="1"/>
                <w:color w:val="auto"/>
              </w:rPr>
              <w:t>Total stockholders' deficit</w:t>
            </w:r>
          </w:p>
        </w:tc>
        <w:tc>
          <w:tcPr>
            <w:tcW w:w="2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(73,412)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(98,564)</w:t>
            </w:r>
          </w:p>
        </w:tc>
        <w:tc>
          <w:tcPr>
            <w:tcW w:w="0" w:type="dxa"/>
            <w:vAlign w:val="bottom"/>
          </w:tcPr>
          <w:p>
            <w:pPr>
              <w:spacing w:after="0"/>
              <w:rPr>
                <w:sz w:val="1"/>
                <w:szCs w:val="1"/>
                <w:color w:val="auto"/>
              </w:rPr>
            </w:pPr>
          </w:p>
        </w:tc>
      </w:tr>
      <w:tr>
        <w:trPr>
          <w:trHeight w:val="263"/>
        </w:trPr>
        <w:tc>
          <w:tcPr>
            <w:tcW w:w="4680" w:type="dxa"/>
            <w:vAlign w:val="bottom"/>
          </w:tcPr>
          <w:p>
            <w:pPr>
              <w:ind w:left="360"/>
              <w:spacing w:after="0"/>
              <w:rPr>
                <w:sz w:val="20"/>
                <w:szCs w:val="20"/>
                <w:color w:val="auto"/>
              </w:rPr>
            </w:pPr>
            <w:r>
              <w:rPr>
                <w:rFonts w:ascii="Arial" w:cs="Arial" w:eastAsia="Arial" w:hAnsi="Arial"/>
                <w:sz w:val="12"/>
                <w:szCs w:val="12"/>
                <w:b w:val="1"/>
                <w:bCs w:val="1"/>
                <w:color w:val="auto"/>
              </w:rPr>
              <w:t>Total liabilities, senior preferred stock and stockholders' deficit</w:t>
            </w:r>
          </w:p>
        </w:tc>
        <w:tc>
          <w:tcPr>
            <w:tcW w:w="2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1,335,184</w:t>
            </w:r>
          </w:p>
        </w:tc>
        <w:tc>
          <w:tcPr>
            <w:tcW w:w="80" w:type="dxa"/>
            <w:vAlign w:val="bottom"/>
          </w:tcPr>
          <w:p>
            <w:pPr>
              <w:spacing w:after="0"/>
              <w:rPr>
                <w:sz w:val="22"/>
                <w:szCs w:val="22"/>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417,829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520" w:type="dxa"/>
            <w:vAlign w:val="bottom"/>
            <w:vMerge w:val="restart"/>
          </w:tcPr>
          <w:p>
            <w:pPr>
              <w:jc w:val="right"/>
              <w:ind w:right="1460"/>
              <w:spacing w:after="0"/>
              <w:rPr>
                <w:sz w:val="20"/>
                <w:szCs w:val="20"/>
                <w:color w:val="auto"/>
              </w:rPr>
            </w:pPr>
            <w:r>
              <w:rPr>
                <w:rFonts w:ascii="Arial" w:cs="Arial" w:eastAsia="Arial" w:hAnsi="Arial"/>
                <w:sz w:val="12"/>
                <w:szCs w:val="12"/>
                <w:color w:val="auto"/>
              </w:rPr>
              <w:t>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6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68"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Condensed Consolidated Statements of Cash Flows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3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1"/>
        </w:trPr>
        <w:tc>
          <w:tcPr>
            <w:tcW w:w="494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3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Net (loss) income</w:t>
            </w:r>
          </w:p>
        </w:tc>
        <w:tc>
          <w:tcPr>
            <w:tcW w:w="35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(12,705)</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72,013</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Adjustments to reconcile net loss to net cash (used in) provided by operating activities: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Gain and transaction costs recognized on sale of business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(111,611)</w:t>
            </w: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Depreciation and amortization of assets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32,123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30,886</w:t>
            </w: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2,349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1,627</w:t>
            </w: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Amortization of debt issuance costs and discounts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1,607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1,798</w:t>
            </w: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Write off of deferred loan costs and discount</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2,580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1,523</w:t>
            </w: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Deferred income tax (benefit) provision</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6,695</w:t>
            </w: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Payment-in-kind interest</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(23,715)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6,643</w:t>
            </w: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Impairment charges for intangible asset</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980</w:t>
            </w:r>
          </w:p>
        </w:tc>
        <w:tc>
          <w:tcPr>
            <w:tcW w:w="0" w:type="dxa"/>
            <w:vAlign w:val="bottom"/>
          </w:tcPr>
          <w:p>
            <w:pPr>
              <w:spacing w:after="0"/>
              <w:rPr>
                <w:sz w:val="1"/>
                <w:szCs w:val="1"/>
                <w:color w:val="auto"/>
              </w:rPr>
            </w:pPr>
          </w:p>
        </w:tc>
      </w:tr>
      <w:tr>
        <w:trPr>
          <w:trHeight w:val="171"/>
        </w:trPr>
        <w:tc>
          <w:tcPr>
            <w:tcW w:w="4940" w:type="dxa"/>
            <w:vAlign w:val="bottom"/>
          </w:tcPr>
          <w:p>
            <w:pPr>
              <w:ind w:left="140"/>
              <w:spacing w:after="0"/>
              <w:rPr>
                <w:sz w:val="20"/>
                <w:szCs w:val="20"/>
                <w:color w:val="auto"/>
              </w:rPr>
            </w:pPr>
            <w:r>
              <w:rPr>
                <w:rFonts w:ascii="Arial" w:cs="Arial" w:eastAsia="Arial" w:hAnsi="Arial"/>
                <w:sz w:val="12"/>
                <w:szCs w:val="12"/>
                <w:color w:val="auto"/>
              </w:rPr>
              <w:t>Other non-cash items, net</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Change in operating assets and liabilities: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220"/>
              <w:spacing w:after="0"/>
              <w:rPr>
                <w:sz w:val="20"/>
                <w:szCs w:val="20"/>
                <w:color w:val="auto"/>
              </w:rPr>
            </w:pPr>
            <w:r>
              <w:rPr>
                <w:rFonts w:ascii="Arial" w:cs="Arial" w:eastAsia="Arial" w:hAnsi="Arial"/>
                <w:sz w:val="12"/>
                <w:szCs w:val="12"/>
                <w:color w:val="auto"/>
              </w:rPr>
              <w:t>Accounts receivable</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(10,847)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(3,962)</w:t>
            </w:r>
          </w:p>
        </w:tc>
        <w:tc>
          <w:tcPr>
            <w:tcW w:w="0" w:type="dxa"/>
            <w:vAlign w:val="bottom"/>
          </w:tcPr>
          <w:p>
            <w:pPr>
              <w:spacing w:after="0"/>
              <w:rPr>
                <w:sz w:val="1"/>
                <w:szCs w:val="1"/>
                <w:color w:val="auto"/>
              </w:rPr>
            </w:pPr>
          </w:p>
        </w:tc>
      </w:tr>
      <w:tr>
        <w:trPr>
          <w:trHeight w:val="171"/>
        </w:trPr>
        <w:tc>
          <w:tcPr>
            <w:tcW w:w="4940" w:type="dxa"/>
            <w:vAlign w:val="bottom"/>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(1,947)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171"/>
        </w:trPr>
        <w:tc>
          <w:tcPr>
            <w:tcW w:w="4940" w:type="dxa"/>
            <w:vAlign w:val="bottom"/>
          </w:tcPr>
          <w:p>
            <w:pPr>
              <w:ind w:left="220"/>
              <w:spacing w:after="0"/>
              <w:rPr>
                <w:sz w:val="20"/>
                <w:szCs w:val="20"/>
                <w:color w:val="auto"/>
              </w:rPr>
            </w:pPr>
            <w:r>
              <w:rPr>
                <w:rFonts w:ascii="Arial" w:cs="Arial" w:eastAsia="Arial" w:hAnsi="Arial"/>
                <w:sz w:val="12"/>
                <w:szCs w:val="12"/>
                <w:color w:val="auto"/>
              </w:rPr>
              <w:t>Income taxes (receivable) payable</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(1,541)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6,026</w:t>
            </w:r>
          </w:p>
        </w:tc>
        <w:tc>
          <w:tcPr>
            <w:tcW w:w="0" w:type="dxa"/>
            <w:vAlign w:val="bottom"/>
          </w:tcPr>
          <w:p>
            <w:pPr>
              <w:spacing w:after="0"/>
              <w:rPr>
                <w:sz w:val="1"/>
                <w:szCs w:val="1"/>
                <w:color w:val="auto"/>
              </w:rPr>
            </w:pPr>
          </w:p>
        </w:tc>
      </w:tr>
      <w:tr>
        <w:trPr>
          <w:trHeight w:val="171"/>
        </w:trPr>
        <w:tc>
          <w:tcPr>
            <w:tcW w:w="4940" w:type="dxa"/>
            <w:vAlign w:val="bottom"/>
          </w:tcPr>
          <w:p>
            <w:pPr>
              <w:ind w:left="220"/>
              <w:spacing w:after="0"/>
              <w:rPr>
                <w:sz w:val="20"/>
                <w:szCs w:val="20"/>
                <w:color w:val="auto"/>
              </w:rPr>
            </w:pPr>
            <w:r>
              <w:rPr>
                <w:rFonts w:ascii="Arial" w:cs="Arial" w:eastAsia="Arial" w:hAnsi="Arial"/>
                <w:sz w:val="12"/>
                <w:szCs w:val="12"/>
                <w:color w:val="auto"/>
              </w:rPr>
              <w:t>Notes receivable</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(190)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(398)</w:t>
            </w:r>
          </w:p>
        </w:tc>
        <w:tc>
          <w:tcPr>
            <w:tcW w:w="0" w:type="dxa"/>
            <w:vAlign w:val="bottom"/>
          </w:tcPr>
          <w:p>
            <w:pPr>
              <w:spacing w:after="0"/>
              <w:rPr>
                <w:sz w:val="1"/>
                <w:szCs w:val="1"/>
                <w:color w:val="auto"/>
              </w:rPr>
            </w:pPr>
          </w:p>
        </w:tc>
      </w:tr>
      <w:tr>
        <w:trPr>
          <w:trHeight w:val="171"/>
        </w:trPr>
        <w:tc>
          <w:tcPr>
            <w:tcW w:w="4940" w:type="dxa"/>
            <w:vAlign w:val="bottom"/>
          </w:tcPr>
          <w:p>
            <w:pPr>
              <w:ind w:left="220"/>
              <w:spacing w:after="0"/>
              <w:rPr>
                <w:sz w:val="20"/>
                <w:szCs w:val="20"/>
                <w:color w:val="auto"/>
              </w:rPr>
            </w:pPr>
            <w:r>
              <w:rPr>
                <w:rFonts w:ascii="Arial" w:cs="Arial" w:eastAsia="Arial" w:hAnsi="Arial"/>
                <w:sz w:val="12"/>
                <w:szCs w:val="12"/>
                <w:color w:val="auto"/>
              </w:rPr>
              <w:t>Accounts payable and other accrued liabilities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9,192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71"/>
        </w:trPr>
        <w:tc>
          <w:tcPr>
            <w:tcW w:w="4940" w:type="dxa"/>
            <w:vAlign w:val="bottom"/>
          </w:tcPr>
          <w:p>
            <w:pPr>
              <w:ind w:left="220"/>
              <w:spacing w:after="0"/>
              <w:rPr>
                <w:sz w:val="20"/>
                <w:szCs w:val="20"/>
                <w:color w:val="auto"/>
              </w:rPr>
            </w:pPr>
            <w:r>
              <w:rPr>
                <w:rFonts w:ascii="Arial" w:cs="Arial" w:eastAsia="Arial" w:hAnsi="Arial"/>
                <w:sz w:val="12"/>
                <w:szCs w:val="12"/>
                <w:color w:val="auto"/>
              </w:rPr>
              <w:t>Customer deposits and advance payments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713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(1,479)</w:t>
            </w:r>
          </w:p>
        </w:tc>
        <w:tc>
          <w:tcPr>
            <w:tcW w:w="0" w:type="dxa"/>
            <w:vAlign w:val="bottom"/>
          </w:tcPr>
          <w:p>
            <w:pPr>
              <w:spacing w:after="0"/>
              <w:rPr>
                <w:sz w:val="1"/>
                <w:szCs w:val="1"/>
                <w:color w:val="auto"/>
              </w:rPr>
            </w:pPr>
          </w:p>
        </w:tc>
      </w:tr>
      <w:tr>
        <w:trPr>
          <w:trHeight w:val="171"/>
        </w:trPr>
        <w:tc>
          <w:tcPr>
            <w:tcW w:w="4940" w:type="dxa"/>
            <w:vAlign w:val="bottom"/>
          </w:tcPr>
          <w:p>
            <w:pPr>
              <w:ind w:left="220"/>
              <w:spacing w:after="0"/>
              <w:rPr>
                <w:sz w:val="20"/>
                <w:szCs w:val="20"/>
                <w:color w:val="auto"/>
              </w:rPr>
            </w:pPr>
            <w:r>
              <w:rPr>
                <w:rFonts w:ascii="Arial" w:cs="Arial" w:eastAsia="Arial" w:hAnsi="Arial"/>
                <w:sz w:val="12"/>
                <w:szCs w:val="12"/>
                <w:color w:val="auto"/>
              </w:rPr>
              <w:t>Other assets and liabilities, net</w:t>
            </w:r>
          </w:p>
        </w:tc>
        <w:tc>
          <w:tcPr>
            <w:tcW w:w="3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(512)</w:t>
            </w:r>
          </w:p>
        </w:tc>
        <w:tc>
          <w:tcPr>
            <w:tcW w:w="0" w:type="dxa"/>
            <w:vAlign w:val="bottom"/>
          </w:tcPr>
          <w:p>
            <w:pPr>
              <w:spacing w:after="0"/>
              <w:rPr>
                <w:sz w:val="1"/>
                <w:szCs w:val="1"/>
                <w:color w:val="auto"/>
              </w:rPr>
            </w:pPr>
          </w:p>
        </w:tc>
      </w:tr>
      <w:tr>
        <w:trPr>
          <w:trHeight w:val="160"/>
        </w:trPr>
        <w:tc>
          <w:tcPr>
            <w:tcW w:w="4940" w:type="dxa"/>
            <w:vAlign w:val="bottom"/>
          </w:tcPr>
          <w:p>
            <w:pPr>
              <w:ind w:left="140"/>
              <w:spacing w:after="0"/>
              <w:rPr>
                <w:sz w:val="20"/>
                <w:szCs w:val="20"/>
                <w:color w:val="auto"/>
              </w:rPr>
            </w:pPr>
            <w:r>
              <w:rPr>
                <w:rFonts w:ascii="Arial" w:cs="Arial" w:eastAsia="Arial" w:hAnsi="Arial"/>
                <w:sz w:val="12"/>
                <w:szCs w:val="12"/>
                <w:b w:val="1"/>
                <w:bCs w:val="1"/>
                <w:color w:val="auto"/>
              </w:rPr>
              <w:t>Net cash (used in) provided by operating activities</w:t>
            </w:r>
          </w:p>
        </w:tc>
        <w:tc>
          <w:tcPr>
            <w:tcW w:w="3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(2,567)</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10,431</w:t>
            </w:r>
          </w:p>
        </w:tc>
        <w:tc>
          <w:tcPr>
            <w:tcW w:w="0" w:type="dxa"/>
            <w:vAlign w:val="bottom"/>
          </w:tcPr>
          <w:p>
            <w:pPr>
              <w:spacing w:after="0"/>
              <w:rPr>
                <w:sz w:val="1"/>
                <w:szCs w:val="1"/>
                <w:color w:val="auto"/>
              </w:rPr>
            </w:pPr>
          </w:p>
        </w:tc>
      </w:tr>
      <w:tr>
        <w:trPr>
          <w:trHeight w:val="259"/>
        </w:trPr>
        <w:tc>
          <w:tcPr>
            <w:tcW w:w="494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3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Acquisition of business, net of cash acquired</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(407,129)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Proceeds from sale of business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179,416</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Additions to property, equipment and software</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(7,530)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(6,011)</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Acquisitions of intangible assets</w:t>
            </w:r>
          </w:p>
        </w:tc>
        <w:tc>
          <w:tcPr>
            <w:tcW w:w="3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(48,219)</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(4,415)</w:t>
            </w:r>
          </w:p>
        </w:tc>
        <w:tc>
          <w:tcPr>
            <w:tcW w:w="0" w:type="dxa"/>
            <w:vAlign w:val="bottom"/>
          </w:tcPr>
          <w:p>
            <w:pPr>
              <w:spacing w:after="0"/>
              <w:rPr>
                <w:sz w:val="1"/>
                <w:szCs w:val="1"/>
                <w:color w:val="auto"/>
              </w:rPr>
            </w:pPr>
          </w:p>
        </w:tc>
      </w:tr>
      <w:tr>
        <w:trPr>
          <w:trHeight w:val="160"/>
        </w:trPr>
        <w:tc>
          <w:tcPr>
            <w:tcW w:w="4940" w:type="dxa"/>
            <w:vAlign w:val="bottom"/>
          </w:tcPr>
          <w:p>
            <w:pPr>
              <w:ind w:left="140"/>
              <w:spacing w:after="0"/>
              <w:rPr>
                <w:sz w:val="20"/>
                <w:szCs w:val="20"/>
                <w:color w:val="auto"/>
              </w:rPr>
            </w:pPr>
            <w:r>
              <w:rPr>
                <w:rFonts w:ascii="Arial" w:cs="Arial" w:eastAsia="Arial" w:hAnsi="Arial"/>
                <w:sz w:val="12"/>
                <w:szCs w:val="12"/>
                <w:b w:val="1"/>
                <w:bCs w:val="1"/>
                <w:color w:val="auto"/>
              </w:rPr>
              <w:t>Net cash used in (provided by) investing activities</w:t>
            </w:r>
          </w:p>
        </w:tc>
        <w:tc>
          <w:tcPr>
            <w:tcW w:w="3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(462,878)</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168,990</w:t>
            </w:r>
          </w:p>
        </w:tc>
        <w:tc>
          <w:tcPr>
            <w:tcW w:w="0" w:type="dxa"/>
            <w:vAlign w:val="bottom"/>
          </w:tcPr>
          <w:p>
            <w:pPr>
              <w:spacing w:after="0"/>
              <w:rPr>
                <w:sz w:val="1"/>
                <w:szCs w:val="1"/>
                <w:color w:val="auto"/>
              </w:rPr>
            </w:pPr>
          </w:p>
        </w:tc>
      </w:tr>
      <w:tr>
        <w:trPr>
          <w:trHeight w:val="259"/>
        </w:trPr>
        <w:tc>
          <w:tcPr>
            <w:tcW w:w="494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3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Proceeds from issuance of long-term debt, net of issue discount</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607,318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Debt issuance and modification costs paid</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(9,073)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(2,749)</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Repayments of long-term debt</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(359,875)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(109,505)</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Borrowings under revolving credit facility</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30,000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7,000</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Repayments under revolving credit facility</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(7,505)</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Proceeds from issuance of senior preferred equity, net of issue discount</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219,062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Senior preferred equity issuance fees and costs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(8,098)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Redemption of redeemable non-controlling interest of subsidiary</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(5,654)</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Repurchases of common stock</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Dividends paid to senior preferred stockholders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(4,015)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Profit distributions to redeemable non-controlling interest of subsidiary</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(814)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(45,348)</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Proceeds from exercise of stock options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1,190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Settlement and customer accounts obligations, net</w:t>
            </w:r>
          </w:p>
        </w:tc>
        <w:tc>
          <w:tcPr>
            <w:tcW w:w="3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396,338</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(7,295)</w:t>
            </w:r>
          </w:p>
        </w:tc>
        <w:tc>
          <w:tcPr>
            <w:tcW w:w="0" w:type="dxa"/>
            <w:vAlign w:val="bottom"/>
          </w:tcPr>
          <w:p>
            <w:pPr>
              <w:spacing w:after="0"/>
              <w:rPr>
                <w:sz w:val="1"/>
                <w:szCs w:val="1"/>
                <w:color w:val="auto"/>
              </w:rPr>
            </w:pPr>
          </w:p>
        </w:tc>
      </w:tr>
      <w:tr>
        <w:trPr>
          <w:trHeight w:val="160"/>
        </w:trPr>
        <w:tc>
          <w:tcPr>
            <w:tcW w:w="4940" w:type="dxa"/>
            <w:vAlign w:val="bottom"/>
          </w:tcPr>
          <w:p>
            <w:pPr>
              <w:ind w:left="14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3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871,010</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(171,056)</w:t>
            </w:r>
          </w:p>
        </w:tc>
        <w:tc>
          <w:tcPr>
            <w:tcW w:w="0" w:type="dxa"/>
            <w:vAlign w:val="bottom"/>
          </w:tcPr>
          <w:p>
            <w:pPr>
              <w:spacing w:after="0"/>
              <w:rPr>
                <w:sz w:val="1"/>
                <w:szCs w:val="1"/>
                <w:color w:val="auto"/>
              </w:rPr>
            </w:pPr>
          </w:p>
        </w:tc>
      </w:tr>
      <w:tr>
        <w:trPr>
          <w:trHeight w:val="295"/>
        </w:trPr>
        <w:tc>
          <w:tcPr>
            <w:tcW w:w="4940" w:type="dxa"/>
            <w:vAlign w:val="bottom"/>
          </w:tcPr>
          <w:p>
            <w:pPr>
              <w:spacing w:after="0"/>
              <w:rPr>
                <w:sz w:val="20"/>
                <w:szCs w:val="20"/>
                <w:color w:val="auto"/>
              </w:rPr>
            </w:pPr>
            <w:r>
              <w:rPr>
                <w:rFonts w:ascii="Arial" w:cs="Arial" w:eastAsia="Arial" w:hAnsi="Arial"/>
                <w:sz w:val="12"/>
                <w:szCs w:val="12"/>
                <w:b w:val="1"/>
                <w:bCs w:val="1"/>
                <w:color w:val="auto"/>
              </w:rPr>
              <w:t>Net change in cash and cash equivalents, and restricted cash:</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80"/>
              <w:spacing w:after="0"/>
              <w:rPr>
                <w:sz w:val="20"/>
                <w:szCs w:val="20"/>
                <w:color w:val="auto"/>
              </w:rPr>
            </w:pPr>
            <w:r>
              <w:rPr>
                <w:rFonts w:ascii="Arial" w:cs="Arial" w:eastAsia="Arial" w:hAnsi="Arial"/>
                <w:sz w:val="12"/>
                <w:szCs w:val="12"/>
                <w:color w:val="auto"/>
              </w:rPr>
              <w:t>Net increase in cash and cash equivalents, and restricted cash</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405,565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8,365</w:t>
            </w:r>
          </w:p>
        </w:tc>
        <w:tc>
          <w:tcPr>
            <w:tcW w:w="0" w:type="dxa"/>
            <w:vAlign w:val="bottom"/>
          </w:tcPr>
          <w:p>
            <w:pPr>
              <w:spacing w:after="0"/>
              <w:rPr>
                <w:sz w:val="1"/>
                <w:szCs w:val="1"/>
                <w:color w:val="auto"/>
              </w:rPr>
            </w:pPr>
          </w:p>
        </w:tc>
      </w:tr>
      <w:tr>
        <w:trPr>
          <w:trHeight w:val="175"/>
        </w:trPr>
        <w:tc>
          <w:tcPr>
            <w:tcW w:w="4940" w:type="dxa"/>
            <w:vAlign w:val="bottom"/>
          </w:tcPr>
          <w:p>
            <w:pPr>
              <w:ind w:left="80"/>
              <w:spacing w:after="0"/>
              <w:rPr>
                <w:sz w:val="20"/>
                <w:szCs w:val="20"/>
                <w:color w:val="auto"/>
              </w:rPr>
            </w:pPr>
            <w:r>
              <w:rPr>
                <w:rFonts w:ascii="Arial" w:cs="Arial" w:eastAsia="Arial" w:hAnsi="Arial"/>
                <w:sz w:val="12"/>
                <w:szCs w:val="12"/>
                <w:color w:val="auto"/>
              </w:rPr>
              <w:t>Cash and cash equivalents, and restricted cash at beginning of period</w:t>
            </w:r>
          </w:p>
        </w:tc>
        <w:tc>
          <w:tcPr>
            <w:tcW w:w="3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88,120</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50,465</w:t>
            </w:r>
          </w:p>
        </w:tc>
        <w:tc>
          <w:tcPr>
            <w:tcW w:w="0" w:type="dxa"/>
            <w:vAlign w:val="bottom"/>
          </w:tcPr>
          <w:p>
            <w:pPr>
              <w:spacing w:after="0"/>
              <w:rPr>
                <w:sz w:val="1"/>
                <w:szCs w:val="1"/>
                <w:color w:val="auto"/>
              </w:rPr>
            </w:pPr>
          </w:p>
        </w:tc>
      </w:tr>
      <w:tr>
        <w:trPr>
          <w:trHeight w:val="165"/>
        </w:trPr>
        <w:tc>
          <w:tcPr>
            <w:tcW w:w="4940" w:type="dxa"/>
            <w:vAlign w:val="bottom"/>
          </w:tcPr>
          <w:p>
            <w:pPr>
              <w:ind w:left="80"/>
              <w:spacing w:after="0"/>
              <w:rPr>
                <w:sz w:val="20"/>
                <w:szCs w:val="20"/>
                <w:color w:val="auto"/>
              </w:rPr>
            </w:pPr>
            <w:r>
              <w:rPr>
                <w:rFonts w:ascii="Arial" w:cs="Arial" w:eastAsia="Arial" w:hAnsi="Arial"/>
                <w:sz w:val="12"/>
                <w:szCs w:val="12"/>
                <w:color w:val="auto"/>
              </w:rPr>
              <w:t>Cash and cash equivalents, and restricted cash at end of period</w:t>
            </w:r>
          </w:p>
        </w:tc>
        <w:tc>
          <w:tcPr>
            <w:tcW w:w="35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20"/>
              <w:spacing w:after="0"/>
              <w:rPr>
                <w:sz w:val="20"/>
                <w:szCs w:val="20"/>
                <w:color w:val="auto"/>
              </w:rPr>
            </w:pPr>
            <w:r>
              <w:rPr>
                <w:rFonts w:ascii="Arial" w:cs="Arial" w:eastAsia="Arial" w:hAnsi="Arial"/>
                <w:sz w:val="12"/>
                <w:szCs w:val="12"/>
                <w:color w:val="auto"/>
              </w:rPr>
              <w:t>493,685</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2"/>
                <w:szCs w:val="12"/>
                <w:color w:val="auto"/>
              </w:rPr>
              <w:t>58,830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180" w:type="dxa"/>
            <w:vAlign w:val="bottom"/>
            <w:vMerge w:val="restart"/>
          </w:tcPr>
          <w:p>
            <w:pPr>
              <w:jc w:val="right"/>
              <w:ind w:right="2380"/>
              <w:spacing w:after="0"/>
              <w:rPr>
                <w:sz w:val="20"/>
                <w:szCs w:val="20"/>
                <w:color w:val="auto"/>
              </w:rPr>
            </w:pPr>
            <w:r>
              <w:rPr>
                <w:rFonts w:ascii="Arial" w:cs="Arial" w:eastAsia="Arial" w:hAnsi="Arial"/>
                <w:sz w:val="12"/>
                <w:szCs w:val="12"/>
                <w:color w:val="auto"/>
              </w:rPr>
              <w:t>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9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9"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60" w:type="dxa"/>
            <w:vAlign w:val="bottom"/>
          </w:tcPr>
          <w:p>
            <w:pPr>
              <w:spacing w:after="0"/>
              <w:rPr>
                <w:sz w:val="13"/>
                <w:szCs w:val="13"/>
                <w:color w:val="auto"/>
              </w:rPr>
            </w:pPr>
          </w:p>
        </w:tc>
        <w:tc>
          <w:tcPr>
            <w:tcW w:w="3820" w:type="dxa"/>
            <w:vAlign w:val="bottom"/>
            <w:gridSpan w:val="5"/>
          </w:tcPr>
          <w:p>
            <w:pPr>
              <w:jc w:val="center"/>
              <w:ind w:left="840"/>
              <w:spacing w:after="0"/>
              <w:rPr>
                <w:sz w:val="20"/>
                <w:szCs w:val="20"/>
                <w:color w:val="auto"/>
              </w:rPr>
            </w:pPr>
            <w:r>
              <w:rPr>
                <w:rFonts w:ascii="Arial" w:cs="Arial" w:eastAsia="Arial" w:hAnsi="Arial"/>
                <w:sz w:val="12"/>
                <w:szCs w:val="12"/>
                <w:b w:val="1"/>
                <w:bCs w:val="1"/>
                <w:color w:val="auto"/>
              </w:rPr>
              <w:t>PRIORITY TECHNOLOGY HOLDINGS, INC.</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3260" w:type="dxa"/>
            <w:vAlign w:val="bottom"/>
          </w:tcPr>
          <w:p>
            <w:pPr>
              <w:spacing w:after="0"/>
              <w:rPr>
                <w:sz w:val="14"/>
                <w:szCs w:val="14"/>
                <w:color w:val="auto"/>
              </w:rPr>
            </w:pPr>
          </w:p>
        </w:tc>
        <w:tc>
          <w:tcPr>
            <w:tcW w:w="3420" w:type="dxa"/>
            <w:vAlign w:val="bottom"/>
            <w:gridSpan w:val="4"/>
          </w:tcPr>
          <w:p>
            <w:pPr>
              <w:jc w:val="center"/>
              <w:ind w:left="1240"/>
              <w:spacing w:after="0"/>
              <w:rPr>
                <w:sz w:val="20"/>
                <w:szCs w:val="20"/>
                <w:color w:val="auto"/>
              </w:rPr>
            </w:pPr>
            <w:r>
              <w:rPr>
                <w:rFonts w:ascii="Arial" w:cs="Arial" w:eastAsia="Arial" w:hAnsi="Arial"/>
                <w:sz w:val="12"/>
                <w:szCs w:val="12"/>
                <w:b w:val="1"/>
                <w:bCs w:val="1"/>
                <w:color w:val="auto"/>
                <w:w w:val="87"/>
              </w:rPr>
              <w:t>Reportable Segments' Results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2"/>
                <w:szCs w:val="12"/>
                <w:i w:val="1"/>
                <w:iCs w:val="1"/>
                <w:color w:val="auto"/>
              </w:rPr>
              <w:t>Unaudited</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4"/>
        </w:trPr>
        <w:tc>
          <w:tcPr>
            <w:tcW w:w="32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5"/>
          </w:tcPr>
          <w:p>
            <w:pPr>
              <w:ind w:left="420"/>
              <w:spacing w:after="0"/>
              <w:rPr>
                <w:sz w:val="20"/>
                <w:szCs w:val="20"/>
                <w:color w:val="auto"/>
              </w:rPr>
            </w:pPr>
            <w:r>
              <w:rPr>
                <w:rFonts w:ascii="Arial" w:cs="Arial" w:eastAsia="Arial" w:hAnsi="Arial"/>
                <w:sz w:val="12"/>
                <w:szCs w:val="12"/>
                <w:b w:val="1"/>
                <w:bCs w:val="1"/>
                <w:color w:val="auto"/>
              </w:rPr>
              <w:t>Three Months Ended September 30,</w:t>
            </w:r>
          </w:p>
        </w:tc>
        <w:tc>
          <w:tcPr>
            <w:tcW w:w="340" w:type="dxa"/>
            <w:vAlign w:val="bottom"/>
          </w:tcPr>
          <w:p>
            <w:pPr>
              <w:spacing w:after="0"/>
              <w:rPr>
                <w:sz w:val="16"/>
                <w:szCs w:val="16"/>
                <w:color w:val="auto"/>
              </w:rPr>
            </w:pPr>
          </w:p>
        </w:tc>
        <w:tc>
          <w:tcPr>
            <w:tcW w:w="266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Nine Months Ended September 30,</w:t>
            </w:r>
          </w:p>
        </w:tc>
      </w:tr>
      <w:tr>
        <w:trPr>
          <w:trHeight w:val="155"/>
        </w:trPr>
        <w:tc>
          <w:tcPr>
            <w:tcW w:w="32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r>
      <w:tr>
        <w:trPr>
          <w:trHeight w:val="160"/>
        </w:trPr>
        <w:tc>
          <w:tcPr>
            <w:tcW w:w="3260" w:type="dxa"/>
            <w:vAlign w:val="bottom"/>
          </w:tcPr>
          <w:p>
            <w:pPr>
              <w:spacing w:after="0"/>
              <w:rPr>
                <w:sz w:val="20"/>
                <w:szCs w:val="20"/>
                <w:color w:val="auto"/>
              </w:rPr>
            </w:pPr>
            <w:r>
              <w:rPr>
                <w:rFonts w:ascii="Arial" w:cs="Arial" w:eastAsia="Arial" w:hAnsi="Arial"/>
                <w:sz w:val="12"/>
                <w:szCs w:val="12"/>
                <w:b w:val="1"/>
                <w:bCs w:val="1"/>
                <w:color w:val="auto"/>
              </w:rPr>
              <w:t>Consumer Payments:</w:t>
            </w: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Revenue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124,027</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99,301</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352,045</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267,039</w:t>
            </w:r>
          </w:p>
        </w:tc>
      </w:tr>
      <w:tr>
        <w:trPr>
          <w:trHeight w:val="176"/>
        </w:trPr>
        <w:tc>
          <w:tcPr>
            <w:tcW w:w="326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109,371</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88,203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309,578</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241,519</w:t>
            </w:r>
          </w:p>
        </w:tc>
      </w:tr>
      <w:tr>
        <w:trPr>
          <w:trHeight w:val="164"/>
        </w:trPr>
        <w:tc>
          <w:tcPr>
            <w:tcW w:w="3260" w:type="dxa"/>
            <w:vAlign w:val="bottom"/>
          </w:tcPr>
          <w:p>
            <w:pPr>
              <w:ind w:left="80"/>
              <w:spacing w:after="0"/>
              <w:rPr>
                <w:sz w:val="20"/>
                <w:szCs w:val="20"/>
                <w:color w:val="auto"/>
              </w:rPr>
            </w:pPr>
            <w:r>
              <w:rPr>
                <w:rFonts w:ascii="Arial" w:cs="Arial" w:eastAsia="Arial" w:hAnsi="Arial"/>
                <w:sz w:val="12"/>
                <w:szCs w:val="12"/>
                <w:color w:val="auto"/>
              </w:rPr>
              <w:t>Operating income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14,656</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11,098</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42,467</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25,520</w:t>
            </w:r>
          </w:p>
        </w:tc>
      </w:tr>
      <w:tr>
        <w:trPr>
          <w:trHeight w:val="20"/>
        </w:trPr>
        <w:tc>
          <w:tcPr>
            <w:tcW w:w="3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3260" w:type="dxa"/>
            <w:vAlign w:val="bottom"/>
          </w:tcPr>
          <w:p>
            <w:pPr>
              <w:ind w:left="80"/>
              <w:spacing w:after="0"/>
              <w:rPr>
                <w:sz w:val="20"/>
                <w:szCs w:val="20"/>
                <w:color w:val="auto"/>
              </w:rPr>
            </w:pPr>
            <w:r>
              <w:rPr>
                <w:rFonts w:ascii="Arial" w:cs="Arial" w:eastAsia="Arial" w:hAnsi="Arial"/>
                <w:sz w:val="12"/>
                <w:szCs w:val="12"/>
                <w:color w:val="auto"/>
              </w:rPr>
              <w:t>Operating margin</w:t>
            </w: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11.8 %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11.2 %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12.1 %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9.6 %</w:t>
            </w: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10,971</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8,481</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29,847</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25,721</w:t>
            </w:r>
          </w:p>
        </w:tc>
      </w:tr>
      <w:tr>
        <w:trPr>
          <w:trHeight w:val="306"/>
        </w:trPr>
        <w:tc>
          <w:tcPr>
            <w:tcW w:w="3260" w:type="dxa"/>
            <w:vAlign w:val="bottom"/>
          </w:tcPr>
          <w:p>
            <w:pPr>
              <w:spacing w:after="0"/>
              <w:rPr>
                <w:sz w:val="20"/>
                <w:szCs w:val="20"/>
                <w:color w:val="auto"/>
              </w:rPr>
            </w:pPr>
            <w:r>
              <w:rPr>
                <w:rFonts w:ascii="Arial" w:cs="Arial" w:eastAsia="Arial" w:hAnsi="Arial"/>
                <w:sz w:val="12"/>
                <w:szCs w:val="12"/>
                <w:color w:val="auto"/>
              </w:rPr>
              <w:t>Key indicators: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13,817,001</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11,235,068</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39,564,898</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30,632,724</w:t>
            </w: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151,524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122,623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429,610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334,896</w:t>
            </w:r>
          </w:p>
        </w:tc>
      </w:tr>
      <w:tr>
        <w:trPr>
          <w:trHeight w:val="279"/>
        </w:trPr>
        <w:tc>
          <w:tcPr>
            <w:tcW w:w="3260" w:type="dxa"/>
            <w:vAlign w:val="bottom"/>
          </w:tcPr>
          <w:p>
            <w:pPr>
              <w:spacing w:after="0"/>
              <w:rPr>
                <w:sz w:val="20"/>
                <w:szCs w:val="20"/>
                <w:color w:val="auto"/>
              </w:rPr>
            </w:pPr>
            <w:r>
              <w:rPr>
                <w:rFonts w:ascii="Arial" w:cs="Arial" w:eastAsia="Arial" w:hAnsi="Arial"/>
                <w:sz w:val="12"/>
                <w:szCs w:val="12"/>
                <w:b w:val="1"/>
                <w:bCs w:val="1"/>
                <w:color w:val="auto"/>
              </w:rPr>
              <w:t>Commercial Payments: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Revenue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4,181</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4,995</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11,722</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17,017</w:t>
            </w:r>
          </w:p>
        </w:tc>
      </w:tr>
      <w:tr>
        <w:trPr>
          <w:trHeight w:val="176"/>
        </w:trPr>
        <w:tc>
          <w:tcPr>
            <w:tcW w:w="326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4,210</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4,826</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12,139</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15,609</w:t>
            </w:r>
          </w:p>
        </w:tc>
      </w:tr>
      <w:tr>
        <w:trPr>
          <w:trHeight w:val="164"/>
        </w:trPr>
        <w:tc>
          <w:tcPr>
            <w:tcW w:w="3260" w:type="dxa"/>
            <w:vAlign w:val="bottom"/>
          </w:tcPr>
          <w:p>
            <w:pPr>
              <w:ind w:left="80"/>
              <w:spacing w:after="0"/>
              <w:rPr>
                <w:sz w:val="20"/>
                <w:szCs w:val="20"/>
                <w:color w:val="auto"/>
              </w:rPr>
            </w:pPr>
            <w:r>
              <w:rPr>
                <w:rFonts w:ascii="Arial" w:cs="Arial" w:eastAsia="Arial" w:hAnsi="Arial"/>
                <w:sz w:val="12"/>
                <w:szCs w:val="12"/>
                <w:color w:val="auto"/>
              </w:rPr>
              <w:t>Operating (loss) Income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169</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(417)</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1,408</w:t>
            </w:r>
          </w:p>
        </w:tc>
      </w:tr>
      <w:tr>
        <w:trPr>
          <w:trHeight w:val="20"/>
        </w:trPr>
        <w:tc>
          <w:tcPr>
            <w:tcW w:w="3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3260" w:type="dxa"/>
            <w:vAlign w:val="bottom"/>
          </w:tcPr>
          <w:p>
            <w:pPr>
              <w:ind w:left="80"/>
              <w:spacing w:after="0"/>
              <w:rPr>
                <w:sz w:val="20"/>
                <w:szCs w:val="20"/>
                <w:color w:val="auto"/>
              </w:rPr>
            </w:pPr>
            <w:r>
              <w:rPr>
                <w:rFonts w:ascii="Arial" w:cs="Arial" w:eastAsia="Arial" w:hAnsi="Arial"/>
                <w:sz w:val="12"/>
                <w:szCs w:val="12"/>
                <w:color w:val="auto"/>
              </w:rPr>
              <w:t>Operating margin</w:t>
            </w: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(0.7)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(3.6)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8.3 %</w:t>
            </w: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231</w:t>
            </w:r>
          </w:p>
        </w:tc>
      </w:tr>
      <w:tr>
        <w:trPr>
          <w:trHeight w:val="279"/>
        </w:trPr>
        <w:tc>
          <w:tcPr>
            <w:tcW w:w="3260" w:type="dxa"/>
            <w:vAlign w:val="bottom"/>
          </w:tcPr>
          <w:p>
            <w:pPr>
              <w:spacing w:after="0"/>
              <w:rPr>
                <w:sz w:val="20"/>
                <w:szCs w:val="20"/>
                <w:color w:val="auto"/>
              </w:rPr>
            </w:pPr>
            <w:r>
              <w:rPr>
                <w:rFonts w:ascii="Arial" w:cs="Arial" w:eastAsia="Arial" w:hAnsi="Arial"/>
                <w:sz w:val="12"/>
                <w:szCs w:val="12"/>
                <w:color w:val="auto"/>
              </w:rPr>
              <w:t>Key indicators: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86,855</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58,304</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225,373</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195,229</w:t>
            </w: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79"/>
        </w:trPr>
        <w:tc>
          <w:tcPr>
            <w:tcW w:w="3260" w:type="dxa"/>
            <w:vAlign w:val="bottom"/>
          </w:tcPr>
          <w:p>
            <w:pPr>
              <w:spacing w:after="0"/>
              <w:rPr>
                <w:sz w:val="20"/>
                <w:szCs w:val="20"/>
                <w:color w:val="auto"/>
              </w:rPr>
            </w:pPr>
            <w:r>
              <w:rPr>
                <w:rFonts w:ascii="Arial" w:cs="Arial" w:eastAsia="Arial" w:hAnsi="Arial"/>
                <w:sz w:val="12"/>
                <w:szCs w:val="12"/>
                <w:b w:val="1"/>
                <w:bCs w:val="1"/>
                <w:color w:val="auto"/>
              </w:rPr>
              <w:t>Integrated Partners: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Revenue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4,334</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4,666</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7,086</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14,195</w:t>
            </w:r>
          </w:p>
        </w:tc>
      </w:tr>
      <w:tr>
        <w:trPr>
          <w:trHeight w:val="176"/>
        </w:trPr>
        <w:tc>
          <w:tcPr>
            <w:tcW w:w="326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3,114</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4,413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5,609</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12,729</w:t>
            </w:r>
          </w:p>
        </w:tc>
      </w:tr>
      <w:tr>
        <w:trPr>
          <w:trHeight w:val="164"/>
        </w:trPr>
        <w:tc>
          <w:tcPr>
            <w:tcW w:w="3260" w:type="dxa"/>
            <w:vAlign w:val="bottom"/>
          </w:tcPr>
          <w:p>
            <w:pPr>
              <w:ind w:left="80"/>
              <w:spacing w:after="0"/>
              <w:rPr>
                <w:sz w:val="20"/>
                <w:szCs w:val="20"/>
                <w:color w:val="auto"/>
              </w:rPr>
            </w:pPr>
            <w:r>
              <w:rPr>
                <w:rFonts w:ascii="Arial" w:cs="Arial" w:eastAsia="Arial" w:hAnsi="Arial"/>
                <w:sz w:val="12"/>
                <w:szCs w:val="12"/>
                <w:color w:val="auto"/>
              </w:rPr>
              <w:t>Operating income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1,220</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253</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1,477</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1,466</w:t>
            </w:r>
          </w:p>
        </w:tc>
      </w:tr>
      <w:tr>
        <w:trPr>
          <w:trHeight w:val="20"/>
        </w:trPr>
        <w:tc>
          <w:tcPr>
            <w:tcW w:w="3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3260" w:type="dxa"/>
            <w:vAlign w:val="bottom"/>
          </w:tcPr>
          <w:p>
            <w:pPr>
              <w:ind w:left="80"/>
              <w:spacing w:after="0"/>
              <w:rPr>
                <w:sz w:val="20"/>
                <w:szCs w:val="20"/>
                <w:color w:val="auto"/>
              </w:rPr>
            </w:pPr>
            <w:r>
              <w:rPr>
                <w:rFonts w:ascii="Arial" w:cs="Arial" w:eastAsia="Arial" w:hAnsi="Arial"/>
                <w:sz w:val="12"/>
                <w:szCs w:val="12"/>
                <w:color w:val="auto"/>
              </w:rPr>
              <w:t>Operating margin</w:t>
            </w: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28.1 %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5.4 %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20.8 %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10.3 %</w:t>
            </w: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1,017</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1,403</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1,222</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4,048</w:t>
            </w:r>
          </w:p>
        </w:tc>
      </w:tr>
      <w:tr>
        <w:trPr>
          <w:trHeight w:val="279"/>
        </w:trPr>
        <w:tc>
          <w:tcPr>
            <w:tcW w:w="3260" w:type="dxa"/>
            <w:vAlign w:val="bottom"/>
          </w:tcPr>
          <w:p>
            <w:pPr>
              <w:spacing w:after="0"/>
              <w:rPr>
                <w:sz w:val="20"/>
                <w:szCs w:val="20"/>
                <w:color w:val="auto"/>
              </w:rPr>
            </w:pPr>
            <w:r>
              <w:rPr>
                <w:rFonts w:ascii="Arial" w:cs="Arial" w:eastAsia="Arial" w:hAnsi="Arial"/>
                <w:sz w:val="12"/>
                <w:szCs w:val="12"/>
                <w:color w:val="auto"/>
              </w:rPr>
              <w:t>Key indicators: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13,832</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105,537</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38,256</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352,144</w:t>
            </w: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390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1,207</w:t>
            </w:r>
          </w:p>
        </w:tc>
      </w:tr>
      <w:tr>
        <w:trPr>
          <w:trHeight w:val="342"/>
        </w:trPr>
        <w:tc>
          <w:tcPr>
            <w:tcW w:w="3260" w:type="dxa"/>
            <w:vAlign w:val="bottom"/>
          </w:tcPr>
          <w:p>
            <w:pPr>
              <w:spacing w:after="0"/>
              <w:rPr>
                <w:sz w:val="20"/>
                <w:szCs w:val="20"/>
                <w:color w:val="auto"/>
              </w:rPr>
            </w:pPr>
            <w:r>
              <w:rPr>
                <w:rFonts w:ascii="Arial" w:cs="Arial" w:eastAsia="Arial" w:hAnsi="Arial"/>
                <w:sz w:val="12"/>
                <w:szCs w:val="12"/>
                <w:b w:val="1"/>
                <w:bCs w:val="1"/>
                <w:color w:val="auto"/>
              </w:rPr>
              <w:t>Operating income of reportable segments</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15,847</w:t>
            </w:r>
          </w:p>
        </w:tc>
        <w:tc>
          <w:tcPr>
            <w:tcW w:w="80" w:type="dxa"/>
            <w:vAlign w:val="bottom"/>
          </w:tcPr>
          <w:p>
            <w:pPr>
              <w:spacing w:after="0"/>
              <w:rPr>
                <w:sz w:val="24"/>
                <w:szCs w:val="2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11,520</w:t>
            </w:r>
          </w:p>
        </w:tc>
        <w:tc>
          <w:tcPr>
            <w:tcW w:w="80" w:type="dxa"/>
            <w:vAlign w:val="bottom"/>
          </w:tcPr>
          <w:p>
            <w:pPr>
              <w:spacing w:after="0"/>
              <w:rPr>
                <w:sz w:val="24"/>
                <w:szCs w:val="2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43,527</w:t>
            </w:r>
          </w:p>
        </w:tc>
        <w:tc>
          <w:tcPr>
            <w:tcW w:w="80" w:type="dxa"/>
            <w:vAlign w:val="bottom"/>
          </w:tcPr>
          <w:p>
            <w:pPr>
              <w:spacing w:after="0"/>
              <w:rPr>
                <w:sz w:val="24"/>
                <w:szCs w:val="2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28,394</w:t>
            </w:r>
          </w:p>
        </w:tc>
      </w:tr>
      <w:tr>
        <w:trPr>
          <w:trHeight w:val="176"/>
        </w:trPr>
        <w:tc>
          <w:tcPr>
            <w:tcW w:w="3260" w:type="dxa"/>
            <w:vAlign w:val="bottom"/>
          </w:tcPr>
          <w:p>
            <w:pPr>
              <w:ind w:left="80"/>
              <w:spacing w:after="0"/>
              <w:rPr>
                <w:sz w:val="20"/>
                <w:szCs w:val="20"/>
                <w:color w:val="auto"/>
              </w:rPr>
            </w:pPr>
            <w:r>
              <w:rPr>
                <w:rFonts w:ascii="Arial" w:cs="Arial" w:eastAsia="Arial" w:hAnsi="Arial"/>
                <w:sz w:val="12"/>
                <w:szCs w:val="12"/>
                <w:color w:val="auto"/>
              </w:rPr>
              <w:t>Less: Corporate expense</w:t>
            </w: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(7,597)</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(4,478)</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(23,345)</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(13,762)</w:t>
            </w:r>
          </w:p>
        </w:tc>
      </w:tr>
      <w:tr>
        <w:trPr>
          <w:trHeight w:val="165"/>
        </w:trPr>
        <w:tc>
          <w:tcPr>
            <w:tcW w:w="3260" w:type="dxa"/>
            <w:vAlign w:val="bottom"/>
          </w:tcPr>
          <w:p>
            <w:pPr>
              <w:spacing w:after="0"/>
              <w:rPr>
                <w:sz w:val="20"/>
                <w:szCs w:val="20"/>
                <w:color w:val="auto"/>
              </w:rPr>
            </w:pPr>
            <w:r>
              <w:rPr>
                <w:rFonts w:ascii="Arial" w:cs="Arial" w:eastAsia="Arial" w:hAnsi="Arial"/>
                <w:sz w:val="12"/>
                <w:szCs w:val="12"/>
                <w:b w:val="1"/>
                <w:bCs w:val="1"/>
                <w:color w:val="auto"/>
              </w:rPr>
              <w:t>Consolidated operating income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8,250</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7,042</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20,182</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14,632</w:t>
            </w:r>
          </w:p>
        </w:tc>
      </w:tr>
      <w:tr>
        <w:trPr>
          <w:trHeight w:val="20"/>
        </w:trPr>
        <w:tc>
          <w:tcPr>
            <w:tcW w:w="3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3260" w:type="dxa"/>
            <w:vAlign w:val="bottom"/>
          </w:tcPr>
          <w:p>
            <w:pPr>
              <w:spacing w:after="0"/>
              <w:rPr>
                <w:sz w:val="20"/>
                <w:szCs w:val="20"/>
                <w:color w:val="auto"/>
              </w:rPr>
            </w:pPr>
            <w:r>
              <w:rPr>
                <w:rFonts w:ascii="Arial" w:cs="Arial" w:eastAsia="Arial" w:hAnsi="Arial"/>
                <w:sz w:val="12"/>
                <w:szCs w:val="12"/>
                <w:color w:val="auto"/>
              </w:rPr>
              <w:t>Corporate depreciation and amortization</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269</w:t>
            </w:r>
          </w:p>
        </w:tc>
        <w:tc>
          <w:tcPr>
            <w:tcW w:w="80" w:type="dxa"/>
            <w:vAlign w:val="bottom"/>
          </w:tcPr>
          <w:p>
            <w:pPr>
              <w:spacing w:after="0"/>
              <w:rPr>
                <w:sz w:val="12"/>
                <w:szCs w:val="12"/>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290</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834</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886</w:t>
            </w:r>
          </w:p>
        </w:tc>
      </w:tr>
      <w:tr>
        <w:trPr>
          <w:trHeight w:val="306"/>
        </w:trPr>
        <w:tc>
          <w:tcPr>
            <w:tcW w:w="3260" w:type="dxa"/>
            <w:vAlign w:val="bottom"/>
          </w:tcPr>
          <w:p>
            <w:pPr>
              <w:spacing w:after="0"/>
              <w:rPr>
                <w:sz w:val="20"/>
                <w:szCs w:val="20"/>
                <w:color w:val="auto"/>
              </w:rPr>
            </w:pPr>
            <w:r>
              <w:rPr>
                <w:rFonts w:ascii="Arial" w:cs="Arial" w:eastAsia="Arial" w:hAnsi="Arial"/>
                <w:sz w:val="12"/>
                <w:szCs w:val="12"/>
                <w:color w:val="auto"/>
              </w:rPr>
              <w:t>Key indicators: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13,917,688</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11,398,909</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39,828,527</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31,180,097</w:t>
            </w:r>
          </w:p>
        </w:tc>
      </w:tr>
      <w:tr>
        <w:trPr>
          <w:trHeight w:val="171"/>
        </w:trPr>
        <w:tc>
          <w:tcPr>
            <w:tcW w:w="326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151,738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123,018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430,140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336,173</w:t>
            </w:r>
          </w:p>
        </w:tc>
      </w:tr>
      <w:tr>
        <w:trPr>
          <w:trHeight w:val="738"/>
        </w:trPr>
        <w:tc>
          <w:tcPr>
            <w:tcW w:w="3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80"/>
              <w:spacing w:after="0"/>
              <w:rPr>
                <w:sz w:val="20"/>
                <w:szCs w:val="20"/>
                <w:color w:val="auto"/>
              </w:rPr>
            </w:pPr>
            <w:r>
              <w:rPr>
                <w:rFonts w:ascii="Arial" w:cs="Arial" w:eastAsia="Arial" w:hAnsi="Arial"/>
                <w:sz w:val="12"/>
                <w:szCs w:val="12"/>
                <w:color w:val="auto"/>
                <w:w w:val="89"/>
              </w:rPr>
              <w:t>10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2021-11-15T07:39:07Z</dcterms:created>
  <dcterms:modified xsi:type="dcterms:W3CDTF">2021-11-15T07:39:07Z</dcterms:modified>
</cp:coreProperties>
</file>