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13G/A</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2)*</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Priority Technology Holdings, Inc. (fka M I Acquisitions,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ind w:right="60"/>
        <w:spacing w:after="0"/>
        <w:rPr>
          <w:sz w:val="20"/>
          <w:szCs w:val="20"/>
          <w:color w:val="auto"/>
        </w:rPr>
      </w:pPr>
      <w:r>
        <w:rPr>
          <w:rFonts w:ascii="Arial" w:cs="Arial" w:eastAsia="Arial" w:hAnsi="Arial"/>
          <w:sz w:val="22"/>
          <w:szCs w:val="22"/>
          <w:u w:val="single" w:color="auto"/>
          <w:color w:val="auto"/>
        </w:rPr>
        <w:t>Common Stock, par value $0.001 per share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74275G107</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188" w:lineRule="exact"/>
        <w:rPr>
          <w:sz w:val="24"/>
          <w:szCs w:val="24"/>
          <w:color w:val="auto"/>
        </w:rPr>
      </w:pPr>
    </w:p>
    <w:p>
      <w:pPr>
        <w:jc w:val="center"/>
        <w:ind w:right="60"/>
        <w:spacing w:after="0"/>
        <w:rPr>
          <w:sz w:val="20"/>
          <w:szCs w:val="20"/>
          <w:color w:val="auto"/>
        </w:rPr>
      </w:pPr>
      <w:r>
        <w:rPr>
          <w:rFonts w:ascii="Arial" w:cs="Arial" w:eastAsia="Arial" w:hAnsi="Arial"/>
          <w:sz w:val="22"/>
          <w:szCs w:val="22"/>
          <w:u w:val="single" w:color="auto"/>
          <w:color w:val="auto"/>
        </w:rPr>
        <w:t>December 31, 2018</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ind w:left="700" w:hanging="121"/>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 Rule 13d-1(b)</w:t>
      </w:r>
    </w:p>
    <w:p>
      <w:pPr>
        <w:spacing w:after="0" w:line="206" w:lineRule="exact"/>
        <w:rPr>
          <w:rFonts w:ascii="Arial" w:cs="Arial" w:eastAsia="Arial" w:hAnsi="Arial"/>
          <w:sz w:val="22"/>
          <w:szCs w:val="22"/>
          <w:color w:val="auto"/>
        </w:rPr>
      </w:pPr>
    </w:p>
    <w:p>
      <w:pPr>
        <w:ind w:left="700" w:hanging="121"/>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13d-1(c)</w:t>
      </w:r>
    </w:p>
    <w:p>
      <w:pPr>
        <w:spacing w:after="0" w:line="206" w:lineRule="exact"/>
        <w:rPr>
          <w:rFonts w:ascii="Arial" w:cs="Arial" w:eastAsia="Arial" w:hAnsi="Arial"/>
          <w:sz w:val="22"/>
          <w:szCs w:val="22"/>
          <w:color w:val="auto"/>
        </w:rPr>
      </w:pPr>
    </w:p>
    <w:p>
      <w:pPr>
        <w:ind w:left="700" w:hanging="121"/>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80" w:type="dxa"/>
            <w:vAlign w:val="bottom"/>
          </w:tcPr>
          <w:p>
            <w:pPr>
              <w:jc w:val="center"/>
              <w:ind w:right="3812"/>
              <w:spacing w:after="0"/>
              <w:rPr>
                <w:sz w:val="20"/>
                <w:szCs w:val="20"/>
                <w:color w:val="auto"/>
              </w:rPr>
            </w:pPr>
            <w:r>
              <w:rPr>
                <w:rFonts w:ascii="Arial" w:cs="Arial" w:eastAsia="Arial" w:hAnsi="Arial"/>
                <w:sz w:val="22"/>
                <w:szCs w:val="22"/>
                <w:b w:val="1"/>
                <w:bCs w:val="1"/>
                <w:color w:val="auto"/>
                <w:w w:val="96"/>
              </w:rPr>
              <w:t>SCHEDULE 13G/A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74275G107</w:t>
            </w: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7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440" w:type="dxa"/>
            <w:vAlign w:val="bottom"/>
            <w:tcBorders>
              <w:bottom w:val="single" w:sz="8" w:color="auto"/>
            </w:tcBorders>
            <w:gridSpan w:val="4"/>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1</w:t>
            </w:r>
          </w:p>
        </w:tc>
        <w:tc>
          <w:tcPr>
            <w:tcW w:w="680" w:type="dxa"/>
            <w:vAlign w:val="bottom"/>
            <w:tcBorders>
              <w:right w:val="single" w:sz="8" w:color="auto"/>
            </w:tcBorders>
          </w:tcPr>
          <w:p>
            <w:pPr>
              <w:spacing w:after="0"/>
              <w:rPr>
                <w:sz w:val="21"/>
                <w:szCs w:val="21"/>
                <w:color w:val="auto"/>
              </w:rPr>
            </w:pPr>
          </w:p>
        </w:tc>
        <w:tc>
          <w:tcPr>
            <w:tcW w:w="104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Polar Asset Management Partners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440" w:type="dxa"/>
            <w:vAlign w:val="bottom"/>
            <w:tcBorders>
              <w:bottom w:val="single" w:sz="8" w:color="auto"/>
              <w:right w:val="single" w:sz="8" w:color="auto"/>
            </w:tcBorders>
            <w:gridSpan w:val="4"/>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2</w:t>
            </w:r>
          </w:p>
        </w:tc>
        <w:tc>
          <w:tcPr>
            <w:tcW w:w="680" w:type="dxa"/>
            <w:vAlign w:val="bottom"/>
            <w:tcBorders>
              <w:right w:val="single" w:sz="8" w:color="auto"/>
            </w:tcBorders>
          </w:tcPr>
          <w:p>
            <w:pPr>
              <w:spacing w:after="0"/>
              <w:rPr>
                <w:sz w:val="21"/>
                <w:szCs w:val="21"/>
                <w:color w:val="auto"/>
              </w:rPr>
            </w:pPr>
          </w:p>
        </w:tc>
        <w:tc>
          <w:tcPr>
            <w:tcW w:w="104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(a) [ ]</w:t>
            </w: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(b) [ ]</w:t>
            </w: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3</w:t>
            </w:r>
          </w:p>
        </w:tc>
        <w:tc>
          <w:tcPr>
            <w:tcW w:w="680" w:type="dxa"/>
            <w:vAlign w:val="bottom"/>
            <w:tcBorders>
              <w:right w:val="single" w:sz="8" w:color="auto"/>
            </w:tcBorders>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w w:val="90"/>
              </w:rPr>
              <w:t>Sec Use Only</w:t>
            </w: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4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 w:type="dxa"/>
            <w:vAlign w:val="bottom"/>
            <w:tcBorders>
              <w:left w:val="single" w:sz="8" w:color="auto"/>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10440" w:type="dxa"/>
            <w:vAlign w:val="bottom"/>
            <w:tcBorders>
              <w:bottom w:val="single" w:sz="8" w:color="auto"/>
              <w:right w:val="single" w:sz="8" w:color="auto"/>
            </w:tcBorders>
            <w:gridSpan w:val="4"/>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4</w:t>
            </w:r>
          </w:p>
        </w:tc>
        <w:tc>
          <w:tcPr>
            <w:tcW w:w="680" w:type="dxa"/>
            <w:vAlign w:val="bottom"/>
            <w:tcBorders>
              <w:right w:val="single" w:sz="8" w:color="auto"/>
            </w:tcBorders>
          </w:tcPr>
          <w:p>
            <w:pPr>
              <w:spacing w:after="0"/>
              <w:rPr>
                <w:sz w:val="21"/>
                <w:szCs w:val="21"/>
                <w:color w:val="auto"/>
              </w:rPr>
            </w:pPr>
          </w:p>
        </w:tc>
        <w:tc>
          <w:tcPr>
            <w:tcW w:w="104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Canada</w:t>
            </w: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20" w:type="dxa"/>
            <w:vAlign w:val="bottom"/>
            <w:tcBorders>
              <w:bottom w:val="single" w:sz="8" w:color="auto"/>
              <w:right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5</w:t>
            </w:r>
          </w:p>
        </w:tc>
        <w:tc>
          <w:tcPr>
            <w:tcW w:w="8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300" w:type="dxa"/>
            <w:vAlign w:val="bottom"/>
            <w:tcBorders>
              <w:left w:val="single" w:sz="8" w:color="auto"/>
            </w:tcBorders>
          </w:tcPr>
          <w:p>
            <w:pPr>
              <w:spacing w:after="0"/>
              <w:rPr>
                <w:sz w:val="24"/>
                <w:szCs w:val="24"/>
                <w:color w:val="auto"/>
              </w:rPr>
            </w:pPr>
          </w:p>
        </w:tc>
        <w:tc>
          <w:tcPr>
            <w:tcW w:w="174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0"/>
              </w:rPr>
              <w:t>Number of Shares</w:t>
            </w:r>
          </w:p>
        </w:tc>
        <w:tc>
          <w:tcPr>
            <w:tcW w:w="560" w:type="dxa"/>
            <w:vAlign w:val="bottom"/>
            <w:tcBorders>
              <w:right w:val="single" w:sz="8" w:color="auto"/>
            </w:tcBorders>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843,049</w:t>
            </w:r>
          </w:p>
        </w:tc>
        <w:tc>
          <w:tcPr>
            <w:tcW w:w="7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300" w:type="dxa"/>
            <w:vAlign w:val="bottom"/>
            <w:tcBorders>
              <w:left w:val="single" w:sz="8" w:color="auto"/>
            </w:tcBorders>
          </w:tcPr>
          <w:p>
            <w:pPr>
              <w:spacing w:after="0"/>
              <w:rPr>
                <w:sz w:val="4"/>
                <w:szCs w:val="4"/>
                <w:color w:val="auto"/>
              </w:rPr>
            </w:pPr>
          </w:p>
        </w:tc>
        <w:tc>
          <w:tcPr>
            <w:tcW w:w="17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6"/>
              </w:rPr>
              <w:t>Beneficially</w:t>
            </w:r>
          </w:p>
        </w:tc>
        <w:tc>
          <w:tcPr>
            <w:tcW w:w="5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48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00" w:type="dxa"/>
            <w:vAlign w:val="bottom"/>
            <w:tcBorders>
              <w:left w:val="single" w:sz="8" w:color="auto"/>
            </w:tcBorders>
          </w:tcPr>
          <w:p>
            <w:pPr>
              <w:spacing w:after="0"/>
              <w:rPr>
                <w:sz w:val="12"/>
                <w:szCs w:val="12"/>
                <w:color w:val="auto"/>
              </w:rPr>
            </w:pPr>
          </w:p>
        </w:tc>
        <w:tc>
          <w:tcPr>
            <w:tcW w:w="1740" w:type="dxa"/>
            <w:vAlign w:val="bottom"/>
            <w:tcBorders>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w w:val="99"/>
              </w:rPr>
              <w:t>6</w:t>
            </w:r>
          </w:p>
        </w:tc>
        <w:tc>
          <w:tcPr>
            <w:tcW w:w="88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1"/>
              </w:rPr>
              <w:t>Owned by Each</w:t>
            </w:r>
          </w:p>
        </w:tc>
        <w:tc>
          <w:tcPr>
            <w:tcW w:w="560" w:type="dxa"/>
            <w:vAlign w:val="bottom"/>
            <w:tcBorders>
              <w:right w:val="single" w:sz="8" w:color="auto"/>
            </w:tcBorders>
            <w:vMerge w:val="continue"/>
          </w:tcPr>
          <w:p>
            <w:pPr>
              <w:spacing w:after="0"/>
              <w:rPr>
                <w:sz w:val="9"/>
                <w:szCs w:val="9"/>
                <w:color w:val="auto"/>
              </w:rPr>
            </w:pPr>
          </w:p>
        </w:tc>
        <w:tc>
          <w:tcPr>
            <w:tcW w:w="8820" w:type="dxa"/>
            <w:vAlign w:val="bottom"/>
            <w:tcBorders>
              <w:right w:val="single" w:sz="8" w:color="auto"/>
            </w:tcBorders>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2"/>
            <w:vMerge w:val="continue"/>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74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8"/>
              </w:rPr>
              <w:t>Reporting Person</w:t>
            </w:r>
          </w:p>
        </w:tc>
        <w:tc>
          <w:tcPr>
            <w:tcW w:w="560" w:type="dxa"/>
            <w:vAlign w:val="bottom"/>
            <w:tcBorders>
              <w:right w:val="single" w:sz="8" w:color="auto"/>
            </w:tcBorders>
          </w:tcPr>
          <w:p>
            <w:pPr>
              <w:spacing w:after="0"/>
              <w:rPr>
                <w:sz w:val="18"/>
                <w:szCs w:val="18"/>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74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3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7"/>
              </w:rPr>
              <w:t>With:</w:t>
            </w:r>
          </w:p>
        </w:tc>
        <w:tc>
          <w:tcPr>
            <w:tcW w:w="560" w:type="dxa"/>
            <w:vAlign w:val="bottom"/>
            <w:tcBorders>
              <w:right w:val="single" w:sz="8" w:color="auto"/>
            </w:tcBorders>
          </w:tcPr>
          <w:p>
            <w:pPr>
              <w:spacing w:after="0"/>
              <w:rPr>
                <w:sz w:val="9"/>
                <w:szCs w:val="9"/>
                <w:color w:val="auto"/>
              </w:rPr>
            </w:pPr>
          </w:p>
        </w:tc>
        <w:tc>
          <w:tcPr>
            <w:tcW w:w="1340" w:type="dxa"/>
            <w:vAlign w:val="bottom"/>
            <w:vMerge w:val="continue"/>
          </w:tcPr>
          <w:p>
            <w:pPr>
              <w:spacing w:after="0"/>
              <w:rPr>
                <w:sz w:val="9"/>
                <w:szCs w:val="9"/>
                <w:color w:val="auto"/>
              </w:rPr>
            </w:pPr>
          </w:p>
        </w:tc>
        <w:tc>
          <w:tcPr>
            <w:tcW w:w="74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tcBorders>
          </w:tcPr>
          <w:p>
            <w:pPr>
              <w:spacing w:after="0"/>
              <w:rPr>
                <w:sz w:val="3"/>
                <w:szCs w:val="3"/>
                <w:color w:val="auto"/>
              </w:rPr>
            </w:pPr>
          </w:p>
        </w:tc>
        <w:tc>
          <w:tcPr>
            <w:tcW w:w="1740" w:type="dxa"/>
            <w:vAlign w:val="bottom"/>
            <w:tcBorders>
              <w:right w:val="single" w:sz="8" w:color="auto"/>
            </w:tcBorders>
            <w:gridSpan w:val="2"/>
            <w:vMerge w:val="continue"/>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00" w:type="dxa"/>
            <w:vAlign w:val="bottom"/>
            <w:tcBorders>
              <w:left w:val="single" w:sz="8" w:color="auto"/>
            </w:tcBorders>
          </w:tcPr>
          <w:p>
            <w:pPr>
              <w:spacing w:after="0"/>
              <w:rPr>
                <w:sz w:val="5"/>
                <w:szCs w:val="5"/>
                <w:color w:val="auto"/>
              </w:rPr>
            </w:pPr>
          </w:p>
        </w:tc>
        <w:tc>
          <w:tcPr>
            <w:tcW w:w="1740" w:type="dxa"/>
            <w:vAlign w:val="bottom"/>
            <w:tcBorders>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w w:val="99"/>
              </w:rPr>
              <w:t>7</w:t>
            </w:r>
          </w:p>
        </w:tc>
        <w:tc>
          <w:tcPr>
            <w:tcW w:w="88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00" w:type="dxa"/>
            <w:vAlign w:val="bottom"/>
            <w:tcBorders>
              <w:lef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88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843,049</w:t>
            </w:r>
          </w:p>
        </w:tc>
        <w:tc>
          <w:tcPr>
            <w:tcW w:w="7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820" w:type="dxa"/>
            <w:vAlign w:val="bottom"/>
            <w:tcBorders>
              <w:bottom w:val="single" w:sz="8" w:color="auto"/>
              <w:right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8</w:t>
            </w:r>
          </w:p>
        </w:tc>
        <w:tc>
          <w:tcPr>
            <w:tcW w:w="8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0</w:t>
            </w:r>
          </w:p>
        </w:tc>
        <w:tc>
          <w:tcPr>
            <w:tcW w:w="7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820" w:type="dxa"/>
            <w:vAlign w:val="bottom"/>
            <w:tcBorders>
              <w:bottom w:val="single" w:sz="8" w:color="auto"/>
              <w:right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9</w:t>
            </w:r>
          </w:p>
        </w:tc>
        <w:tc>
          <w:tcPr>
            <w:tcW w:w="680" w:type="dxa"/>
            <w:vAlign w:val="bottom"/>
            <w:tcBorders>
              <w:right w:val="single" w:sz="8" w:color="auto"/>
            </w:tcBorders>
          </w:tcPr>
          <w:p>
            <w:pPr>
              <w:spacing w:after="0"/>
              <w:rPr>
                <w:sz w:val="21"/>
                <w:szCs w:val="21"/>
                <w:color w:val="auto"/>
              </w:rPr>
            </w:pPr>
          </w:p>
        </w:tc>
        <w:tc>
          <w:tcPr>
            <w:tcW w:w="104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843,049</w:t>
            </w: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20" w:type="dxa"/>
            <w:vAlign w:val="bottom"/>
            <w:tcBorders>
              <w:bottom w:val="single" w:sz="8" w:color="auto"/>
              <w:right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10</w:t>
            </w:r>
          </w:p>
        </w:tc>
        <w:tc>
          <w:tcPr>
            <w:tcW w:w="680" w:type="dxa"/>
            <w:vAlign w:val="bottom"/>
            <w:tcBorders>
              <w:right w:val="single" w:sz="8" w:color="auto"/>
            </w:tcBorders>
          </w:tcPr>
          <w:p>
            <w:pPr>
              <w:spacing w:after="0"/>
              <w:rPr>
                <w:sz w:val="21"/>
                <w:szCs w:val="21"/>
                <w:color w:val="auto"/>
              </w:rPr>
            </w:pPr>
          </w:p>
        </w:tc>
        <w:tc>
          <w:tcPr>
            <w:tcW w:w="104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20" w:type="dxa"/>
            <w:vAlign w:val="bottom"/>
            <w:tcBorders>
              <w:bottom w:val="single" w:sz="8" w:color="auto"/>
              <w:right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11</w:t>
            </w:r>
          </w:p>
        </w:tc>
        <w:tc>
          <w:tcPr>
            <w:tcW w:w="680" w:type="dxa"/>
            <w:vAlign w:val="bottom"/>
            <w:tcBorders>
              <w:right w:val="single" w:sz="8" w:color="auto"/>
            </w:tcBorders>
          </w:tcPr>
          <w:p>
            <w:pPr>
              <w:spacing w:after="0"/>
              <w:rPr>
                <w:sz w:val="21"/>
                <w:szCs w:val="21"/>
                <w:color w:val="auto"/>
              </w:rPr>
            </w:pPr>
          </w:p>
        </w:tc>
        <w:tc>
          <w:tcPr>
            <w:tcW w:w="104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1.24%</w:t>
            </w: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20" w:type="dxa"/>
            <w:vAlign w:val="bottom"/>
            <w:tcBorders>
              <w:bottom w:val="single" w:sz="8" w:color="auto"/>
              <w:right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12</w:t>
            </w:r>
          </w:p>
        </w:tc>
        <w:tc>
          <w:tcPr>
            <w:tcW w:w="680" w:type="dxa"/>
            <w:vAlign w:val="bottom"/>
            <w:tcBorders>
              <w:right w:val="single" w:sz="8" w:color="auto"/>
            </w:tcBorders>
          </w:tcPr>
          <w:p>
            <w:pPr>
              <w:spacing w:after="0"/>
              <w:rPr>
                <w:sz w:val="21"/>
                <w:szCs w:val="21"/>
                <w:color w:val="auto"/>
              </w:rPr>
            </w:pPr>
          </w:p>
        </w:tc>
        <w:tc>
          <w:tcPr>
            <w:tcW w:w="104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IA</w:t>
            </w: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3"/>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80" w:type="dxa"/>
            <w:vAlign w:val="bottom"/>
          </w:tcPr>
          <w:p>
            <w:pPr>
              <w:jc w:val="center"/>
              <w:ind w:right="3832"/>
              <w:spacing w:after="0"/>
              <w:rPr>
                <w:sz w:val="20"/>
                <w:szCs w:val="20"/>
                <w:color w:val="auto"/>
              </w:rPr>
            </w:pPr>
            <w:r>
              <w:rPr>
                <w:rFonts w:ascii="Arial" w:cs="Arial" w:eastAsia="Arial" w:hAnsi="Arial"/>
                <w:sz w:val="22"/>
                <w:szCs w:val="22"/>
                <w:color w:val="auto"/>
                <w:w w:val="87"/>
              </w:rPr>
              <w:t>Page 2 of 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00" w:type="dxa"/>
            <w:vAlign w:val="bottom"/>
            <w:tcBorders>
              <w:left w:val="single" w:sz="8" w:color="auto"/>
            </w:tcBorders>
            <w:shd w:val="clear" w:color="auto" w:fill="000000"/>
          </w:tcPr>
          <w:p>
            <w:pPr>
              <w:spacing w:after="0"/>
              <w:rPr>
                <w:sz w:val="6"/>
                <w:szCs w:val="6"/>
                <w:color w:val="auto"/>
              </w:rPr>
            </w:pPr>
          </w:p>
        </w:tc>
        <w:tc>
          <w:tcPr>
            <w:tcW w:w="680" w:type="dxa"/>
            <w:vAlign w:val="bottom"/>
            <w:tcBorders>
              <w:right w:val="single" w:sz="8" w:color="auto"/>
            </w:tcBorders>
            <w:shd w:val="clear" w:color="auto" w:fill="000000"/>
          </w:tcPr>
          <w:p>
            <w:pPr>
              <w:spacing w:after="0"/>
              <w:rPr>
                <w:sz w:val="6"/>
                <w:szCs w:val="6"/>
                <w:color w:val="auto"/>
              </w:rPr>
            </w:pPr>
          </w:p>
        </w:tc>
        <w:tc>
          <w:tcPr>
            <w:tcW w:w="1060" w:type="dxa"/>
            <w:vAlign w:val="bottom"/>
            <w:tcBorders>
              <w:right w:val="single" w:sz="8" w:color="auto"/>
            </w:tcBorders>
            <w:shd w:val="clear" w:color="auto" w:fill="000000"/>
          </w:tcPr>
          <w:p>
            <w:pPr>
              <w:spacing w:after="0"/>
              <w:rPr>
                <w:sz w:val="6"/>
                <w:szCs w:val="6"/>
                <w:color w:val="auto"/>
              </w:rPr>
            </w:pPr>
          </w:p>
        </w:tc>
        <w:tc>
          <w:tcPr>
            <w:tcW w:w="560" w:type="dxa"/>
            <w:vAlign w:val="bottom"/>
            <w:tcBorders>
              <w:right w:val="single" w:sz="8" w:color="auto"/>
            </w:tcBorders>
            <w:shd w:val="clear" w:color="auto" w:fill="000000"/>
          </w:tcPr>
          <w:p>
            <w:pPr>
              <w:spacing w:after="0"/>
              <w:rPr>
                <w:sz w:val="6"/>
                <w:szCs w:val="6"/>
                <w:color w:val="auto"/>
              </w:rPr>
            </w:pPr>
          </w:p>
        </w:tc>
        <w:tc>
          <w:tcPr>
            <w:tcW w:w="1340" w:type="dxa"/>
            <w:vAlign w:val="bottom"/>
            <w:tcBorders>
              <w:right w:val="single" w:sz="8" w:color="auto"/>
            </w:tcBorders>
            <w:shd w:val="clear" w:color="auto" w:fill="000000"/>
          </w:tcPr>
          <w:p>
            <w:pPr>
              <w:spacing w:after="0"/>
              <w:rPr>
                <w:sz w:val="6"/>
                <w:szCs w:val="6"/>
                <w:color w:val="auto"/>
              </w:rPr>
            </w:pPr>
          </w:p>
        </w:tc>
        <w:tc>
          <w:tcPr>
            <w:tcW w:w="748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28" w:right="1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1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2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name of the issuer is Priority Technology Holdings, Inc. (fka M I Acquisitions,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Company's principal executive offices are located at 2001 Westside Parkway, Suite 155, Alpharetta, GA, 30004.</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5"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15" w:lineRule="exact"/>
        <w:rPr>
          <w:rFonts w:ascii="Arial" w:cs="Arial" w:eastAsia="Arial" w:hAnsi="Arial"/>
          <w:sz w:val="18"/>
          <w:szCs w:val="18"/>
          <w:b w:val="1"/>
          <w:bCs w:val="1"/>
          <w:color w:val="auto"/>
        </w:rPr>
      </w:pPr>
    </w:p>
    <w:p>
      <w:pPr>
        <w:jc w:val="both"/>
        <w:ind w:left="5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This statement is filed by Polar Asset Management Partners Inc., a company incorporated under the laws of Ontario, Canada, which serves as the investment advisor to Polar Multi-Strategy Master Fund, a Cayman Islands exempted company ("PMSMF") and certain managed accounts (together with PMSMF, the “Polar Vehicles”), with respect to the Shares (as defined below) and Shares underlying warrants directly held by the Polar Vehicles.</w:t>
      </w:r>
    </w:p>
    <w:p>
      <w:pPr>
        <w:spacing w:after="0" w:line="133" w:lineRule="exact"/>
        <w:rPr>
          <w:rFonts w:ascii="Arial" w:cs="Arial" w:eastAsia="Arial" w:hAnsi="Arial"/>
          <w:sz w:val="18"/>
          <w:szCs w:val="18"/>
          <w:b w:val="1"/>
          <w:bCs w:val="1"/>
          <w:color w:val="auto"/>
        </w:rPr>
      </w:pPr>
    </w:p>
    <w:p>
      <w:pPr>
        <w:ind w:lef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filing of this statement should not be construed as an admission that the Reporting Person is, for the purposes of Section 13 of the Act, the beneficial owner of the Shares reported herein.</w:t>
      </w:r>
    </w:p>
    <w:p>
      <w:pPr>
        <w:spacing w:after="0" w:line="152"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1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The address of the business office of the Reporting Person is 401 Bay Street, Suite 1900, PO Box 19, Toronto, Ontario M5H 2Y4, Canada.</w:t>
      </w:r>
    </w:p>
    <w:p>
      <w:pPr>
        <w:spacing w:after="0" w:line="219"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1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citizenship of the Reporting Person is Canada.</w:t>
      </w:r>
    </w:p>
    <w:p>
      <w:pPr>
        <w:spacing w:after="0" w:line="207"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w:t>
      </w:r>
    </w:p>
    <w:p>
      <w:pPr>
        <w:spacing w:after="0" w:line="21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Common Stock, par value $0.001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07" w:lineRule="exact"/>
        <w:rPr>
          <w:rFonts w:ascii="Arial" w:cs="Arial" w:eastAsia="Arial" w:hAnsi="Arial"/>
          <w:sz w:val="18"/>
          <w:szCs w:val="18"/>
          <w:b w:val="1"/>
          <w:bCs w:val="1"/>
          <w:color w:val="auto"/>
        </w:rPr>
      </w:pPr>
    </w:p>
    <w:p>
      <w:pPr>
        <w:jc w:val="both"/>
        <w:ind w:left="580" w:right="9940" w:hanging="572"/>
        <w:spacing w:after="0" w:line="538" w:lineRule="auto"/>
        <w:tabs>
          <w:tab w:leader="none" w:pos="5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74275G107</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56" w:lineRule="exact"/>
        <w:rPr>
          <w:sz w:val="20"/>
          <w:szCs w:val="20"/>
          <w:color w:val="auto"/>
        </w:rPr>
      </w:pPr>
    </w:p>
    <w:p>
      <w:pPr>
        <w:ind w:left="1700" w:hanging="558"/>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Rule 13d-1(b)(1)(ii)(F);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 w:name="page4"/>
    <w:bookmarkEnd w:id="3"/>
    <w:p>
      <w:pPr>
        <w:ind w:left="1720" w:hanging="564"/>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2300" w:right="640" w:hanging="1144"/>
        <w:spacing w:after="0" w:line="277" w:lineRule="auto"/>
        <w:tabs>
          <w:tab w:leader="none" w:pos="1733" w:val="left"/>
        </w:tabs>
        <w:numPr>
          <w:ilvl w:val="0"/>
          <w:numId w:val="5"/>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720" w:hanging="564"/>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[X]    A non-U.S. institution in accordance with Rule 240.13d-1(b)(1)(ii)(J);</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Rule 240.13d-1(b)(1)(ii)(K).</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If filing as a non-U.S. institution in accordance with Rule 240.13d -1(b)(1)(ii)(J), please specify the type of institution:</w:t>
      </w:r>
    </w:p>
    <w:p>
      <w:pPr>
        <w:spacing w:after="0" w:line="241" w:lineRule="exact"/>
        <w:rPr>
          <w:sz w:val="20"/>
          <w:szCs w:val="20"/>
          <w:color w:val="auto"/>
        </w:rPr>
      </w:pPr>
    </w:p>
    <w:p>
      <w:pPr>
        <w:jc w:val="both"/>
        <w:ind w:left="1140"/>
        <w:spacing w:after="0" w:line="251" w:lineRule="auto"/>
        <w:rPr>
          <w:sz w:val="20"/>
          <w:szCs w:val="20"/>
          <w:color w:val="auto"/>
        </w:rPr>
      </w:pPr>
      <w:r>
        <w:rPr>
          <w:rFonts w:ascii="Arial" w:cs="Arial" w:eastAsia="Arial" w:hAnsi="Arial"/>
          <w:sz w:val="22"/>
          <w:szCs w:val="22"/>
          <w:color w:val="auto"/>
        </w:rPr>
        <w:t>The Reporting Person is an investment fund manager, portfolio manager, exempt market dealer and commodity trading manager registered with the Ontario Securities Commission.</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jc w:val="both"/>
        <w:ind w:left="1140" w:right="20"/>
        <w:spacing w:after="0" w:line="297" w:lineRule="auto"/>
        <w:rPr>
          <w:sz w:val="20"/>
          <w:szCs w:val="20"/>
          <w:color w:val="auto"/>
        </w:rPr>
      </w:pPr>
      <w:r>
        <w:rPr>
          <w:rFonts w:ascii="Arial" w:cs="Arial" w:eastAsia="Arial" w:hAnsi="Arial"/>
          <w:sz w:val="19"/>
          <w:szCs w:val="19"/>
          <w:color w:val="auto"/>
        </w:rPr>
        <w:t>The percentages used herein are calculated based upon 67,038,304 Shares outstanding as of December 21, 2018, as disclosed in the Company’s Amendment No. 1 to the Registration Statement on Form S-4, filed with the Securities and Exchange Commission on December 26, 2018, and assumes the exercise of warrants held by the Polar Vehicles.</w:t>
      </w:r>
    </w:p>
    <w:p>
      <w:pPr>
        <w:spacing w:after="0" w:line="134" w:lineRule="exact"/>
        <w:rPr>
          <w:sz w:val="20"/>
          <w:szCs w:val="20"/>
          <w:color w:val="auto"/>
        </w:rPr>
      </w:pPr>
    </w:p>
    <w:p>
      <w:pPr>
        <w:jc w:val="both"/>
        <w:ind w:left="1140" w:right="20"/>
        <w:spacing w:after="0" w:line="251" w:lineRule="auto"/>
        <w:rPr>
          <w:sz w:val="20"/>
          <w:szCs w:val="20"/>
          <w:color w:val="auto"/>
        </w:rPr>
      </w:pPr>
      <w:r>
        <w:rPr>
          <w:rFonts w:ascii="Arial" w:cs="Arial" w:eastAsia="Arial" w:hAnsi="Arial"/>
          <w:sz w:val="22"/>
          <w:szCs w:val="22"/>
          <w:color w:val="auto"/>
        </w:rPr>
        <w:t>The information required by Items 4(a) - (c) is set forth in Rows 5 - 11 of the cover page for the Reporting Person and is incorporated herein by reference.</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160" w:right="2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160" w:right="30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1160"/>
        <w:spacing w:after="0" w:line="293" w:lineRule="auto"/>
        <w:rPr>
          <w:sz w:val="20"/>
          <w:szCs w:val="20"/>
          <w:color w:val="auto"/>
        </w:rPr>
      </w:pPr>
      <w:r>
        <w:rPr>
          <w:rFonts w:ascii="Arial" w:cs="Arial" w:eastAsia="Arial" w:hAnsi="Arial"/>
          <w:sz w:val="16"/>
          <w:szCs w:val="16"/>
          <w:color w:val="auto"/>
        </w:rPr>
        <w:t>By signing below the Reporting Person certifies that, to the best of its knowledge and belief, (i)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and (ii) the foreign regulatory schemes applicable to investment fund managers and broker-dealers are substantially comparable to the regulatory schemes applicable to the functionally equivalent U.S. institutions. The Reporting Person also undertakes to furnish to the Commission staff, upon request, information that would otherwise be disclosed in a Schedule 13D.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After reasonable inquiry and to the best of its knowledge and belief, the undersigned certifies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POLAR ASSET MANAGEMENT PARTNERS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Greg Lemaich</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Greg Lemaich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lvl w:ilvl="1">
      <w:lvlJc w:val="left"/>
      <w:lvlText w:val="(%2)"/>
      <w:numFmt w:val="lowerLetter"/>
      <w:start w:val="5"/>
    </w:lvl>
  </w:abstractNum>
  <w:abstractNum w:abstractNumId="4">
    <w:nsid w:val="46E87CC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2020-01-09T20:25:14Z</dcterms:created>
  <dcterms:modified xsi:type="dcterms:W3CDTF">2020-01-09T20:25:14Z</dcterms:modified>
</cp:coreProperties>
</file>