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April 12, 2018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315"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001-37872</w:t>
            </w:r>
          </w:p>
        </w:tc>
        <w:tc>
          <w:tcPr>
            <w:tcW w:w="376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 w:type="dxa"/>
            <w:vAlign w:val="bottom"/>
            <w:vMerge w:val="restart"/>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200" w:type="dxa"/>
            <w:vAlign w:val="bottom"/>
            <w:vMerge w:val="continue"/>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724"/>
        </w:trPr>
        <w:tc>
          <w:tcPr>
            <w:tcW w:w="20" w:type="dxa"/>
            <w:vAlign w:val="bottom"/>
          </w:tcPr>
          <w:p>
            <w:pPr>
              <w:spacing w:after="0"/>
              <w:rPr>
                <w:sz w:val="24"/>
                <w:szCs w:val="24"/>
                <w:color w:val="auto"/>
              </w:rPr>
            </w:pPr>
          </w:p>
        </w:tc>
        <w:tc>
          <w:tcPr>
            <w:tcW w:w="444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3"/>
              </w:rPr>
              <w:t>c/o Magna Management LLC</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2"/>
              </w:rPr>
              <w:t>40 Wall Street, 58th Floor</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5"/>
              </w:rPr>
              <w:t>New York, NY</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2"/>
          </w:tcPr>
          <w:p>
            <w:pPr>
              <w:jc w:val="right"/>
              <w:ind w:right="2430"/>
              <w:spacing w:after="0"/>
              <w:rPr>
                <w:sz w:val="20"/>
                <w:szCs w:val="20"/>
                <w:color w:val="auto"/>
              </w:rPr>
            </w:pPr>
            <w:r>
              <w:rPr>
                <w:rFonts w:ascii="Arial" w:cs="Arial" w:eastAsia="Arial" w:hAnsi="Arial"/>
                <w:sz w:val="18"/>
                <w:szCs w:val="18"/>
                <w:b w:val="1"/>
                <w:bCs w:val="1"/>
                <w:color w:val="auto"/>
              </w:rPr>
              <w:t>10005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Written communications pursuant to Rule 425 under the Securities Act</w:t>
      </w:r>
    </w:p>
    <w:p>
      <w:pPr>
        <w:spacing w:after="0" w:line="117"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w:t>
      </w:r>
    </w:p>
    <w:p>
      <w:pPr>
        <w:sectPr>
          <w:pgSz w:w="11900" w:h="16838" w:orient="portrait"/>
          <w:cols w:equalWidth="0" w:num="1">
            <w:col w:w="11340"/>
          </w:cols>
          <w:pgMar w:left="240" w:top="229" w:right="319" w:bottom="1440" w:gutter="0" w:footer="0" w:header="0"/>
        </w:sectPr>
      </w:pP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w:t>
      </w:r>
    </w:p>
    <w:p>
      <w:pPr>
        <w:spacing w:after="0" w:line="139" w:lineRule="exact"/>
        <w:rPr>
          <w:sz w:val="24"/>
          <w:szCs w:val="24"/>
          <w:color w:val="auto"/>
        </w:rPr>
      </w:pPr>
    </w:p>
    <w:p>
      <w:pPr>
        <w:sectPr>
          <w:pgSz w:w="11900" w:h="16838" w:orient="portrait"/>
          <w:cols w:equalWidth="0" w:num="2">
            <w:col w:w="260" w:space="220"/>
            <w:col w:w="10860"/>
          </w:cols>
          <w:pgMar w:left="240" w:top="229" w:right="319" w:bottom="1440" w:gutter="0" w:footer="0" w:header="0"/>
          <w:type w:val="continuous"/>
        </w:sect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Pre-commencement communications pursuant to Rule 13e-4(c) under the Exchange Act</w:t>
      </w:r>
    </w:p>
    <w:p>
      <w:pPr>
        <w:spacing w:after="0" w:line="222" w:lineRule="exact"/>
        <w:rPr>
          <w:sz w:val="24"/>
          <w:szCs w:val="24"/>
          <w:color w:val="auto"/>
        </w:rPr>
      </w:pPr>
    </w:p>
    <w:p>
      <w:pPr>
        <w:sectPr>
          <w:pgSz w:w="11900" w:h="16838" w:orient="portrait"/>
          <w:cols w:equalWidth="0" w:num="2">
            <w:col w:w="260" w:space="220"/>
            <w:col w:w="10860"/>
          </w:cols>
          <w:pgMar w:left="240" w:top="229" w:right="319" w:bottom="1440" w:gutter="0" w:footer="0" w:header="0"/>
          <w:type w:val="continuous"/>
        </w:sectPr>
      </w:pPr>
    </w:p>
    <w:p>
      <w:pPr>
        <w:spacing w:after="0" w:line="30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In connection with the transaction between Priority and M I,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right="20"/>
        <w:spacing w:after="0" w:line="272"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2017 filed with the SEC, in M I’s quarterly reports on Form 10-Q filed with the SEC subsequent thereto and in the proxy statement on Schedule 14A that will be filed with the SEC by M 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On April 12, 2018, M I Acquisitions issued a promissory note in the aggregate principal amount of </w:t>
      </w:r>
      <w:r>
        <w:rPr>
          <w:rFonts w:ascii="Arial" w:cs="Arial" w:eastAsia="Arial" w:hAnsi="Arial"/>
          <w:sz w:val="16"/>
          <w:szCs w:val="16"/>
          <w:color w:val="auto"/>
          <w:highlight w:val="white"/>
        </w:rPr>
        <w:t>$132,752.73 to Priority.</w:t>
      </w:r>
      <w:r>
        <w:rPr>
          <w:rFonts w:ascii="Arial" w:cs="Arial" w:eastAsia="Arial" w:hAnsi="Arial"/>
          <w:sz w:val="16"/>
          <w:szCs w:val="16"/>
          <w:color w:val="auto"/>
        </w:rPr>
        <w:t xml:space="preserve"> The $132,752.73 received by M I upon issuance of the note was deposited into the M I trust account for the benefit of its public stockholders in order to extend the </w:t>
      </w:r>
      <w:r>
        <w:rPr>
          <w:rFonts w:ascii="Arial" w:cs="Arial" w:eastAsia="Arial" w:hAnsi="Arial"/>
          <w:sz w:val="16"/>
          <w:szCs w:val="16"/>
          <w:color w:val="auto"/>
          <w:highlight w:val="white"/>
        </w:rPr>
        <w:t>period of time M I has to</w:t>
      </w:r>
      <w:r>
        <w:rPr>
          <w:rFonts w:ascii="Arial" w:cs="Arial" w:eastAsia="Arial" w:hAnsi="Arial"/>
          <w:sz w:val="16"/>
          <w:szCs w:val="16"/>
          <w:color w:val="auto"/>
        </w:rPr>
        <w:t xml:space="preserve"> </w:t>
      </w:r>
      <w:r>
        <w:rPr>
          <w:rFonts w:ascii="Arial" w:cs="Arial" w:eastAsia="Arial" w:hAnsi="Arial"/>
          <w:sz w:val="16"/>
          <w:szCs w:val="16"/>
          <w:color w:val="auto"/>
          <w:highlight w:val="white"/>
        </w:rPr>
        <w:t>complete a business combination for an additional one month period, from April 19, 2018 to May 19, 2018. The notes do not bear interest and are payable five business days after the date M I completes a business combination. The following events constitute events of default under the notes:</w:t>
      </w:r>
    </w:p>
    <w:p>
      <w:pPr>
        <w:spacing w:after="0" w:line="154" w:lineRule="exact"/>
        <w:rPr>
          <w:sz w:val="20"/>
          <w:szCs w:val="20"/>
          <w:color w:val="auto"/>
        </w:rPr>
      </w:pPr>
    </w:p>
    <w:p>
      <w:pPr>
        <w:ind w:left="1360" w:hanging="326"/>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make required payments;</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voluntary liquidation of M I; and</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involuntary bankruptcy of M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600" w:hanging="918"/>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10200" w:type="dxa"/>
            <w:vAlign w:val="bottom"/>
            <w:gridSpan w:val="5"/>
          </w:tcPr>
          <w:p>
            <w:pPr>
              <w:ind w:left="3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Promissory Note issued to Priority dated April 12, 2018.</w:t>
              </w:r>
            </w:hyperlink>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vMerge w:val="restart"/>
          </w:tcPr>
          <w:p>
            <w:pPr>
              <w:spacing w:after="0"/>
              <w:rPr>
                <w:sz w:val="20"/>
                <w:szCs w:val="20"/>
                <w:color w:val="auto"/>
              </w:rPr>
            </w:pPr>
          </w:p>
        </w:tc>
        <w:tc>
          <w:tcPr>
            <w:tcW w:w="2520" w:type="dxa"/>
            <w:vAlign w:val="bottom"/>
            <w:gridSpan w:val="2"/>
          </w:tcPr>
          <w:p>
            <w:pPr>
              <w:spacing w:after="0"/>
              <w:rPr>
                <w:sz w:val="20"/>
                <w:szCs w:val="20"/>
                <w:color w:val="auto"/>
              </w:rPr>
            </w:pPr>
          </w:p>
        </w:tc>
        <w:tc>
          <w:tcPr>
            <w:tcW w:w="73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FEFEFE"/>
          </w:tcPr>
          <w:p>
            <w:pPr>
              <w:spacing w:after="0" w:line="176" w:lineRule="exact"/>
              <w:rPr>
                <w:rFonts w:ascii="Arial" w:cs="Arial" w:eastAsia="Arial" w:hAnsi="Arial"/>
                <w:sz w:val="18"/>
                <w:szCs w:val="18"/>
                <w:color w:val="0000EE"/>
                <w:highlight w:val="white"/>
                <w:w w:val="79"/>
              </w:rPr>
            </w:pPr>
            <w:hyperlink w:anchor="page8">
              <w:r>
                <w:rPr>
                  <w:rFonts w:ascii="Arial" w:cs="Arial" w:eastAsia="Arial" w:hAnsi="Arial"/>
                  <w:sz w:val="18"/>
                  <w:szCs w:val="18"/>
                  <w:color w:val="0000EE"/>
                  <w:highlight w:val="white"/>
                  <w:w w:val="79"/>
                </w:rPr>
                <w:t>99.</w:t>
              </w:r>
              <w:r>
                <w:rPr>
                  <w:rFonts w:ascii="Arial" w:cs="Arial" w:eastAsia="Arial" w:hAnsi="Arial"/>
                  <w:sz w:val="18"/>
                  <w:szCs w:val="18"/>
                  <w:u w:val="single" w:color="auto"/>
                  <w:color w:val="0000EE"/>
                  <w:highlight w:val="white"/>
                  <w:w w:val="79"/>
                </w:rPr>
                <w:t>1</w:t>
              </w:r>
            </w:hyperlink>
          </w:p>
        </w:tc>
        <w:tc>
          <w:tcPr>
            <w:tcW w:w="20" w:type="dxa"/>
            <w:vAlign w:val="bottom"/>
            <w:tcBorders>
              <w:bottom w:val="single" w:sz="8" w:color="0000EE"/>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520" w:type="dxa"/>
            <w:vAlign w:val="bottom"/>
            <w:tcBorders>
              <w:bottom w:val="single" w:sz="8" w:color="0000EE"/>
            </w:tcBorders>
            <w:gridSpan w:val="2"/>
            <w:shd w:val="clear" w:color="auto" w:fill="FEFEFE"/>
          </w:tcPr>
          <w:p>
            <w:pPr>
              <w:spacing w:after="0" w:line="176" w:lineRule="exact"/>
              <w:rPr>
                <w:rFonts w:ascii="Arial" w:cs="Arial" w:eastAsia="Arial" w:hAnsi="Arial"/>
                <w:sz w:val="18"/>
                <w:szCs w:val="18"/>
                <w:color w:val="0000EE"/>
                <w:highlight w:val="white"/>
                <w:w w:val="88"/>
              </w:rPr>
            </w:pPr>
            <w:hyperlink w:anchor="page8">
              <w:r>
                <w:rPr>
                  <w:rFonts w:ascii="Arial" w:cs="Arial" w:eastAsia="Arial" w:hAnsi="Arial"/>
                  <w:sz w:val="18"/>
                  <w:szCs w:val="18"/>
                  <w:color w:val="0000EE"/>
                  <w:highlight w:val="white"/>
                  <w:w w:val="88"/>
                </w:rPr>
                <w:t>Press Release dated April 13, 2018</w:t>
              </w:r>
            </w:hyperlink>
          </w:p>
        </w:tc>
        <w:tc>
          <w:tcPr>
            <w:tcW w:w="7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2018</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M I ACQUISITIONS, INC.</w:t>
      </w:r>
    </w:p>
    <w:p>
      <w:pPr>
        <w:spacing w:after="0" w:line="200" w:lineRule="exact"/>
        <w:rPr>
          <w:sz w:val="20"/>
          <w:szCs w:val="20"/>
          <w:color w:val="auto"/>
        </w:rPr>
      </w:pP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-10160</wp:posOffset>
            </wp:positionV>
            <wp:extent cx="1384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Marc Manuel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 R O M I S S O R Y N O T E</w:t>
      </w:r>
    </w:p>
    <w:p>
      <w:pPr>
        <w:spacing w:after="0" w:line="84" w:lineRule="exact"/>
        <w:rPr>
          <w:sz w:val="20"/>
          <w:szCs w:val="20"/>
          <w:color w:val="auto"/>
        </w:rPr>
      </w:pPr>
    </w:p>
    <w:p>
      <w:pPr>
        <w:ind w:left="100"/>
        <w:spacing w:after="0"/>
        <w:tabs>
          <w:tab w:leader="none" w:pos="9260" w:val="left"/>
        </w:tabs>
        <w:rPr>
          <w:sz w:val="20"/>
          <w:szCs w:val="20"/>
          <w:color w:val="auto"/>
        </w:rPr>
      </w:pPr>
      <w:r>
        <w:rPr>
          <w:rFonts w:ascii="Arial" w:cs="Arial" w:eastAsia="Arial" w:hAnsi="Arial"/>
          <w:sz w:val="18"/>
          <w:szCs w:val="18"/>
          <w:color w:val="auto"/>
        </w:rPr>
        <w:t>Principal Amount: $132,752.73</w:t>
      </w:r>
      <w:r>
        <w:rPr>
          <w:sz w:val="20"/>
          <w:szCs w:val="20"/>
          <w:color w:val="auto"/>
        </w:rPr>
        <w:tab/>
      </w:r>
      <w:r>
        <w:rPr>
          <w:rFonts w:ascii="Arial" w:cs="Arial" w:eastAsia="Arial" w:hAnsi="Arial"/>
          <w:sz w:val="16"/>
          <w:szCs w:val="16"/>
          <w:color w:val="auto"/>
        </w:rPr>
        <w:t>Dated as of April 12</w:t>
      </w:r>
      <w:r>
        <w:rPr>
          <w:rFonts w:ascii="Arial" w:cs="Arial" w:eastAsia="Arial" w:hAnsi="Arial"/>
          <w:sz w:val="26"/>
          <w:szCs w:val="26"/>
          <w:color w:val="auto"/>
          <w:vertAlign w:val="superscript"/>
        </w:rPr>
        <w:t>th</w:t>
      </w:r>
      <w:r>
        <w:rPr>
          <w:rFonts w:ascii="Arial" w:cs="Arial" w:eastAsia="Arial" w:hAnsi="Arial"/>
          <w:sz w:val="16"/>
          <w:szCs w:val="16"/>
          <w:color w:val="auto"/>
        </w:rPr>
        <w:t>,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 I Acquisitions, Inc., a Delaware corporation (the “</w:t>
      </w:r>
      <w:r>
        <w:rPr>
          <w:rFonts w:ascii="Arial" w:cs="Arial" w:eastAsia="Arial" w:hAnsi="Arial"/>
          <w:sz w:val="17"/>
          <w:szCs w:val="17"/>
          <w:b w:val="1"/>
          <w:bCs w:val="1"/>
          <w:color w:val="auto"/>
        </w:rPr>
        <w:t>Maker</w:t>
      </w:r>
      <w:r>
        <w:rPr>
          <w:rFonts w:ascii="Arial" w:cs="Arial" w:eastAsia="Arial" w:hAnsi="Arial"/>
          <w:sz w:val="17"/>
          <w:szCs w:val="17"/>
          <w:color w:val="auto"/>
        </w:rPr>
        <w:t>”), promises to pay to the order of Priority Holdings, LLC or its registered assigns 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successors in interest (the “</w:t>
      </w:r>
      <w:r>
        <w:rPr>
          <w:rFonts w:ascii="Arial" w:cs="Arial" w:eastAsia="Arial" w:hAnsi="Arial"/>
          <w:sz w:val="16"/>
          <w:szCs w:val="16"/>
          <w:b w:val="1"/>
          <w:bCs w:val="1"/>
          <w:color w:val="auto"/>
        </w:rPr>
        <w:t>Payee</w:t>
      </w:r>
      <w:r>
        <w:rPr>
          <w:rFonts w:ascii="Arial" w:cs="Arial" w:eastAsia="Arial" w:hAnsi="Arial"/>
          <w:sz w:val="16"/>
          <w:szCs w:val="16"/>
          <w:color w:val="auto"/>
        </w:rPr>
        <w:t>”) the principal sum of One Hundred Thirty Two Thousand Seven Hundred Fifty Two Dollars and Seventy Three Cents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($132,752.73) in lawful money of the United States of America, on the terms and conditions described below. All payments on this Note shall be made by check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wire transfer of immediately available funds or as otherwise determined by the Maker to such account as the Payee may from time to time designate by written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 in accordance with the provisions of this Note.</w:t>
      </w:r>
    </w:p>
    <w:p>
      <w:pPr>
        <w:spacing w:after="0" w:line="207" w:lineRule="exact"/>
        <w:rPr>
          <w:sz w:val="20"/>
          <w:szCs w:val="20"/>
          <w:color w:val="auto"/>
        </w:rPr>
      </w:pPr>
    </w:p>
    <w:p>
      <w:pPr>
        <w:ind w:left="660" w:right="360" w:hanging="652"/>
        <w:spacing w:after="0" w:line="288" w:lineRule="auto"/>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1292" w:right="60" w:hanging="644"/>
        <w:spacing w:after="0" w:line="258" w:lineRule="auto"/>
        <w:tabs>
          <w:tab w:leader="none" w:pos="1292" w:val="left"/>
        </w:tabs>
        <w:numPr>
          <w:ilvl w:val="1"/>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6"/>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6"/>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 and</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6" w:name="page7"/>
    <w:bookmarkEnd w:id="6"/>
    <w:p>
      <w:pPr>
        <w:ind w:left="660" w:right="500" w:hanging="652"/>
        <w:spacing w:after="0" w:line="314" w:lineRule="auto"/>
        <w:tabs>
          <w:tab w:leader="none" w:pos="660" w:val="left"/>
        </w:tabs>
        <w:numPr>
          <w:ilvl w:val="0"/>
          <w:numId w:val="7"/>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200" w:lineRule="exact"/>
        <w:rPr>
          <w:sz w:val="20"/>
          <w:szCs w:val="20"/>
          <w:color w:val="auto"/>
        </w:rPr>
      </w:pPr>
    </w:p>
    <w:p>
      <w:pPr>
        <w:spacing w:after="0" w:line="227"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380" w:hanging="652"/>
        <w:spacing w:after="0" w:line="282" w:lineRule="auto"/>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40" w:hanging="652"/>
        <w:spacing w:after="0" w:line="266" w:lineRule="auto"/>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hanging="652"/>
        <w:spacing w:after="0" w:line="266" w:lineRule="auto"/>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8"/>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right="2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158" w:lineRule="exact"/>
        <w:rPr>
          <w:rFonts w:ascii="Arial" w:cs="Arial" w:eastAsia="Arial" w:hAnsi="Arial"/>
          <w:sz w:val="17"/>
          <w:szCs w:val="17"/>
          <w:color w:val="010000"/>
        </w:rPr>
      </w:pPr>
    </w:p>
    <w:p>
      <w:pPr>
        <w:ind w:left="660" w:hanging="652"/>
        <w:spacing w:after="0" w:line="282" w:lineRule="auto"/>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60" w:hanging="652"/>
        <w:spacing w:after="0" w:line="347" w:lineRule="auto"/>
        <w:tabs>
          <w:tab w:leader="none" w:pos="660" w:val="left"/>
        </w:tabs>
        <w:numPr>
          <w:ilvl w:val="0"/>
          <w:numId w:val="8"/>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right="100" w:hanging="652"/>
        <w:spacing w:after="0" w:line="386" w:lineRule="auto"/>
        <w:tabs>
          <w:tab w:leader="none" w:pos="660" w:val="left"/>
        </w:tabs>
        <w:numPr>
          <w:ilvl w:val="0"/>
          <w:numId w:val="8"/>
        </w:numPr>
        <w:rPr>
          <w:rFonts w:ascii="Arial" w:cs="Arial" w:eastAsia="Arial" w:hAnsi="Arial"/>
          <w:sz w:val="15"/>
          <w:szCs w:val="15"/>
          <w:color w:val="010000"/>
        </w:rPr>
      </w:pPr>
      <w:r>
        <w:rPr>
          <w:rFonts w:ascii="Arial" w:cs="Arial" w:eastAsia="Arial" w:hAnsi="Arial"/>
          <w:sz w:val="15"/>
          <w:szCs w:val="15"/>
          <w:b w:val="1"/>
          <w:bCs w:val="1"/>
          <w:color w:val="auto"/>
        </w:rPr>
        <w:t xml:space="preserve">Further Assurance. </w:t>
      </w:r>
      <w:r>
        <w:rPr>
          <w:rFonts w:ascii="Arial" w:cs="Arial" w:eastAsia="Arial" w:hAnsi="Arial"/>
          <w:sz w:val="15"/>
          <w:szCs w:val="15"/>
          <w:color w:val="auto"/>
        </w:rPr>
        <w:t>The Maker shall, at its own cost and expense, execute and do (or procure to be executed and done by any other necessary party) all</w:t>
      </w:r>
      <w:r>
        <w:rPr>
          <w:rFonts w:ascii="Arial" w:cs="Arial" w:eastAsia="Arial" w:hAnsi="Arial"/>
          <w:sz w:val="15"/>
          <w:szCs w:val="15"/>
          <w:b w:val="1"/>
          <w:bCs w:val="1"/>
          <w:color w:val="auto"/>
        </w:rPr>
        <w:t xml:space="preserve"> </w:t>
      </w:r>
      <w:r>
        <w:rPr>
          <w:rFonts w:ascii="Arial" w:cs="Arial" w:eastAsia="Arial" w:hAnsi="Arial"/>
          <w:sz w:val="15"/>
          <w:szCs w:val="15"/>
          <w:color w:val="auto"/>
        </w:rPr>
        <w:t>such deeds, documents, acts and things as the Payee may from time to time require as may be necessary to give full effect to this Promissory Note.</w:t>
      </w:r>
    </w:p>
    <w:p>
      <w:pPr>
        <w:spacing w:after="0" w:line="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38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 I ACQUISITIONS, INC.</w:t>
      </w:r>
    </w:p>
    <w:p>
      <w:pPr>
        <w:spacing w:after="0" w:line="200" w:lineRule="exact"/>
        <w:rPr>
          <w:sz w:val="20"/>
          <w:szCs w:val="20"/>
          <w:color w:val="auto"/>
        </w:rPr>
      </w:pPr>
    </w:p>
    <w:p>
      <w:pPr>
        <w:spacing w:after="0" w:line="241"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Manuel</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-130810</wp:posOffset>
            </wp:positionV>
            <wp:extent cx="4210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highlight w:val="whit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603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M I Acquisitions, Inc. Announces Additional Contribution to Trust Account to Extend Period to Consummate Business Combination</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highlight w:val="white"/>
        </w:rPr>
        <w:t xml:space="preserve">New York, NY, April 13, 2018 --- M I Acquisitions, Inc. (NASDAQ: MACQU, MACQ, MACQW) (“M I”), a Magna-sponsored special purpose acquisition </w:t>
      </w:r>
      <w:r>
        <w:rPr>
          <w:rFonts w:ascii="Arial" w:cs="Arial" w:eastAsia="Arial" w:hAnsi="Arial"/>
          <w:sz w:val="17"/>
          <w:szCs w:val="17"/>
          <w:color w:val="auto"/>
        </w:rPr>
        <w:t xml:space="preserve">company, announced today that Priority Holdings, LLC (“Priority”) has deposited into the M I trust account (the “Trust Account”) an aggregate of $132,752.73 (representing approximately $0.025 per share of common stock), in order to extend the period of time M I has to complete a business combination for an additional one (1) month period, from April 19, 2018 to May 19, 2018. M I issued a promissory note to Priority with a principal amount </w:t>
      </w:r>
      <w:r>
        <w:rPr>
          <w:rFonts w:ascii="Arial" w:cs="Arial" w:eastAsia="Arial" w:hAnsi="Arial"/>
          <w:sz w:val="17"/>
          <w:szCs w:val="17"/>
          <w:color w:val="auto"/>
          <w:highlight w:val="white"/>
        </w:rPr>
        <w:t>equal to the amount deposited. M I will have the option, but no obligation, to extend such term for an additional one (1) month period, until June 19, 2018, by depositing an additional $132,752.73 into the Trust Account. The purpose of the extension is to provide time for M I to complete its previously announced business combination with Priority, a leading provider of B2C and B2B payment processing solutions based in Alpharetta, 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 I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highlight w:val="white"/>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24662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Notice Regarding Forward-Looking Statements</w:t>
      </w:r>
    </w:p>
    <w:p>
      <w:pPr>
        <w:spacing w:after="0" w:line="12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This press release contains statements that constitute “forward-looking statements,” including the funding of the Trust Account to extend the period of time for M I to consummate a business combination. Forward-looking statements are subject to numerous conditions, many of which are beyond the control of the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Solicitation</w:t>
      </w:r>
    </w:p>
    <w:p>
      <w:pPr>
        <w:spacing w:after="0" w:line="13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3"/>
    </w:lvl>
  </w:abstractNum>
  <w:abstractNum w:abstractNumId="5">
    <w:nsid w:val="41B71EFB"/>
    <w:multiLevelType w:val="hybridMultilevel"/>
    <w:lvl w:ilvl="0">
      <w:lvlJc w:val="left"/>
      <w:lvlText w:val="%1."/>
      <w:numFmt w:val="decimal"/>
      <w:start w:val="5"/>
    </w:lvl>
    <w:lvl w:ilvl="1">
      <w:lvlJc w:val="left"/>
      <w:lvlText w:val="(%2)"/>
      <w:numFmt w:val="lowerLetter"/>
      <w:start w:val="1"/>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2020-01-15T00:52:36Z</dcterms:created>
  <dcterms:modified xsi:type="dcterms:W3CDTF">2020-01-15T00:52:36Z</dcterms:modified>
</cp:coreProperties>
</file>