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14"/>
          <w:szCs w:val="14"/>
          <w:color w:val="auto"/>
        </w:rPr>
        <w:t>As filed with the Securities and Exchange Commission on December 20, 2022</w:t>
      </w:r>
    </w:p>
    <w:p>
      <w:pPr>
        <w:spacing w:after="0" w:line="155" w:lineRule="exact"/>
        <w:rPr>
          <w:sz w:val="24"/>
          <w:szCs w:val="24"/>
          <w:color w:val="auto"/>
        </w:rPr>
      </w:pPr>
    </w:p>
    <w:p>
      <w:pPr>
        <w:jc w:val="right"/>
        <w:spacing w:after="0"/>
        <w:rPr>
          <w:sz w:val="20"/>
          <w:szCs w:val="20"/>
          <w:color w:val="auto"/>
        </w:rPr>
      </w:pPr>
      <w:r>
        <w:rPr>
          <w:rFonts w:ascii="Arial" w:cs="Arial" w:eastAsia="Arial" w:hAnsi="Arial"/>
          <w:sz w:val="14"/>
          <w:szCs w:val="14"/>
          <w:b w:val="1"/>
          <w:bCs w:val="1"/>
          <w:color w:val="auto"/>
        </w:rPr>
        <w:t>Registration No. 333-</w:t>
      </w:r>
    </w:p>
    <w:p>
      <w:pPr>
        <w:jc w:val="center"/>
        <w:spacing w:after="0" w:line="202" w:lineRule="auto"/>
        <w:rPr>
          <w:sz w:val="20"/>
          <w:szCs w:val="20"/>
          <w:color w:val="auto"/>
        </w:rPr>
      </w:pPr>
      <w:r>
        <w:rPr>
          <w:rFonts w:ascii="Arial" w:cs="Arial" w:eastAsia="Arial" w:hAnsi="Arial"/>
          <w:sz w:val="23"/>
          <w:szCs w:val="23"/>
          <w:b w:val="1"/>
          <w:bCs w:val="1"/>
          <w:color w:val="auto"/>
        </w:rPr>
        <w:t>UNITED STATES</w:t>
      </w:r>
    </w:p>
    <w:p>
      <w:pPr>
        <w:jc w:val="center"/>
        <w:spacing w:after="0" w:line="211" w:lineRule="auto"/>
        <w:rPr>
          <w:sz w:val="20"/>
          <w:szCs w:val="20"/>
          <w:color w:val="auto"/>
        </w:rPr>
      </w:pPr>
      <w:r>
        <w:rPr>
          <w:rFonts w:ascii="Arial" w:cs="Arial" w:eastAsia="Arial" w:hAnsi="Arial"/>
          <w:sz w:val="23"/>
          <w:szCs w:val="23"/>
          <w:b w:val="1"/>
          <w:bCs w:val="1"/>
          <w:color w:val="auto"/>
        </w:rPr>
        <w:t>SECURITIES AND EXCHANGE COMMISSION</w:t>
      </w:r>
    </w:p>
    <w:p>
      <w:pPr>
        <w:jc w:val="center"/>
        <w:spacing w:after="0"/>
        <w:rPr>
          <w:sz w:val="20"/>
          <w:szCs w:val="20"/>
          <w:color w:val="auto"/>
        </w:rPr>
      </w:pPr>
      <w:r>
        <w:rPr>
          <w:rFonts w:ascii="Arial" w:cs="Arial" w:eastAsia="Arial" w:hAnsi="Arial"/>
          <w:sz w:val="16"/>
          <w:szCs w:val="16"/>
          <w:b w:val="1"/>
          <w:bCs w:val="1"/>
          <w:color w:val="auto"/>
        </w:rPr>
        <w:t>Washington, D.C. 20549</w:t>
      </w:r>
    </w:p>
    <w:p>
      <w:pPr>
        <w:spacing w:after="0" w:line="13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S-8</w:t>
      </w:r>
    </w:p>
    <w:p>
      <w:pPr>
        <w:jc w:val="center"/>
        <w:spacing w:after="0" w:line="206" w:lineRule="auto"/>
        <w:rPr>
          <w:sz w:val="20"/>
          <w:szCs w:val="20"/>
          <w:color w:val="auto"/>
        </w:rPr>
      </w:pPr>
      <w:r>
        <w:rPr>
          <w:rFonts w:ascii="Arial" w:cs="Arial" w:eastAsia="Arial" w:hAnsi="Arial"/>
          <w:sz w:val="14"/>
          <w:szCs w:val="14"/>
          <w:b w:val="1"/>
          <w:bCs w:val="1"/>
          <w:color w:val="auto"/>
        </w:rPr>
        <w:t>REGISTRATION STATEMENT</w:t>
      </w:r>
    </w:p>
    <w:p>
      <w:pPr>
        <w:jc w:val="center"/>
        <w:spacing w:after="0" w:line="221" w:lineRule="auto"/>
        <w:rPr>
          <w:sz w:val="20"/>
          <w:szCs w:val="20"/>
          <w:color w:val="auto"/>
        </w:rPr>
      </w:pPr>
      <w:r>
        <w:rPr>
          <w:rFonts w:ascii="Arial" w:cs="Arial" w:eastAsia="Arial" w:hAnsi="Arial"/>
          <w:sz w:val="14"/>
          <w:szCs w:val="14"/>
          <w:b w:val="1"/>
          <w:bCs w:val="1"/>
          <w:color w:val="auto"/>
        </w:rPr>
        <w:t>UNDER</w:t>
      </w:r>
    </w:p>
    <w:p>
      <w:pPr>
        <w:jc w:val="center"/>
        <w:spacing w:after="0" w:line="198" w:lineRule="auto"/>
        <w:rPr>
          <w:sz w:val="20"/>
          <w:szCs w:val="20"/>
          <w:color w:val="auto"/>
        </w:rPr>
      </w:pPr>
      <w:r>
        <w:rPr>
          <w:rFonts w:ascii="Arial" w:cs="Arial" w:eastAsia="Arial" w:hAnsi="Arial"/>
          <w:sz w:val="14"/>
          <w:szCs w:val="14"/>
          <w:b w:val="1"/>
          <w:bCs w:val="1"/>
          <w:color w:val="auto"/>
        </w:rPr>
        <w:t>THE SECURITIES ACT OF 1933</w:t>
      </w:r>
    </w:p>
    <w:p>
      <w:pPr>
        <w:jc w:val="center"/>
        <w:spacing w:after="0" w:line="217" w:lineRule="auto"/>
        <w:rPr>
          <w:sz w:val="20"/>
          <w:szCs w:val="20"/>
          <w:color w:val="auto"/>
        </w:rPr>
      </w:pPr>
      <w:r>
        <w:rPr>
          <w:rFonts w:ascii="Arial" w:cs="Arial" w:eastAsia="Arial" w:hAnsi="Arial"/>
          <w:sz w:val="25"/>
          <w:szCs w:val="25"/>
          <w:b w:val="1"/>
          <w:bCs w:val="1"/>
          <w:color w:val="auto"/>
        </w:rPr>
        <w:t>PRIORITY TECHNOLOGY HOLDINGS, INC.</w:t>
      </w:r>
    </w:p>
    <w:p>
      <w:pPr>
        <w:jc w:val="center"/>
        <w:spacing w:after="0"/>
        <w:rPr>
          <w:sz w:val="20"/>
          <w:szCs w:val="20"/>
          <w:color w:val="auto"/>
        </w:rPr>
      </w:pPr>
      <w:r>
        <w:rPr>
          <w:rFonts w:ascii="Arial" w:cs="Arial" w:eastAsia="Arial" w:hAnsi="Arial"/>
          <w:sz w:val="14"/>
          <w:szCs w:val="14"/>
          <w:color w:val="auto"/>
        </w:rPr>
        <w:t>(Exact name of Registrant as specified in its charter)</w:t>
      </w:r>
    </w:p>
    <w:p>
      <w:pPr>
        <w:sectPr>
          <w:pgSz w:w="11900" w:h="16838" w:orient="portrait"/>
          <w:cols w:equalWidth="0" w:num="1">
            <w:col w:w="11280"/>
          </w:cols>
          <w:pgMar w:left="300" w:top="1222" w:right="319" w:bottom="1440" w:gutter="0" w:footer="0" w:header="0"/>
        </w:sectPr>
      </w:pPr>
    </w:p>
    <w:p>
      <w:pPr>
        <w:spacing w:after="0" w:line="194" w:lineRule="exact"/>
        <w:rPr>
          <w:sz w:val="24"/>
          <w:szCs w:val="24"/>
          <w:color w:val="auto"/>
        </w:rPr>
      </w:pPr>
    </w:p>
    <w:p>
      <w:pPr>
        <w:ind w:left="2480"/>
        <w:spacing w:after="0"/>
        <w:rPr>
          <w:sz w:val="20"/>
          <w:szCs w:val="20"/>
          <w:color w:val="auto"/>
        </w:rPr>
      </w:pPr>
      <w:r>
        <w:rPr>
          <w:rFonts w:ascii="Arial" w:cs="Arial" w:eastAsia="Arial" w:hAnsi="Arial"/>
          <w:sz w:val="12"/>
          <w:szCs w:val="12"/>
          <w:b w:val="1"/>
          <w:bCs w:val="1"/>
          <w:color w:val="auto"/>
        </w:rPr>
        <w:t>Delaware</w:t>
      </w:r>
    </w:p>
    <w:p>
      <w:pPr>
        <w:spacing w:after="0" w:line="20" w:lineRule="exact"/>
        <w:rPr>
          <w:sz w:val="24"/>
          <w:szCs w:val="24"/>
          <w:color w:val="auto"/>
        </w:rPr>
      </w:pPr>
      <w:r>
        <w:rPr>
          <w:sz w:val="24"/>
          <w:szCs w:val="24"/>
          <w:color w:val="auto"/>
        </w:rPr>
        <w:br w:type="column"/>
      </w:r>
    </w:p>
    <w:p>
      <w:pPr>
        <w:spacing w:after="0" w:line="174" w:lineRule="exact"/>
        <w:rPr>
          <w:sz w:val="24"/>
          <w:szCs w:val="24"/>
          <w:color w:val="auto"/>
        </w:rPr>
      </w:pPr>
    </w:p>
    <w:p>
      <w:pPr>
        <w:spacing w:after="0"/>
        <w:rPr>
          <w:sz w:val="20"/>
          <w:szCs w:val="20"/>
          <w:color w:val="auto"/>
        </w:rPr>
      </w:pPr>
      <w:r>
        <w:rPr>
          <w:rFonts w:ascii="Arial" w:cs="Arial" w:eastAsia="Arial" w:hAnsi="Arial"/>
          <w:sz w:val="12"/>
          <w:szCs w:val="12"/>
          <w:b w:val="1"/>
          <w:bCs w:val="1"/>
          <w:color w:val="auto"/>
        </w:rPr>
        <w:t>47-4257046</w:t>
      </w:r>
    </w:p>
    <w:p>
      <w:pPr>
        <w:spacing w:after="0" w:line="46" w:lineRule="exact"/>
        <w:rPr>
          <w:sz w:val="24"/>
          <w:szCs w:val="24"/>
          <w:color w:val="auto"/>
        </w:rPr>
      </w:pPr>
    </w:p>
    <w:p>
      <w:pPr>
        <w:sectPr>
          <w:pgSz w:w="11900" w:h="16838" w:orient="portrait"/>
          <w:cols w:equalWidth="0" w:num="2">
            <w:col w:w="7460" w:space="720"/>
            <w:col w:w="3100"/>
          </w:cols>
          <w:pgMar w:left="300" w:top="1222" w:right="319" w:bottom="1440" w:gutter="0" w:footer="0" w:header="0"/>
          <w:type w:val="continuous"/>
        </w:sectPr>
      </w:pPr>
    </w:p>
    <w:p>
      <w:pPr>
        <w:ind w:left="1940"/>
        <w:spacing w:after="0"/>
        <w:rPr>
          <w:sz w:val="20"/>
          <w:szCs w:val="20"/>
          <w:color w:val="auto"/>
        </w:rPr>
      </w:pPr>
      <w:r>
        <w:rPr>
          <w:rFonts w:ascii="Arial" w:cs="Arial" w:eastAsia="Arial" w:hAnsi="Arial"/>
          <w:sz w:val="13"/>
          <w:szCs w:val="13"/>
          <w:color w:val="auto"/>
        </w:rPr>
        <w:t>(State or other jurisdiction of</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(I.R.S. Employer</w:t>
      </w:r>
    </w:p>
    <w:p>
      <w:pPr>
        <w:spacing w:after="0" w:line="30" w:lineRule="exact"/>
        <w:rPr>
          <w:sz w:val="24"/>
          <w:szCs w:val="24"/>
          <w:color w:val="auto"/>
        </w:rPr>
      </w:pPr>
    </w:p>
    <w:p>
      <w:pPr>
        <w:sectPr>
          <w:pgSz w:w="11900" w:h="16838" w:orient="portrait"/>
          <w:cols w:equalWidth="0" w:num="2">
            <w:col w:w="7320" w:space="720"/>
            <w:col w:w="3240"/>
          </w:cols>
          <w:pgMar w:left="300" w:top="1222" w:right="319" w:bottom="1440" w:gutter="0" w:footer="0" w:header="0"/>
          <w:type w:val="continuous"/>
        </w:sectPr>
      </w:pPr>
    </w:p>
    <w:p>
      <w:pPr>
        <w:ind w:left="1920"/>
        <w:spacing w:after="0"/>
        <w:rPr>
          <w:sz w:val="20"/>
          <w:szCs w:val="20"/>
          <w:color w:val="auto"/>
        </w:rPr>
      </w:pPr>
      <w:r>
        <w:rPr>
          <w:rFonts w:ascii="Arial" w:cs="Arial" w:eastAsia="Arial" w:hAnsi="Arial"/>
          <w:sz w:val="13"/>
          <w:szCs w:val="13"/>
          <w:color w:val="auto"/>
        </w:rPr>
        <w:t>incorporation or organization)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Identification No.)</w:t>
      </w:r>
    </w:p>
    <w:p>
      <w:pPr>
        <w:spacing w:after="0" w:line="200" w:lineRule="exact"/>
        <w:rPr>
          <w:sz w:val="24"/>
          <w:szCs w:val="24"/>
          <w:color w:val="auto"/>
        </w:rPr>
      </w:pPr>
    </w:p>
    <w:p>
      <w:pPr>
        <w:sectPr>
          <w:pgSz w:w="11900" w:h="16838" w:orient="portrait"/>
          <w:cols w:equalWidth="0" w:num="2">
            <w:col w:w="7280" w:space="720"/>
            <w:col w:w="3280"/>
          </w:cols>
          <w:pgMar w:left="300" w:top="1222" w:right="319" w:bottom="1440" w:gutter="0" w:footer="0" w:header="0"/>
          <w:type w:val="continuous"/>
        </w:sectPr>
      </w:pPr>
    </w:p>
    <w:p>
      <w:pPr>
        <w:spacing w:after="0" w:line="40" w:lineRule="exact"/>
        <w:rPr>
          <w:sz w:val="24"/>
          <w:szCs w:val="24"/>
          <w:color w:val="auto"/>
        </w:rPr>
      </w:pPr>
    </w:p>
    <w:p>
      <w:pPr>
        <w:jc w:val="center"/>
        <w:ind w:right="-19"/>
        <w:spacing w:after="0"/>
        <w:rPr>
          <w:sz w:val="20"/>
          <w:szCs w:val="20"/>
          <w:color w:val="auto"/>
        </w:rPr>
      </w:pPr>
      <w:r>
        <w:rPr>
          <w:rFonts w:ascii="Arial" w:cs="Arial" w:eastAsia="Arial" w:hAnsi="Arial"/>
          <w:sz w:val="12"/>
          <w:szCs w:val="12"/>
          <w:b w:val="1"/>
          <w:bCs w:val="1"/>
          <w:color w:val="auto"/>
        </w:rPr>
        <w:t>2001 Westside Parkway Suite 155, Alpharetta, GA 30004</w:t>
      </w:r>
    </w:p>
    <w:p>
      <w:pPr>
        <w:spacing w:after="0" w:line="16" w:lineRule="exact"/>
        <w:rPr>
          <w:sz w:val="24"/>
          <w:szCs w:val="24"/>
          <w:color w:val="auto"/>
        </w:rPr>
      </w:pPr>
    </w:p>
    <w:p>
      <w:pPr>
        <w:jc w:val="center"/>
        <w:ind w:right="-19"/>
        <w:spacing w:after="0"/>
        <w:rPr>
          <w:sz w:val="20"/>
          <w:szCs w:val="20"/>
          <w:color w:val="auto"/>
        </w:rPr>
      </w:pPr>
      <w:r>
        <w:rPr>
          <w:rFonts w:ascii="Arial" w:cs="Arial" w:eastAsia="Arial" w:hAnsi="Arial"/>
          <w:sz w:val="14"/>
          <w:szCs w:val="14"/>
          <w:color w:val="auto"/>
        </w:rPr>
        <w:t>(Address of Principal Executive Offices) (Zip Code)</w:t>
      </w:r>
    </w:p>
    <w:p>
      <w:pPr>
        <w:sectPr>
          <w:pgSz w:w="11900" w:h="16838" w:orient="portrait"/>
          <w:cols w:equalWidth="0" w:num="1">
            <w:col w:w="11280"/>
          </w:cols>
          <w:pgMar w:left="300" w:top="1222" w:right="319" w:bottom="1440" w:gutter="0" w:footer="0" w:header="0"/>
          <w:type w:val="continuous"/>
        </w:sectPr>
      </w:pP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Priority Technology Holdings, Inc. 2021 Employee Stock Purchase Plan</w:t>
      </w:r>
    </w:p>
    <w:p>
      <w:pPr>
        <w:jc w:val="center"/>
        <w:ind w:right="-19"/>
        <w:spacing w:after="0"/>
        <w:rPr>
          <w:sz w:val="20"/>
          <w:szCs w:val="20"/>
          <w:color w:val="auto"/>
        </w:rPr>
      </w:pPr>
      <w:r>
        <w:rPr>
          <w:rFonts w:ascii="Arial" w:cs="Arial" w:eastAsia="Arial" w:hAnsi="Arial"/>
          <w:sz w:val="14"/>
          <w:szCs w:val="14"/>
          <w:color w:val="auto"/>
        </w:rPr>
        <w:t>(Full title of the plan)</w:t>
      </w:r>
    </w:p>
    <w:p>
      <w:pPr>
        <w:spacing w:after="0" w:line="343" w:lineRule="exact"/>
        <w:rPr>
          <w:sz w:val="24"/>
          <w:szCs w:val="24"/>
          <w:color w:val="auto"/>
        </w:rPr>
      </w:pPr>
    </w:p>
    <w:p>
      <w:pPr>
        <w:ind w:left="5200"/>
        <w:spacing w:after="0"/>
        <w:rPr>
          <w:sz w:val="20"/>
          <w:szCs w:val="20"/>
          <w:color w:val="auto"/>
        </w:rPr>
      </w:pPr>
      <w:r>
        <w:rPr>
          <w:rFonts w:ascii="Arial" w:cs="Arial" w:eastAsia="Arial" w:hAnsi="Arial"/>
          <w:sz w:val="14"/>
          <w:szCs w:val="14"/>
          <w:b w:val="1"/>
          <w:bCs w:val="1"/>
          <w:color w:val="auto"/>
        </w:rPr>
        <w:t>Bradley Miller</w:t>
      </w:r>
    </w:p>
    <w:p>
      <w:pPr>
        <w:ind w:left="3780"/>
        <w:spacing w:after="0" w:line="210" w:lineRule="auto"/>
        <w:rPr>
          <w:sz w:val="20"/>
          <w:szCs w:val="20"/>
          <w:color w:val="auto"/>
        </w:rPr>
      </w:pPr>
      <w:r>
        <w:rPr>
          <w:rFonts w:ascii="Arial" w:cs="Arial" w:eastAsia="Arial" w:hAnsi="Arial"/>
          <w:sz w:val="14"/>
          <w:szCs w:val="14"/>
          <w:b w:val="1"/>
          <w:bCs w:val="1"/>
          <w:color w:val="auto"/>
        </w:rPr>
        <w:t>General Counsel, Chief Risk Officer and Corporate Secretary</w:t>
      </w:r>
    </w:p>
    <w:p>
      <w:pPr>
        <w:jc w:val="center"/>
        <w:ind w:right="-19"/>
        <w:spacing w:after="0" w:line="206" w:lineRule="auto"/>
        <w:rPr>
          <w:sz w:val="20"/>
          <w:szCs w:val="20"/>
          <w:color w:val="auto"/>
        </w:rPr>
      </w:pPr>
      <w:r>
        <w:rPr>
          <w:rFonts w:ascii="Arial" w:cs="Arial" w:eastAsia="Arial" w:hAnsi="Arial"/>
          <w:sz w:val="14"/>
          <w:szCs w:val="14"/>
          <w:b w:val="1"/>
          <w:bCs w:val="1"/>
          <w:color w:val="auto"/>
        </w:rPr>
        <w:t>Priority Technology Holdings, Inc.</w:t>
      </w:r>
    </w:p>
    <w:p>
      <w:pPr>
        <w:jc w:val="center"/>
        <w:ind w:right="-19"/>
        <w:spacing w:after="0" w:line="221" w:lineRule="auto"/>
        <w:rPr>
          <w:sz w:val="20"/>
          <w:szCs w:val="20"/>
          <w:color w:val="auto"/>
        </w:rPr>
      </w:pPr>
      <w:r>
        <w:rPr>
          <w:rFonts w:ascii="Arial" w:cs="Arial" w:eastAsia="Arial" w:hAnsi="Arial"/>
          <w:sz w:val="14"/>
          <w:szCs w:val="14"/>
          <w:b w:val="1"/>
          <w:bCs w:val="1"/>
          <w:color w:val="auto"/>
        </w:rPr>
        <w:t>2001 Westside Parkway</w:t>
      </w:r>
    </w:p>
    <w:p>
      <w:pPr>
        <w:jc w:val="center"/>
        <w:ind w:right="-19"/>
        <w:spacing w:after="0" w:line="206" w:lineRule="auto"/>
        <w:rPr>
          <w:sz w:val="20"/>
          <w:szCs w:val="20"/>
          <w:color w:val="auto"/>
        </w:rPr>
      </w:pPr>
      <w:r>
        <w:rPr>
          <w:rFonts w:ascii="Arial" w:cs="Arial" w:eastAsia="Arial" w:hAnsi="Arial"/>
          <w:sz w:val="14"/>
          <w:szCs w:val="14"/>
          <w:b w:val="1"/>
          <w:bCs w:val="1"/>
          <w:color w:val="auto"/>
        </w:rPr>
        <w:t>Suite 155</w:t>
      </w:r>
    </w:p>
    <w:p>
      <w:pPr>
        <w:jc w:val="center"/>
        <w:ind w:right="-19"/>
        <w:spacing w:after="0" w:line="206" w:lineRule="auto"/>
        <w:rPr>
          <w:sz w:val="20"/>
          <w:szCs w:val="20"/>
          <w:color w:val="auto"/>
        </w:rPr>
      </w:pPr>
      <w:r>
        <w:rPr>
          <w:rFonts w:ascii="Arial" w:cs="Arial" w:eastAsia="Arial" w:hAnsi="Arial"/>
          <w:sz w:val="14"/>
          <w:szCs w:val="14"/>
          <w:b w:val="1"/>
          <w:bCs w:val="1"/>
          <w:color w:val="auto"/>
        </w:rPr>
        <w:t>Alpharetta, GA 30004</w:t>
      </w:r>
    </w:p>
    <w:p>
      <w:pPr>
        <w:jc w:val="center"/>
        <w:ind w:right="-19"/>
        <w:spacing w:after="0" w:line="221" w:lineRule="auto"/>
        <w:rPr>
          <w:sz w:val="20"/>
          <w:szCs w:val="20"/>
          <w:color w:val="auto"/>
        </w:rPr>
      </w:pPr>
      <w:r>
        <w:rPr>
          <w:rFonts w:ascii="Arial" w:cs="Arial" w:eastAsia="Arial" w:hAnsi="Arial"/>
          <w:sz w:val="14"/>
          <w:szCs w:val="14"/>
          <w:b w:val="1"/>
          <w:bCs w:val="1"/>
          <w:color w:val="auto"/>
        </w:rPr>
        <w:t>(800) 935-5961</w:t>
      </w:r>
    </w:p>
    <w:p>
      <w:pPr>
        <w:jc w:val="center"/>
        <w:ind w:right="-19"/>
        <w:spacing w:after="0" w:line="206" w:lineRule="auto"/>
        <w:rPr>
          <w:sz w:val="20"/>
          <w:szCs w:val="20"/>
          <w:color w:val="auto"/>
        </w:rPr>
      </w:pPr>
      <w:r>
        <w:rPr>
          <w:rFonts w:ascii="Arial" w:cs="Arial" w:eastAsia="Arial" w:hAnsi="Arial"/>
          <w:sz w:val="14"/>
          <w:szCs w:val="14"/>
          <w:color w:val="auto"/>
        </w:rPr>
        <w:t>(Name and address of agent for service)</w:t>
      </w:r>
    </w:p>
    <w:p>
      <w:pPr>
        <w:jc w:val="center"/>
        <w:ind w:right="-19"/>
        <w:spacing w:after="0"/>
        <w:rPr>
          <w:sz w:val="20"/>
          <w:szCs w:val="20"/>
          <w:color w:val="auto"/>
        </w:rPr>
      </w:pPr>
      <w:r>
        <w:rPr>
          <w:rFonts w:ascii="Arial" w:cs="Arial" w:eastAsia="Arial" w:hAnsi="Arial"/>
          <w:sz w:val="14"/>
          <w:szCs w:val="14"/>
          <w:color w:val="auto"/>
        </w:rPr>
        <w:t>(Telephone number, including area code, of agent for service)</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i w:val="1"/>
          <w:iCs w:val="1"/>
          <w:color w:val="auto"/>
        </w:rPr>
        <w:t>Copy to:</w:t>
      </w:r>
    </w:p>
    <w:p>
      <w:pPr>
        <w:jc w:val="center"/>
        <w:ind w:right="-19"/>
        <w:spacing w:after="0" w:line="205" w:lineRule="auto"/>
        <w:rPr>
          <w:sz w:val="20"/>
          <w:szCs w:val="20"/>
          <w:color w:val="auto"/>
        </w:rPr>
      </w:pPr>
      <w:r>
        <w:rPr>
          <w:rFonts w:ascii="Arial" w:cs="Arial" w:eastAsia="Arial" w:hAnsi="Arial"/>
          <w:sz w:val="14"/>
          <w:szCs w:val="14"/>
          <w:b w:val="1"/>
          <w:bCs w:val="1"/>
          <w:color w:val="auto"/>
        </w:rPr>
        <w:t>James Stevens</w:t>
      </w:r>
    </w:p>
    <w:p>
      <w:pPr>
        <w:jc w:val="center"/>
        <w:ind w:right="-19"/>
        <w:spacing w:after="0" w:line="206" w:lineRule="auto"/>
        <w:rPr>
          <w:sz w:val="20"/>
          <w:szCs w:val="20"/>
          <w:color w:val="auto"/>
        </w:rPr>
      </w:pPr>
      <w:r>
        <w:rPr>
          <w:rFonts w:ascii="Arial" w:cs="Arial" w:eastAsia="Arial" w:hAnsi="Arial"/>
          <w:sz w:val="14"/>
          <w:szCs w:val="14"/>
          <w:b w:val="1"/>
          <w:bCs w:val="1"/>
          <w:color w:val="auto"/>
        </w:rPr>
        <w:t>Troutman Pepper Hamilton Sanders LLP</w:t>
      </w:r>
    </w:p>
    <w:p>
      <w:pPr>
        <w:jc w:val="center"/>
        <w:ind w:right="-19"/>
        <w:spacing w:after="0" w:line="221" w:lineRule="auto"/>
        <w:rPr>
          <w:sz w:val="20"/>
          <w:szCs w:val="20"/>
          <w:color w:val="auto"/>
        </w:rPr>
      </w:pPr>
      <w:r>
        <w:rPr>
          <w:rFonts w:ascii="Arial" w:cs="Arial" w:eastAsia="Arial" w:hAnsi="Arial"/>
          <w:sz w:val="14"/>
          <w:szCs w:val="14"/>
          <w:b w:val="1"/>
          <w:bCs w:val="1"/>
          <w:color w:val="auto"/>
        </w:rPr>
        <w:t>600 Peachtree Street, NE</w:t>
      </w:r>
    </w:p>
    <w:p>
      <w:pPr>
        <w:jc w:val="center"/>
        <w:ind w:right="-19"/>
        <w:spacing w:after="0" w:line="206" w:lineRule="auto"/>
        <w:rPr>
          <w:sz w:val="20"/>
          <w:szCs w:val="20"/>
          <w:color w:val="auto"/>
        </w:rPr>
      </w:pPr>
      <w:r>
        <w:rPr>
          <w:rFonts w:ascii="Arial" w:cs="Arial" w:eastAsia="Arial" w:hAnsi="Arial"/>
          <w:sz w:val="14"/>
          <w:szCs w:val="14"/>
          <w:b w:val="1"/>
          <w:bCs w:val="1"/>
          <w:color w:val="auto"/>
        </w:rPr>
        <w:t>Suite 3000</w:t>
      </w:r>
    </w:p>
    <w:p>
      <w:pPr>
        <w:jc w:val="center"/>
        <w:ind w:right="-19"/>
        <w:spacing w:after="0" w:line="205" w:lineRule="auto"/>
        <w:rPr>
          <w:sz w:val="20"/>
          <w:szCs w:val="20"/>
          <w:color w:val="auto"/>
        </w:rPr>
      </w:pPr>
      <w:r>
        <w:rPr>
          <w:rFonts w:ascii="Arial" w:cs="Arial" w:eastAsia="Arial" w:hAnsi="Arial"/>
          <w:sz w:val="14"/>
          <w:szCs w:val="14"/>
          <w:b w:val="1"/>
          <w:bCs w:val="1"/>
          <w:color w:val="auto"/>
        </w:rPr>
        <w:t>Atlanta, Georgia 30308</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14"/>
          <w:szCs w:val="14"/>
          <w:b w:val="1"/>
          <w:bCs w:val="1"/>
          <w:color w:val="auto"/>
        </w:rPr>
        <w:t>(404) 885-3000</w:t>
      </w:r>
    </w:p>
    <w:p>
      <w:pPr>
        <w:spacing w:after="0" w:line="167"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80"/>
          </w:cols>
          <w:pgMar w:left="300" w:top="1222" w:right="319" w:bottom="1440" w:gutter="0" w:footer="0" w:header="0"/>
          <w:type w:val="continuous"/>
        </w:sectPr>
      </w:pPr>
    </w:p>
    <w:p>
      <w:pPr>
        <w:spacing w:after="0" w:line="204" w:lineRule="exact"/>
        <w:rPr>
          <w:sz w:val="24"/>
          <w:szCs w:val="24"/>
          <w:color w:val="auto"/>
        </w:rPr>
      </w:pPr>
    </w:p>
    <w:p>
      <w:pPr>
        <w:ind w:left="1740"/>
        <w:spacing w:after="0" w:line="127" w:lineRule="exact"/>
        <w:rPr>
          <w:sz w:val="20"/>
          <w:szCs w:val="20"/>
          <w:color w:val="auto"/>
        </w:rPr>
      </w:pPr>
      <w:r>
        <w:rPr>
          <w:rFonts w:ascii="Arial" w:cs="Arial" w:eastAsia="Arial" w:hAnsi="Arial"/>
          <w:sz w:val="11"/>
          <w:szCs w:val="11"/>
          <w:color w:val="auto"/>
        </w:rPr>
        <w:t xml:space="preserve">Large accelerated filer </w:t>
      </w:r>
      <w:r>
        <w:rPr>
          <w:rFonts w:ascii="MS PGothic" w:cs="MS PGothic" w:eastAsia="MS PGothic" w:hAnsi="MS PGothic"/>
          <w:sz w:val="11"/>
          <w:szCs w:val="11"/>
          <w:color w:val="auto"/>
        </w:rPr>
        <w:t>☐</w:t>
      </w:r>
    </w:p>
    <w:p>
      <w:pPr>
        <w:spacing w:after="0" w:line="74" w:lineRule="exact"/>
        <w:rPr>
          <w:sz w:val="24"/>
          <w:szCs w:val="24"/>
          <w:color w:val="auto"/>
        </w:rPr>
      </w:pPr>
    </w:p>
    <w:p>
      <w:pPr>
        <w:ind w:left="940"/>
        <w:spacing w:after="0" w:line="150" w:lineRule="exact"/>
        <w:rPr>
          <w:sz w:val="20"/>
          <w:szCs w:val="20"/>
          <w:color w:val="auto"/>
        </w:rPr>
      </w:pPr>
      <w:r>
        <w:rPr>
          <w:rFonts w:ascii="Arial" w:cs="Arial" w:eastAsia="Arial" w:hAnsi="Arial"/>
          <w:sz w:val="13"/>
          <w:szCs w:val="13"/>
          <w:color w:val="auto"/>
        </w:rPr>
        <w:t xml:space="preserve">Non-accelerated filer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spacing w:after="0" w:line="150" w:lineRule="exact"/>
        <w:rPr>
          <w:sz w:val="20"/>
          <w:szCs w:val="20"/>
          <w:color w:val="auto"/>
        </w:rPr>
      </w:pPr>
      <w:r>
        <w:rPr>
          <w:rFonts w:ascii="Arial" w:cs="Arial" w:eastAsia="Arial" w:hAnsi="Arial"/>
          <w:sz w:val="13"/>
          <w:szCs w:val="13"/>
          <w:color w:val="auto"/>
        </w:rPr>
        <w:t xml:space="preserve">Accelerated filer </w:t>
      </w:r>
      <w:r>
        <w:rPr>
          <w:rFonts w:ascii="MS PGothic" w:cs="MS PGothic" w:eastAsia="MS PGothic" w:hAnsi="MS PGothic"/>
          <w:sz w:val="13"/>
          <w:szCs w:val="13"/>
          <w:color w:val="auto"/>
        </w:rPr>
        <w:t>☐</w:t>
      </w:r>
    </w:p>
    <w:p>
      <w:pPr>
        <w:spacing w:after="0" w:line="51"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Smaller reporting company </w:t>
      </w:r>
      <w:r>
        <w:rPr>
          <w:rFonts w:ascii="MS PGothic" w:cs="MS PGothic" w:eastAsia="MS PGothic" w:hAnsi="MS PGothic"/>
          <w:sz w:val="11"/>
          <w:szCs w:val="11"/>
          <w:color w:val="auto"/>
        </w:rPr>
        <w:t>☒</w:t>
      </w:r>
    </w:p>
    <w:p>
      <w:pPr>
        <w:spacing w:after="0" w:line="43" w:lineRule="exact"/>
        <w:rPr>
          <w:sz w:val="24"/>
          <w:szCs w:val="24"/>
          <w:color w:val="auto"/>
        </w:rPr>
      </w:pPr>
    </w:p>
    <w:p>
      <w:pPr>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00" w:lineRule="exact"/>
        <w:rPr>
          <w:sz w:val="24"/>
          <w:szCs w:val="24"/>
          <w:color w:val="auto"/>
        </w:rPr>
      </w:pPr>
    </w:p>
    <w:p>
      <w:pPr>
        <w:sectPr>
          <w:pgSz w:w="11900" w:h="16838" w:orient="portrait"/>
          <w:cols w:equalWidth="0" w:num="2">
            <w:col w:w="5480" w:space="720"/>
            <w:col w:w="5080"/>
          </w:cols>
          <w:pgMar w:left="300" w:top="1222" w:right="319" w:bottom="1440" w:gutter="0" w:footer="0" w:header="0"/>
          <w:type w:val="continuous"/>
        </w:sectPr>
      </w:pPr>
    </w:p>
    <w:p>
      <w:pPr>
        <w:spacing w:after="0" w:line="78" w:lineRule="exact"/>
        <w:rPr>
          <w:sz w:val="24"/>
          <w:szCs w:val="24"/>
          <w:color w:val="auto"/>
        </w:rPr>
      </w:pPr>
    </w:p>
    <w:p>
      <w:pPr>
        <w:spacing w:after="0" w:line="236" w:lineRule="auto"/>
        <w:rPr>
          <w:sz w:val="20"/>
          <w:szCs w:val="20"/>
          <w:color w:val="auto"/>
        </w:rPr>
      </w:pPr>
      <w:r>
        <w:rPr>
          <w:rFonts w:ascii="Arial" w:cs="Arial" w:eastAsia="Arial" w:hAnsi="Arial"/>
          <w:sz w:val="14"/>
          <w:szCs w:val="14"/>
          <w:color w:val="auto"/>
        </w:rPr>
        <w:t>If an emerging growth company, indicate by check mark if the Registrant has elected not to use the extended transition period for complying with any new or revised financial accounting standards provided pursuant to Section 7(a)(2)(B) of the Securities Act. [ ]</w:t>
      </w:r>
    </w:p>
    <w:p>
      <w:pPr>
        <w:sectPr>
          <w:pgSz w:w="11900" w:h="16838" w:orient="portrait"/>
          <w:cols w:equalWidth="0" w:num="1">
            <w:col w:w="11280"/>
          </w:cols>
          <w:pgMar w:left="300" w:top="1222" w:right="31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6"/>
          <w:szCs w:val="16"/>
          <w:b w:val="1"/>
          <w:bCs w:val="1"/>
          <w:color w:val="auto"/>
        </w:rPr>
        <w:t>EXPLANATORY NOTE</w:t>
      </w:r>
    </w:p>
    <w:p>
      <w:pPr>
        <w:spacing w:after="0" w:line="257" w:lineRule="exact"/>
        <w:rPr>
          <w:sz w:val="20"/>
          <w:szCs w:val="20"/>
          <w:color w:val="auto"/>
        </w:rPr>
      </w:pPr>
    </w:p>
    <w:p>
      <w:pPr>
        <w:spacing w:after="0" w:line="238" w:lineRule="auto"/>
        <w:rPr>
          <w:sz w:val="20"/>
          <w:szCs w:val="20"/>
          <w:color w:val="auto"/>
        </w:rPr>
      </w:pPr>
      <w:r>
        <w:rPr>
          <w:rFonts w:ascii="Arial" w:cs="Arial" w:eastAsia="Arial" w:hAnsi="Arial"/>
          <w:sz w:val="14"/>
          <w:szCs w:val="14"/>
          <w:color w:val="auto"/>
        </w:rPr>
        <w:t>On April 1, 2022, Priority Technology Holdings, Inc. (the “Registrant”) filed a Registration Statement on Form S-8 (File No. 333-264064) (the “Prior Registration Statement”) with the Securities and Exchange Commission (the “Commission”) to register 20,000 shares of its common stock, par value $0.001 per share (“Common Stock”) reserved for future</w:t>
      </w:r>
    </w:p>
    <w:p>
      <w:pPr>
        <w:spacing w:after="0" w:line="237" w:lineRule="auto"/>
        <w:rPr>
          <w:sz w:val="20"/>
          <w:szCs w:val="20"/>
          <w:color w:val="auto"/>
        </w:rPr>
      </w:pPr>
      <w:r>
        <w:rPr>
          <w:rFonts w:ascii="Arial" w:cs="Arial" w:eastAsia="Arial" w:hAnsi="Arial"/>
          <w:sz w:val="14"/>
          <w:szCs w:val="14"/>
          <w:color w:val="auto"/>
        </w:rPr>
        <w:t>grants of awards under the Registrant’s 2021 Employee Stock Purchase Plan (the “2021 Employee Stock Purchase Plan”). This Registration Statement registers 180,000 additional</w:t>
      </w:r>
    </w:p>
    <w:p>
      <w:pPr>
        <w:spacing w:after="0" w:line="1" w:lineRule="exact"/>
        <w:rPr>
          <w:sz w:val="20"/>
          <w:szCs w:val="20"/>
          <w:color w:val="auto"/>
        </w:rPr>
      </w:pPr>
    </w:p>
    <w:p>
      <w:pPr>
        <w:spacing w:after="0" w:line="229" w:lineRule="auto"/>
        <w:rPr>
          <w:sz w:val="20"/>
          <w:szCs w:val="20"/>
          <w:color w:val="auto"/>
        </w:rPr>
      </w:pPr>
      <w:r>
        <w:rPr>
          <w:rFonts w:ascii="Arial" w:cs="Arial" w:eastAsia="Arial" w:hAnsi="Arial"/>
          <w:sz w:val="14"/>
          <w:szCs w:val="14"/>
          <w:color w:val="auto"/>
        </w:rPr>
        <w:t>shares of Common Stock in connection with the amendment of the 2021 Employee Stock Purchase Plan, which was approved by the Registrant’s shareholders on May 25, 2022. Accordingly, and pursuant to General Instruction E to Form S-8, the contents of the Prior Registration Statement are incorporated by reference herein, including the periodic reports</w:t>
      </w:r>
    </w:p>
    <w:p>
      <w:pPr>
        <w:spacing w:after="0"/>
        <w:rPr>
          <w:sz w:val="20"/>
          <w:szCs w:val="20"/>
          <w:color w:val="auto"/>
        </w:rPr>
      </w:pPr>
      <w:r>
        <w:rPr>
          <w:rFonts w:ascii="Arial" w:cs="Arial" w:eastAsia="Arial" w:hAnsi="Arial"/>
          <w:sz w:val="16"/>
          <w:szCs w:val="16"/>
          <w:color w:val="auto"/>
        </w:rPr>
        <w:t>that the Registrant filed after the Prior Registration Statement to maintain current information about the Registrant</w:t>
      </w:r>
      <w:r>
        <w:rPr>
          <w:rFonts w:ascii="Arial" w:cs="Arial" w:eastAsia="Arial" w:hAnsi="Arial"/>
          <w:sz w:val="14"/>
          <w:szCs w:val="14"/>
          <w:color w:val="auto"/>
        </w:rPr>
        <w:t>.</w:t>
      </w:r>
    </w:p>
    <w:p>
      <w:pPr>
        <w:sectPr>
          <w:pgSz w:w="11900" w:h="16838" w:orient="portrait"/>
          <w:cols w:equalWidth="0" w:num="1">
            <w:col w:w="11280"/>
          </w:cols>
          <w:pgMar w:left="300" w:top="1214" w:right="319" w:bottom="1440" w:gutter="0" w:footer="0" w:header="0"/>
        </w:sectPr>
      </w:pPr>
    </w:p>
    <w:bookmarkStart w:id="2" w:name="page3"/>
    <w:bookmarkEnd w:id="2"/>
    <w:p>
      <w:pPr>
        <w:ind w:left="5360"/>
        <w:spacing w:after="0"/>
        <w:rPr>
          <w:sz w:val="20"/>
          <w:szCs w:val="20"/>
          <w:color w:val="auto"/>
        </w:rPr>
      </w:pPr>
      <w:r>
        <w:rPr>
          <w:rFonts w:ascii="Arial" w:cs="Arial" w:eastAsia="Arial" w:hAnsi="Arial"/>
          <w:sz w:val="16"/>
          <w:szCs w:val="16"/>
          <w:b w:val="1"/>
          <w:bCs w:val="1"/>
          <w:color w:val="auto"/>
        </w:rPr>
        <w:t>PART II</w:t>
      </w:r>
    </w:p>
    <w:p>
      <w:pPr>
        <w:spacing w:after="0" w:line="113" w:lineRule="exact"/>
        <w:rPr>
          <w:sz w:val="20"/>
          <w:szCs w:val="20"/>
          <w:color w:val="auto"/>
        </w:rPr>
      </w:pPr>
    </w:p>
    <w:p>
      <w:pPr>
        <w:ind w:left="3220"/>
        <w:spacing w:after="0"/>
        <w:rPr>
          <w:sz w:val="20"/>
          <w:szCs w:val="20"/>
          <w:color w:val="auto"/>
        </w:rPr>
      </w:pPr>
      <w:r>
        <w:rPr>
          <w:rFonts w:ascii="Arial" w:cs="Arial" w:eastAsia="Arial" w:hAnsi="Arial"/>
          <w:sz w:val="16"/>
          <w:szCs w:val="16"/>
          <w:b w:val="1"/>
          <w:bCs w:val="1"/>
          <w:color w:val="auto"/>
        </w:rPr>
        <w:t>INFORMATION REQUIRED IN THE REGISTRATION STATEMENT</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3. Incorporation of Documents by Reference.</w:t>
      </w:r>
    </w:p>
    <w:p>
      <w:pPr>
        <w:spacing w:after="0" w:line="11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documents filed with the Commission by the Registrant pursuant to the Securities Act and the Securities Exchange Act of 1934, as amended (the “Exchange</w:t>
      </w:r>
    </w:p>
    <w:p>
      <w:pPr>
        <w:spacing w:after="0" w:line="10" w:lineRule="exact"/>
        <w:rPr>
          <w:sz w:val="20"/>
          <w:szCs w:val="20"/>
          <w:color w:val="auto"/>
        </w:rPr>
      </w:pPr>
    </w:p>
    <w:p>
      <w:pPr>
        <w:spacing w:after="0"/>
        <w:rPr>
          <w:sz w:val="20"/>
          <w:szCs w:val="20"/>
          <w:color w:val="auto"/>
        </w:rPr>
      </w:pPr>
      <w:r>
        <w:rPr>
          <w:rFonts w:ascii="Arial" w:cs="Arial" w:eastAsia="Arial" w:hAnsi="Arial"/>
          <w:sz w:val="16"/>
          <w:szCs w:val="16"/>
          <w:color w:val="auto"/>
        </w:rPr>
        <w:t>Act”), are incorporated herein by reference, to the extent that such documents are considered filed with the Commission:</w:t>
      </w:r>
    </w:p>
    <w:p>
      <w:pPr>
        <w:spacing w:after="0" w:line="101" w:lineRule="exact"/>
        <w:rPr>
          <w:sz w:val="20"/>
          <w:szCs w:val="20"/>
          <w:color w:val="auto"/>
        </w:rPr>
      </w:pPr>
    </w:p>
    <w:p>
      <w:pPr>
        <w:ind w:left="480" w:hanging="220"/>
        <w:spacing w:after="0"/>
        <w:tabs>
          <w:tab w:leader="none" w:pos="480" w:val="left"/>
        </w:tabs>
        <w:numPr>
          <w:ilvl w:val="0"/>
          <w:numId w:val="1"/>
        </w:numPr>
        <w:rPr>
          <w:rFonts w:ascii="Arial" w:cs="Arial" w:eastAsia="Arial" w:hAnsi="Arial"/>
          <w:sz w:val="14"/>
          <w:szCs w:val="14"/>
          <w:color w:val="auto"/>
        </w:rPr>
      </w:pPr>
      <w:r>
        <w:rPr>
          <w:rFonts w:ascii="Arial" w:cs="Arial" w:eastAsia="Arial" w:hAnsi="Arial"/>
          <w:sz w:val="14"/>
          <w:szCs w:val="14"/>
          <w:color w:val="auto"/>
        </w:rPr>
        <w:t>The Registrant’s Annual Report on Form 10-K for the fiscal year ended December 31, 2021, filed with the Commission on March 17, 2022 (File No. 001-37872);</w:t>
      </w:r>
    </w:p>
    <w:p>
      <w:pPr>
        <w:spacing w:after="0" w:line="136" w:lineRule="exact"/>
        <w:rPr>
          <w:rFonts w:ascii="Arial" w:cs="Arial" w:eastAsia="Arial" w:hAnsi="Arial"/>
          <w:sz w:val="14"/>
          <w:szCs w:val="14"/>
          <w:color w:val="auto"/>
        </w:rPr>
      </w:pPr>
    </w:p>
    <w:p>
      <w:pPr>
        <w:ind w:firstLine="260"/>
        <w:spacing w:after="0" w:line="225" w:lineRule="auto"/>
        <w:tabs>
          <w:tab w:leader="none" w:pos="486"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Quarterly Reports on Form 10-Q for the quarters ended March 31, 2022, June 30, 2022, and September 30,2022, filed with the Commission on May 11, 2022, August 9, 2022, and November 10, 2022;</w:t>
      </w:r>
    </w:p>
    <w:p>
      <w:pPr>
        <w:spacing w:after="0" w:line="100" w:lineRule="exact"/>
        <w:rPr>
          <w:rFonts w:ascii="Arial" w:cs="Arial" w:eastAsia="Arial" w:hAnsi="Arial"/>
          <w:sz w:val="16"/>
          <w:szCs w:val="16"/>
          <w:color w:val="auto"/>
        </w:rPr>
      </w:pPr>
    </w:p>
    <w:p>
      <w:pPr>
        <w:ind w:left="480" w:hanging="220"/>
        <w:spacing w:after="0"/>
        <w:tabs>
          <w:tab w:leader="none" w:pos="480"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Registrant’s Current Report on Form 8-K, filed with the Commission on May 27, 2022; and</w:t>
      </w:r>
    </w:p>
    <w:p>
      <w:pPr>
        <w:spacing w:after="0" w:line="113" w:lineRule="exact"/>
        <w:rPr>
          <w:rFonts w:ascii="Arial" w:cs="Arial" w:eastAsia="Arial" w:hAnsi="Arial"/>
          <w:sz w:val="16"/>
          <w:szCs w:val="16"/>
          <w:color w:val="auto"/>
        </w:rPr>
      </w:pPr>
    </w:p>
    <w:p>
      <w:pPr>
        <w:jc w:val="both"/>
        <w:ind w:firstLine="260"/>
        <w:spacing w:after="0" w:line="223" w:lineRule="auto"/>
        <w:tabs>
          <w:tab w:leader="none" w:pos="488" w:val="left"/>
        </w:tabs>
        <w:numPr>
          <w:ilvl w:val="0"/>
          <w:numId w:val="1"/>
        </w:numPr>
        <w:rPr>
          <w:rFonts w:ascii="Arial" w:cs="Arial" w:eastAsia="Arial" w:hAnsi="Arial"/>
          <w:sz w:val="16"/>
          <w:szCs w:val="16"/>
          <w:color w:val="auto"/>
        </w:rPr>
      </w:pPr>
      <w:r>
        <w:rPr>
          <w:rFonts w:ascii="Arial" w:cs="Arial" w:eastAsia="Arial" w:hAnsi="Arial"/>
          <w:sz w:val="16"/>
          <w:szCs w:val="16"/>
          <w:color w:val="auto"/>
        </w:rPr>
        <w:t>The description of the Registrant’s common stock contained in the Registrant’s Registration Statement on Form 8-A (File No. 001-37872) filed with the Commission on September 12, 2016, as updated by Exhibit 4.5 to the Registrant’s Annual Report on Form 10-K for the year ended December 31, 2021, including any amendment or report filed for the purpose of updating such description.</w:t>
      </w:r>
    </w:p>
    <w:p>
      <w:pPr>
        <w:spacing w:after="0" w:line="103" w:lineRule="exact"/>
        <w:rPr>
          <w:sz w:val="20"/>
          <w:szCs w:val="20"/>
          <w:color w:val="auto"/>
        </w:rPr>
      </w:pPr>
    </w:p>
    <w:p>
      <w:pPr>
        <w:ind w:firstLine="255"/>
        <w:spacing w:after="0" w:line="238" w:lineRule="auto"/>
        <w:rPr>
          <w:sz w:val="20"/>
          <w:szCs w:val="20"/>
          <w:color w:val="auto"/>
        </w:rPr>
      </w:pPr>
      <w:r>
        <w:rPr>
          <w:rFonts w:ascii="Arial" w:cs="Arial" w:eastAsia="Arial" w:hAnsi="Arial"/>
          <w:sz w:val="14"/>
          <w:szCs w:val="14"/>
          <w:color w:val="auto"/>
        </w:rPr>
        <w:t>All documents subsequently filed by the Registrant pursuant to Sections 13(a), 13(c), 14 and 15(d) of the Exchange Act, prior to the filing of a post-effective amendment which indicates that all securities offered have been sold or which deregisters all securities then remaining unsold, shall be deemed to be incorporated by reference herein and to be a part</w:t>
      </w:r>
    </w:p>
    <w:p>
      <w:pPr>
        <w:spacing w:after="0"/>
        <w:rPr>
          <w:sz w:val="20"/>
          <w:szCs w:val="20"/>
          <w:color w:val="auto"/>
        </w:rPr>
      </w:pPr>
      <w:r>
        <w:rPr>
          <w:rFonts w:ascii="Arial" w:cs="Arial" w:eastAsia="Arial" w:hAnsi="Arial"/>
          <w:sz w:val="16"/>
          <w:szCs w:val="16"/>
          <w:color w:val="auto"/>
        </w:rPr>
        <w:t>hereof from the date of filing of such documents, to the extent such documents are considered filed with the Commission.</w:t>
      </w:r>
    </w:p>
    <w:p>
      <w:pPr>
        <w:spacing w:after="0" w:line="101" w:lineRule="exact"/>
        <w:rPr>
          <w:sz w:val="20"/>
          <w:szCs w:val="20"/>
          <w:color w:val="auto"/>
        </w:rPr>
      </w:pPr>
    </w:p>
    <w:p>
      <w:pPr>
        <w:ind w:firstLine="255"/>
        <w:spacing w:after="0" w:line="238" w:lineRule="auto"/>
        <w:rPr>
          <w:sz w:val="20"/>
          <w:szCs w:val="20"/>
          <w:color w:val="auto"/>
        </w:rPr>
      </w:pPr>
      <w:r>
        <w:rPr>
          <w:rFonts w:ascii="Arial" w:cs="Arial" w:eastAsia="Arial" w:hAnsi="Arial"/>
          <w:sz w:val="14"/>
          <w:szCs w:val="14"/>
          <w:color w:val="auto"/>
        </w:rPr>
        <w:t>Any statement contained in a document incorporated or deemed to be incorporated by reference herein shall be deemed to be modified or superseded for purposes of this Registration Statement to the extent that a statement contained herein (or in any other subsequently filed document which also is incorporated or deemed to be incorporated by</w:t>
      </w:r>
    </w:p>
    <w:p>
      <w:pPr>
        <w:spacing w:after="0" w:line="224" w:lineRule="auto"/>
        <w:rPr>
          <w:sz w:val="20"/>
          <w:szCs w:val="20"/>
          <w:color w:val="auto"/>
        </w:rPr>
      </w:pPr>
      <w:r>
        <w:rPr>
          <w:rFonts w:ascii="Arial" w:cs="Arial" w:eastAsia="Arial" w:hAnsi="Arial"/>
          <w:sz w:val="16"/>
          <w:szCs w:val="16"/>
          <w:color w:val="auto"/>
        </w:rPr>
        <w:t>reference herein) modifies or supersedes such statement. Any such statement so modified or superseded shall not be deemed, except as so modified or superseded, to constitute a part of this Registration Statement.</w:t>
      </w:r>
    </w:p>
    <w:p>
      <w:pPr>
        <w:spacing w:after="0" w:line="101" w:lineRule="exact"/>
        <w:rPr>
          <w:sz w:val="20"/>
          <w:szCs w:val="20"/>
          <w:color w:val="auto"/>
        </w:rPr>
      </w:pPr>
    </w:p>
    <w:p>
      <w:pPr>
        <w:ind w:firstLine="509"/>
        <w:spacing w:after="0" w:line="225" w:lineRule="auto"/>
        <w:rPr>
          <w:sz w:val="20"/>
          <w:szCs w:val="20"/>
          <w:color w:val="auto"/>
        </w:rPr>
      </w:pPr>
      <w:r>
        <w:rPr>
          <w:rFonts w:ascii="Arial" w:cs="Arial" w:eastAsia="Arial" w:hAnsi="Arial"/>
          <w:sz w:val="16"/>
          <w:szCs w:val="16"/>
          <w:color w:val="auto"/>
        </w:rPr>
        <w:t>You may request copies of these documents, at no cost to you, by writing or telephoning us at the below address. Exhibits to the filings, however, will not be sent, unless those exhibits have specifically been incorporated by reference in this document:</w:t>
      </w:r>
    </w:p>
    <w:p>
      <w:pPr>
        <w:spacing w:after="0" w:line="141" w:lineRule="exact"/>
        <w:rPr>
          <w:sz w:val="20"/>
          <w:szCs w:val="20"/>
          <w:color w:val="auto"/>
        </w:rPr>
      </w:pPr>
    </w:p>
    <w:p>
      <w:pPr>
        <w:ind w:left="4680"/>
        <w:spacing w:after="0"/>
        <w:rPr>
          <w:sz w:val="20"/>
          <w:szCs w:val="20"/>
          <w:color w:val="auto"/>
        </w:rPr>
      </w:pPr>
      <w:r>
        <w:rPr>
          <w:rFonts w:ascii="Arial" w:cs="Arial" w:eastAsia="Arial" w:hAnsi="Arial"/>
          <w:sz w:val="16"/>
          <w:szCs w:val="16"/>
          <w:color w:val="auto"/>
        </w:rPr>
        <w:t>Priority Technology Holdings, Inc.</w:t>
      </w:r>
    </w:p>
    <w:p>
      <w:pPr>
        <w:ind w:left="5020"/>
        <w:spacing w:after="0" w:line="193" w:lineRule="auto"/>
        <w:rPr>
          <w:sz w:val="20"/>
          <w:szCs w:val="20"/>
          <w:color w:val="auto"/>
        </w:rPr>
      </w:pPr>
      <w:r>
        <w:rPr>
          <w:rFonts w:ascii="Arial" w:cs="Arial" w:eastAsia="Arial" w:hAnsi="Arial"/>
          <w:sz w:val="16"/>
          <w:szCs w:val="16"/>
          <w:color w:val="auto"/>
        </w:rPr>
        <w:t>2001 Westside Parkway</w:t>
      </w:r>
    </w:p>
    <w:p>
      <w:pPr>
        <w:jc w:val="center"/>
        <w:ind w:right="-259"/>
        <w:spacing w:after="0" w:line="208" w:lineRule="auto"/>
        <w:rPr>
          <w:sz w:val="20"/>
          <w:szCs w:val="20"/>
          <w:color w:val="auto"/>
        </w:rPr>
      </w:pPr>
      <w:r>
        <w:rPr>
          <w:rFonts w:ascii="Arial" w:cs="Arial" w:eastAsia="Arial" w:hAnsi="Arial"/>
          <w:sz w:val="16"/>
          <w:szCs w:val="16"/>
          <w:color w:val="auto"/>
        </w:rPr>
        <w:t>Suite 155</w:t>
      </w:r>
    </w:p>
    <w:p>
      <w:pPr>
        <w:jc w:val="center"/>
        <w:ind w:right="-259"/>
        <w:spacing w:after="0" w:line="207" w:lineRule="auto"/>
        <w:rPr>
          <w:sz w:val="20"/>
          <w:szCs w:val="20"/>
          <w:color w:val="auto"/>
        </w:rPr>
      </w:pPr>
      <w:r>
        <w:rPr>
          <w:rFonts w:ascii="Arial" w:cs="Arial" w:eastAsia="Arial" w:hAnsi="Arial"/>
          <w:sz w:val="16"/>
          <w:szCs w:val="16"/>
          <w:color w:val="auto"/>
        </w:rPr>
        <w:t>Alpharetta, GA 30004</w:t>
      </w:r>
    </w:p>
    <w:p>
      <w:pPr>
        <w:spacing w:after="0" w:line="1" w:lineRule="exact"/>
        <w:rPr>
          <w:sz w:val="20"/>
          <w:szCs w:val="20"/>
          <w:color w:val="auto"/>
        </w:rPr>
      </w:pPr>
    </w:p>
    <w:p>
      <w:pPr>
        <w:jc w:val="center"/>
        <w:ind w:right="-259"/>
        <w:spacing w:after="0"/>
        <w:rPr>
          <w:sz w:val="20"/>
          <w:szCs w:val="20"/>
          <w:color w:val="auto"/>
        </w:rPr>
      </w:pPr>
      <w:r>
        <w:rPr>
          <w:rFonts w:ascii="Arial" w:cs="Arial" w:eastAsia="Arial" w:hAnsi="Arial"/>
          <w:sz w:val="16"/>
          <w:szCs w:val="16"/>
          <w:color w:val="auto"/>
        </w:rPr>
        <w:t>(800) 935-5961</w:t>
      </w:r>
    </w:p>
    <w:p>
      <w:pPr>
        <w:sectPr>
          <w:pgSz w:w="11900" w:h="16838" w:orient="portrait"/>
          <w:cols w:equalWidth="0" w:num="1">
            <w:col w:w="11280"/>
          </w:cols>
          <w:pgMar w:left="300" w:top="112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203"/>
        </w:trPr>
        <w:tc>
          <w:tcPr>
            <w:tcW w:w="1540" w:type="dxa"/>
            <w:vAlign w:val="bottom"/>
            <w:gridSpan w:val="2"/>
          </w:tcPr>
          <w:p>
            <w:pPr>
              <w:spacing w:after="0"/>
              <w:rPr>
                <w:sz w:val="20"/>
                <w:szCs w:val="20"/>
                <w:color w:val="auto"/>
              </w:rPr>
            </w:pPr>
            <w:r>
              <w:rPr>
                <w:rFonts w:ascii="Arial" w:cs="Arial" w:eastAsia="Arial" w:hAnsi="Arial"/>
                <w:sz w:val="16"/>
                <w:szCs w:val="16"/>
                <w:b w:val="1"/>
                <w:bCs w:val="1"/>
                <w:color w:val="auto"/>
              </w:rPr>
              <w:t>Item 8. Exhibits.</w:t>
            </w:r>
          </w:p>
        </w:tc>
        <w:tc>
          <w:tcPr>
            <w:tcW w:w="9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28"/>
        </w:trPr>
        <w:tc>
          <w:tcPr>
            <w:tcW w:w="1540" w:type="dxa"/>
            <w:vAlign w:val="bottom"/>
            <w:gridSpan w:val="2"/>
          </w:tcPr>
          <w:p>
            <w:pPr>
              <w:ind w:left="40"/>
              <w:spacing w:after="0"/>
              <w:rPr>
                <w:sz w:val="20"/>
                <w:szCs w:val="20"/>
                <w:color w:val="auto"/>
              </w:rPr>
            </w:pPr>
            <w:r>
              <w:rPr>
                <w:rFonts w:ascii="Arial" w:cs="Arial" w:eastAsia="Arial" w:hAnsi="Arial"/>
                <w:sz w:val="16"/>
                <w:szCs w:val="16"/>
                <w:b w:val="1"/>
                <w:bCs w:val="1"/>
                <w:color w:val="auto"/>
              </w:rPr>
              <w:t>Exhibit</w:t>
            </w:r>
          </w:p>
        </w:tc>
        <w:tc>
          <w:tcPr>
            <w:tcW w:w="9180" w:type="dxa"/>
            <w:vAlign w:val="bottom"/>
          </w:tcPr>
          <w:p>
            <w:pPr>
              <w:ind w:left="40"/>
              <w:spacing w:after="0"/>
              <w:rPr>
                <w:sz w:val="20"/>
                <w:szCs w:val="20"/>
                <w:color w:val="auto"/>
              </w:rPr>
            </w:pPr>
            <w:r>
              <w:rPr>
                <w:rFonts w:ascii="Arial" w:cs="Arial" w:eastAsia="Arial" w:hAnsi="Arial"/>
                <w:sz w:val="16"/>
                <w:szCs w:val="16"/>
                <w:b w:val="1"/>
                <w:bCs w:val="1"/>
                <w:color w:val="auto"/>
              </w:rPr>
              <w:t>Description</w:t>
            </w:r>
          </w:p>
        </w:tc>
        <w:tc>
          <w:tcPr>
            <w:tcW w:w="0" w:type="dxa"/>
            <w:vAlign w:val="bottom"/>
          </w:tcPr>
          <w:p>
            <w:pPr>
              <w:spacing w:after="0"/>
              <w:rPr>
                <w:sz w:val="1"/>
                <w:szCs w:val="1"/>
                <w:color w:val="auto"/>
              </w:rPr>
            </w:pPr>
          </w:p>
        </w:tc>
      </w:tr>
      <w:tr>
        <w:trPr>
          <w:trHeight w:val="143"/>
        </w:trPr>
        <w:tc>
          <w:tcPr>
            <w:tcW w:w="1280" w:type="dxa"/>
            <w:vAlign w:val="bottom"/>
            <w:tcBorders>
              <w:top w:val="single" w:sz="8" w:color="auto"/>
            </w:tcBorders>
            <w:vMerge w:val="restart"/>
            <w:shd w:val="clear" w:color="auto" w:fill="CCEEFF"/>
          </w:tcPr>
          <w:p>
            <w:pPr>
              <w:ind w:left="60"/>
              <w:spacing w:after="0"/>
              <w:rPr>
                <w:rFonts w:ascii="Arial" w:cs="Arial" w:eastAsia="Arial" w:hAnsi="Arial"/>
                <w:sz w:val="16"/>
                <w:szCs w:val="16"/>
                <w:color w:val="0000FF"/>
              </w:rPr>
            </w:pPr>
            <w:hyperlink r:id="rId8">
              <w:r>
                <w:rPr>
                  <w:rFonts w:ascii="Arial" w:cs="Arial" w:eastAsia="Arial" w:hAnsi="Arial"/>
                  <w:sz w:val="16"/>
                  <w:szCs w:val="16"/>
                  <w:color w:val="0000FF"/>
                </w:rPr>
                <w:t>4.1</w:t>
              </w:r>
            </w:hyperlink>
          </w:p>
        </w:tc>
        <w:tc>
          <w:tcPr>
            <w:tcW w:w="260" w:type="dxa"/>
            <w:vAlign w:val="bottom"/>
            <w:tcBorders>
              <w:top w:val="single" w:sz="8" w:color="CCEEFF"/>
            </w:tcBorders>
            <w:shd w:val="clear" w:color="auto" w:fill="CCEEFF"/>
          </w:tcPr>
          <w:p>
            <w:pPr>
              <w:spacing w:after="0"/>
              <w:rPr>
                <w:sz w:val="12"/>
                <w:szCs w:val="12"/>
                <w:color w:val="auto"/>
              </w:rPr>
            </w:pPr>
          </w:p>
        </w:tc>
        <w:tc>
          <w:tcPr>
            <w:tcW w:w="9180" w:type="dxa"/>
            <w:vAlign w:val="bottom"/>
            <w:tcBorders>
              <w:top w:val="single" w:sz="8" w:color="auto"/>
            </w:tcBorders>
            <w:shd w:val="clear" w:color="auto" w:fill="CCEEFF"/>
          </w:tcPr>
          <w:p>
            <w:pPr>
              <w:ind w:left="60"/>
              <w:spacing w:after="0" w:line="143" w:lineRule="exact"/>
              <w:rPr>
                <w:rFonts w:ascii="Arial" w:cs="Arial" w:eastAsia="Arial" w:hAnsi="Arial"/>
                <w:sz w:val="16"/>
                <w:szCs w:val="16"/>
                <w:color w:val="0000FF"/>
                <w:w w:val="89"/>
              </w:rPr>
            </w:pPr>
            <w:hyperlink r:id="rId8">
              <w:r>
                <w:rPr>
                  <w:rFonts w:ascii="Arial" w:cs="Arial" w:eastAsia="Arial" w:hAnsi="Arial"/>
                  <w:sz w:val="16"/>
                  <w:szCs w:val="16"/>
                  <w:color w:val="0000FF"/>
                  <w:w w:val="89"/>
                </w:rPr>
                <w:t>Second Amended and Restated Certificate of Incorporation of the Company (incorporated by reference to Exhibit 3.1 to the Company’s Current</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8">
              <w:r>
                <w:rPr>
                  <w:rFonts w:ascii="Arial" w:cs="Arial" w:eastAsia="Arial" w:hAnsi="Arial"/>
                  <w:sz w:val="16"/>
                  <w:szCs w:val="16"/>
                  <w:color w:val="0000FF"/>
                </w:rPr>
                <w:t>Report on Form 8-K, filed July 31, 2018).</w:t>
              </w:r>
            </w:hyperlink>
          </w:p>
        </w:tc>
        <w:tc>
          <w:tcPr>
            <w:tcW w:w="0" w:type="dxa"/>
            <w:vAlign w:val="bottom"/>
          </w:tcPr>
          <w:p>
            <w:pPr>
              <w:spacing w:after="0"/>
              <w:rPr>
                <w:sz w:val="1"/>
                <w:szCs w:val="1"/>
                <w:color w:val="auto"/>
              </w:rPr>
            </w:pPr>
          </w:p>
        </w:tc>
      </w:tr>
      <w:tr>
        <w:trPr>
          <w:trHeight w:val="149"/>
        </w:trPr>
        <w:tc>
          <w:tcPr>
            <w:tcW w:w="1280" w:type="dxa"/>
            <w:vAlign w:val="bottom"/>
            <w:vMerge w:val="restart"/>
          </w:tcPr>
          <w:p>
            <w:pPr>
              <w:ind w:left="60"/>
              <w:spacing w:after="0"/>
              <w:rPr>
                <w:rFonts w:ascii="Arial" w:cs="Arial" w:eastAsia="Arial" w:hAnsi="Arial"/>
                <w:sz w:val="16"/>
                <w:szCs w:val="16"/>
                <w:color w:val="0000FF"/>
              </w:rPr>
            </w:pPr>
            <w:hyperlink r:id="rId9">
              <w:r>
                <w:rPr>
                  <w:rFonts w:ascii="Arial" w:cs="Arial" w:eastAsia="Arial" w:hAnsi="Arial"/>
                  <w:sz w:val="16"/>
                  <w:szCs w:val="16"/>
                  <w:color w:val="0000FF"/>
                </w:rPr>
                <w:t>4.2</w:t>
              </w:r>
            </w:hyperlink>
          </w:p>
        </w:tc>
        <w:tc>
          <w:tcPr>
            <w:tcW w:w="260" w:type="dxa"/>
            <w:vAlign w:val="bottom"/>
          </w:tcPr>
          <w:p>
            <w:pPr>
              <w:spacing w:after="0"/>
              <w:rPr>
                <w:sz w:val="12"/>
                <w:szCs w:val="12"/>
                <w:color w:val="auto"/>
              </w:rPr>
            </w:pPr>
          </w:p>
        </w:tc>
        <w:tc>
          <w:tcPr>
            <w:tcW w:w="9180" w:type="dxa"/>
            <w:vAlign w:val="bottom"/>
          </w:tcPr>
          <w:p>
            <w:pPr>
              <w:ind w:left="60"/>
              <w:spacing w:after="0" w:line="148" w:lineRule="exact"/>
              <w:rPr>
                <w:rFonts w:ascii="Arial" w:cs="Arial" w:eastAsia="Arial" w:hAnsi="Arial"/>
                <w:sz w:val="16"/>
                <w:szCs w:val="16"/>
                <w:color w:val="0000FF"/>
                <w:w w:val="90"/>
              </w:rPr>
            </w:pPr>
            <w:hyperlink r:id="rId9">
              <w:r>
                <w:rPr>
                  <w:rFonts w:ascii="Arial" w:cs="Arial" w:eastAsia="Arial" w:hAnsi="Arial"/>
                  <w:sz w:val="16"/>
                  <w:szCs w:val="16"/>
                  <w:color w:val="0000FF"/>
                  <w:w w:val="90"/>
                </w:rPr>
                <w:t>Certificate of Amendment to the Certificate of Incorporation of the Company (incorporated by reference to Exhibit 2.3 to the Company’s Annual</w:t>
              </w:r>
            </w:hyperlink>
          </w:p>
        </w:tc>
        <w:tc>
          <w:tcPr>
            <w:tcW w:w="0" w:type="dxa"/>
            <w:vAlign w:val="bottom"/>
          </w:tcPr>
          <w:p>
            <w:pPr>
              <w:spacing w:after="0"/>
              <w:rPr>
                <w:sz w:val="1"/>
                <w:szCs w:val="1"/>
                <w:color w:val="auto"/>
              </w:rPr>
            </w:pPr>
          </w:p>
        </w:tc>
      </w:tr>
      <w:tr>
        <w:trPr>
          <w:trHeight w:val="199"/>
        </w:trPr>
        <w:tc>
          <w:tcPr>
            <w:tcW w:w="128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9180" w:type="dxa"/>
            <w:vAlign w:val="bottom"/>
          </w:tcPr>
          <w:p>
            <w:pPr>
              <w:ind w:left="60"/>
              <w:spacing w:after="0"/>
              <w:rPr>
                <w:rFonts w:ascii="Arial" w:cs="Arial" w:eastAsia="Arial" w:hAnsi="Arial"/>
                <w:sz w:val="16"/>
                <w:szCs w:val="16"/>
                <w:color w:val="0000FF"/>
              </w:rPr>
            </w:pPr>
            <w:hyperlink r:id="rId9">
              <w:r>
                <w:rPr>
                  <w:rFonts w:ascii="Arial" w:cs="Arial" w:eastAsia="Arial" w:hAnsi="Arial"/>
                  <w:sz w:val="16"/>
                  <w:szCs w:val="16"/>
                  <w:color w:val="0000FF"/>
                </w:rPr>
                <w:t>Report on Form 10-K, filed March 17, 2022).</w:t>
              </w:r>
            </w:hyperlink>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0">
              <w:r>
                <w:rPr>
                  <w:rFonts w:ascii="Arial" w:cs="Arial" w:eastAsia="Arial" w:hAnsi="Arial"/>
                  <w:sz w:val="16"/>
                  <w:szCs w:val="16"/>
                  <w:color w:val="0000FF"/>
                </w:rPr>
                <w:t>4.3</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0">
              <w:r>
                <w:rPr>
                  <w:rFonts w:ascii="Arial" w:cs="Arial" w:eastAsia="Arial" w:hAnsi="Arial"/>
                  <w:sz w:val="16"/>
                  <w:szCs w:val="16"/>
                  <w:color w:val="0000FF"/>
                  <w:w w:val="90"/>
                </w:rPr>
                <w:t>Certificate of Designations of Senior Preferred Stock (incorporated by reference to Exhibit 3.3 to the Company’s Annual Report on Form 10-K,</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0">
              <w:r>
                <w:rPr>
                  <w:rFonts w:ascii="Arial" w:cs="Arial" w:eastAsia="Arial" w:hAnsi="Arial"/>
                  <w:sz w:val="16"/>
                  <w:szCs w:val="16"/>
                  <w:color w:val="0000FF"/>
                </w:rPr>
                <w:t>filed March 17, 2022).</w:t>
              </w:r>
            </w:hyperlink>
          </w:p>
        </w:tc>
        <w:tc>
          <w:tcPr>
            <w:tcW w:w="0" w:type="dxa"/>
            <w:vAlign w:val="bottom"/>
          </w:tcPr>
          <w:p>
            <w:pPr>
              <w:spacing w:after="0"/>
              <w:rPr>
                <w:sz w:val="1"/>
                <w:szCs w:val="1"/>
                <w:color w:val="auto"/>
              </w:rPr>
            </w:pPr>
          </w:p>
        </w:tc>
      </w:tr>
      <w:tr>
        <w:trPr>
          <w:trHeight w:val="199"/>
        </w:trPr>
        <w:tc>
          <w:tcPr>
            <w:tcW w:w="1280" w:type="dxa"/>
            <w:vAlign w:val="bottom"/>
          </w:tcPr>
          <w:p>
            <w:pPr>
              <w:ind w:left="60"/>
              <w:spacing w:after="0"/>
              <w:rPr>
                <w:rFonts w:ascii="Arial" w:cs="Arial" w:eastAsia="Arial" w:hAnsi="Arial"/>
                <w:sz w:val="16"/>
                <w:szCs w:val="16"/>
                <w:color w:val="0000FF"/>
              </w:rPr>
            </w:pPr>
            <w:hyperlink r:id="rId11">
              <w:r>
                <w:rPr>
                  <w:rFonts w:ascii="Arial" w:cs="Arial" w:eastAsia="Arial" w:hAnsi="Arial"/>
                  <w:sz w:val="16"/>
                  <w:szCs w:val="16"/>
                  <w:color w:val="0000FF"/>
                </w:rPr>
                <w:t>4.4</w:t>
              </w:r>
            </w:hyperlink>
          </w:p>
        </w:tc>
        <w:tc>
          <w:tcPr>
            <w:tcW w:w="260" w:type="dxa"/>
            <w:vAlign w:val="bottom"/>
          </w:tcPr>
          <w:p>
            <w:pPr>
              <w:spacing w:after="0"/>
              <w:rPr>
                <w:sz w:val="17"/>
                <w:szCs w:val="17"/>
                <w:color w:val="auto"/>
              </w:rPr>
            </w:pPr>
          </w:p>
        </w:tc>
        <w:tc>
          <w:tcPr>
            <w:tcW w:w="9180" w:type="dxa"/>
            <w:vAlign w:val="bottom"/>
          </w:tcPr>
          <w:p>
            <w:pPr>
              <w:ind w:left="60"/>
              <w:spacing w:after="0"/>
              <w:rPr>
                <w:rFonts w:ascii="Arial" w:cs="Arial" w:eastAsia="Arial" w:hAnsi="Arial"/>
                <w:sz w:val="16"/>
                <w:szCs w:val="16"/>
                <w:color w:val="0000FF"/>
                <w:w w:val="90"/>
              </w:rPr>
            </w:pPr>
            <w:hyperlink r:id="rId11">
              <w:r>
                <w:rPr>
                  <w:rFonts w:ascii="Arial" w:cs="Arial" w:eastAsia="Arial" w:hAnsi="Arial"/>
                  <w:sz w:val="16"/>
                  <w:szCs w:val="16"/>
                  <w:color w:val="0000FF"/>
                  <w:w w:val="90"/>
                </w:rPr>
                <w:t>Specimen Common Stock Certificate (incorporated by reference to Exhibit 4.2 to the Registration Statement on Form S-1, filed July 26, 2016).</w:t>
              </w:r>
            </w:hyperlink>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2">
              <w:r>
                <w:rPr>
                  <w:rFonts w:ascii="Arial" w:cs="Arial" w:eastAsia="Arial" w:hAnsi="Arial"/>
                  <w:sz w:val="16"/>
                  <w:szCs w:val="16"/>
                  <w:color w:val="0000FF"/>
                </w:rPr>
                <w:t>4.5</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2">
              <w:r>
                <w:rPr>
                  <w:rFonts w:ascii="Arial" w:cs="Arial" w:eastAsia="Arial" w:hAnsi="Arial"/>
                  <w:sz w:val="16"/>
                  <w:szCs w:val="16"/>
                  <w:color w:val="0000FF"/>
                  <w:w w:val="90"/>
                </w:rPr>
                <w:t>Amended and Restated Bylaws of the Company (incorporated by reference to Exhibit 3.2 to the Company’s Current Report on Form 8-K, filed</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2">
              <w:r>
                <w:rPr>
                  <w:rFonts w:ascii="Arial" w:cs="Arial" w:eastAsia="Arial" w:hAnsi="Arial"/>
                  <w:sz w:val="16"/>
                  <w:szCs w:val="16"/>
                  <w:color w:val="0000FF"/>
                </w:rPr>
                <w:t>July 31, 2018).</w:t>
              </w:r>
            </w:hyperlink>
          </w:p>
        </w:tc>
        <w:tc>
          <w:tcPr>
            <w:tcW w:w="0" w:type="dxa"/>
            <w:vAlign w:val="bottom"/>
          </w:tcPr>
          <w:p>
            <w:pPr>
              <w:spacing w:after="0"/>
              <w:rPr>
                <w:sz w:val="1"/>
                <w:szCs w:val="1"/>
                <w:color w:val="auto"/>
              </w:rPr>
            </w:pPr>
          </w:p>
        </w:tc>
      </w:tr>
      <w:tr>
        <w:trPr>
          <w:trHeight w:val="199"/>
        </w:trPr>
        <w:tc>
          <w:tcPr>
            <w:tcW w:w="1280" w:type="dxa"/>
            <w:vAlign w:val="bottom"/>
          </w:tcPr>
          <w:p>
            <w:pPr>
              <w:ind w:left="60"/>
              <w:spacing w:after="0"/>
              <w:rPr>
                <w:sz w:val="20"/>
                <w:szCs w:val="20"/>
                <w:color w:val="auto"/>
              </w:rPr>
            </w:pPr>
            <w:r>
              <w:rPr>
                <w:rFonts w:ascii="Arial" w:cs="Arial" w:eastAsia="Arial" w:hAnsi="Arial"/>
                <w:sz w:val="16"/>
                <w:szCs w:val="16"/>
                <w:color w:val="0000FF"/>
              </w:rPr>
              <w:t>5.1</w:t>
            </w:r>
            <w:r>
              <w:rPr>
                <w:rFonts w:ascii="Arial" w:cs="Arial" w:eastAsia="Arial" w:hAnsi="Arial"/>
                <w:sz w:val="16"/>
                <w:szCs w:val="16"/>
                <w:color w:val="000000"/>
              </w:rPr>
              <w:t>*</w:t>
            </w:r>
          </w:p>
        </w:tc>
        <w:tc>
          <w:tcPr>
            <w:tcW w:w="260" w:type="dxa"/>
            <w:vAlign w:val="bottom"/>
          </w:tcPr>
          <w:p>
            <w:pPr>
              <w:spacing w:after="0"/>
              <w:rPr>
                <w:sz w:val="17"/>
                <w:szCs w:val="17"/>
                <w:color w:val="auto"/>
              </w:rPr>
            </w:pPr>
          </w:p>
        </w:tc>
        <w:tc>
          <w:tcPr>
            <w:tcW w:w="9180" w:type="dxa"/>
            <w:vAlign w:val="bottom"/>
          </w:tcPr>
          <w:p>
            <w:pPr>
              <w:ind w:left="60"/>
              <w:spacing w:after="0"/>
              <w:rPr>
                <w:sz w:val="20"/>
                <w:szCs w:val="20"/>
                <w:color w:val="auto"/>
              </w:rPr>
            </w:pPr>
            <w:r>
              <w:rPr>
                <w:rFonts w:ascii="Arial" w:cs="Arial" w:eastAsia="Arial" w:hAnsi="Arial"/>
                <w:sz w:val="16"/>
                <w:szCs w:val="16"/>
                <w:color w:val="0000FF"/>
              </w:rPr>
              <w:t>Opinion of Troutman Pepper Hamilton Sanders LLP</w:t>
            </w:r>
          </w:p>
        </w:tc>
        <w:tc>
          <w:tcPr>
            <w:tcW w:w="0" w:type="dxa"/>
            <w:vAlign w:val="bottom"/>
          </w:tcPr>
          <w:p>
            <w:pPr>
              <w:spacing w:after="0"/>
              <w:rPr>
                <w:sz w:val="1"/>
                <w:szCs w:val="1"/>
                <w:color w:val="auto"/>
              </w:rPr>
            </w:pPr>
          </w:p>
        </w:tc>
      </w:tr>
      <w:tr>
        <w:trPr>
          <w:trHeight w:val="151"/>
        </w:trPr>
        <w:tc>
          <w:tcPr>
            <w:tcW w:w="1280" w:type="dxa"/>
            <w:vAlign w:val="bottom"/>
            <w:vMerge w:val="restart"/>
            <w:shd w:val="clear" w:color="auto" w:fill="CCEEFF"/>
          </w:tcPr>
          <w:p>
            <w:pPr>
              <w:ind w:left="60"/>
              <w:spacing w:after="0"/>
              <w:rPr>
                <w:rFonts w:ascii="Arial" w:cs="Arial" w:eastAsia="Arial" w:hAnsi="Arial"/>
                <w:sz w:val="16"/>
                <w:szCs w:val="16"/>
                <w:color w:val="0000FF"/>
              </w:rPr>
            </w:pPr>
            <w:hyperlink r:id="rId13">
              <w:r>
                <w:rPr>
                  <w:rFonts w:ascii="Arial" w:cs="Arial" w:eastAsia="Arial" w:hAnsi="Arial"/>
                  <w:sz w:val="16"/>
                  <w:szCs w:val="16"/>
                  <w:color w:val="0000FF"/>
                </w:rPr>
                <w:t>10.1</w:t>
              </w:r>
            </w:hyperlink>
          </w:p>
        </w:tc>
        <w:tc>
          <w:tcPr>
            <w:tcW w:w="260" w:type="dxa"/>
            <w:vAlign w:val="bottom"/>
            <w:shd w:val="clear" w:color="auto" w:fill="CCEEFF"/>
          </w:tcPr>
          <w:p>
            <w:pPr>
              <w:spacing w:after="0"/>
              <w:rPr>
                <w:sz w:val="13"/>
                <w:szCs w:val="13"/>
                <w:color w:val="auto"/>
              </w:rPr>
            </w:pPr>
          </w:p>
        </w:tc>
        <w:tc>
          <w:tcPr>
            <w:tcW w:w="9180" w:type="dxa"/>
            <w:vAlign w:val="bottom"/>
            <w:shd w:val="clear" w:color="auto" w:fill="CCEEFF"/>
          </w:tcPr>
          <w:p>
            <w:pPr>
              <w:ind w:left="60"/>
              <w:spacing w:after="0" w:line="152" w:lineRule="exact"/>
              <w:rPr>
                <w:rFonts w:ascii="Arial" w:cs="Arial" w:eastAsia="Arial" w:hAnsi="Arial"/>
                <w:sz w:val="16"/>
                <w:szCs w:val="16"/>
                <w:color w:val="0000FF"/>
                <w:w w:val="90"/>
              </w:rPr>
            </w:pPr>
            <w:hyperlink r:id="rId13">
              <w:r>
                <w:rPr>
                  <w:rFonts w:ascii="Arial" w:cs="Arial" w:eastAsia="Arial" w:hAnsi="Arial"/>
                  <w:sz w:val="16"/>
                  <w:szCs w:val="16"/>
                  <w:color w:val="0000FF"/>
                  <w:w w:val="90"/>
                </w:rPr>
                <w:t>Priority Technology Holdings, Inc. 2021 Employee Stock Purchase Plan (incorporated by reference to Exhibit 10.3.1 to the Company’s Annual</w:t>
              </w:r>
            </w:hyperlink>
          </w:p>
        </w:tc>
        <w:tc>
          <w:tcPr>
            <w:tcW w:w="0" w:type="dxa"/>
            <w:vAlign w:val="bottom"/>
          </w:tcPr>
          <w:p>
            <w:pPr>
              <w:spacing w:after="0"/>
              <w:rPr>
                <w:sz w:val="1"/>
                <w:szCs w:val="1"/>
                <w:color w:val="auto"/>
              </w:rPr>
            </w:pPr>
          </w:p>
        </w:tc>
      </w:tr>
      <w:tr>
        <w:trPr>
          <w:trHeight w:val="202"/>
        </w:trPr>
        <w:tc>
          <w:tcPr>
            <w:tcW w:w="1280" w:type="dxa"/>
            <w:vAlign w:val="bottom"/>
            <w:vMerge w:val="continue"/>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rFonts w:ascii="Arial" w:cs="Arial" w:eastAsia="Arial" w:hAnsi="Arial"/>
                <w:sz w:val="16"/>
                <w:szCs w:val="16"/>
                <w:color w:val="0000FF"/>
              </w:rPr>
            </w:pPr>
            <w:hyperlink r:id="rId13">
              <w:r>
                <w:rPr>
                  <w:rFonts w:ascii="Arial" w:cs="Arial" w:eastAsia="Arial" w:hAnsi="Arial"/>
                  <w:sz w:val="16"/>
                  <w:szCs w:val="16"/>
                  <w:color w:val="0000FF"/>
                </w:rPr>
                <w:t>Report on Form 10-K, filed March 17, 2022).</w:t>
              </w:r>
            </w:hyperlink>
          </w:p>
        </w:tc>
        <w:tc>
          <w:tcPr>
            <w:tcW w:w="0" w:type="dxa"/>
            <w:vAlign w:val="bottom"/>
          </w:tcPr>
          <w:p>
            <w:pPr>
              <w:spacing w:after="0"/>
              <w:rPr>
                <w:sz w:val="1"/>
                <w:szCs w:val="1"/>
                <w:color w:val="auto"/>
              </w:rPr>
            </w:pPr>
          </w:p>
        </w:tc>
      </w:tr>
      <w:tr>
        <w:trPr>
          <w:trHeight w:val="197"/>
        </w:trPr>
        <w:tc>
          <w:tcPr>
            <w:tcW w:w="1280" w:type="dxa"/>
            <w:vAlign w:val="bottom"/>
          </w:tcPr>
          <w:p>
            <w:pPr>
              <w:ind w:left="60"/>
              <w:spacing w:after="0"/>
              <w:rPr>
                <w:sz w:val="20"/>
                <w:szCs w:val="20"/>
                <w:color w:val="auto"/>
              </w:rPr>
            </w:pPr>
            <w:r>
              <w:rPr>
                <w:rFonts w:ascii="Arial" w:cs="Arial" w:eastAsia="Arial" w:hAnsi="Arial"/>
                <w:sz w:val="16"/>
                <w:szCs w:val="16"/>
                <w:color w:val="0000FF"/>
              </w:rPr>
              <w:t>23.1</w:t>
            </w:r>
            <w:r>
              <w:rPr>
                <w:rFonts w:ascii="Arial" w:cs="Arial" w:eastAsia="Arial" w:hAnsi="Arial"/>
                <w:sz w:val="16"/>
                <w:szCs w:val="16"/>
                <w:color w:val="000000"/>
              </w:rPr>
              <w:t>*</w:t>
            </w:r>
          </w:p>
        </w:tc>
        <w:tc>
          <w:tcPr>
            <w:tcW w:w="260" w:type="dxa"/>
            <w:vAlign w:val="bottom"/>
          </w:tcPr>
          <w:p>
            <w:pPr>
              <w:spacing w:after="0"/>
              <w:rPr>
                <w:sz w:val="17"/>
                <w:szCs w:val="17"/>
                <w:color w:val="auto"/>
              </w:rPr>
            </w:pPr>
          </w:p>
        </w:tc>
        <w:tc>
          <w:tcPr>
            <w:tcW w:w="9180" w:type="dxa"/>
            <w:vAlign w:val="bottom"/>
          </w:tcPr>
          <w:p>
            <w:pPr>
              <w:ind w:left="60"/>
              <w:spacing w:after="0"/>
              <w:rPr>
                <w:sz w:val="20"/>
                <w:szCs w:val="20"/>
                <w:color w:val="auto"/>
              </w:rPr>
            </w:pPr>
            <w:r>
              <w:rPr>
                <w:rFonts w:ascii="Arial" w:cs="Arial" w:eastAsia="Arial" w:hAnsi="Arial"/>
                <w:sz w:val="16"/>
                <w:szCs w:val="16"/>
                <w:color w:val="0000FF"/>
              </w:rPr>
              <w:t>Consent of Ernst &amp; Young LLP, Independent Registered Public Accounting Firm for the Company</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23.2</w:t>
            </w:r>
            <w:r>
              <w:rPr>
                <w:rFonts w:ascii="Arial" w:cs="Arial" w:eastAsia="Arial" w:hAnsi="Arial"/>
                <w:sz w:val="16"/>
                <w:szCs w:val="16"/>
                <w:color w:val="000000"/>
              </w:rPr>
              <w:t>*</w:t>
            </w: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Consent of RSM US LLP</w:t>
            </w:r>
          </w:p>
        </w:tc>
        <w:tc>
          <w:tcPr>
            <w:tcW w:w="0" w:type="dxa"/>
            <w:vAlign w:val="bottom"/>
          </w:tcPr>
          <w:p>
            <w:pPr>
              <w:spacing w:after="0"/>
              <w:rPr>
                <w:sz w:val="1"/>
                <w:szCs w:val="1"/>
                <w:color w:val="auto"/>
              </w:rPr>
            </w:pPr>
          </w:p>
        </w:tc>
      </w:tr>
      <w:tr>
        <w:trPr>
          <w:trHeight w:val="197"/>
        </w:trPr>
        <w:tc>
          <w:tcPr>
            <w:tcW w:w="1280" w:type="dxa"/>
            <w:vAlign w:val="bottom"/>
          </w:tcPr>
          <w:p>
            <w:pPr>
              <w:ind w:left="40"/>
              <w:spacing w:after="0"/>
              <w:rPr>
                <w:sz w:val="20"/>
                <w:szCs w:val="20"/>
                <w:color w:val="auto"/>
              </w:rPr>
            </w:pPr>
            <w:r>
              <w:rPr>
                <w:rFonts w:ascii="Arial" w:cs="Arial" w:eastAsia="Arial" w:hAnsi="Arial"/>
                <w:sz w:val="16"/>
                <w:szCs w:val="16"/>
                <w:color w:val="auto"/>
              </w:rPr>
              <w:t>24.1</w:t>
            </w:r>
          </w:p>
        </w:tc>
        <w:tc>
          <w:tcPr>
            <w:tcW w:w="260" w:type="dxa"/>
            <w:vAlign w:val="bottom"/>
          </w:tcPr>
          <w:p>
            <w:pPr>
              <w:spacing w:after="0"/>
              <w:rPr>
                <w:sz w:val="17"/>
                <w:szCs w:val="17"/>
                <w:color w:val="auto"/>
              </w:rPr>
            </w:pPr>
          </w:p>
        </w:tc>
        <w:tc>
          <w:tcPr>
            <w:tcW w:w="9180" w:type="dxa"/>
            <w:vAlign w:val="bottom"/>
          </w:tcPr>
          <w:p>
            <w:pPr>
              <w:ind w:left="40"/>
              <w:spacing w:after="0"/>
              <w:rPr>
                <w:sz w:val="20"/>
                <w:szCs w:val="20"/>
                <w:color w:val="auto"/>
              </w:rPr>
            </w:pPr>
            <w:r>
              <w:rPr>
                <w:rFonts w:ascii="Arial" w:cs="Arial" w:eastAsia="Arial" w:hAnsi="Arial"/>
                <w:sz w:val="16"/>
                <w:szCs w:val="16"/>
                <w:color w:val="auto"/>
              </w:rPr>
              <w:t>Power of Attorney (contained on the signature page hereto)</w:t>
            </w:r>
          </w:p>
        </w:tc>
        <w:tc>
          <w:tcPr>
            <w:tcW w:w="0" w:type="dxa"/>
            <w:vAlign w:val="bottom"/>
          </w:tcPr>
          <w:p>
            <w:pPr>
              <w:spacing w:after="0"/>
              <w:rPr>
                <w:sz w:val="1"/>
                <w:szCs w:val="1"/>
                <w:color w:val="auto"/>
              </w:rPr>
            </w:pPr>
          </w:p>
        </w:tc>
      </w:tr>
      <w:tr>
        <w:trPr>
          <w:trHeight w:val="207"/>
        </w:trPr>
        <w:tc>
          <w:tcPr>
            <w:tcW w:w="12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107</w:t>
            </w:r>
            <w:r>
              <w:rPr>
                <w:rFonts w:ascii="Arial" w:cs="Arial" w:eastAsia="Arial" w:hAnsi="Arial"/>
                <w:sz w:val="16"/>
                <w:szCs w:val="16"/>
                <w:color w:val="000000"/>
              </w:rPr>
              <w:t>*</w:t>
            </w:r>
          </w:p>
        </w:tc>
        <w:tc>
          <w:tcPr>
            <w:tcW w:w="260" w:type="dxa"/>
            <w:vAlign w:val="bottom"/>
            <w:shd w:val="clear" w:color="auto" w:fill="CCEEFF"/>
          </w:tcPr>
          <w:p>
            <w:pPr>
              <w:spacing w:after="0"/>
              <w:rPr>
                <w:sz w:val="17"/>
                <w:szCs w:val="17"/>
                <w:color w:val="auto"/>
              </w:rPr>
            </w:pPr>
          </w:p>
        </w:tc>
        <w:tc>
          <w:tcPr>
            <w:tcW w:w="9180" w:type="dxa"/>
            <w:vAlign w:val="bottom"/>
            <w:shd w:val="clear" w:color="auto" w:fill="CCEEFF"/>
          </w:tcPr>
          <w:p>
            <w:pPr>
              <w:ind w:left="60"/>
              <w:spacing w:after="0"/>
              <w:rPr>
                <w:sz w:val="20"/>
                <w:szCs w:val="20"/>
                <w:color w:val="auto"/>
              </w:rPr>
            </w:pPr>
            <w:r>
              <w:rPr>
                <w:rFonts w:ascii="Arial" w:cs="Arial" w:eastAsia="Arial" w:hAnsi="Arial"/>
                <w:sz w:val="16"/>
                <w:szCs w:val="16"/>
                <w:color w:val="0000FF"/>
              </w:rPr>
              <w:t>Filing Fee Table</w:t>
            </w:r>
          </w:p>
        </w:tc>
        <w:tc>
          <w:tcPr>
            <w:tcW w:w="0" w:type="dxa"/>
            <w:vAlign w:val="bottom"/>
          </w:tcPr>
          <w:p>
            <w:pPr>
              <w:spacing w:after="0"/>
              <w:rPr>
                <w:sz w:val="1"/>
                <w:szCs w:val="1"/>
                <w:color w:val="auto"/>
              </w:rPr>
            </w:pP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color w:val="auto"/>
        </w:rPr>
        <w:t>* Filed herewith.</w:t>
      </w:r>
    </w:p>
    <w:p>
      <w:pPr>
        <w:spacing w:after="0" w:line="118"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SIGNATURES</w:t>
      </w:r>
    </w:p>
    <w:p>
      <w:pPr>
        <w:spacing w:after="0" w:line="119"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Pursuant to the requirements of the Securities Act, the Registrant certifies that it has reasonable grounds to believe that it meets all of the requirements for filing on Form S-8</w:t>
      </w:r>
    </w:p>
    <w:p>
      <w:pPr>
        <w:spacing w:after="0" w:line="10" w:lineRule="exact"/>
        <w:rPr>
          <w:sz w:val="20"/>
          <w:szCs w:val="20"/>
          <w:color w:val="auto"/>
        </w:rPr>
      </w:pPr>
    </w:p>
    <w:p>
      <w:pPr>
        <w:spacing w:after="0" w:line="217" w:lineRule="auto"/>
        <w:rPr>
          <w:sz w:val="20"/>
          <w:szCs w:val="20"/>
          <w:color w:val="auto"/>
        </w:rPr>
      </w:pPr>
      <w:r>
        <w:rPr>
          <w:rFonts w:ascii="Arial" w:cs="Arial" w:eastAsia="Arial" w:hAnsi="Arial"/>
          <w:sz w:val="16"/>
          <w:szCs w:val="16"/>
          <w:color w:val="auto"/>
        </w:rPr>
        <w:t>and has duly caused this Registration Statement to be signed on its behalf by the undersigned, thereunto duly authorized, in the City of Alpharetta, State of Georgia, on December 20, 2022.</w:t>
      </w:r>
    </w:p>
    <w:p>
      <w:pPr>
        <w:spacing w:after="0" w:line="318" w:lineRule="exact"/>
        <w:rPr>
          <w:sz w:val="20"/>
          <w:szCs w:val="20"/>
          <w:color w:val="auto"/>
        </w:rPr>
      </w:pPr>
    </w:p>
    <w:p>
      <w:pPr>
        <w:ind w:left="2920"/>
        <w:spacing w:after="0"/>
        <w:rPr>
          <w:sz w:val="20"/>
          <w:szCs w:val="20"/>
          <w:color w:val="auto"/>
        </w:rPr>
      </w:pPr>
      <w:r>
        <w:rPr>
          <w:rFonts w:ascii="Arial" w:cs="Arial" w:eastAsia="Arial" w:hAnsi="Arial"/>
          <w:sz w:val="16"/>
          <w:szCs w:val="16"/>
          <w:b w:val="1"/>
          <w:bCs w:val="1"/>
          <w:color w:val="auto"/>
        </w:rPr>
        <w:t>PRIORITY TECHNOLOGY HOLDINGS, INC.</w:t>
      </w:r>
    </w:p>
    <w:p>
      <w:pPr>
        <w:spacing w:after="0" w:line="24" w:lineRule="exact"/>
        <w:rPr>
          <w:sz w:val="20"/>
          <w:szCs w:val="20"/>
          <w:color w:val="auto"/>
        </w:rPr>
      </w:pPr>
    </w:p>
    <w:tbl>
      <w:tblPr>
        <w:tblLayout w:type="fixed"/>
        <w:tblInd w:w="2920" w:type="dxa"/>
        <w:tblCellMar>
          <w:top w:w="0" w:type="dxa"/>
          <w:left w:w="0" w:type="dxa"/>
          <w:bottom w:w="0" w:type="dxa"/>
          <w:right w:w="0" w:type="dxa"/>
        </w:tblCellMar>
      </w:tblPr>
      <w:tr>
        <w:trPr>
          <w:trHeight w:val="197"/>
        </w:trPr>
        <w:tc>
          <w:tcPr>
            <w:tcW w:w="840" w:type="dxa"/>
            <w:vAlign w:val="bottom"/>
          </w:tcPr>
          <w:p>
            <w:pPr>
              <w:spacing w:after="0"/>
              <w:rPr>
                <w:sz w:val="20"/>
                <w:szCs w:val="20"/>
                <w:color w:val="auto"/>
              </w:rPr>
            </w:pPr>
            <w:r>
              <w:rPr>
                <w:rFonts w:ascii="Arial" w:cs="Arial" w:eastAsia="Arial" w:hAnsi="Arial"/>
                <w:sz w:val="16"/>
                <w:szCs w:val="16"/>
                <w:color w:val="auto"/>
              </w:rPr>
              <w:t>By:</w:t>
            </w:r>
          </w:p>
        </w:tc>
        <w:tc>
          <w:tcPr>
            <w:tcW w:w="390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/s/ Timothy M. O’Leary</w:t>
            </w:r>
          </w:p>
        </w:tc>
      </w:tr>
      <w:tr>
        <w:trPr>
          <w:trHeight w:val="194"/>
        </w:trPr>
        <w:tc>
          <w:tcPr>
            <w:tcW w:w="840" w:type="dxa"/>
            <w:vAlign w:val="bottom"/>
          </w:tcPr>
          <w:p>
            <w:pPr>
              <w:spacing w:after="0" w:line="181" w:lineRule="exact"/>
              <w:rPr>
                <w:sz w:val="20"/>
                <w:szCs w:val="20"/>
                <w:color w:val="auto"/>
              </w:rPr>
            </w:pPr>
            <w:r>
              <w:rPr>
                <w:rFonts w:ascii="Arial" w:cs="Arial" w:eastAsia="Arial" w:hAnsi="Arial"/>
                <w:sz w:val="16"/>
                <w:szCs w:val="16"/>
                <w:color w:val="auto"/>
              </w:rPr>
              <w:t>Name:</w:t>
            </w:r>
          </w:p>
        </w:tc>
        <w:tc>
          <w:tcPr>
            <w:tcW w:w="3900" w:type="dxa"/>
            <w:vAlign w:val="bottom"/>
          </w:tcPr>
          <w:p>
            <w:pPr>
              <w:ind w:left="40"/>
              <w:spacing w:after="0"/>
              <w:rPr>
                <w:sz w:val="20"/>
                <w:szCs w:val="20"/>
                <w:color w:val="auto"/>
              </w:rPr>
            </w:pPr>
            <w:r>
              <w:rPr>
                <w:rFonts w:ascii="Arial" w:cs="Arial" w:eastAsia="Arial" w:hAnsi="Arial"/>
                <w:sz w:val="16"/>
                <w:szCs w:val="16"/>
                <w:color w:val="auto"/>
              </w:rPr>
              <w:t>Timothy M. O’Leary</w:t>
            </w:r>
          </w:p>
        </w:tc>
      </w:tr>
      <w:tr>
        <w:trPr>
          <w:trHeight w:val="200"/>
        </w:trPr>
        <w:tc>
          <w:tcPr>
            <w:tcW w:w="840" w:type="dxa"/>
            <w:vAlign w:val="bottom"/>
          </w:tcPr>
          <w:p>
            <w:pPr>
              <w:spacing w:after="0"/>
              <w:rPr>
                <w:sz w:val="20"/>
                <w:szCs w:val="20"/>
                <w:color w:val="auto"/>
              </w:rPr>
            </w:pPr>
            <w:r>
              <w:rPr>
                <w:rFonts w:ascii="Arial" w:cs="Arial" w:eastAsia="Arial" w:hAnsi="Arial"/>
                <w:sz w:val="16"/>
                <w:szCs w:val="16"/>
                <w:color w:val="auto"/>
              </w:rPr>
              <w:t>Title:</w:t>
            </w:r>
          </w:p>
        </w:tc>
        <w:tc>
          <w:tcPr>
            <w:tcW w:w="3900" w:type="dxa"/>
            <w:vAlign w:val="bottom"/>
          </w:tcPr>
          <w:p>
            <w:pPr>
              <w:ind w:left="40"/>
              <w:spacing w:after="0"/>
              <w:rPr>
                <w:sz w:val="20"/>
                <w:szCs w:val="20"/>
                <w:color w:val="auto"/>
              </w:rPr>
            </w:pPr>
            <w:r>
              <w:rPr>
                <w:rFonts w:ascii="Arial" w:cs="Arial" w:eastAsia="Arial" w:hAnsi="Arial"/>
                <w:sz w:val="16"/>
                <w:szCs w:val="16"/>
                <w:color w:val="auto"/>
              </w:rPr>
              <w:t>Chief Financial Officer</w:t>
            </w:r>
          </w:p>
        </w:tc>
      </w:tr>
    </w:tbl>
    <w:p>
      <w:pPr>
        <w:spacing w:after="0" w:line="232"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POWERS OF ATTORNEY</w:t>
      </w:r>
    </w:p>
    <w:p>
      <w:pPr>
        <w:spacing w:after="0" w:line="119" w:lineRule="exact"/>
        <w:rPr>
          <w:sz w:val="20"/>
          <w:szCs w:val="20"/>
          <w:color w:val="auto"/>
        </w:rPr>
      </w:pPr>
    </w:p>
    <w:p>
      <w:pPr>
        <w:ind w:firstLine="255"/>
        <w:spacing w:after="0" w:line="246" w:lineRule="auto"/>
        <w:rPr>
          <w:sz w:val="20"/>
          <w:szCs w:val="20"/>
          <w:color w:val="auto"/>
        </w:rPr>
      </w:pPr>
      <w:r>
        <w:rPr>
          <w:rFonts w:ascii="Arial" w:cs="Arial" w:eastAsia="Arial" w:hAnsi="Arial"/>
          <w:sz w:val="14"/>
          <w:szCs w:val="14"/>
          <w:color w:val="auto"/>
        </w:rPr>
        <w:t>Each person whose signature appears below constitutes and appoints Timothy M. O’Leary and Bradley Miller or any of them, his or her true and lawful attorneys-in-fact and agents, with full power of substitution and resubstitution, for him or her and in his or her name, place and stead, in any and all capacities, to sign any and all amendments to this</w:t>
      </w:r>
    </w:p>
    <w:p>
      <w:pPr>
        <w:spacing w:after="0" w:line="229" w:lineRule="auto"/>
        <w:rPr>
          <w:sz w:val="20"/>
          <w:szCs w:val="20"/>
          <w:color w:val="auto"/>
        </w:rPr>
      </w:pPr>
      <w:r>
        <w:rPr>
          <w:rFonts w:ascii="Arial" w:cs="Arial" w:eastAsia="Arial" w:hAnsi="Arial"/>
          <w:sz w:val="14"/>
          <w:szCs w:val="14"/>
          <w:color w:val="auto"/>
        </w:rPr>
        <w:t>Registration Statement, including post-effective amendments to this Registration Statement, registration statements filed pursuant to Rule 429 under the Securities Act, and any related registration statements necessary to register additional securities, and to file the same, with all exhibits thereto, and other documents in connection therewith with the</w:t>
      </w:r>
    </w:p>
    <w:p>
      <w:pPr>
        <w:spacing w:after="0" w:line="272" w:lineRule="auto"/>
        <w:rPr>
          <w:sz w:val="20"/>
          <w:szCs w:val="20"/>
          <w:color w:val="auto"/>
        </w:rPr>
      </w:pPr>
      <w:r>
        <w:rPr>
          <w:rFonts w:ascii="Arial" w:cs="Arial" w:eastAsia="Arial" w:hAnsi="Arial"/>
          <w:sz w:val="14"/>
          <w:szCs w:val="14"/>
          <w:color w:val="auto"/>
        </w:rPr>
        <w:t>Securities and Exchange Commission, granting unto said attorneys-in-fact and agents, and each of them, full power and authority to do and to perform each and every act and thing requisite and necessary to be done in and about the premises, as fully and to all intents and purposes as he or she might or would do in person,</w:t>
      </w:r>
    </w:p>
    <w:p>
      <w:pPr>
        <w:sectPr>
          <w:pgSz w:w="11900" w:h="16838" w:orient="portrait"/>
          <w:cols w:equalWidth="0" w:num="1">
            <w:col w:w="11280"/>
          </w:cols>
          <w:pgMar w:left="300" w:top="1129" w:right="319" w:bottom="1440" w:gutter="0" w:footer="0" w:header="0"/>
        </w:sectPr>
      </w:pPr>
    </w:p>
    <w:bookmarkStart w:id="4" w:name="page5"/>
    <w:bookmarkEnd w:id="4"/>
    <w:p>
      <w:pPr>
        <w:spacing w:after="0" w:line="232" w:lineRule="auto"/>
        <w:rPr>
          <w:sz w:val="20"/>
          <w:szCs w:val="20"/>
          <w:color w:val="auto"/>
        </w:rPr>
      </w:pPr>
      <w:r>
        <w:rPr>
          <w:rFonts w:ascii="Arial" w:cs="Arial" w:eastAsia="Arial" w:hAnsi="Arial"/>
          <w:sz w:val="16"/>
          <w:szCs w:val="16"/>
          <w:color w:val="auto"/>
        </w:rPr>
        <w:t>hereby ratifying and confirming all that said attorneys-in-fact and agents or any of them, or their or his substitute or substitutes, may lawfully do or cause to be done by virtue hereof.</w:t>
      </w:r>
    </w:p>
    <w:p>
      <w:pPr>
        <w:spacing w:after="0" w:line="10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Pursuant to the requirements of the Securities Act, this Registration Statement has been signed by the following persons in the capacities and on the dates indicated.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236220</wp:posOffset>
            </wp:positionV>
            <wp:extent cx="4204335" cy="133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extLst>
                    </a:blip>
                    <a:srcRect/>
                    <a:stretch>
                      <a:fillRect/>
                    </a:stretch>
                  </pic:blipFill>
                  <pic:spPr bwMode="auto">
                    <a:xfrm>
                      <a:off x="0" y="0"/>
                      <a:ext cx="4204335" cy="133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140" w:type="dxa"/>
            <w:vAlign w:val="bottom"/>
          </w:tcPr>
          <w:p>
            <w:pPr>
              <w:spacing w:after="0"/>
              <w:rPr>
                <w:sz w:val="16"/>
                <w:szCs w:val="16"/>
                <w:color w:val="auto"/>
              </w:rPr>
            </w:pPr>
          </w:p>
        </w:tc>
        <w:tc>
          <w:tcPr>
            <w:tcW w:w="640" w:type="dxa"/>
            <w:vAlign w:val="bottom"/>
          </w:tcPr>
          <w:p>
            <w:pPr>
              <w:jc w:val="center"/>
              <w:spacing w:after="0"/>
              <w:rPr>
                <w:sz w:val="20"/>
                <w:szCs w:val="20"/>
                <w:color w:val="auto"/>
              </w:rPr>
            </w:pPr>
            <w:r>
              <w:rPr>
                <w:rFonts w:ascii="Arial" w:cs="Arial" w:eastAsia="Arial" w:hAnsi="Arial"/>
                <w:sz w:val="16"/>
                <w:szCs w:val="16"/>
                <w:b w:val="1"/>
                <w:bCs w:val="1"/>
                <w:color w:val="auto"/>
                <w:w w:val="86"/>
              </w:rPr>
              <w:t>Signature</w:t>
            </w:r>
          </w:p>
        </w:tc>
        <w:tc>
          <w:tcPr>
            <w:tcW w:w="212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320" w:type="dxa"/>
            <w:vAlign w:val="bottom"/>
          </w:tcPr>
          <w:p>
            <w:pPr>
              <w:jc w:val="center"/>
              <w:spacing w:after="0"/>
              <w:rPr>
                <w:sz w:val="20"/>
                <w:szCs w:val="20"/>
                <w:color w:val="auto"/>
              </w:rPr>
            </w:pPr>
            <w:r>
              <w:rPr>
                <w:rFonts w:ascii="Arial" w:cs="Arial" w:eastAsia="Arial" w:hAnsi="Arial"/>
                <w:sz w:val="16"/>
                <w:szCs w:val="16"/>
                <w:b w:val="1"/>
                <w:bCs w:val="1"/>
                <w:color w:val="auto"/>
                <w:w w:val="97"/>
              </w:rPr>
              <w:t>Title</w:t>
            </w: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gridSpan w:val="2"/>
          </w:tcPr>
          <w:p>
            <w:pPr>
              <w:jc w:val="center"/>
              <w:ind w:right="460"/>
              <w:spacing w:after="0"/>
              <w:rPr>
                <w:sz w:val="20"/>
                <w:szCs w:val="20"/>
                <w:color w:val="auto"/>
              </w:rPr>
            </w:pPr>
            <w:r>
              <w:rPr>
                <w:rFonts w:ascii="Arial" w:cs="Arial" w:eastAsia="Arial" w:hAnsi="Arial"/>
                <w:sz w:val="16"/>
                <w:szCs w:val="16"/>
                <w:b w:val="1"/>
                <w:bCs w:val="1"/>
                <w:color w:val="auto"/>
                <w:w w:val="86"/>
              </w:rPr>
              <w:t>Date</w:t>
            </w:r>
          </w:p>
        </w:tc>
        <w:tc>
          <w:tcPr>
            <w:tcW w:w="0" w:type="dxa"/>
            <w:vAlign w:val="bottom"/>
          </w:tcPr>
          <w:p>
            <w:pPr>
              <w:spacing w:after="0"/>
              <w:rPr>
                <w:sz w:val="1"/>
                <w:szCs w:val="1"/>
                <w:color w:val="auto"/>
              </w:rPr>
            </w:pPr>
          </w:p>
        </w:tc>
      </w:tr>
      <w:tr>
        <w:trPr>
          <w:trHeight w:val="20"/>
        </w:trPr>
        <w:tc>
          <w:tcPr>
            <w:tcW w:w="214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120" w:type="dxa"/>
            <w:vAlign w:val="bottom"/>
          </w:tcPr>
          <w:p>
            <w:pPr>
              <w:spacing w:after="0"/>
              <w:rPr>
                <w:sz w:val="15"/>
                <w:szCs w:val="15"/>
                <w:color w:val="auto"/>
              </w:rPr>
            </w:pPr>
          </w:p>
        </w:tc>
        <w:tc>
          <w:tcPr>
            <w:tcW w:w="4020" w:type="dxa"/>
            <w:vAlign w:val="bottom"/>
            <w:gridSpan w:val="3"/>
          </w:tcPr>
          <w:p>
            <w:pPr>
              <w:jc w:val="center"/>
              <w:ind w:right="100"/>
              <w:spacing w:after="0" w:line="180" w:lineRule="exact"/>
              <w:rPr>
                <w:sz w:val="20"/>
                <w:szCs w:val="20"/>
                <w:color w:val="auto"/>
              </w:rPr>
            </w:pPr>
            <w:r>
              <w:rPr>
                <w:rFonts w:ascii="Arial" w:cs="Arial" w:eastAsia="Arial" w:hAnsi="Arial"/>
                <w:sz w:val="16"/>
                <w:szCs w:val="16"/>
                <w:color w:val="auto"/>
                <w:w w:val="89"/>
              </w:rPr>
              <w:t>President, Chief Executive Officer and Chairman</w:t>
            </w:r>
          </w:p>
        </w:tc>
        <w:tc>
          <w:tcPr>
            <w:tcW w:w="1740" w:type="dxa"/>
            <w:vAlign w:val="bottom"/>
            <w:gridSpan w:val="3"/>
            <w:vMerge w:val="restart"/>
          </w:tcPr>
          <w:p>
            <w:pPr>
              <w:jc w:val="center"/>
              <w:ind w:left="44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0"/>
              </w:rPr>
              <w:t>/s/ Thomas C. Priore</w:t>
            </w:r>
          </w:p>
        </w:tc>
        <w:tc>
          <w:tcPr>
            <w:tcW w:w="402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(Principal Executive Officer)</w:t>
            </w:r>
          </w:p>
        </w:tc>
        <w:tc>
          <w:tcPr>
            <w:tcW w:w="1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4900" w:type="dxa"/>
            <w:vAlign w:val="bottom"/>
            <w:gridSpan w:val="3"/>
          </w:tcPr>
          <w:p>
            <w:pPr>
              <w:jc w:val="center"/>
              <w:spacing w:after="0"/>
              <w:rPr>
                <w:sz w:val="20"/>
                <w:szCs w:val="20"/>
                <w:color w:val="auto"/>
              </w:rPr>
            </w:pPr>
            <w:r>
              <w:rPr>
                <w:rFonts w:ascii="Arial" w:cs="Arial" w:eastAsia="Arial" w:hAnsi="Arial"/>
                <w:sz w:val="16"/>
                <w:szCs w:val="16"/>
                <w:color w:val="auto"/>
                <w:w w:val="87"/>
              </w:rPr>
              <w:t>Thomas C. Priore</w:t>
            </w:r>
          </w:p>
        </w:tc>
        <w:tc>
          <w:tcPr>
            <w:tcW w:w="18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9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2"/>
        </w:trPr>
        <w:tc>
          <w:tcPr>
            <w:tcW w:w="214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4020" w:type="dxa"/>
            <w:vAlign w:val="bottom"/>
            <w:gridSpan w:val="3"/>
          </w:tcPr>
          <w:p>
            <w:pPr>
              <w:jc w:val="center"/>
              <w:ind w:right="100"/>
              <w:spacing w:after="0" w:line="162" w:lineRule="exact"/>
              <w:rPr>
                <w:sz w:val="20"/>
                <w:szCs w:val="20"/>
                <w:color w:val="auto"/>
              </w:rPr>
            </w:pPr>
            <w:r>
              <w:rPr>
                <w:rFonts w:ascii="Arial" w:cs="Arial" w:eastAsia="Arial" w:hAnsi="Arial"/>
                <w:sz w:val="16"/>
                <w:szCs w:val="16"/>
                <w:color w:val="auto"/>
                <w:w w:val="91"/>
              </w:rPr>
              <w:t>Chief Financial Officer</w:t>
            </w:r>
          </w:p>
        </w:tc>
        <w:tc>
          <w:tcPr>
            <w:tcW w:w="1740" w:type="dxa"/>
            <w:vAlign w:val="bottom"/>
            <w:gridSpan w:val="3"/>
            <w:vMerge w:val="restart"/>
          </w:tcPr>
          <w:p>
            <w:pPr>
              <w:jc w:val="center"/>
              <w:ind w:left="442"/>
              <w:spacing w:after="0"/>
              <w:rPr>
                <w:sz w:val="20"/>
                <w:szCs w:val="20"/>
                <w:color w:val="auto"/>
              </w:rPr>
            </w:pPr>
            <w:r>
              <w:rPr>
                <w:rFonts w:ascii="Arial" w:cs="Arial" w:eastAsia="Arial" w:hAnsi="Arial"/>
                <w:sz w:val="16"/>
                <w:szCs w:val="16"/>
                <w:color w:val="auto"/>
                <w:w w:val="86"/>
              </w:rPr>
              <w:t>December 20, 2022</w:t>
            </w:r>
          </w:p>
        </w:tc>
        <w:tc>
          <w:tcPr>
            <w:tcW w:w="0" w:type="dxa"/>
            <w:vAlign w:val="bottom"/>
          </w:tcPr>
          <w:p>
            <w:pPr>
              <w:spacing w:after="0"/>
              <w:rPr>
                <w:sz w:val="1"/>
                <w:szCs w:val="1"/>
                <w:color w:val="auto"/>
              </w:rPr>
            </w:pPr>
          </w:p>
        </w:tc>
      </w:tr>
      <w:tr>
        <w:trPr>
          <w:trHeight w:val="193"/>
        </w:trPr>
        <w:tc>
          <w:tcPr>
            <w:tcW w:w="4900" w:type="dxa"/>
            <w:vAlign w:val="bottom"/>
            <w:tcBorders>
              <w:bottom w:val="single" w:sz="8" w:color="auto"/>
            </w:tcBorders>
            <w:gridSpan w:val="3"/>
          </w:tcPr>
          <w:p>
            <w:pPr>
              <w:jc w:val="center"/>
              <w:spacing w:after="0"/>
              <w:rPr>
                <w:sz w:val="20"/>
                <w:szCs w:val="20"/>
                <w:color w:val="auto"/>
              </w:rPr>
            </w:pPr>
            <w:r>
              <w:rPr>
                <w:rFonts w:ascii="Arial" w:cs="Arial" w:eastAsia="Arial" w:hAnsi="Arial"/>
                <w:sz w:val="14"/>
                <w:szCs w:val="14"/>
                <w:color w:val="auto"/>
                <w:w w:val="96"/>
              </w:rPr>
              <w:t>/s/ Timothy M. O’Leary</w:t>
            </w:r>
          </w:p>
        </w:tc>
        <w:tc>
          <w:tcPr>
            <w:tcW w:w="4020" w:type="dxa"/>
            <w:vAlign w:val="bottom"/>
            <w:gridSpan w:val="3"/>
          </w:tcPr>
          <w:p>
            <w:pPr>
              <w:jc w:val="center"/>
              <w:ind w:right="100"/>
              <w:spacing w:after="0"/>
              <w:rPr>
                <w:sz w:val="20"/>
                <w:szCs w:val="20"/>
                <w:color w:val="auto"/>
              </w:rPr>
            </w:pPr>
            <w:r>
              <w:rPr>
                <w:rFonts w:ascii="Arial" w:cs="Arial" w:eastAsia="Arial" w:hAnsi="Arial"/>
                <w:sz w:val="16"/>
                <w:szCs w:val="16"/>
                <w:color w:val="auto"/>
                <w:w w:val="91"/>
              </w:rPr>
              <w:t>(Principal Financial Officer)</w:t>
            </w:r>
          </w:p>
        </w:tc>
        <w:tc>
          <w:tcPr>
            <w:tcW w:w="1740" w:type="dxa"/>
            <w:vAlign w:val="bottom"/>
            <w:gridSpan w:val="3"/>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900" w:type="dxa"/>
            <w:vAlign w:val="bottom"/>
            <w:gridSpan w:val="3"/>
          </w:tcPr>
          <w:p>
            <w:pPr>
              <w:jc w:val="center"/>
              <w:spacing w:after="0"/>
              <w:rPr>
                <w:sz w:val="20"/>
                <w:szCs w:val="20"/>
                <w:color w:val="auto"/>
              </w:rPr>
            </w:pPr>
            <w:r>
              <w:rPr>
                <w:rFonts w:ascii="Arial" w:cs="Arial" w:eastAsia="Arial" w:hAnsi="Arial"/>
                <w:sz w:val="14"/>
                <w:szCs w:val="14"/>
                <w:color w:val="auto"/>
                <w:w w:val="98"/>
              </w:rPr>
              <w:t>Timothy M. O’Leary</w:t>
            </w:r>
          </w:p>
        </w:tc>
        <w:tc>
          <w:tcPr>
            <w:tcW w:w="18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80"/>
          </w:cols>
          <w:pgMar w:left="300" w:top="1135" w:right="319" w:bottom="1440" w:gutter="0" w:footer="0" w:header="0"/>
        </w:sectPr>
      </w:pPr>
    </w:p>
    <w:p>
      <w:pPr>
        <w:spacing w:after="0" w:line="169"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Rajiv Kumar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277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10"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Rajiv Kumar</w:t>
      </w:r>
    </w:p>
    <w:p>
      <w:pPr>
        <w:spacing w:after="0" w:line="4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John Priore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2770"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John Priore</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Michael Passilla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2770"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7">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Michael Passilla</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Marietta C. Davis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2770"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Marietta C. Davis</w:t>
      </w:r>
    </w:p>
    <w:p>
      <w:pPr>
        <w:spacing w:after="0" w:line="338" w:lineRule="exact"/>
        <w:rPr>
          <w:sz w:val="20"/>
          <w:szCs w:val="20"/>
          <w:color w:val="auto"/>
        </w:rPr>
      </w:pPr>
    </w:p>
    <w:p>
      <w:pPr>
        <w:jc w:val="center"/>
        <w:ind w:left="560"/>
        <w:spacing w:after="0"/>
        <w:rPr>
          <w:sz w:val="20"/>
          <w:szCs w:val="20"/>
          <w:color w:val="auto"/>
        </w:rPr>
      </w:pPr>
      <w:r>
        <w:rPr>
          <w:rFonts w:ascii="Arial" w:cs="Arial" w:eastAsia="Arial" w:hAnsi="Arial"/>
          <w:sz w:val="13"/>
          <w:szCs w:val="13"/>
          <w:color w:val="auto"/>
        </w:rPr>
        <w:t>/s/ Christina M. Favilla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19685</wp:posOffset>
            </wp:positionV>
            <wp:extent cx="3112770" cy="698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20"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Christina M. Favilla</w:t>
      </w:r>
    </w:p>
    <w:p>
      <w:pPr>
        <w:spacing w:after="0" w:line="361"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Stephen W. Hipp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3112770" cy="698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8"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Stephen W. Hipp</w:t>
      </w:r>
    </w:p>
    <w:p>
      <w:pPr>
        <w:spacing w:after="0" w:line="327" w:lineRule="exact"/>
        <w:rPr>
          <w:sz w:val="20"/>
          <w:szCs w:val="20"/>
          <w:color w:val="auto"/>
        </w:rPr>
      </w:pPr>
    </w:p>
    <w:p>
      <w:pPr>
        <w:jc w:val="center"/>
        <w:ind w:left="560"/>
        <w:spacing w:after="0"/>
        <w:rPr>
          <w:sz w:val="20"/>
          <w:szCs w:val="20"/>
          <w:color w:val="auto"/>
        </w:rPr>
      </w:pPr>
      <w:r>
        <w:rPr>
          <w:rFonts w:ascii="Arial" w:cs="Arial" w:eastAsia="Arial" w:hAnsi="Arial"/>
          <w:sz w:val="14"/>
          <w:szCs w:val="14"/>
          <w:color w:val="auto"/>
        </w:rPr>
        <w:t>/s/ Marc Crisafulli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wp:posOffset>
            </wp:positionV>
            <wp:extent cx="3112770" cy="698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extLst>
                        <a:ext uri="{28A0092B-C50C-407E-A947-70E740481C1C}"/>
                      </a:extLst>
                    </a:blip>
                    <a:srcRect/>
                    <a:stretch>
                      <a:fillRect/>
                    </a:stretch>
                  </pic:blipFill>
                  <pic:spPr bwMode="auto">
                    <a:xfrm>
                      <a:off x="0" y="0"/>
                      <a:ext cx="3112770" cy="6985"/>
                    </a:xfrm>
                    <a:prstGeom prst="rect">
                      <a:avLst/>
                    </a:prstGeom>
                    <a:noFill/>
                  </pic:spPr>
                </pic:pic>
              </a:graphicData>
            </a:graphic>
          </wp:anchor>
        </w:drawing>
      </w:r>
    </w:p>
    <w:p>
      <w:pPr>
        <w:spacing w:after="0" w:line="19" w:lineRule="exact"/>
        <w:rPr>
          <w:sz w:val="20"/>
          <w:szCs w:val="20"/>
          <w:color w:val="auto"/>
        </w:rPr>
      </w:pPr>
    </w:p>
    <w:p>
      <w:pPr>
        <w:jc w:val="center"/>
        <w:ind w:left="560"/>
        <w:spacing w:after="0"/>
        <w:rPr>
          <w:sz w:val="20"/>
          <w:szCs w:val="20"/>
          <w:color w:val="auto"/>
        </w:rPr>
      </w:pPr>
      <w:r>
        <w:rPr>
          <w:rFonts w:ascii="Arial" w:cs="Arial" w:eastAsia="Arial" w:hAnsi="Arial"/>
          <w:sz w:val="16"/>
          <w:szCs w:val="16"/>
          <w:color w:val="auto"/>
        </w:rPr>
        <w:t>Marc Crisafulli</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57"/>
        </w:trPr>
        <w:tc>
          <w:tcPr>
            <w:tcW w:w="3960" w:type="dxa"/>
            <w:vAlign w:val="bottom"/>
          </w:tcPr>
          <w:p>
            <w:pPr>
              <w:jc w:val="center"/>
              <w:ind w:right="322"/>
              <w:spacing w:after="0" w:line="158" w:lineRule="exact"/>
              <w:rPr>
                <w:sz w:val="20"/>
                <w:szCs w:val="20"/>
                <w:color w:val="auto"/>
              </w:rPr>
            </w:pPr>
            <w:r>
              <w:rPr>
                <w:rFonts w:ascii="Arial" w:cs="Arial" w:eastAsia="Arial" w:hAnsi="Arial"/>
                <w:sz w:val="16"/>
                <w:szCs w:val="16"/>
                <w:color w:val="auto"/>
                <w:w w:val="86"/>
              </w:rPr>
              <w:t>Senior Vice President and</w:t>
            </w:r>
          </w:p>
        </w:tc>
        <w:tc>
          <w:tcPr>
            <w:tcW w:w="1620" w:type="dxa"/>
            <w:vAlign w:val="bottom"/>
            <w:vMerge w:val="restart"/>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197"/>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Chief Accounting Officer (Principal Accounting Officer)</w:t>
            </w:r>
          </w:p>
        </w:tc>
        <w:tc>
          <w:tcPr>
            <w:tcW w:w="162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382"/>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711"/>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711"/>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711"/>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711"/>
        </w:trPr>
        <w:tc>
          <w:tcPr>
            <w:tcW w:w="3960" w:type="dxa"/>
            <w:vAlign w:val="bottom"/>
          </w:tcPr>
          <w:p>
            <w:pPr>
              <w:jc w:val="center"/>
              <w:ind w:right="322"/>
              <w:spacing w:after="0"/>
              <w:rPr>
                <w:sz w:val="20"/>
                <w:szCs w:val="20"/>
                <w:color w:val="auto"/>
              </w:rPr>
            </w:pPr>
            <w:r>
              <w:rPr>
                <w:rFonts w:ascii="Arial" w:cs="Arial" w:eastAsia="Arial" w:hAnsi="Arial"/>
                <w:sz w:val="16"/>
                <w:szCs w:val="16"/>
                <w:color w:val="auto"/>
                <w:w w:val="92"/>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r>
        <w:trPr>
          <w:trHeight w:val="711"/>
        </w:trPr>
        <w:tc>
          <w:tcPr>
            <w:tcW w:w="3960" w:type="dxa"/>
            <w:vAlign w:val="bottom"/>
          </w:tcPr>
          <w:p>
            <w:pPr>
              <w:jc w:val="center"/>
              <w:ind w:right="302"/>
              <w:spacing w:after="0"/>
              <w:rPr>
                <w:sz w:val="20"/>
                <w:szCs w:val="20"/>
                <w:color w:val="auto"/>
              </w:rPr>
            </w:pPr>
            <w:r>
              <w:rPr>
                <w:rFonts w:ascii="Arial" w:cs="Arial" w:eastAsia="Arial" w:hAnsi="Arial"/>
                <w:sz w:val="16"/>
                <w:szCs w:val="16"/>
                <w:color w:val="auto"/>
                <w:w w:val="89"/>
              </w:rPr>
              <w:t>Director</w:t>
            </w:r>
          </w:p>
        </w:tc>
        <w:tc>
          <w:tcPr>
            <w:tcW w:w="1620" w:type="dxa"/>
            <w:vAlign w:val="bottom"/>
          </w:tcPr>
          <w:p>
            <w:pPr>
              <w:ind w:left="400"/>
              <w:spacing w:after="0"/>
              <w:rPr>
                <w:sz w:val="20"/>
                <w:szCs w:val="20"/>
                <w:color w:val="auto"/>
              </w:rPr>
            </w:pPr>
            <w:r>
              <w:rPr>
                <w:rFonts w:ascii="Arial" w:cs="Arial" w:eastAsia="Arial" w:hAnsi="Arial"/>
                <w:sz w:val="16"/>
                <w:szCs w:val="16"/>
                <w:color w:val="auto"/>
                <w:w w:val="85"/>
              </w:rPr>
              <w:t>December 20, 2022</w:t>
            </w:r>
          </w:p>
        </w:tc>
        <w:tc>
          <w:tcPr>
            <w:tcW w:w="0" w:type="dxa"/>
            <w:vAlign w:val="bottom"/>
          </w:tcPr>
          <w:p>
            <w:pPr>
              <w:spacing w:after="0"/>
              <w:rPr>
                <w:sz w:val="1"/>
                <w:szCs w:val="1"/>
                <w:color w:val="auto"/>
              </w:rPr>
            </w:pPr>
          </w:p>
        </w:tc>
      </w:tr>
    </w:tbl>
    <w:p>
      <w:pPr>
        <w:sectPr>
          <w:pgSz w:w="11900" w:h="16838" w:orient="portrait"/>
          <w:cols w:equalWidth="0" w:num="2">
            <w:col w:w="4360" w:space="720"/>
            <w:col w:w="6200"/>
          </w:cols>
          <w:pgMar w:left="300" w:top="1135" w:right="319" w:bottom="1440" w:gutter="0" w:footer="0" w:header="0"/>
          <w:type w:val="continuous"/>
        </w:sectPr>
      </w:pPr>
    </w:p>
    <w:bookmarkStart w:id="5" w:name="page6"/>
    <w:bookmarkEnd w:id="5"/>
    <w:p>
      <w:pPr>
        <w:jc w:val="right"/>
        <w:ind w:right="20"/>
        <w:spacing w:after="0"/>
        <w:rPr>
          <w:sz w:val="20"/>
          <w:szCs w:val="20"/>
          <w:color w:val="auto"/>
        </w:rPr>
      </w:pPr>
      <w:r>
        <w:rPr>
          <w:rFonts w:ascii="Arial" w:cs="Arial" w:eastAsia="Arial" w:hAnsi="Arial"/>
          <w:sz w:val="16"/>
          <w:szCs w:val="16"/>
          <w:color w:val="auto"/>
        </w:rPr>
        <w:t>EXHIBIT 107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CALCULATION OF FILING FEE TABLES</w:t>
      </w:r>
    </w:p>
    <w:p>
      <w:pPr>
        <w:spacing w:after="0" w:line="137"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FORM S-8</w:t>
      </w:r>
    </w:p>
    <w:p>
      <w:pPr>
        <w:jc w:val="center"/>
        <w:ind w:right="20"/>
        <w:spacing w:after="0"/>
        <w:rPr>
          <w:sz w:val="20"/>
          <w:szCs w:val="20"/>
          <w:color w:val="auto"/>
        </w:rPr>
      </w:pPr>
      <w:r>
        <w:rPr>
          <w:rFonts w:ascii="Arial" w:cs="Arial" w:eastAsia="Arial" w:hAnsi="Arial"/>
          <w:sz w:val="14"/>
          <w:szCs w:val="14"/>
          <w:color w:val="auto"/>
        </w:rPr>
        <w:t>(Form Type)</w:t>
      </w:r>
    </w:p>
    <w:p>
      <w:pPr>
        <w:spacing w:after="0" w:line="132" w:lineRule="exact"/>
        <w:rPr>
          <w:sz w:val="20"/>
          <w:szCs w:val="20"/>
          <w:color w:val="auto"/>
        </w:rPr>
      </w:pPr>
    </w:p>
    <w:p>
      <w:pPr>
        <w:jc w:val="center"/>
        <w:ind w:right="20"/>
        <w:spacing w:after="0"/>
        <w:rPr>
          <w:sz w:val="20"/>
          <w:szCs w:val="20"/>
          <w:color w:val="auto"/>
        </w:rPr>
      </w:pPr>
      <w:r>
        <w:rPr>
          <w:rFonts w:ascii="Arial" w:cs="Arial" w:eastAsia="Arial" w:hAnsi="Arial"/>
          <w:sz w:val="17"/>
          <w:szCs w:val="17"/>
          <w:b w:val="1"/>
          <w:bCs w:val="1"/>
          <w:color w:val="auto"/>
        </w:rPr>
        <w:t>Priority Technology Holdings, Inc.</w:t>
      </w:r>
    </w:p>
    <w:p>
      <w:pPr>
        <w:jc w:val="center"/>
        <w:ind w:right="20"/>
        <w:spacing w:after="0"/>
        <w:rPr>
          <w:sz w:val="20"/>
          <w:szCs w:val="20"/>
          <w:color w:val="auto"/>
        </w:rPr>
      </w:pPr>
      <w:r>
        <w:rPr>
          <w:rFonts w:ascii="Arial" w:cs="Arial" w:eastAsia="Arial" w:hAnsi="Arial"/>
          <w:sz w:val="14"/>
          <w:szCs w:val="14"/>
          <w:color w:val="auto"/>
        </w:rPr>
        <w:t>(Exact Name of Registrant as Specified in its Charter)</w:t>
      </w:r>
    </w:p>
    <w:p>
      <w:pPr>
        <w:spacing w:after="0" w:line="131" w:lineRule="exact"/>
        <w:rPr>
          <w:sz w:val="20"/>
          <w:szCs w:val="20"/>
          <w:color w:val="auto"/>
        </w:rPr>
      </w:pPr>
    </w:p>
    <w:p>
      <w:pPr>
        <w:jc w:val="center"/>
        <w:ind w:right="20"/>
        <w:spacing w:after="0"/>
        <w:rPr>
          <w:sz w:val="20"/>
          <w:szCs w:val="20"/>
          <w:color w:val="auto"/>
        </w:rPr>
      </w:pPr>
      <w:r>
        <w:rPr>
          <w:rFonts w:ascii="Arial" w:cs="Arial" w:eastAsia="Arial" w:hAnsi="Arial"/>
          <w:sz w:val="14"/>
          <w:szCs w:val="14"/>
          <w:b w:val="1"/>
          <w:bCs w:val="1"/>
          <w:color w:val="auto"/>
        </w:rPr>
        <w:t>Table 1: Newly Registered Securities</w:t>
      </w:r>
    </w:p>
    <w:p>
      <w:pPr>
        <w:spacing w:after="0" w:line="385" w:lineRule="exact"/>
        <w:rPr>
          <w:sz w:val="20"/>
          <w:szCs w:val="20"/>
          <w:color w:val="auto"/>
        </w:rPr>
      </w:pPr>
    </w:p>
    <w:tbl>
      <w:tblPr>
        <w:tblLayout w:type="fixed"/>
        <w:tblInd w:w="10" w:type="dxa"/>
        <w:tblCellMar>
          <w:top w:w="0" w:type="dxa"/>
          <w:left w:w="0" w:type="dxa"/>
          <w:bottom w:w="0" w:type="dxa"/>
          <w:right w:w="0" w:type="dxa"/>
        </w:tblCellMar>
      </w:tblPr>
      <w:tr>
        <w:trPr>
          <w:trHeight w:val="155"/>
        </w:trPr>
        <w:tc>
          <w:tcPr>
            <w:tcW w:w="1060" w:type="dxa"/>
            <w:vAlign w:val="bottom"/>
            <w:tcBorders>
              <w:top w:val="single" w:sz="8" w:color="auto"/>
              <w:left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360" w:type="dxa"/>
            <w:vAlign w:val="bottom"/>
            <w:tcBorders>
              <w:top w:val="single" w:sz="8" w:color="auto"/>
              <w:right w:val="single" w:sz="8" w:color="auto"/>
            </w:tcBorders>
          </w:tcPr>
          <w:p>
            <w:pPr>
              <w:spacing w:after="0"/>
              <w:rPr>
                <w:sz w:val="13"/>
                <w:szCs w:val="13"/>
                <w:color w:val="auto"/>
              </w:rPr>
            </w:pPr>
          </w:p>
        </w:tc>
        <w:tc>
          <w:tcPr>
            <w:tcW w:w="1740" w:type="dxa"/>
            <w:vAlign w:val="bottom"/>
            <w:tcBorders>
              <w:top w:val="single" w:sz="8" w:color="auto"/>
              <w:right w:val="single" w:sz="8" w:color="auto"/>
            </w:tcBorders>
          </w:tcPr>
          <w:p>
            <w:pPr>
              <w:spacing w:after="0"/>
              <w:rPr>
                <w:sz w:val="13"/>
                <w:szCs w:val="13"/>
                <w:color w:val="auto"/>
              </w:rPr>
            </w:pPr>
          </w:p>
        </w:tc>
        <w:tc>
          <w:tcPr>
            <w:tcW w:w="164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Proposed Maximum</w:t>
            </w:r>
          </w:p>
        </w:tc>
        <w:tc>
          <w:tcPr>
            <w:tcW w:w="150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2"/>
              </w:rPr>
              <w:t>Maximum Aggregate</w:t>
            </w:r>
          </w:p>
        </w:tc>
        <w:tc>
          <w:tcPr>
            <w:tcW w:w="1180" w:type="dxa"/>
            <w:vAlign w:val="bottom"/>
            <w:tcBorders>
              <w:top w:val="single" w:sz="8" w:color="auto"/>
              <w:right w:val="single" w:sz="8" w:color="auto"/>
            </w:tcBorders>
          </w:tcPr>
          <w:p>
            <w:pPr>
              <w:spacing w:after="0"/>
              <w:rPr>
                <w:sz w:val="13"/>
                <w:szCs w:val="13"/>
                <w:color w:val="auto"/>
              </w:rPr>
            </w:pPr>
          </w:p>
        </w:tc>
        <w:tc>
          <w:tcPr>
            <w:tcW w:w="1460" w:type="dxa"/>
            <w:vAlign w:val="bottom"/>
            <w:tcBorders>
              <w:top w:val="single" w:sz="8" w:color="auto"/>
              <w:right w:val="single" w:sz="8" w:color="auto"/>
            </w:tcBorders>
          </w:tcPr>
          <w:p>
            <w:pPr>
              <w:jc w:val="center"/>
              <w:spacing w:after="0" w:line="155" w:lineRule="exact"/>
              <w:rPr>
                <w:sz w:val="20"/>
                <w:szCs w:val="20"/>
                <w:color w:val="auto"/>
              </w:rPr>
            </w:pPr>
            <w:r>
              <w:rPr>
                <w:rFonts w:ascii="Arial" w:cs="Arial" w:eastAsia="Arial" w:hAnsi="Arial"/>
                <w:sz w:val="14"/>
                <w:szCs w:val="14"/>
                <w:b w:val="1"/>
                <w:bCs w:val="1"/>
                <w:color w:val="auto"/>
                <w:w w:val="91"/>
              </w:rPr>
              <w:t>Amount of</w:t>
            </w:r>
          </w:p>
        </w:tc>
      </w:tr>
      <w:tr>
        <w:trPr>
          <w:trHeight w:val="184"/>
        </w:trPr>
        <w:tc>
          <w:tcPr>
            <w:tcW w:w="106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Security Type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Security Class Title</w:t>
            </w: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Fee Calculation Rule</w:t>
            </w:r>
          </w:p>
        </w:tc>
        <w:tc>
          <w:tcPr>
            <w:tcW w:w="1740" w:type="dxa"/>
            <w:vAlign w:val="bottom"/>
            <w:tcBorders>
              <w:bottom w:val="single" w:sz="8" w:color="auto"/>
              <w:right w:val="single" w:sz="8" w:color="auto"/>
            </w:tcBorders>
          </w:tcPr>
          <w:p>
            <w:pPr>
              <w:jc w:val="right"/>
              <w:ind w:right="129"/>
              <w:spacing w:after="0"/>
              <w:rPr>
                <w:sz w:val="20"/>
                <w:szCs w:val="20"/>
                <w:color w:val="auto"/>
              </w:rPr>
            </w:pPr>
            <w:r>
              <w:rPr>
                <w:rFonts w:ascii="Arial" w:cs="Arial" w:eastAsia="Arial" w:hAnsi="Arial"/>
                <w:sz w:val="14"/>
                <w:szCs w:val="14"/>
                <w:b w:val="1"/>
                <w:bCs w:val="1"/>
                <w:color w:val="auto"/>
              </w:rPr>
              <w:t>Amount Registered (1)</w:t>
            </w:r>
          </w:p>
        </w:tc>
        <w:tc>
          <w:tcPr>
            <w:tcW w:w="164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 Per Unit(2)</w:t>
            </w: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Offering Price(2)</w:t>
            </w:r>
          </w:p>
        </w:tc>
        <w:tc>
          <w:tcPr>
            <w:tcW w:w="118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Fee Rate</w:t>
            </w: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b w:val="1"/>
                <w:bCs w:val="1"/>
                <w:color w:val="auto"/>
                <w:w w:val="91"/>
              </w:rPr>
              <w:t>Registration Fee(2)</w:t>
            </w:r>
          </w:p>
        </w:tc>
      </w:tr>
      <w:tr>
        <w:trPr>
          <w:trHeight w:val="139"/>
        </w:trPr>
        <w:tc>
          <w:tcPr>
            <w:tcW w:w="1060" w:type="dxa"/>
            <w:vAlign w:val="bottom"/>
            <w:tcBorders>
              <w:left w:val="single" w:sz="8" w:color="auto"/>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7"/>
              </w:rPr>
              <w:t>Equity</w:t>
            </w:r>
          </w:p>
        </w:tc>
        <w:tc>
          <w:tcPr>
            <w:tcW w:w="13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Common stock,</w:t>
            </w:r>
          </w:p>
        </w:tc>
        <w:tc>
          <w:tcPr>
            <w:tcW w:w="13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457(c) and 457(h)</w:t>
            </w:r>
          </w:p>
        </w:tc>
        <w:tc>
          <w:tcPr>
            <w:tcW w:w="1740" w:type="dxa"/>
            <w:vAlign w:val="bottom"/>
            <w:tcBorders>
              <w:right w:val="single" w:sz="8" w:color="auto"/>
            </w:tcBorders>
          </w:tcPr>
          <w:p>
            <w:pPr>
              <w:jc w:val="right"/>
              <w:ind w:right="589"/>
              <w:spacing w:after="0" w:line="139" w:lineRule="exact"/>
              <w:rPr>
                <w:sz w:val="20"/>
                <w:szCs w:val="20"/>
                <w:color w:val="auto"/>
              </w:rPr>
            </w:pPr>
            <w:r>
              <w:rPr>
                <w:rFonts w:ascii="Arial" w:cs="Arial" w:eastAsia="Arial" w:hAnsi="Arial"/>
                <w:sz w:val="14"/>
                <w:szCs w:val="14"/>
                <w:color w:val="auto"/>
              </w:rPr>
              <w:t>180,000</w:t>
            </w:r>
          </w:p>
        </w:tc>
        <w:tc>
          <w:tcPr>
            <w:tcW w:w="164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1"/>
              </w:rPr>
              <w:t>$5.70</w:t>
            </w:r>
          </w:p>
        </w:tc>
        <w:tc>
          <w:tcPr>
            <w:tcW w:w="150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89"/>
              </w:rPr>
              <w:t>1,026,000</w:t>
            </w:r>
          </w:p>
        </w:tc>
        <w:tc>
          <w:tcPr>
            <w:tcW w:w="1180" w:type="dxa"/>
            <w:vAlign w:val="bottom"/>
            <w:tcBorders>
              <w:right w:val="single" w:sz="8" w:color="auto"/>
            </w:tcBorders>
          </w:tcPr>
          <w:p>
            <w:pPr>
              <w:jc w:val="right"/>
              <w:ind w:right="229"/>
              <w:spacing w:after="0" w:line="139" w:lineRule="exact"/>
              <w:rPr>
                <w:sz w:val="20"/>
                <w:szCs w:val="20"/>
                <w:color w:val="auto"/>
              </w:rPr>
            </w:pPr>
            <w:r>
              <w:rPr>
                <w:rFonts w:ascii="Arial" w:cs="Arial" w:eastAsia="Arial" w:hAnsi="Arial"/>
                <w:sz w:val="14"/>
                <w:szCs w:val="14"/>
                <w:color w:val="auto"/>
              </w:rPr>
              <w:t>0.0001102</w:t>
            </w:r>
          </w:p>
        </w:tc>
        <w:tc>
          <w:tcPr>
            <w:tcW w:w="1460" w:type="dxa"/>
            <w:vAlign w:val="bottom"/>
            <w:tcBorders>
              <w:right w:val="single" w:sz="8" w:color="auto"/>
            </w:tcBorders>
          </w:tcPr>
          <w:p>
            <w:pPr>
              <w:jc w:val="center"/>
              <w:spacing w:after="0" w:line="139" w:lineRule="exact"/>
              <w:rPr>
                <w:sz w:val="20"/>
                <w:szCs w:val="20"/>
                <w:color w:val="auto"/>
              </w:rPr>
            </w:pPr>
            <w:r>
              <w:rPr>
                <w:rFonts w:ascii="Arial" w:cs="Arial" w:eastAsia="Arial" w:hAnsi="Arial"/>
                <w:sz w:val="14"/>
                <w:szCs w:val="14"/>
                <w:color w:val="auto"/>
                <w:w w:val="90"/>
              </w:rPr>
              <w:t>$113.07</w:t>
            </w:r>
          </w:p>
        </w:tc>
      </w:tr>
      <w:tr>
        <w:trPr>
          <w:trHeight w:val="138"/>
        </w:trPr>
        <w:tc>
          <w:tcPr>
            <w:tcW w:w="1060" w:type="dxa"/>
            <w:vAlign w:val="bottom"/>
            <w:tcBorders>
              <w:left w:val="single" w:sz="8" w:color="auto"/>
              <w:right w:val="single" w:sz="8" w:color="auto"/>
            </w:tcBorders>
          </w:tcPr>
          <w:p>
            <w:pPr>
              <w:spacing w:after="0"/>
              <w:rPr>
                <w:sz w:val="12"/>
                <w:szCs w:val="12"/>
                <w:color w:val="auto"/>
              </w:rPr>
            </w:pPr>
          </w:p>
        </w:tc>
        <w:tc>
          <w:tcPr>
            <w:tcW w:w="1360" w:type="dxa"/>
            <w:vAlign w:val="bottom"/>
            <w:tcBorders>
              <w:right w:val="single" w:sz="8" w:color="auto"/>
            </w:tcBorders>
          </w:tcPr>
          <w:p>
            <w:pPr>
              <w:jc w:val="center"/>
              <w:spacing w:after="0" w:line="138" w:lineRule="exact"/>
              <w:rPr>
                <w:sz w:val="20"/>
                <w:szCs w:val="20"/>
                <w:color w:val="auto"/>
              </w:rPr>
            </w:pPr>
            <w:r>
              <w:rPr>
                <w:rFonts w:ascii="Arial" w:cs="Arial" w:eastAsia="Arial" w:hAnsi="Arial"/>
                <w:sz w:val="14"/>
                <w:szCs w:val="14"/>
                <w:color w:val="auto"/>
                <w:w w:val="90"/>
              </w:rPr>
              <w:t>$0.001 par value per</w:t>
            </w:r>
          </w:p>
        </w:tc>
        <w:tc>
          <w:tcPr>
            <w:tcW w:w="1360" w:type="dxa"/>
            <w:vAlign w:val="bottom"/>
            <w:tcBorders>
              <w:right w:val="single" w:sz="8" w:color="auto"/>
            </w:tcBorders>
          </w:tcPr>
          <w:p>
            <w:pPr>
              <w:spacing w:after="0"/>
              <w:rPr>
                <w:sz w:val="12"/>
                <w:szCs w:val="12"/>
                <w:color w:val="auto"/>
              </w:rPr>
            </w:pPr>
          </w:p>
        </w:tc>
        <w:tc>
          <w:tcPr>
            <w:tcW w:w="1740" w:type="dxa"/>
            <w:vAlign w:val="bottom"/>
            <w:tcBorders>
              <w:right w:val="single" w:sz="8" w:color="auto"/>
            </w:tcBorders>
          </w:tcPr>
          <w:p>
            <w:pPr>
              <w:spacing w:after="0"/>
              <w:rPr>
                <w:sz w:val="12"/>
                <w:szCs w:val="12"/>
                <w:color w:val="auto"/>
              </w:rPr>
            </w:pPr>
          </w:p>
        </w:tc>
        <w:tc>
          <w:tcPr>
            <w:tcW w:w="1640" w:type="dxa"/>
            <w:vAlign w:val="bottom"/>
            <w:tcBorders>
              <w:right w:val="single" w:sz="8" w:color="auto"/>
            </w:tcBorders>
          </w:tcPr>
          <w:p>
            <w:pPr>
              <w:spacing w:after="0"/>
              <w:rPr>
                <w:sz w:val="12"/>
                <w:szCs w:val="12"/>
                <w:color w:val="auto"/>
              </w:rPr>
            </w:pPr>
          </w:p>
        </w:tc>
        <w:tc>
          <w:tcPr>
            <w:tcW w:w="1500" w:type="dxa"/>
            <w:vAlign w:val="bottom"/>
            <w:tcBorders>
              <w:right w:val="single" w:sz="8" w:color="auto"/>
            </w:tcBorders>
          </w:tcPr>
          <w:p>
            <w:pPr>
              <w:spacing w:after="0"/>
              <w:rPr>
                <w:sz w:val="12"/>
                <w:szCs w:val="12"/>
                <w:color w:val="auto"/>
              </w:rPr>
            </w:pPr>
          </w:p>
        </w:tc>
        <w:tc>
          <w:tcPr>
            <w:tcW w:w="1180" w:type="dxa"/>
            <w:vAlign w:val="bottom"/>
            <w:tcBorders>
              <w:right w:val="single" w:sz="8" w:color="auto"/>
            </w:tcBorders>
          </w:tcPr>
          <w:p>
            <w:pPr>
              <w:spacing w:after="0"/>
              <w:rPr>
                <w:sz w:val="12"/>
                <w:szCs w:val="12"/>
                <w:color w:val="auto"/>
              </w:rPr>
            </w:pPr>
          </w:p>
        </w:tc>
        <w:tc>
          <w:tcPr>
            <w:tcW w:w="1460" w:type="dxa"/>
            <w:vAlign w:val="bottom"/>
            <w:tcBorders>
              <w:right w:val="single" w:sz="8" w:color="auto"/>
            </w:tcBorders>
          </w:tcPr>
          <w:p>
            <w:pPr>
              <w:spacing w:after="0"/>
              <w:rPr>
                <w:sz w:val="12"/>
                <w:szCs w:val="12"/>
                <w:color w:val="auto"/>
              </w:rPr>
            </w:pPr>
          </w:p>
        </w:tc>
      </w:tr>
      <w:tr>
        <w:trPr>
          <w:trHeight w:val="180"/>
        </w:trPr>
        <w:tc>
          <w:tcPr>
            <w:tcW w:w="1060" w:type="dxa"/>
            <w:vAlign w:val="bottom"/>
            <w:tcBorders>
              <w:left w:val="single" w:sz="8" w:color="auto"/>
              <w:bottom w:val="single" w:sz="8" w:color="auto"/>
              <w:right w:val="single" w:sz="8" w:color="auto"/>
            </w:tcBorders>
          </w:tcPr>
          <w:p>
            <w:pPr>
              <w:spacing w:after="0"/>
              <w:rPr>
                <w:sz w:val="15"/>
                <w:szCs w:val="15"/>
                <w:color w:val="auto"/>
              </w:rPr>
            </w:pPr>
          </w:p>
        </w:tc>
        <w:tc>
          <w:tcPr>
            <w:tcW w:w="13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5"/>
              </w:rPr>
              <w:t>share</w:t>
            </w:r>
          </w:p>
        </w:tc>
        <w:tc>
          <w:tcPr>
            <w:tcW w:w="1360" w:type="dxa"/>
            <w:vAlign w:val="bottom"/>
            <w:tcBorders>
              <w:bottom w:val="single" w:sz="8" w:color="auto"/>
              <w:right w:val="single" w:sz="8" w:color="auto"/>
            </w:tcBorders>
          </w:tcPr>
          <w:p>
            <w:pPr>
              <w:spacing w:after="0"/>
              <w:rPr>
                <w:sz w:val="15"/>
                <w:szCs w:val="15"/>
                <w:color w:val="auto"/>
              </w:rPr>
            </w:pPr>
          </w:p>
        </w:tc>
        <w:tc>
          <w:tcPr>
            <w:tcW w:w="1740" w:type="dxa"/>
            <w:vAlign w:val="bottom"/>
            <w:tcBorders>
              <w:bottom w:val="single" w:sz="8" w:color="auto"/>
              <w:right w:val="single" w:sz="8" w:color="auto"/>
            </w:tcBorders>
          </w:tcPr>
          <w:p>
            <w:pPr>
              <w:spacing w:after="0"/>
              <w:rPr>
                <w:sz w:val="15"/>
                <w:szCs w:val="15"/>
                <w:color w:val="auto"/>
              </w:rPr>
            </w:pPr>
          </w:p>
        </w:tc>
        <w:tc>
          <w:tcPr>
            <w:tcW w:w="1640" w:type="dxa"/>
            <w:vAlign w:val="bottom"/>
            <w:tcBorders>
              <w:bottom w:val="single" w:sz="8" w:color="auto"/>
              <w:right w:val="single" w:sz="8" w:color="auto"/>
            </w:tcBorders>
          </w:tcPr>
          <w:p>
            <w:pPr>
              <w:spacing w:after="0"/>
              <w:rPr>
                <w:sz w:val="15"/>
                <w:szCs w:val="15"/>
                <w:color w:val="auto"/>
              </w:rPr>
            </w:pPr>
          </w:p>
        </w:tc>
        <w:tc>
          <w:tcPr>
            <w:tcW w:w="1500" w:type="dxa"/>
            <w:vAlign w:val="bottom"/>
            <w:tcBorders>
              <w:bottom w:val="single" w:sz="8" w:color="auto"/>
              <w:right w:val="single" w:sz="8" w:color="auto"/>
            </w:tcBorders>
          </w:tcPr>
          <w:p>
            <w:pPr>
              <w:spacing w:after="0"/>
              <w:rPr>
                <w:sz w:val="15"/>
                <w:szCs w:val="15"/>
                <w:color w:val="auto"/>
              </w:rPr>
            </w:pPr>
          </w:p>
        </w:tc>
        <w:tc>
          <w:tcPr>
            <w:tcW w:w="1180" w:type="dxa"/>
            <w:vAlign w:val="bottom"/>
            <w:tcBorders>
              <w:bottom w:val="single" w:sz="8" w:color="auto"/>
              <w:right w:val="single" w:sz="8" w:color="auto"/>
            </w:tcBorders>
          </w:tcPr>
          <w:p>
            <w:pPr>
              <w:spacing w:after="0"/>
              <w:rPr>
                <w:sz w:val="15"/>
                <w:szCs w:val="15"/>
                <w:color w:val="auto"/>
              </w:rPr>
            </w:pPr>
          </w:p>
        </w:tc>
        <w:tc>
          <w:tcPr>
            <w:tcW w:w="1460" w:type="dxa"/>
            <w:vAlign w:val="bottom"/>
            <w:tcBorders>
              <w:bottom w:val="single" w:sz="8" w:color="auto"/>
              <w:right w:val="single" w:sz="8" w:color="auto"/>
            </w:tcBorders>
          </w:tcPr>
          <w:p>
            <w:pPr>
              <w:spacing w:after="0"/>
              <w:rPr>
                <w:sz w:val="15"/>
                <w:szCs w:val="15"/>
                <w:color w:val="auto"/>
              </w:rPr>
            </w:pP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Total Offering Amounts</w:t>
            </w:r>
          </w:p>
        </w:tc>
        <w:tc>
          <w:tcPr>
            <w:tcW w:w="1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89"/>
              </w:rPr>
              <w:t>1,026,000</w:t>
            </w:r>
          </w:p>
        </w:tc>
        <w:tc>
          <w:tcPr>
            <w:tcW w:w="11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$113.07</w:t>
            </w: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Total Fee Offsets</w:t>
            </w:r>
          </w:p>
        </w:tc>
        <w:tc>
          <w:tcPr>
            <w:tcW w:w="1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c>
          <w:tcPr>
            <w:tcW w:w="11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9"/>
              </w:rPr>
              <w:t>—</w:t>
            </w:r>
          </w:p>
        </w:tc>
      </w:tr>
      <w:tr>
        <w:trPr>
          <w:trHeight w:val="171"/>
        </w:trPr>
        <w:tc>
          <w:tcPr>
            <w:tcW w:w="1060" w:type="dxa"/>
            <w:vAlign w:val="bottom"/>
            <w:tcBorders>
              <w:left w:val="single" w:sz="8" w:color="auto"/>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spacing w:after="0"/>
              <w:rPr>
                <w:sz w:val="14"/>
                <w:szCs w:val="14"/>
                <w:color w:val="auto"/>
              </w:rPr>
            </w:pPr>
          </w:p>
        </w:tc>
        <w:tc>
          <w:tcPr>
            <w:tcW w:w="1740" w:type="dxa"/>
            <w:vAlign w:val="bottom"/>
            <w:tcBorders>
              <w:bottom w:val="single" w:sz="8" w:color="auto"/>
              <w:right w:val="single" w:sz="8" w:color="auto"/>
            </w:tcBorders>
          </w:tcPr>
          <w:p>
            <w:pPr>
              <w:jc w:val="right"/>
              <w:spacing w:after="0"/>
              <w:rPr>
                <w:sz w:val="20"/>
                <w:szCs w:val="20"/>
                <w:color w:val="auto"/>
              </w:rPr>
            </w:pPr>
            <w:r>
              <w:rPr>
                <w:rFonts w:ascii="Arial" w:cs="Arial" w:eastAsia="Arial" w:hAnsi="Arial"/>
                <w:sz w:val="14"/>
                <w:szCs w:val="14"/>
                <w:b w:val="1"/>
                <w:bCs w:val="1"/>
                <w:color w:val="auto"/>
              </w:rPr>
              <w:t>Net Fee Due</w:t>
            </w:r>
          </w:p>
        </w:tc>
        <w:tc>
          <w:tcPr>
            <w:tcW w:w="1640" w:type="dxa"/>
            <w:vAlign w:val="bottom"/>
            <w:tcBorders>
              <w:bottom w:val="single" w:sz="8" w:color="auto"/>
              <w:right w:val="single" w:sz="8" w:color="auto"/>
            </w:tcBorders>
          </w:tcPr>
          <w:p>
            <w:pPr>
              <w:spacing w:after="0"/>
              <w:rPr>
                <w:sz w:val="14"/>
                <w:szCs w:val="14"/>
                <w:color w:val="auto"/>
              </w:rPr>
            </w:pPr>
          </w:p>
        </w:tc>
        <w:tc>
          <w:tcPr>
            <w:tcW w:w="1500" w:type="dxa"/>
            <w:vAlign w:val="bottom"/>
            <w:tcBorders>
              <w:bottom w:val="single" w:sz="8" w:color="auto"/>
              <w:right w:val="single" w:sz="8" w:color="auto"/>
            </w:tcBorders>
          </w:tcPr>
          <w:p>
            <w:pPr>
              <w:spacing w:after="0"/>
              <w:rPr>
                <w:sz w:val="14"/>
                <w:szCs w:val="14"/>
                <w:color w:val="auto"/>
              </w:rPr>
            </w:pPr>
          </w:p>
        </w:tc>
        <w:tc>
          <w:tcPr>
            <w:tcW w:w="1180" w:type="dxa"/>
            <w:vAlign w:val="bottom"/>
            <w:tcBorders>
              <w:bottom w:val="single" w:sz="8" w:color="auto"/>
              <w:right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4"/>
                <w:szCs w:val="14"/>
                <w:color w:val="auto"/>
                <w:w w:val="90"/>
              </w:rPr>
              <w:t>$113.07</w:t>
            </w:r>
          </w:p>
        </w:tc>
      </w:tr>
    </w:tbl>
    <w:p>
      <w:pPr>
        <w:spacing w:after="0" w:line="200" w:lineRule="exact"/>
        <w:rPr>
          <w:sz w:val="20"/>
          <w:szCs w:val="20"/>
          <w:color w:val="auto"/>
        </w:rPr>
      </w:pPr>
    </w:p>
    <w:p>
      <w:pPr>
        <w:spacing w:after="0" w:line="235" w:lineRule="exact"/>
        <w:rPr>
          <w:sz w:val="20"/>
          <w:szCs w:val="20"/>
          <w:color w:val="auto"/>
        </w:rPr>
      </w:pPr>
    </w:p>
    <w:p>
      <w:pPr>
        <w:ind w:right="40" w:firstLine="5"/>
        <w:spacing w:after="0" w:line="231"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Pursuant to Rule 416(a) promulgated under the Securities Act of 1933, as amended (the “</w:t>
      </w:r>
      <w:r>
        <w:rPr>
          <w:rFonts w:ascii="Arial" w:cs="Arial" w:eastAsia="Arial" w:hAnsi="Arial"/>
          <w:sz w:val="14"/>
          <w:szCs w:val="14"/>
          <w:u w:val="single" w:color="auto"/>
          <w:color w:val="auto"/>
        </w:rPr>
        <w:t>Securities Act</w:t>
      </w:r>
      <w:r>
        <w:rPr>
          <w:rFonts w:ascii="Arial" w:cs="Arial" w:eastAsia="Arial" w:hAnsi="Arial"/>
          <w:sz w:val="14"/>
          <w:szCs w:val="14"/>
          <w:color w:val="auto"/>
        </w:rPr>
        <w:t>”), this Registration Statement shall also cover any additional shares of common stock, par value $0.001 per share (“</w:t>
      </w:r>
      <w:r>
        <w:rPr>
          <w:rFonts w:ascii="Arial" w:cs="Arial" w:eastAsia="Arial" w:hAnsi="Arial"/>
          <w:sz w:val="14"/>
          <w:szCs w:val="14"/>
          <w:u w:val="single" w:color="auto"/>
          <w:color w:val="auto"/>
        </w:rPr>
        <w:t>Common Stock</w:t>
      </w:r>
      <w:r>
        <w:rPr>
          <w:rFonts w:ascii="Arial" w:cs="Arial" w:eastAsia="Arial" w:hAnsi="Arial"/>
          <w:sz w:val="14"/>
          <w:szCs w:val="14"/>
          <w:color w:val="auto"/>
        </w:rPr>
        <w:t>”), of Priority Technology Holdings, Inc. (the “</w:t>
      </w:r>
      <w:r>
        <w:rPr>
          <w:rFonts w:ascii="Arial" w:cs="Arial" w:eastAsia="Arial" w:hAnsi="Arial"/>
          <w:sz w:val="14"/>
          <w:szCs w:val="14"/>
          <w:u w:val="single" w:color="auto"/>
          <w:color w:val="auto"/>
        </w:rPr>
        <w:t>Company</w:t>
      </w:r>
      <w:r>
        <w:rPr>
          <w:rFonts w:ascii="Arial" w:cs="Arial" w:eastAsia="Arial" w:hAnsi="Arial"/>
          <w:sz w:val="14"/>
          <w:szCs w:val="14"/>
          <w:color w:val="auto"/>
        </w:rPr>
        <w:t>”) that become issuable under the Priority Technology Holdings, Inc. 2021 Employee Stock Purchase Plan (the “</w:t>
      </w:r>
      <w:r>
        <w:rPr>
          <w:rFonts w:ascii="Arial" w:cs="Arial" w:eastAsia="Arial" w:hAnsi="Arial"/>
          <w:sz w:val="14"/>
          <w:szCs w:val="14"/>
          <w:u w:val="single" w:color="auto"/>
          <w:color w:val="auto"/>
        </w:rPr>
        <w:t>Plan</w:t>
      </w:r>
      <w:r>
        <w:rPr>
          <w:rFonts w:ascii="Arial" w:cs="Arial" w:eastAsia="Arial" w:hAnsi="Arial"/>
          <w:sz w:val="14"/>
          <w:szCs w:val="14"/>
          <w:color w:val="auto"/>
        </w:rPr>
        <w:t>”) by reason of any future stock dividend, stock split, recapitalization or other similar transaction.</w:t>
      </w:r>
    </w:p>
    <w:p>
      <w:pPr>
        <w:spacing w:after="0" w:line="150" w:lineRule="exact"/>
        <w:rPr>
          <w:rFonts w:ascii="Arial" w:cs="Arial" w:eastAsia="Arial" w:hAnsi="Arial"/>
          <w:sz w:val="14"/>
          <w:szCs w:val="14"/>
          <w:color w:val="auto"/>
        </w:rPr>
      </w:pPr>
    </w:p>
    <w:p>
      <w:pPr>
        <w:ind w:right="400" w:firstLine="5"/>
        <w:spacing w:after="0" w:line="236" w:lineRule="auto"/>
        <w:tabs>
          <w:tab w:leader="none" w:pos="200" w:val="left"/>
        </w:tabs>
        <w:numPr>
          <w:ilvl w:val="0"/>
          <w:numId w:val="2"/>
        </w:numPr>
        <w:rPr>
          <w:rFonts w:ascii="Arial" w:cs="Arial" w:eastAsia="Arial" w:hAnsi="Arial"/>
          <w:sz w:val="14"/>
          <w:szCs w:val="14"/>
          <w:color w:val="auto"/>
        </w:rPr>
      </w:pPr>
      <w:r>
        <w:rPr>
          <w:rFonts w:ascii="Arial" w:cs="Arial" w:eastAsia="Arial" w:hAnsi="Arial"/>
          <w:sz w:val="14"/>
          <w:szCs w:val="14"/>
          <w:color w:val="auto"/>
        </w:rPr>
        <w:t>Estimated in accordance with Rule 457(c) and Rule 457(h) of the Securities Act. The price shown is based upon the average of the high and low prices reported for the common stock on the Nasdaq Global Market on December 19, 2022.</w:t>
      </w:r>
    </w:p>
    <w:p>
      <w:pPr>
        <w:sectPr>
          <w:pgSz w:w="11900" w:h="16838" w:orient="portrait"/>
          <w:cols w:equalWidth="0" w:num="1">
            <w:col w:w="11300"/>
          </w:cols>
          <w:pgMar w:left="300" w:top="115" w:right="299" w:bottom="1440" w:gutter="0" w:footer="0" w:header="0"/>
        </w:sectPr>
      </w:pPr>
    </w:p>
    <w:bookmarkStart w:id="6" w:name="page7"/>
    <w:bookmarkEnd w:id="6"/>
    <w:p>
      <w:pPr>
        <w:spacing w:after="0" w:line="236"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304800</wp:posOffset>
            </wp:positionV>
            <wp:extent cx="7105650" cy="933386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36" w:lineRule="auto"/>
        <w:tabs>
          <w:tab w:leader="none" w:pos="200" w:val="left"/>
        </w:tabs>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36" w:lineRule="auto"/>
        <w:tabs>
          <w:tab w:leader="none" w:pos="200" w:val="left"/>
        </w:tabs>
        <w:rPr>
          <w:sz w:val="20"/>
          <w:szCs w:val="20"/>
          <w:color w:val="auto"/>
        </w:rPr>
      </w:pPr>
    </w:p>
    <w:p>
      <w:pPr>
        <w:sectPr>
          <w:pgSz w:w="11900" w:h="16838" w:orient="portrait"/>
          <w:cols w:equalWidth="1" w:num="1" w:space="0"/>
          <w:pgMar w:left="1440" w:top="1440" w:right="1440" w:bottom="875" w:gutter="0" w:footer="0" w:header="0"/>
        </w:sectPr>
      </w:pPr>
    </w:p>
    <w:bookmarkStart w:id="9" w:name="page10"/>
    <w:bookmarkEnd w:id="9"/>
    <w:p>
      <w:pPr>
        <w:jc w:val="right"/>
        <w:spacing w:after="0"/>
        <w:rPr>
          <w:sz w:val="20"/>
          <w:szCs w:val="20"/>
          <w:color w:val="auto"/>
        </w:rPr>
      </w:pPr>
      <w:r>
        <w:rPr>
          <w:rFonts w:ascii="Arial" w:cs="Arial" w:eastAsia="Arial" w:hAnsi="Arial"/>
          <w:sz w:val="16"/>
          <w:szCs w:val="16"/>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jc w:val="center"/>
        <w:spacing w:after="0"/>
        <w:rPr>
          <w:sz w:val="20"/>
          <w:szCs w:val="20"/>
          <w:color w:val="auto"/>
        </w:rPr>
      </w:pPr>
      <w:r>
        <w:rPr>
          <w:rFonts w:ascii="Arial" w:cs="Arial" w:eastAsia="Arial" w:hAnsi="Arial"/>
          <w:sz w:val="16"/>
          <w:szCs w:val="16"/>
          <w:color w:val="333333"/>
        </w:rPr>
        <w:t>Consent of Independent Registered Public Accounting Firm</w:t>
      </w:r>
    </w:p>
    <w:p>
      <w:pPr>
        <w:spacing w:after="0" w:line="378" w:lineRule="exact"/>
        <w:rPr>
          <w:sz w:val="20"/>
          <w:szCs w:val="20"/>
          <w:color w:val="auto"/>
        </w:rPr>
      </w:pPr>
    </w:p>
    <w:p>
      <w:pPr>
        <w:jc w:val="both"/>
        <w:spacing w:after="0" w:line="416" w:lineRule="auto"/>
        <w:rPr>
          <w:sz w:val="20"/>
          <w:szCs w:val="20"/>
          <w:color w:val="auto"/>
        </w:rPr>
      </w:pPr>
      <w:r>
        <w:rPr>
          <w:rFonts w:ascii="Arial" w:cs="Arial" w:eastAsia="Arial" w:hAnsi="Arial"/>
          <w:sz w:val="16"/>
          <w:szCs w:val="16"/>
          <w:color w:val="333333"/>
        </w:rPr>
        <w:t>We consent to the incorporation by reference in the Registration Statement (Form S-8) pertaining to the 2021 Employees Stock Purchase Plan of Priority Technology Holdings, Inc. of our report dated March 17, 2022, with respect to the consolidated financial statements of Priority Technology Holdings, Inc. included in its Annual Report (Form 10-K) for the year ended December 31, 2021, filed with the Securities and Exchange Commission.</w:t>
      </w:r>
    </w:p>
    <w:p>
      <w:pPr>
        <w:spacing w:after="0" w:line="200" w:lineRule="exact"/>
        <w:rPr>
          <w:sz w:val="20"/>
          <w:szCs w:val="20"/>
          <w:color w:val="auto"/>
        </w:rPr>
      </w:pPr>
    </w:p>
    <w:p>
      <w:pPr>
        <w:spacing w:after="0" w:line="200" w:lineRule="exact"/>
        <w:rPr>
          <w:sz w:val="20"/>
          <w:szCs w:val="20"/>
          <w:color w:val="auto"/>
        </w:rPr>
      </w:pPr>
    </w:p>
    <w:p>
      <w:pPr>
        <w:spacing w:after="0" w:line="224" w:lineRule="exact"/>
        <w:rPr>
          <w:sz w:val="20"/>
          <w:szCs w:val="20"/>
          <w:color w:val="auto"/>
        </w:rPr>
      </w:pPr>
    </w:p>
    <w:p>
      <w:pPr>
        <w:ind w:left="4580"/>
        <w:spacing w:after="0"/>
        <w:rPr>
          <w:sz w:val="20"/>
          <w:szCs w:val="20"/>
          <w:color w:val="auto"/>
        </w:rPr>
      </w:pPr>
      <w:r>
        <w:rPr>
          <w:rFonts w:ascii="Arial" w:cs="Arial" w:eastAsia="Arial" w:hAnsi="Arial"/>
          <w:sz w:val="16"/>
          <w:szCs w:val="16"/>
          <w:color w:val="auto"/>
        </w:rPr>
        <w:t>/s/ Ernst &amp; Young LLP</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8" w:lineRule="exact"/>
        <w:rPr>
          <w:sz w:val="20"/>
          <w:szCs w:val="20"/>
          <w:color w:val="auto"/>
        </w:rPr>
      </w:pPr>
    </w:p>
    <w:p>
      <w:pPr>
        <w:spacing w:after="0"/>
        <w:rPr>
          <w:sz w:val="20"/>
          <w:szCs w:val="20"/>
          <w:color w:val="auto"/>
        </w:rPr>
      </w:pPr>
      <w:r>
        <w:rPr>
          <w:rFonts w:ascii="Arial" w:cs="Arial" w:eastAsia="Arial" w:hAnsi="Arial"/>
          <w:sz w:val="16"/>
          <w:szCs w:val="16"/>
          <w:color w:val="auto"/>
        </w:rPr>
        <w:t>December 20, 2022</w:t>
      </w:r>
    </w:p>
    <w:p>
      <w:pPr>
        <w:sectPr>
          <w:pgSz w:w="11900" w:h="16838" w:orient="portrait"/>
          <w:cols w:equalWidth="0" w:num="1">
            <w:col w:w="11280"/>
          </w:cols>
          <w:pgMar w:left="300" w:top="137" w:right="319" w:bottom="1440" w:gutter="0" w:footer="0" w:header="0"/>
        </w:sectPr>
      </w:pPr>
    </w:p>
    <w:bookmarkStart w:id="10" w:name="page11"/>
    <w:bookmarkEnd w:id="10"/>
    <w:p>
      <w:pPr>
        <w:jc w:val="right"/>
        <w:spacing w:after="0"/>
        <w:rPr>
          <w:sz w:val="20"/>
          <w:szCs w:val="20"/>
          <w:color w:val="auto"/>
        </w:rPr>
      </w:pPr>
      <w:r>
        <w:rPr>
          <w:rFonts w:ascii="Arial" w:cs="Arial" w:eastAsia="Arial" w:hAnsi="Arial"/>
          <w:sz w:val="16"/>
          <w:szCs w:val="16"/>
          <w:color w:val="auto"/>
        </w:rPr>
        <w:t>EXHIBIT 23.2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Consent of Independent Registered Public Accounting Firm</w:t>
      </w:r>
    </w:p>
    <w:p>
      <w:pPr>
        <w:spacing w:after="0" w:line="389" w:lineRule="exact"/>
        <w:rPr>
          <w:sz w:val="20"/>
          <w:szCs w:val="20"/>
          <w:color w:val="auto"/>
        </w:rPr>
      </w:pPr>
    </w:p>
    <w:p>
      <w:pPr>
        <w:jc w:val="both"/>
        <w:spacing w:after="0" w:line="429" w:lineRule="auto"/>
        <w:rPr>
          <w:sz w:val="20"/>
          <w:szCs w:val="20"/>
          <w:color w:val="auto"/>
        </w:rPr>
      </w:pPr>
      <w:r>
        <w:rPr>
          <w:rFonts w:ascii="Arial" w:cs="Arial" w:eastAsia="Arial" w:hAnsi="Arial"/>
          <w:sz w:val="14"/>
          <w:szCs w:val="14"/>
          <w:color w:val="auto"/>
        </w:rPr>
        <w:t>We consent to the incorporation by reference in this Registration Statement on Form S-8 of Priority Technology Holdings, Inc. of our report dated March 30, 2020, except for the change in reportable segments described in Note 20 as to which the date is March 17, 2022, relating to the consolidated financial statements of Priority Technology Holdings, Inc., appearing in the Annual Report on Form 10-K of Priority Technology Holdings, Inc. for the year ended December 31, 2021.</w:t>
      </w:r>
    </w:p>
    <w:p>
      <w:pPr>
        <w:spacing w:after="0" w:line="200" w:lineRule="exact"/>
        <w:rPr>
          <w:sz w:val="20"/>
          <w:szCs w:val="20"/>
          <w:color w:val="auto"/>
        </w:rPr>
      </w:pP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color w:val="auto"/>
        </w:rPr>
        <w:t>/s/ RSM US LLP</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Atlanta, Georgia</w:t>
      </w:r>
    </w:p>
    <w:p>
      <w:pPr>
        <w:spacing w:after="0" w:line="145" w:lineRule="exact"/>
        <w:rPr>
          <w:sz w:val="20"/>
          <w:szCs w:val="20"/>
          <w:color w:val="auto"/>
        </w:rPr>
      </w:pPr>
    </w:p>
    <w:p>
      <w:pPr>
        <w:spacing w:after="0"/>
        <w:rPr>
          <w:sz w:val="20"/>
          <w:szCs w:val="20"/>
          <w:color w:val="auto"/>
        </w:rPr>
      </w:pPr>
      <w:r>
        <w:rPr>
          <w:rFonts w:ascii="Arial" w:cs="Arial" w:eastAsia="Arial" w:hAnsi="Arial"/>
          <w:sz w:val="16"/>
          <w:szCs w:val="16"/>
          <w:color w:val="auto"/>
        </w:rPr>
        <w:t>December 20, 2022</w:t>
      </w:r>
    </w:p>
    <w:sectPr>
      <w:pgSz w:w="11900" w:h="16838" w:orient="portrait"/>
      <w:cols w:equalWidth="0" w:num="1">
        <w:col w:w="11280"/>
      </w:cols>
      <w:pgMar w:left="300" w:top="11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lowerLetter"/>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4" Type="http://schemas.openxmlformats.org/officeDocument/2006/relationships/image" Target="media/image1.jpe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8" Type="http://schemas.openxmlformats.org/officeDocument/2006/relationships/hyperlink" Target="https://www.sec.gov/Archives/edgar/data/1652362/000110465918021312/a18-9134_1ex3d1.htm" TargetMode="External"/><Relationship Id="rId9" Type="http://schemas.openxmlformats.org/officeDocument/2006/relationships/hyperlink" Target="https://www.sec.gov/Archives/edgar/data/1653558/000165355821000060/annex1certificateofamendme.htm" TargetMode="External"/><Relationship Id="rId10" Type="http://schemas.openxmlformats.org/officeDocument/2006/relationships/hyperlink" Target="https://www.sec.gov/Archives/edgar/data/0001653558/000165355821000065/exhibit31-priorityxcertifi.htm" TargetMode="External"/><Relationship Id="rId11" Type="http://schemas.openxmlformats.org/officeDocument/2006/relationships/hyperlink" Target="https://www.sec.gov/Archives/edgar/data/0001653558/000161577416006436/s103712_s1.htm" TargetMode="External"/><Relationship Id="rId12" Type="http://schemas.openxmlformats.org/officeDocument/2006/relationships/hyperlink" Target="https://www.sec.gov/Archives/edgar/data/1652362/000110465918021312/a18-9134_1ex3d2.htm" TargetMode="External"/><Relationship Id="rId13" Type="http://schemas.openxmlformats.org/officeDocument/2006/relationships/hyperlink" Target="https://www.sec.gov/Archives/edgar/data/1653558/000165355822000028/prioritytechnology-ex1031x.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2022-12-21T05:12:06Z</dcterms:created>
  <dcterms:modified xsi:type="dcterms:W3CDTF">2022-12-21T05:12:06Z</dcterms:modified>
</cp:coreProperties>
</file>