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4"/>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5"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4" w:lineRule="exact"/>
        <w:rPr>
          <w:sz w:val="24"/>
          <w:szCs w:val="24"/>
          <w:color w:val="auto"/>
        </w:rPr>
      </w:pPr>
    </w:p>
    <w:p>
      <w:pPr>
        <w:ind w:left="4644"/>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4" w:lineRule="exact"/>
        <w:rPr>
          <w:sz w:val="24"/>
          <w:szCs w:val="24"/>
          <w:color w:val="auto"/>
        </w:rPr>
      </w:pPr>
    </w:p>
    <w:p>
      <w:pPr>
        <w:ind w:left="4784"/>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77" w:lineRule="exact"/>
        <w:rPr>
          <w:sz w:val="24"/>
          <w:szCs w:val="24"/>
          <w:color w:val="auto"/>
        </w:rPr>
      </w:pPr>
    </w:p>
    <w:p>
      <w:pPr>
        <w:ind w:left="4744"/>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341"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77"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0"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18"/>
          <w:szCs w:val="18"/>
          <w:color w:val="auto"/>
        </w:rPr>
        <w:t>________________</w:t>
      </w:r>
    </w:p>
    <w:p>
      <w:pPr>
        <w:spacing w:after="0" w:line="47" w:lineRule="exact"/>
        <w:rPr>
          <w:sz w:val="24"/>
          <w:szCs w:val="24"/>
          <w:color w:val="auto"/>
        </w:rPr>
      </w:pPr>
    </w:p>
    <w:p>
      <w:pPr>
        <w:ind w:left="4644"/>
        <w:spacing w:after="0" w:line="242"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21"/>
          <w:szCs w:val="21"/>
          <w:color w:val="auto"/>
        </w:rPr>
        <w:t>☒</w:t>
      </w:r>
    </w:p>
    <w:p>
      <w:pPr>
        <w:spacing w:after="0" w:line="347" w:lineRule="exact"/>
        <w:rPr>
          <w:sz w:val="24"/>
          <w:szCs w:val="24"/>
          <w:color w:val="auto"/>
        </w:rPr>
      </w:pPr>
    </w:p>
    <w:p>
      <w:pPr>
        <w:ind w:left="4084"/>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342" w:lineRule="exact"/>
        <w:rPr>
          <w:sz w:val="24"/>
          <w:szCs w:val="24"/>
          <w:color w:val="auto"/>
        </w:rPr>
      </w:pPr>
    </w:p>
    <w:p>
      <w:pPr>
        <w:ind w:left="4624"/>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81"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44" w:lineRule="exact"/>
        <w:rPr>
          <w:rFonts w:ascii="MS PGothic" w:cs="MS PGothic" w:eastAsia="MS PGothic" w:hAnsi="MS PGothic"/>
          <w:sz w:val="16"/>
          <w:szCs w:val="16"/>
          <w:color w:val="auto"/>
        </w:rPr>
      </w:pPr>
    </w:p>
    <w:p>
      <w:pPr>
        <w:ind w:left="4" w:right="4259" w:hanging="4"/>
        <w:spacing w:after="0" w:line="216" w:lineRule="exact"/>
        <w:tabs>
          <w:tab w:leader="none" w:pos="46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Confidential, For Use of the Commission Only (as permitted by Rule 14a-6(e)(2))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Definitive Proxy Statement</w:t>
      </w:r>
    </w:p>
    <w:p>
      <w:pPr>
        <w:spacing w:after="0" w:line="1"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32"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2241550</wp:posOffset>
            </wp:positionH>
            <wp:positionV relativeFrom="paragraph">
              <wp:posOffset>124460</wp:posOffset>
            </wp:positionV>
            <wp:extent cx="2537460" cy="1148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7460" cy="1148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18"/>
          <w:szCs w:val="18"/>
          <w:b w:val="1"/>
          <w:bCs w:val="1"/>
          <w:u w:val="single" w:color="auto"/>
          <w:color w:val="auto"/>
        </w:rPr>
        <w:t>Priority Technology Holdings, Inc.</w:t>
      </w:r>
    </w:p>
    <w:p>
      <w:pPr>
        <w:spacing w:after="0" w:line="94" w:lineRule="exact"/>
        <w:rPr>
          <w:sz w:val="24"/>
          <w:szCs w:val="24"/>
          <w:color w:val="auto"/>
        </w:rPr>
      </w:pPr>
    </w:p>
    <w:p>
      <w:pPr>
        <w:ind w:left="3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Name of Registrant as Specified in Its Charter)</w:t>
      </w:r>
    </w:p>
    <w:p>
      <w:pPr>
        <w:spacing w:after="0" w:line="311" w:lineRule="exact"/>
        <w:rPr>
          <w:sz w:val="24"/>
          <w:szCs w:val="24"/>
          <w:color w:val="auto"/>
        </w:rPr>
      </w:pPr>
    </w:p>
    <w:p>
      <w:pPr>
        <w:ind w:left="3024"/>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w:t>
      </w:r>
    </w:p>
    <w:p>
      <w:pPr>
        <w:spacing w:after="0" w:line="73" w:lineRule="exact"/>
        <w:rPr>
          <w:sz w:val="24"/>
          <w:szCs w:val="24"/>
          <w:color w:val="auto"/>
        </w:rPr>
      </w:pPr>
    </w:p>
    <w:p>
      <w:pPr>
        <w:ind w:left="3144"/>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329" w:lineRule="exact"/>
        <w:rPr>
          <w:sz w:val="24"/>
          <w:szCs w:val="24"/>
          <w:color w:val="auto"/>
        </w:rPr>
      </w:pPr>
    </w:p>
    <w:p>
      <w:pPr>
        <w:ind w:left="3724"/>
        <w:spacing w:after="0"/>
        <w:rPr>
          <w:sz w:val="20"/>
          <w:szCs w:val="20"/>
          <w:color w:val="auto"/>
        </w:rPr>
      </w:pPr>
      <w:r>
        <w:rPr>
          <w:rFonts w:ascii="Times New Roman" w:cs="Times New Roman" w:eastAsia="Times New Roman" w:hAnsi="Times New Roman"/>
          <w:sz w:val="16"/>
          <w:szCs w:val="16"/>
          <w:color w:val="auto"/>
        </w:rPr>
        <w:t>Payment of Filing Fee (Check all the boxes that apply):</w:t>
      </w:r>
    </w:p>
    <w:p>
      <w:pPr>
        <w:spacing w:after="0" w:line="138" w:lineRule="exact"/>
        <w:rPr>
          <w:sz w:val="24"/>
          <w:szCs w:val="24"/>
          <w:color w:val="auto"/>
        </w:rPr>
      </w:pPr>
    </w:p>
    <w:p>
      <w:pPr>
        <w:ind w:left="464" w:hanging="464"/>
        <w:spacing w:after="0"/>
        <w:tabs>
          <w:tab w:leader="none" w:pos="464" w:val="left"/>
        </w:tabs>
        <w:numPr>
          <w:ilvl w:val="0"/>
          <w:numId w:val="2"/>
        </w:numPr>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color w:val="auto"/>
        </w:rPr>
        <w:t>No fee required.</w:t>
      </w:r>
    </w:p>
    <w:p>
      <w:pPr>
        <w:spacing w:after="0" w:line="85" w:lineRule="exact"/>
        <w:rPr>
          <w:sz w:val="24"/>
          <w:szCs w:val="24"/>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32" w:lineRule="exact"/>
        <w:rPr>
          <w:rFonts w:ascii="MS PGothic" w:cs="MS PGothic" w:eastAsia="MS PGothic" w:hAnsi="MS PGothic"/>
          <w:sz w:val="16"/>
          <w:szCs w:val="16"/>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ectPr>
          <w:pgSz w:w="11900" w:h="16838" w:orient="portrait"/>
          <w:cols w:equalWidth="0" w:num="1">
            <w:col w:w="10043"/>
          </w:cols>
          <w:pgMar w:left="416" w:top="10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2479675</wp:posOffset>
            </wp:positionH>
            <wp:positionV relativeFrom="page">
              <wp:posOffset>732155</wp:posOffset>
            </wp:positionV>
            <wp:extent cx="2588895" cy="1174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588895"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PROXY STATEMENT AND NOTICE OF</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2023 ANNUAL MEETING OF STOCKHOLDERS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Wednesday, May 24, 2023</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11:00 a.m. EDT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Priority Technology Holdings, Inc., a Delaware corporation, is a leading payments technology company that leverages a purpose-built platform to enable clients to collect, store and send money, operating at scale. Priority helps its customers take and make payments while managing business and consumer operating accounts to monetize payment networks. The Company’s tailored, agile technology powers high-value payments products bolstered by its industry leading personalized support. Its common stock is listed on the Nasdaq Global Market ("NASDAQ") under the symbol ''PRTH."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731520</wp:posOffset>
            </wp:positionV>
            <wp:extent cx="1825625" cy="822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2562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2023</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320"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The board of directors and officers of Priority Technology Holdings Inc. join me in extending to you a cordial invitation to attend our 2023 Annual Meeting of Stockholders. The Annual Meeting will be held on Wednesday, May 24, 2023, at 11:00 a.m. Eastern Daylight Time.</w:t>
      </w:r>
    </w:p>
    <w:p>
      <w:pPr>
        <w:spacing w:after="0" w:line="175" w:lineRule="exact"/>
        <w:rPr>
          <w:sz w:val="20"/>
          <w:szCs w:val="20"/>
          <w:color w:val="auto"/>
        </w:rPr>
      </w:pPr>
    </w:p>
    <w:p>
      <w:pPr>
        <w:jc w:val="both"/>
        <w:ind w:right="20"/>
        <w:spacing w:after="0" w:line="376" w:lineRule="auto"/>
        <w:rPr>
          <w:sz w:val="20"/>
          <w:szCs w:val="20"/>
          <w:color w:val="auto"/>
        </w:rPr>
      </w:pPr>
      <w:r>
        <w:rPr>
          <w:rFonts w:ascii="Times New Roman" w:cs="Times New Roman" w:eastAsia="Times New Roman" w:hAnsi="Times New Roman"/>
          <w:sz w:val="18"/>
          <w:szCs w:val="18"/>
          <w:color w:val="auto"/>
        </w:rPr>
        <w:t>Stockholders will be able to attend, vote and submit questions (both before, and for a portion of, the meeting) from any location via the Internet at www.virtualshareholdermeeting.com/PRTH2023. If you plan to participate in the virtual meeting, please see “Proxy Statement Q&amp;A.”</w:t>
      </w:r>
    </w:p>
    <w:p>
      <w:pPr>
        <w:spacing w:after="0" w:line="175"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At the Annual Meeting, stockholders will be asked to vote on three proposals set forth in the Notice of 2023 Annual Meeting of Stockholders and the Proxy Statement following this letter.</w:t>
      </w:r>
    </w:p>
    <w:p>
      <w:pPr>
        <w:spacing w:after="0" w:line="20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Whether or not you plan to attend the virtual Annual Meeting, it is important that your shares of stock are represented and voted regardless of the size of your holdings. We urge you to vote promptly and submit your proxy via the Internet, by telephone or by signing, dating and returning the enclosed proxy card in the enclosed envelope. If you decide to attend the virtual Annual Meeting, you will be able to vote in person, even if you have submitted your proxy previously.</w:t>
      </w:r>
    </w:p>
    <w:p>
      <w:pPr>
        <w:spacing w:after="0" w:line="217"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If you have any questions concerning the Annual Meeting and you are the stockholder of record of your shares of stock, please contact our Investor Relations representative at ckettman@lincolnchurchilladvisors.com or (773) 494-7575. If your shares of stock are held by a broker or other nominee (that is, in ''street name''), please contact your broker or other nominee for questions concerning the annual meeting.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speaking with you on May 24th.</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Thomas C. Priore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C. Priore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732155</wp:posOffset>
            </wp:positionV>
            <wp:extent cx="1825625"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82562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2001 Westside Parkway</w:t>
      </w:r>
    </w:p>
    <w:p>
      <w:pPr>
        <w:spacing w:after="0" w:line="9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Alpharetta, GA 30004</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2023 ANNUAL MEETING OF STOCKHOLDERS</w:t>
      </w:r>
    </w:p>
    <w:p>
      <w:pPr>
        <w:spacing w:after="0" w:line="200" w:lineRule="exact"/>
        <w:rPr>
          <w:sz w:val="20"/>
          <w:szCs w:val="20"/>
          <w:color w:val="auto"/>
        </w:rPr>
      </w:pPr>
    </w:p>
    <w:p>
      <w:pPr>
        <w:spacing w:after="0" w:line="384"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Notice is hereby given that the 2023 Annual Meeting of Stockholders (the "Annual Meeting") of Priority Technology Holdings, Inc. (the "Company") will be held at 11:00 a.m. EDT on Wednesday, May 24, 2023. Our Annual Meeting can be accessed virtually via the Internet at: www.virtualshareholdermeeting.com/PRTH2023.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the Company's stockholders will be asked to vote on the following proposals:</w:t>
      </w:r>
    </w:p>
    <w:p>
      <w:pPr>
        <w:spacing w:after="0" w:line="33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seven directors nominated by our board of directors (the "Board of Directors") and named in this Proxy Statement.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basis, the compensation of our Named Executive Officers (as defined in this Proxy Statement).</w:t>
      </w:r>
    </w:p>
    <w:p>
      <w:pPr>
        <w:spacing w:after="0" w:line="90" w:lineRule="exact"/>
        <w:rPr>
          <w:rFonts w:ascii="Times New Roman" w:cs="Times New Roman" w:eastAsia="Times New Roman" w:hAnsi="Times New Roman"/>
          <w:sz w:val="18"/>
          <w:szCs w:val="18"/>
          <w:color w:val="auto"/>
        </w:rPr>
      </w:pPr>
    </w:p>
    <w:p>
      <w:pPr>
        <w:ind w:left="660" w:right="560" w:hanging="328"/>
        <w:spacing w:after="0" w:line="3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reappointment of Ernst and Young LLP as the Company's Independent Registered Public Accounting Firm for the year ending December 31, 2023.</w:t>
      </w:r>
    </w:p>
    <w:p>
      <w:pPr>
        <w:spacing w:after="0" w:line="280"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18"/>
          <w:szCs w:val="18"/>
          <w:color w:val="auto"/>
        </w:rPr>
        <w:t xml:space="preserve">The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nominees for directors (Proposal Number One);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compensation of our Named Executive Officers (Proposal Number Two);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ratification of the proposed Independent Registered Public Accounting Firm (Proposal Number Three).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may also transact any other business that may properly come before the Annual Meeting or any adjournments or postponements thereof.</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Record Date: </w:t>
      </w:r>
      <w:r>
        <w:rPr>
          <w:rFonts w:ascii="Times New Roman" w:cs="Times New Roman" w:eastAsia="Times New Roman" w:hAnsi="Times New Roman"/>
          <w:sz w:val="18"/>
          <w:szCs w:val="18"/>
          <w:color w:val="auto"/>
        </w:rPr>
        <w:t>Close of business on March 27, 2023.</w:t>
      </w:r>
    </w:p>
    <w:p>
      <w:pPr>
        <w:spacing w:after="0" w:line="337"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18"/>
          <w:szCs w:val="18"/>
          <w:color w:val="auto"/>
        </w:rPr>
        <w:t>The solicitation of the enclosed proxy is made on behalf of the Board of Directors for use at the Annual Meeting to be held on Wednesday, May 24, 2023. It is expected that this Proxy Statement and related materials will first be provided to stockholders on or about April 11, 2023. Only stockholders of record at the close of business on March 27, 2023 are entitled to receive notice of, and to vote at, the virtual Annual Meeting or any adjournment or postponement thereof. If you do not attend the virtual Annual Meeting, you may vote your shares of stock via the Internet or by mail or telephone, as instructed in the Proxy Statement. Your vote is important.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440" w:right="339" w:bottom="1440" w:gutter="0" w:footer="0" w:header="0"/>
        </w:sectPr>
      </w:pPr>
    </w:p>
    <w:bookmarkStart w:id="4" w:name="page5"/>
    <w:bookmarkEnd w:id="4"/>
    <w:p>
      <w:pPr>
        <w:spacing w:after="0" w:line="360" w:lineRule="auto"/>
        <w:rPr>
          <w:sz w:val="20"/>
          <w:szCs w:val="20"/>
          <w:color w:val="auto"/>
        </w:rPr>
      </w:pPr>
      <w:r>
        <w:rPr>
          <w:rFonts w:ascii="Times New Roman" w:cs="Times New Roman" w:eastAsia="Times New Roman" w:hAnsi="Times New Roman"/>
          <w:sz w:val="18"/>
          <w:szCs w:val="18"/>
          <w:color w:val="auto"/>
        </w:rPr>
        <w:t>Submitting your proxy does not affect your right to vote in person if you attend the virtual Annual Meeting. Therefore, we urge you to submit your proxy as soon as possible, regardless of whether you expect to attend the Annual Meeting.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Bradley J. Miller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J. Miller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Counsel, Chief Risk Officer, and Corporate Secretary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Georgia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MATERIALS FOR THE MEETING</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Proxy Statement and our Annual Report are available via the Internet at </w:t>
      </w:r>
      <w:r>
        <w:rPr>
          <w:rFonts w:ascii="Times New Roman" w:cs="Times New Roman" w:eastAsia="Times New Roman" w:hAnsi="Times New Roman"/>
          <w:sz w:val="18"/>
          <w:szCs w:val="18"/>
          <w:b w:val="1"/>
          <w:bCs w:val="1"/>
          <w:color w:val="auto"/>
        </w:rPr>
        <w:t>http://materials.proxyvote.com/74275G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93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9"/>
          <w:szCs w:val="29"/>
          <w:b w:val="1"/>
          <w:bCs w:val="1"/>
          <w:color w:val="auto"/>
        </w:rPr>
        <w:t>Proxy Statement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Table of Contents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6"/>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Information about the Proxy Materials and the Annual Meeting</w:t>
            </w:r>
          </w:p>
        </w:tc>
        <w:tc>
          <w:tcPr>
            <w:tcW w:w="15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102"/>
        </w:trPr>
        <w:tc>
          <w:tcPr>
            <w:tcW w:w="9680" w:type="dxa"/>
            <w:vAlign w:val="bottom"/>
            <w:tcBorders>
              <w:top w:val="single" w:sz="8" w:color="CCEEFF"/>
            </w:tcBorders>
            <w:vMerge w:val="continue"/>
            <w:shd w:val="clear" w:color="auto" w:fill="CCEEFF"/>
          </w:tcPr>
          <w:p>
            <w:pPr>
              <w:spacing w:after="0"/>
              <w:rPr>
                <w:sz w:val="8"/>
                <w:szCs w:val="8"/>
                <w:color w:val="auto"/>
              </w:rPr>
            </w:pPr>
          </w:p>
        </w:tc>
        <w:tc>
          <w:tcPr>
            <w:tcW w:w="13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Executive Officers and Board of Directors</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Governance</w:t>
            </w:r>
          </w:p>
        </w:tc>
        <w:tc>
          <w:tcPr>
            <w:tcW w:w="15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Report of the Audit Committee</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15</w:t>
            </w: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Delinquent Section 16(a) Reports</w:t>
            </w:r>
          </w:p>
        </w:tc>
        <w:tc>
          <w:tcPr>
            <w:tcW w:w="15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16</w:t>
            </w: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Compensation of Executive Officers</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17</w:t>
            </w: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15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21</w:t>
            </w: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 Equity Awards at 2022 Year End</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Ownership of Certain Beneficial Owners, Directors, and Executive Officers</w:t>
            </w:r>
          </w:p>
        </w:tc>
        <w:tc>
          <w:tcPr>
            <w:tcW w:w="15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Proposal Number One - Election of Directors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Proposal Number Two - Approval of Named Executive Officer Compensation</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Proposal Number Three - Ratification of Independent Registered Public Accounting Firm</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3051F2"/>
              </w:rPr>
              <w:t>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Borders>
              <w:top w:val="single" w:sz="8" w:color="3051F2"/>
            </w:tcBorders>
          </w:tcPr>
          <w:p>
            <w:pPr>
              <w:spacing w:after="0"/>
              <w:rPr>
                <w:sz w:val="7"/>
                <w:szCs w:val="7"/>
                <w:color w:val="auto"/>
              </w:rPr>
            </w:pPr>
          </w:p>
        </w:tc>
        <w:tc>
          <w:tcPr>
            <w:tcW w:w="80" w:type="dxa"/>
            <w:vAlign w:val="bottom"/>
            <w:tcBorders>
              <w:top w:val="single" w:sz="8" w:color="3051F2"/>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Matters</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Proxy Card</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342900</wp:posOffset>
            </wp:positionV>
            <wp:extent cx="1825625" cy="685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THE PROXY MATERIALS AND THE ANNUAL MEETING</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am I receiving this Proxy Statement?</w:t>
      </w:r>
    </w:p>
    <w:p>
      <w:pPr>
        <w:spacing w:after="0" w:line="324"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8"/>
          <w:szCs w:val="18"/>
          <w:color w:val="auto"/>
        </w:rPr>
        <w:t>The Board of Directors (the "Board" or "Board of Directors") of Priority Technology Holdings, Inc. ("we," "us," "our," "Priority," "PRTH," or the "Company") is soliciting proxies for our 2023 Annual Meeting of Stockholders on May 24, 2023 (the "Annual Meeting"). This Proxy Statement and accompanying proxy card are being mailed on or about April 11, 2023 to stockholders of record as of March 27, 2023, the record date (the "Record Date") for the Annual Meeting.</w:t>
      </w:r>
    </w:p>
    <w:p>
      <w:pPr>
        <w:spacing w:after="0" w:line="200"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You are receiving this Proxy Statement because you owned shares of the Company's common stock on the Record Date and are, therefore, entitled to vote at the Annual Meeting. By use of a proxy, you can vote regardless of whether you attend the Annual Meeting. This Proxy Statement provides information on the matters on which the Board would like you to vote so that you can make an informed decision.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am I voting 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Annual Meeting is for the Company's stockholders to vote on the following proposals:</w:t>
      </w:r>
    </w:p>
    <w:p>
      <w:pPr>
        <w:spacing w:after="0" w:line="32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seven directors nominated by our Board of Directors and named in the Proxy Statement;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basis, the compensation of our Named Executive Officers ("NEOs"); and</w:t>
      </w:r>
    </w:p>
    <w:p>
      <w:pPr>
        <w:spacing w:after="0" w:line="76" w:lineRule="exact"/>
        <w:rPr>
          <w:rFonts w:ascii="Times New Roman" w:cs="Times New Roman" w:eastAsia="Times New Roman" w:hAnsi="Times New Roman"/>
          <w:sz w:val="18"/>
          <w:szCs w:val="18"/>
          <w:color w:val="auto"/>
        </w:rPr>
      </w:pPr>
    </w:p>
    <w:p>
      <w:pPr>
        <w:ind w:left="660" w:hanging="328"/>
        <w:spacing w:after="0" w:line="37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reappointment of Ernst and Young LLP ("EY") as the Company's Independent Registered Public Accounting Firm for the year ending December 31, 2023.</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Who is asking for my vote and approximately how much will these solicitation activities cost?</w:t>
      </w:r>
    </w:p>
    <w:p>
      <w:pPr>
        <w:spacing w:after="0" w:line="324"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The Company is soliciting your proxy on behalf of the Board. Solicitation of proxies is being made by the Company through the mail, in person and by telecommunications. The cost of this solicitation will be borne by the Company.</w:t>
      </w: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Who can attend the Annual Meeting?</w:t>
      </w:r>
    </w:p>
    <w:p>
      <w:pPr>
        <w:spacing w:after="0" w:line="324"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All stockholders of record, or their duly appointed proxies, may attend the Annual Meeting. Beneficial holders who hold shares of common stock "in street name" may also attend provided they obtain the appropriate documents from their broker or other nominee and present them at the Annual Meeting. As of the Record Date, there were 78,890,749 shares of common stock issued and 76,393,191 outstanding.</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6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attend the Annual Meeting?</w:t>
      </w:r>
    </w:p>
    <w:p>
      <w:pPr>
        <w:spacing w:after="0" w:line="324"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Stockholders as of the Record Date may attend and vote virtually at the Annual Meeting by logging in at www.virtualshareholdermeeting.com/PRTH2023. To log in, stockholders (or their authorized representatives) will need the control number provided on their proxy card, voting instruction form or Notice. If you are not a stockholder or do not have a control number, you may still access the meeting as a guest, but you will not be able to participate.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my voting rights?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common stock is entitled to one vote on each matter submitted to stockholders at the Annual Meeting.</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ask questions at the Virtual Annual Meeting?</w:t>
      </w:r>
    </w:p>
    <w:p>
      <w:pPr>
        <w:spacing w:after="0" w:line="324"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8"/>
          <w:szCs w:val="18"/>
          <w:color w:val="auto"/>
        </w:rPr>
        <w:t>Stockholders as of our record date who attend and participate in our virtual Annual Meeting at www.virtualshareholdermeeting.com/PRTH2023 will have an opportunity to submit questions live via the Internet during a designated portion of the meeting. These stockholders may also submit a question in advance of the Annual Meeting at www.proxyvote.com. In both cases, stockholders must have available their control number provided on their proxy card, voting instruction form or Notice.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holding shares of common stock as a stockholder of record and as a beneficial owner "in street name"?</w:t>
      </w:r>
    </w:p>
    <w:p>
      <w:pPr>
        <w:spacing w:after="0" w:line="337"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If your shares of common stock are registered directly in your name with the Company's transfer agent, American Stock Transfer &amp; Trust Company, you are considered the stockholder of record for these shares of stock. As the stockholder of record, you have the right to grant your voting proxy directly to the persons listed on your proxy card or vote in person at the Annual Meeting.</w:t>
      </w:r>
    </w:p>
    <w:p>
      <w:pPr>
        <w:spacing w:after="0" w:line="217"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8"/>
          <w:szCs w:val="18"/>
          <w:color w:val="auto"/>
        </w:rPr>
        <w:t>If your shares of stock are held in a brokerage account or through another nominee, such as a trustee, you are considered the beneficial owner of shares of stock held "in street name." These proxy materials are being forwarded to you together with a voting instruction card. As a beneficial owner, you have the right to direct your broker or other nominee how to vote, and you are also invited to attend the Annual Meeting. Because you are a beneficial owner and not the stockholder of record, you may not vote your shares of stock in person at the Annual Meeting unless you obtain a proxy from the broker or other nominee that holds your shares of stock. Your broker or other nominee should have provided directions for you to instruct the broker, trustee, or nominee on how to vote your shares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6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a broker non-vote?</w:t>
      </w:r>
    </w:p>
    <w:p>
      <w:pPr>
        <w:spacing w:after="0" w:line="324"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If you are a beneficial owner whose shares of stock are held "in street name" and you do not provide voting instructions to your broker, your shares of stock will not be voted on any proposal as to which the broker does not have discretionary authority to vote. This is called a "broker non-vote." Your broker has discretionary authority to vote only on Proposal Number Three (ratification of auditor appointment). Therefore, your broker will not have discretion to vote on any other proposal unless you specifically instruct your broker how to vote your shares of stock by returning your completed and signed voting instruction card.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337"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A quorum is the minimum number of shares of stock required to be present to transact business at the Annual Meeting. Pursuant to the Company's bylaws, the presence at the Annual Meeting, in person, by proxy, or by remote communication, of the holders of at least a majority of the shares of stock entitled to be voted will constitute a quorum. Broker non-votes and abstentions will be counted as shares of stock that are present at the meeting for purposes of determining a quorum. If a quorum is not present, the meeting will be adjourned until a quorum is obtained.</w:t>
      </w:r>
    </w:p>
    <w:p>
      <w:pPr>
        <w:spacing w:after="0" w:line="200" w:lineRule="exact"/>
        <w:rPr>
          <w:sz w:val="20"/>
          <w:szCs w:val="20"/>
          <w:color w:val="auto"/>
        </w:rPr>
      </w:pPr>
    </w:p>
    <w:p>
      <w:pPr>
        <w:spacing w:after="0" w:line="256" w:lineRule="exact"/>
        <w:rPr>
          <w:sz w:val="20"/>
          <w:szCs w:val="20"/>
          <w:color w:val="auto"/>
        </w:rPr>
      </w:pPr>
    </w:p>
    <w:p>
      <w:pPr>
        <w:ind w:right="400"/>
        <w:spacing w:after="0" w:line="365" w:lineRule="auto"/>
        <w:rPr>
          <w:sz w:val="20"/>
          <w:szCs w:val="20"/>
          <w:color w:val="auto"/>
        </w:rPr>
      </w:pPr>
      <w:r>
        <w:rPr>
          <w:rFonts w:ascii="Times New Roman" w:cs="Times New Roman" w:eastAsia="Times New Roman" w:hAnsi="Times New Roman"/>
          <w:sz w:val="18"/>
          <w:szCs w:val="18"/>
          <w:b w:val="1"/>
          <w:bCs w:val="1"/>
          <w:i w:val="1"/>
          <w:iCs w:val="1"/>
          <w:color w:val="auto"/>
        </w:rPr>
        <w:t>What are my choices when casting a vote with respect to the election of the seven nominated directors, and what vote is needed to elect the director nominees?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voting on the election of the director nominees ("Proposal Number One"), stockholders may:</w:t>
      </w:r>
    </w:p>
    <w:p>
      <w:pPr>
        <w:spacing w:after="0" w:line="32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any of the nominees;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any of the nominees; or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on any of the nominees.</w:t>
      </w:r>
    </w:p>
    <w:p>
      <w:pPr>
        <w:spacing w:after="0" w:line="320"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8"/>
          <w:szCs w:val="18"/>
          <w:color w:val="auto"/>
        </w:rPr>
        <w:t>Pursuant to our bylaws, a nominee must receive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my choices when voting on the approval of the compensation of the Company’s NEOs?</w:t>
      </w:r>
    </w:p>
    <w:p>
      <w:pPr>
        <w:spacing w:after="0" w:line="3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voting on the approval of the compensation of the Company’s NEOs ("Proposal Number Two"), stockholders may:</w:t>
      </w:r>
    </w:p>
    <w:p>
      <w:pPr>
        <w:spacing w:after="0" w:line="32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compensation of the Company’s NEOs;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the compensation of the Company’s NEOs; or</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for the compensation of the Company’s NEOs.</w:t>
      </w:r>
    </w:p>
    <w:p>
      <w:pPr>
        <w:spacing w:after="0" w:line="320" w:lineRule="exact"/>
        <w:rPr>
          <w:sz w:val="20"/>
          <w:szCs w:val="20"/>
          <w:color w:val="auto"/>
        </w:rPr>
      </w:pPr>
    </w:p>
    <w:p>
      <w:pPr>
        <w:spacing w:after="0" w:line="376" w:lineRule="auto"/>
        <w:rPr>
          <w:sz w:val="20"/>
          <w:szCs w:val="20"/>
          <w:color w:val="auto"/>
        </w:rPr>
      </w:pPr>
      <w:r>
        <w:rPr>
          <w:rFonts w:ascii="Times New Roman" w:cs="Times New Roman" w:eastAsia="Times New Roman" w:hAnsi="Times New Roman"/>
          <w:sz w:val="18"/>
          <w:szCs w:val="18"/>
          <w:color w:val="auto"/>
        </w:rPr>
        <w:t>The approval of Proposal Number Two requires the affirmative vote of a majority of the votes properly cast at our Annual Meeting. Abstentions are not considered votes cast and thus will not affect the outcome of this proposal. A broker or other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6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360" w:lineRule="auto"/>
        <w:rPr>
          <w:sz w:val="20"/>
          <w:szCs w:val="20"/>
          <w:color w:val="auto"/>
        </w:rPr>
      </w:pPr>
      <w:r>
        <w:rPr>
          <w:rFonts w:ascii="Times New Roman" w:cs="Times New Roman" w:eastAsia="Times New Roman" w:hAnsi="Times New Roman"/>
          <w:sz w:val="18"/>
          <w:szCs w:val="18"/>
          <w:color w:val="auto"/>
        </w:rPr>
        <w:t>nominee will generally have discretionary authority to vote on this proposal because it is considered a routine matter, and, therefore, we do not expect broker non-votes with respect to this proposal.</w:t>
      </w:r>
    </w:p>
    <w:p>
      <w:pPr>
        <w:spacing w:after="0" w:line="172" w:lineRule="exact"/>
        <w:rPr>
          <w:sz w:val="20"/>
          <w:szCs w:val="20"/>
          <w:color w:val="auto"/>
        </w:rPr>
      </w:pPr>
    </w:p>
    <w:p>
      <w:pPr>
        <w:ind w:right="8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What are my choices when voting on the ratification of the appointment of EY as the Company's independent registered public accounting firm for the year ending December 31, 2023, and what vote is needed to approve this proposal?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voting on the ratification of EY ("Proposal Number Three"), stockholders may:</w:t>
      </w:r>
    </w:p>
    <w:p>
      <w:pPr>
        <w:spacing w:after="0" w:line="32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to ratify EY's appointment;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ratifying EY's appointment; or</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on ratifying EY's appointment.</w:t>
      </w:r>
    </w:p>
    <w:p>
      <w:pPr>
        <w:spacing w:after="0" w:line="320"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The approval of Proposal Number Three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does the Board recommend that I vote?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a vote:</w:t>
      </w:r>
    </w:p>
    <w:p>
      <w:pPr>
        <w:spacing w:after="0" w:line="32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seven nominated directors (Proposal Number One);</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on a non-binding basis, the compensation of our Named Executive Officers (Proposal Number Two);</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EY (Proposal Number Three).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may vote in one of four ways.</w:t>
      </w:r>
    </w:p>
    <w:p>
      <w:pPr>
        <w:spacing w:after="0" w:line="333" w:lineRule="exact"/>
        <w:rPr>
          <w:sz w:val="20"/>
          <w:szCs w:val="20"/>
          <w:color w:val="auto"/>
        </w:rPr>
      </w:pPr>
    </w:p>
    <w:p>
      <w:pPr>
        <w:ind w:left="660" w:right="340" w:hanging="328"/>
        <w:spacing w:after="0" w:line="3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you may vote over the Internet by completing the voting instructions form found at www.proxyvote.com. You will need your proxy card when voting over the Internet.</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you may vote by touch-tone telephone by calling 1-800-690-6903.</w:t>
      </w:r>
    </w:p>
    <w:p>
      <w:pPr>
        <w:spacing w:after="0" w:line="3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you may vote by mail by signing, dating, and mailing your proxy card in the enclosed envelope.</w:t>
      </w:r>
    </w:p>
    <w:p>
      <w:pPr>
        <w:spacing w:after="0" w:line="3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you may vote in person at the virtual Annual Meeting.</w:t>
      </w:r>
    </w:p>
    <w:p>
      <w:pPr>
        <w:spacing w:after="0" w:line="320"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If your shares of stock are held in a brokerage account or by another nominee, these proxy materials are being forwarded to you together with a voting instruction card from your broker or nominee. Follow the instructions on the voting instruction card in order to vote your shares of stock by proxy or in person.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vote?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6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8"/>
          <w:szCs w:val="18"/>
          <w:color w:val="auto"/>
        </w:rPr>
        <w:t>Yes. Even after you have submitted your proxy card, you may change or revoke your vote at any time before your proxy votes your shares of stock by submitting written notice of revocation to Bradley Miller, the Company's General Counsel, Chief Risk Officer, and Corporate Secretary, at the Company's address set forth in the 2023 Notice of Annual Meeting, or by submitting another proxy card bearing a later date. Alternatively, if you have voted over the Internet or by telephone, you may change your vote by calling 1-800-690-6903 and following the instructions. Attendance at the virtual Annual Meeting will not constitute a revocation of a previously provided proxy unless you affirmatively indicate at the virtual Annual Meeting that you intend to vote your shares of stock in person by completing and delivering a written ballot. If you hold your shares of stock through a broker or other custodian and would like to change your voting instructions, please review the directions provided to you by that broker or custodian.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 I vote confidentially?</w:t>
      </w:r>
    </w:p>
    <w:p>
      <w:pPr>
        <w:spacing w:after="0" w:line="324" w:lineRule="exact"/>
        <w:rPr>
          <w:sz w:val="20"/>
          <w:szCs w:val="20"/>
          <w:color w:val="auto"/>
        </w:rPr>
      </w:pPr>
    </w:p>
    <w:p>
      <w:pPr>
        <w:ind w:right="140"/>
        <w:spacing w:after="0" w:line="376" w:lineRule="auto"/>
        <w:rPr>
          <w:sz w:val="20"/>
          <w:szCs w:val="20"/>
          <w:color w:val="auto"/>
        </w:rPr>
      </w:pPr>
      <w:r>
        <w:rPr>
          <w:rFonts w:ascii="Times New Roman" w:cs="Times New Roman" w:eastAsia="Times New Roman" w:hAnsi="Times New Roman"/>
          <w:sz w:val="18"/>
          <w:szCs w:val="18"/>
          <w:color w:val="auto"/>
        </w:rPr>
        <w:t>Yes. Our policy is to keep your individual votes confidential, except as appropriate to meet legal requirements, to allow for the tabulation and certification of votes, or to facilitate proxy solicitation.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will count the votes?</w:t>
      </w:r>
    </w:p>
    <w:p>
      <w:pPr>
        <w:spacing w:after="0" w:line="324"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Bradley Miller, our General Counsel, Chief Risk Officer, and Corporate Secretary, will count the votes and act as the inspector of election for the Annual Meeting.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of the Annual Meeting?</w:t>
      </w:r>
    </w:p>
    <w:p>
      <w:pPr>
        <w:spacing w:after="0" w:line="324"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We intend to announce preliminary voting results at the Annual Meeting and publish final results in our current report on Form 8-K within four business days after the Annual Meeting.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"householding" of the Annual Meeting materials?</w:t>
      </w:r>
    </w:p>
    <w:p>
      <w:pPr>
        <w:spacing w:after="0" w:line="337" w:lineRule="exact"/>
        <w:rPr>
          <w:sz w:val="20"/>
          <w:szCs w:val="20"/>
          <w:color w:val="auto"/>
        </w:rPr>
      </w:pPr>
    </w:p>
    <w:p>
      <w:pPr>
        <w:jc w:val="both"/>
        <w:spacing w:after="0" w:line="338"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proxy statements with respect to two or more stockholders sharing the same address by delivering a single proxy statement to those stockholders. This process, which is commonly referred to as "householding," potentially provides extra convenience for stockholders and cost savings for companies. The Company and some brokers "household" proxy materials, delivering a single proxy statement and annual report to multiple stockholders sharing an address unless contrary instructions have been received from the affected stockholders. If, at any time, you no longer wish to participate in householding and would prefer to receive a separate proxy statement and annual report, or if you are receiving multiple copies of the proxy statement and annual report and wish to receive only one, please notify your broker if your shares of stock are held in a brokerage account, or the Company if you hold shares of stock registered directly in your name. You can notify the Company by sending a written request to Mr. Miller at the Company's address set forth in the 2023 Notice of Annual Meeting or by calling us at (404) 952-2107.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6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I obtain a copy of the Company's Annual Report?</w:t>
      </w:r>
    </w:p>
    <w:p>
      <w:pPr>
        <w:spacing w:after="0" w:line="324"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A copy of our 2022 Annual Report on Form 10-K (the "Annual Report") is available at www.prioritycommerce.com. Stockholders may also obtain a free copy of our Annual Report by sending a request in writing to Bradley Miller at the Company's address set forth in the 2023 Notice of Annual Meeting or by calling us at (404) 952-2107.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help answer my questions?</w:t>
      </w:r>
    </w:p>
    <w:p>
      <w:pPr>
        <w:spacing w:after="0" w:line="337"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If you have any questions about the Annual Meeting or how to submit or revoke your proxy, or to request an invitation to the Annual Meeting, contact Bradley Miller at the Company's address set forth in the 2023 Notice of Annual Meeting or by calling us at (404) 952-2107.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6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BOARD OF DIRECTORS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our executive officers and directors, as of the date of this Proxy Statement: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Age</w:t>
            </w:r>
          </w:p>
        </w:tc>
        <w:tc>
          <w:tcPr>
            <w:tcW w:w="7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Priore</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54</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 O’Leary</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50</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Sean Kiewiet</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51</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Bradley Miller</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52</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Counsel, Chief Risk Officer, and Corporate Secretary</w:t>
            </w: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Ranjana Ram</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40</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Crisafulli</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54</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Marietta Davis</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63</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Christina Favilla</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56</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Stephen Hipp</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55</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Passilla</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56</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Priore</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59</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374"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8"/>
          <w:szCs w:val="18"/>
          <w:b w:val="1"/>
          <w:bCs w:val="1"/>
          <w:color w:val="auto"/>
        </w:rPr>
        <w:t xml:space="preserve">Thomas Priore </w:t>
      </w:r>
      <w:r>
        <w:rPr>
          <w:rFonts w:ascii="Times New Roman" w:cs="Times New Roman" w:eastAsia="Times New Roman" w:hAnsi="Times New Roman"/>
          <w:sz w:val="18"/>
          <w:szCs w:val="18"/>
          <w:color w:val="auto"/>
        </w:rPr>
        <w:t>has served as Chairman and Chief Executive Officer since December 2018 and as Executive Chairman and founding member of Priority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August 2005 through November 2018. Under Mr. Priore's strategic direction, Priority has emerged from a start-up organization to become the 5th largest non-bank merchant acquirer in the U.S. by volume and having built a single platform to collect, store and send money currently processes approximately $113 billion in payment volume on behalf of its approximately 260,000 SMB and ISV customers and has established approximately 75,000 supplier relationships.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w:t>
      </w:r>
    </w:p>
    <w:p>
      <w:pPr>
        <w:spacing w:after="0" w:line="204"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8"/>
          <w:szCs w:val="18"/>
          <w:b w:val="1"/>
          <w:bCs w:val="1"/>
          <w:color w:val="222222"/>
        </w:rPr>
        <w:t xml:space="preserve">Tim O’Leary </w:t>
      </w:r>
      <w:r>
        <w:rPr>
          <w:rFonts w:ascii="Times New Roman" w:cs="Times New Roman" w:eastAsia="Times New Roman" w:hAnsi="Times New Roman"/>
          <w:sz w:val="18"/>
          <w:szCs w:val="18"/>
          <w:color w:val="222222"/>
        </w:rPr>
        <w:t>has served as Chief Financial Officer of Priority since September 2022. Mr. O’Leary has over 20 years of capital markets and banking</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222222"/>
        </w:rPr>
        <w:t>experience, primarily in the technology sector. Prior to joining Priority, Mr. O’Leary most recently served as Managing Director and Group Head of the Technology, Media and Telecom leveraged finance team at Truist Securities where he led financings for numerous payment and technology companies – including Priority. Mr. O’Leary holds an MBA from the Kelley School of Business at Indiana University and a B.A. in Business Administration from Northern Arizona University.</w:t>
      </w:r>
    </w:p>
    <w:p>
      <w:pPr>
        <w:spacing w:after="0" w:line="217"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18"/>
          <w:szCs w:val="18"/>
          <w:b w:val="1"/>
          <w:bCs w:val="1"/>
          <w:color w:val="222222"/>
        </w:rPr>
        <w:t xml:space="preserve">Ranjana Ram </w:t>
      </w:r>
      <w:r>
        <w:rPr>
          <w:rFonts w:ascii="Times New Roman" w:cs="Times New Roman" w:eastAsia="Times New Roman" w:hAnsi="Times New Roman"/>
          <w:sz w:val="18"/>
          <w:szCs w:val="18"/>
          <w:color w:val="222222"/>
        </w:rPr>
        <w:t>serves as Chief Operating Officer at Priority. Ms. Ram is a CFA charterholder and has been focused on executing on strategic growth and</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222222"/>
        </w:rPr>
        <w:t>investment opportunities for the business going back to inception. Prior to working with Priority, Ms. Ram most recently served as Director at Institutional Credit Partners, an investment bank, where she led over 7 billion in publicly rated structured credit securitizations. Prior to that Ms. Ram worked at Credit Suisse focusing on portfolio and investment strategies.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6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Sean Kiewiet </w:t>
      </w:r>
      <w:r>
        <w:rPr>
          <w:rFonts w:ascii="Times New Roman" w:cs="Times New Roman" w:eastAsia="Times New Roman" w:hAnsi="Times New Roman"/>
          <w:sz w:val="18"/>
          <w:szCs w:val="18"/>
          <w:color w:val="auto"/>
        </w:rPr>
        <w:t>co-founded Priority after serving as the Director of Technology for Cornerstone Payment Systems. Mr. Kiewiet served as Chief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Priority from August 2005 until December 2021. Mr. Kiewiet previously worked in software development and architecture for Hypercom and Syntellect. Mr. Kiewiet's technology development background drives his vision for Priority to develop high-performing teams that deliberately target technologies at areas where the industry has been complacent and customers have been under-served.</w:t>
      </w:r>
    </w:p>
    <w:p>
      <w:pPr>
        <w:spacing w:after="0" w:line="251"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8"/>
          <w:szCs w:val="18"/>
          <w:b w:val="1"/>
          <w:bCs w:val="1"/>
          <w:color w:val="auto"/>
        </w:rPr>
        <w:t xml:space="preserve">Bradley Miller </w:t>
      </w:r>
      <w:r>
        <w:rPr>
          <w:rFonts w:ascii="Times New Roman" w:cs="Times New Roman" w:eastAsia="Times New Roman" w:hAnsi="Times New Roman"/>
          <w:sz w:val="18"/>
          <w:szCs w:val="18"/>
          <w:color w:val="222222"/>
        </w:rPr>
        <w:t>has served as Priority’s General Counsel and Chief Risk Officer since February 2020. Mr. Miller has over 25 years of legal and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2222"/>
        </w:rPr>
        <w:t>industry experience having served as EVP &amp; General Counsel of United Community Banks, Inc. (UCBI), for over 12 years. Mr. Miller also served as Chief Risk Officer of UCBI for over five years while continuing to serve as its General Counsel, responsible for the oversight of all legal, compliance, and enterprise risk functions. Prior to UCBI, Mr. Miller began his career with the international firm of Kilpatrick Stockton LLP (now Kilpatrick Townsend LLP) focusing his practice on consumer and commercial litigation, privacy, and regulatory matters. Mr. Miller is responsible for all facets of Priority’s legal, risk and compliance functions.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320" w:lineRule="exact"/>
        <w:rPr>
          <w:sz w:val="20"/>
          <w:szCs w:val="20"/>
          <w:color w:val="auto"/>
        </w:rPr>
      </w:pPr>
    </w:p>
    <w:p>
      <w:pPr>
        <w:jc w:val="both"/>
        <w:spacing w:after="0" w:line="351" w:lineRule="auto"/>
        <w:rPr>
          <w:sz w:val="20"/>
          <w:szCs w:val="20"/>
          <w:color w:val="auto"/>
        </w:rPr>
      </w:pPr>
      <w:r>
        <w:rPr>
          <w:rFonts w:ascii="Times New Roman" w:cs="Times New Roman" w:eastAsia="Times New Roman" w:hAnsi="Times New Roman"/>
          <w:sz w:val="18"/>
          <w:szCs w:val="18"/>
          <w:b w:val="1"/>
          <w:bCs w:val="1"/>
          <w:color w:val="auto"/>
        </w:rPr>
        <w:t xml:space="preserve">Marc Crisafulli </w:t>
      </w:r>
      <w:r>
        <w:rPr>
          <w:rFonts w:ascii="Times New Roman" w:cs="Times New Roman" w:eastAsia="Times New Roman" w:hAnsi="Times New Roman"/>
          <w:sz w:val="18"/>
          <w:szCs w:val="18"/>
          <w:color w:val="auto"/>
        </w:rPr>
        <w:t>is an experienced executive and has over 30 years in legal, compliance and regulatory governance roles with various companies and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as a director of Priority in 2022. In his most recent role, Mr. Crisafulli served as Executive Vice President, Government Relations, Legal and Regulatory at Bally’s Corporation. Prior to that, Mr. Crisafulli held senior leadership roles with Brightstar Corporation and Suffolk Construction Company and was managing partner at Hinkley Allen &amp; Snyder.</w:t>
      </w:r>
    </w:p>
    <w:p>
      <w:pPr>
        <w:spacing w:after="0" w:line="193"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Marietta Davis </w:t>
      </w:r>
      <w:r>
        <w:rPr>
          <w:rFonts w:ascii="Times New Roman" w:cs="Times New Roman" w:eastAsia="Times New Roman" w:hAnsi="Times New Roman"/>
          <w:sz w:val="18"/>
          <w:szCs w:val="18"/>
          <w:color w:val="auto"/>
        </w:rPr>
        <w:t>has served as a director of Priority since January 2021. Ms. Davis works for IBM where she is the worldwide Vice President and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for the Accenture relationship where she leads a global team focusing on growing IBM’s Cloud and Cognitive Application portfolio. Prior to joining IBM, Davis spent 16 years at Microsoft Corporation in a variety of leadership roles. Davis also serves in an advisory board role for The Posse Foundation, a non-profit organization that identifies, trains and mentors young, diverse leaders as they navigate college and enter the workforce.</w:t>
      </w:r>
    </w:p>
    <w:p>
      <w:pPr>
        <w:spacing w:after="0" w:line="210"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8"/>
          <w:szCs w:val="18"/>
          <w:b w:val="1"/>
          <w:bCs w:val="1"/>
          <w:color w:val="auto"/>
        </w:rPr>
        <w:t xml:space="preserve">Christina Favilla </w:t>
      </w:r>
      <w:r>
        <w:rPr>
          <w:rFonts w:ascii="Times New Roman" w:cs="Times New Roman" w:eastAsia="Times New Roman" w:hAnsi="Times New Roman"/>
          <w:sz w:val="18"/>
          <w:szCs w:val="18"/>
          <w:color w:val="auto"/>
        </w:rPr>
        <w:t>has served as a director of Priority since October 2019. Ms. Favilla served as Chief Operating Officer of Sterling National Bank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2017 until December 2018. She previously served as Chief Operating Officer of GE Capital's lending and leasing business from February 2012 until June 2017. Prior to 2012, she served as President of Discover Bank for six years. She also currently serves as a board member of a privately held fintech company. Ms. Favilla is a seasoned banking and financial services professional with a track record of growing business platforms in volatile regulatory environments. Her core skills include people leadership, risk management, P&amp;L, and IT governance. Ms. Favilla holds an MBA in Information Systems from the Fordham Gabelli School of Business.</w:t>
      </w:r>
    </w:p>
    <w:p>
      <w:pPr>
        <w:spacing w:after="0" w:line="215"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Stephen Hipp </w:t>
      </w:r>
      <w:r>
        <w:rPr>
          <w:rFonts w:ascii="Times New Roman" w:cs="Times New Roman" w:eastAsia="Times New Roman" w:hAnsi="Times New Roman"/>
          <w:sz w:val="18"/>
          <w:szCs w:val="18"/>
          <w:color w:val="auto"/>
        </w:rPr>
        <w:t>has served as a director of Priority since December 2020. Mr. Hipp retired from Goldman Sachs where he spent the last 16 years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 of Specialty Lending Group focusing on financing middle market companies. Prior to Goldman Sachs, Mr. Hipp was the Senior Vice President of underwriting and portfolio management for GE Capital. Mr. Hipp started his career as an Auditor for Ernst and Young in 1990 and maintained his Certified Public Account certificate from July 1992 through July 1999.</w:t>
      </w:r>
    </w:p>
    <w:p>
      <w:pPr>
        <w:spacing w:after="0" w:line="197" w:lineRule="exact"/>
        <w:rPr>
          <w:sz w:val="20"/>
          <w:szCs w:val="20"/>
          <w:color w:val="auto"/>
        </w:rPr>
      </w:pPr>
    </w:p>
    <w:p>
      <w:pPr>
        <w:jc w:val="both"/>
        <w:ind w:right="2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Michael Passilla </w:t>
      </w:r>
      <w:r>
        <w:rPr>
          <w:rFonts w:ascii="Times New Roman" w:cs="Times New Roman" w:eastAsia="Times New Roman" w:hAnsi="Times New Roman"/>
          <w:sz w:val="18"/>
          <w:szCs w:val="18"/>
          <w:color w:val="auto"/>
        </w:rPr>
        <w:t>has served as a director of Priority since June 2019. Mr. Passilla served as Vice Chairman for JP Morgan Chase &amp; Company from July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2016 until his retirement in June 2018, after serving as Chief Executive Officer of Chase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6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Merchant Services from May 2013 to June 2016. He previously served as Chief Executive Officer of Elavon - US Bank, Inc. from August 2010 to April 2013, after serving as EVP of Global Business Development since August 2007. Mr. Passilla received a Bachelor of Business Administration from the University of Notre Dame in 1989 and an MBA from Northwestern University in 1995.</w:t>
      </w:r>
    </w:p>
    <w:p>
      <w:pPr>
        <w:spacing w:after="0" w:line="192"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8"/>
          <w:szCs w:val="18"/>
          <w:b w:val="1"/>
          <w:bCs w:val="1"/>
          <w:color w:val="auto"/>
        </w:rPr>
        <w:t xml:space="preserve">John Priore </w:t>
      </w:r>
      <w:r>
        <w:rPr>
          <w:rFonts w:ascii="Times New Roman" w:cs="Times New Roman" w:eastAsia="Times New Roman" w:hAnsi="Times New Roman"/>
          <w:sz w:val="18"/>
          <w:szCs w:val="18"/>
          <w:color w:val="auto"/>
        </w:rPr>
        <w:t>is the co-founder of Priority and has served as Vice-Chairman of Priority from December 2018 through March 2021. Prior to that, John Priore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Chief Executive Officer of Priority since August 2005. He has over twenty-five years of experience in the payments industry. Prior to founding Priority, John Priore was the Executive Vice President of Financial Systems at Ingenico, and also served in a variety of positions at other firms, including NOVA, First Data and American Express. Mr. Priore is a member of the Technology Association of Georgia (TAG), a legacy member of the Alpharetta Technology Commission and currently serves on the board of directors for the Electronic Transactions Association. John Priore's commitment to the industry has helped propel Priority to be a leader in payments technology. John Priore is the brother of Thomas Priore, Priority's President, Chief Executive Officer and Chairman.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Priore, our Chairman and Chief Executive Officer, and John Priore, a non-employee Director, are brothers.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324"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8"/>
          <w:szCs w:val="18"/>
          <w:color w:val="auto"/>
        </w:rPr>
        <w:t>In 2015, approximately three years after reaching a civil settlement with regulators on the matter, and without admitting or denying the allegations against him, Thomas Priore consented to the entry of an order by the SEC against him (the "SEC Order") relating to his prior involvement as the majority owner, President and Chief Investment Officer of a registered investment adviser, ICP Asset Management, LLC. Under the SEC Order, Mr. Priore agreed to be barred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the Company, or his service as Chairman or Chief Executive Officer.</w:t>
      </w:r>
    </w:p>
    <w:p>
      <w:pPr>
        <w:spacing w:after="0" w:line="223"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Other than the above, to our knowledge, during the past ten years, none of our directors, executive officers, promoters, control persons, or nominees has been:</w:t>
      </w:r>
    </w:p>
    <w:p>
      <w:pPr>
        <w:spacing w:after="0" w:line="203" w:lineRule="exact"/>
        <w:rPr>
          <w:sz w:val="20"/>
          <w:szCs w:val="20"/>
          <w:color w:val="auto"/>
        </w:rPr>
      </w:pPr>
    </w:p>
    <w:p>
      <w:pPr>
        <w:ind w:left="660" w:hanging="328"/>
        <w:spacing w:after="0" w:line="3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bankruptcy petition filed by or against any business of which such person was a general partner or executive officer either at the time of the bankruptcy or within two years prior to that time;</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convicted in a criminal proceeding or is subject to a pending criminal proceeding (excluding traffic violations and other minor offenses);</w:t>
      </w:r>
    </w:p>
    <w:p>
      <w:pPr>
        <w:spacing w:after="0" w:line="333" w:lineRule="exact"/>
        <w:rPr>
          <w:rFonts w:ascii="Times New Roman" w:cs="Times New Roman" w:eastAsia="Times New Roman" w:hAnsi="Times New Roman"/>
          <w:sz w:val="18"/>
          <w:szCs w:val="18"/>
          <w:color w:val="auto"/>
        </w:rPr>
      </w:pPr>
    </w:p>
    <w:p>
      <w:pPr>
        <w:jc w:val="both"/>
        <w:ind w:left="660" w:hanging="328"/>
        <w:spacing w:after="0" w:line="35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order, judgment, or decree, not subsequently reversed, suspended or vacated, of any court of competent jurisdiction or any Federal or State authority, permanently or temporarily enjoining, barring, suspending or otherwise limiting his involvement in any type of business, securities or banking activities;</w:t>
      </w:r>
    </w:p>
    <w:p>
      <w:pPr>
        <w:spacing w:after="0" w:line="196" w:lineRule="exact"/>
        <w:rPr>
          <w:rFonts w:ascii="Times New Roman" w:cs="Times New Roman" w:eastAsia="Times New Roman" w:hAnsi="Times New Roman"/>
          <w:sz w:val="18"/>
          <w:szCs w:val="18"/>
          <w:color w:val="auto"/>
        </w:rPr>
      </w:pPr>
    </w:p>
    <w:p>
      <w:pPr>
        <w:ind w:left="660" w:hanging="328"/>
        <w:spacing w:after="0" w:line="37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 by a court of competent jurisdiction (in a civil action), the SEC or the Commodity Futures Trading Commission to have violated a federal or state securities or commodities law;</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6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660" w:hanging="328"/>
        <w:spacing w:after="0" w:line="34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or a party to, any Federal or State judicial or administrative order, judgment, decree, or finding, not subsequently reversed, suspended or vacated, relating to an alleged violation of (a) any Federal or State securities or commodities law or regulation; (b)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(c) any law or regulation prohibiting mail or wire fraud or fraud in connection with any business entity; or</w:t>
      </w:r>
    </w:p>
    <w:p>
      <w:pPr>
        <w:spacing w:after="0" w:line="221" w:lineRule="exact"/>
        <w:rPr>
          <w:rFonts w:ascii="Times New Roman" w:cs="Times New Roman" w:eastAsia="Times New Roman" w:hAnsi="Times New Roman"/>
          <w:sz w:val="18"/>
          <w:szCs w:val="18"/>
          <w:color w:val="auto"/>
        </w:rPr>
      </w:pPr>
    </w:p>
    <w:p>
      <w:pPr>
        <w:jc w:val="both"/>
        <w:ind w:left="660" w:hanging="328"/>
        <w:spacing w:after="0" w:line="33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or a party to, any sanction or order, not subsequently reversed, suspended or vacated, of any self-regulatory organization (as defined in Section 3(a)(26) of the Securities Exchange Act of 1934, as amended (15 U.S.C. 78c(a)(26))), any registered entity (as defined in Section 1(a)</w:t>
      </w:r>
    </w:p>
    <w:p>
      <w:pPr>
        <w:ind w:left="660" w:hanging="4"/>
        <w:spacing w:after="0" w:line="360"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Commodity Exchange Act (7 U.S.C. 1(a)(29))), or any equivalent exchange, association, entity or organization that has disciplinary authority over its members or persons associated with a member.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6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378"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We have adopted a Code of Ethics that applies to all of our employees, officers and directors. This includes our principal executive officer, principal financial officer, and principal accounting officer or controller, or persons performing similar functions. The full text of the Code of Ethics is posted on our website at www.prioritycommerce.com. We intend to disclose on our website any future amendments of the Code of Ethics or waivers that exempt any principal executive officer, principal financial officer, principal accounting officer or controller, persons performing similar functions, or our directors from provisions in the Code of Ethics.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Role in Risk Oversight</w:t>
      </w:r>
    </w:p>
    <w:p>
      <w:pPr>
        <w:spacing w:after="0" w:line="337"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Currently, the positions of Chairman and Chief Executive Officer are held by one individual, Thomas Priore. Although no formal policy currently exists, the Board has determined that, at present, Mr. Priore is able to devote his time to both the daily execution of the Company's business strategies and to the long-term strategic direction of the Company and having him serve in both roles is in the best interests of our stockholders.</w:t>
      </w:r>
    </w:p>
    <w:p>
      <w:pPr>
        <w:spacing w:after="0" w:line="250"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8"/>
          <w:szCs w:val="18"/>
          <w:color w:val="auto"/>
        </w:rPr>
        <w:t>Our Board oversees the risk management activities designed and implemented by our management. Our Board executes its oversight responsibility both directly and through its committees. Our Board also considers specific risk topics, including risks associated with our strategic initiatives, business plans and capital structure. Our management, including our executive officers, is primarily responsible for managing the risks associated with operation and business of the company and will provide appropriate updates to the Board and the Audit Committee. Our Board delegates to the Audit Committee oversight of its risk management process, and our other committees also consider risk as they perform their respective committee responsibilities. All committees report to the Board as appropriate, including when a matter rises to the level of material or enterprise risk.</w:t>
      </w:r>
    </w:p>
    <w:p>
      <w:pPr>
        <w:spacing w:after="0" w:line="206"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Per our securities trading policy, all covered persons, including all executive officers and directors, are prohibited from purchasing Company securities on margin or pledging Company securities as collateral.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Independence of Directors</w:t>
      </w:r>
    </w:p>
    <w:p>
      <w:pPr>
        <w:spacing w:after="0" w:line="378"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As a result of our common stock being listed on the NASDAQ, Priority adheres to the rules of such exchange in determining whether a director is independent. A director is not independent unless the Board affirmatively determines that he or she does not have a relationship which, in the opinion of the Board, would interfere with the exercise of independent judgment in carrying out the responsibilities of a director in accordance with the NASDAQ corporate governance rules for listed companies. The Board has determined that a majority of our directors, specifically, Messrs, Crisafulli, Davis, Favilla, Hipp and Passilla, are independent directors. Our independent directors have regularly scheduled meetings at which only independent directors are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6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Guidelines for Selecting Director Nominees</w:t>
      </w:r>
    </w:p>
    <w:p>
      <w:pPr>
        <w:spacing w:after="0" w:line="378"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auto"/>
        </w:rPr>
        <w:t>The Nominating and Governance Committee considers persons identified by its members, management, stockholders, investment bankers and others. The guidelines for selecting nominees, which the Nominating and Governance Committee will take into consideration, include, but are not limited to, providing those persons to be nominated:</w:t>
      </w:r>
    </w:p>
    <w:p>
      <w:pPr>
        <w:spacing w:after="0" w:line="21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319" w:lineRule="exact"/>
        <w:rPr>
          <w:rFonts w:ascii="Times New Roman" w:cs="Times New Roman" w:eastAsia="Times New Roman" w:hAnsi="Times New Roman"/>
          <w:sz w:val="18"/>
          <w:szCs w:val="18"/>
          <w:color w:val="auto"/>
        </w:rPr>
      </w:pPr>
    </w:p>
    <w:p>
      <w:pPr>
        <w:ind w:left="660" w:hanging="328"/>
        <w:spacing w:after="0" w:line="37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and bring a range of skills, diverse perspectives and backgrounds to its deliberations; and</w:t>
      </w:r>
    </w:p>
    <w:p>
      <w:pPr>
        <w:spacing w:after="0" w:line="17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 of stockholders.</w:t>
      </w:r>
    </w:p>
    <w:p>
      <w:pPr>
        <w:spacing w:after="0" w:line="333"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8"/>
          <w:szCs w:val="18"/>
          <w:color w:val="auto"/>
        </w:rPr>
        <w:t>The Nominating and Governance Committee considers a number of qualifications relating to management and leadership experience, background, diversity of viewpoints, professional experience, education and skills, and integrity and professionalism in evaluating a person's candidacy for membership on the Board. The Nominating and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Any shareholder wishing to recommend a candidate for consideration as a possible director nominee for election at an upcoming meeting of shareholders must provide timely, written notice to Bradley Miller, the Company's General Counsel, Chief Risk Officer, and Corporate Secretary, at the Company's address set forth in the 2023 Notice of Annual Meeting. The Nominating and Governance Committee does not distinguish among nominees recommended by stockholders and other persons.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and Interested Party Communications</w:t>
      </w:r>
    </w:p>
    <w:p>
      <w:pPr>
        <w:spacing w:after="0" w:line="378"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Priority's Board does not provide a process for stockholders or other interested parties to send communications to the Board because management believed that it was premature to develop such processes given the limited liquidity of common stock at that time. However, management may establish a process for stockholder and interested party communications in the future.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Directors' Liability</w:t>
      </w:r>
    </w:p>
    <w:p>
      <w:pPr>
        <w:spacing w:after="0" w:line="378"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8"/>
          <w:szCs w:val="18"/>
          <w:color w:val="auto"/>
        </w:rPr>
        <w:t>Our certificate of incorporation and bylaws will indemnify our directors to the fullest extent permitted by the Delaware General Corporation Law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6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360" w:lineRule="auto"/>
        <w:rPr>
          <w:sz w:val="20"/>
          <w:szCs w:val="20"/>
          <w:color w:val="auto"/>
        </w:rPr>
      </w:pPr>
      <w:r>
        <w:rPr>
          <w:rFonts w:ascii="Times New Roman" w:cs="Times New Roman" w:eastAsia="Times New Roman" w:hAnsi="Times New Roman"/>
          <w:sz w:val="18"/>
          <w:szCs w:val="18"/>
          <w:color w:val="auto"/>
        </w:rPr>
        <w:t>resulting from grossly negligent behavior), except in the situations described above. These provisions will not limit the liability of directors under the federal securities laws of the United States.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Meetings</w:t>
      </w:r>
    </w:p>
    <w:p>
      <w:pPr>
        <w:spacing w:after="0" w:line="81"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Our Board met six times during 2022. Also during 2022, the Audit Committee met four times, the Nominating and Governance Committee met one time, and the Compensation Committee met two times. All of our then directors attended all of the Board meetings during 2022 and all of our then members of the Audit Committee, the Nominating and Governance Committee, and the Compensation Committee attended all of the respective committee meetings during 2022.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Regarding Attendance at Annual Meetings of Stockholders</w:t>
      </w:r>
    </w:p>
    <w:p>
      <w:pPr>
        <w:spacing w:after="0" w:line="324"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Each director of the Company is expected to be present at annual meetings of stockholders, absent exigent circumstances that prevents their attendance. Where a director is unable to attend an annual meeting in person but is able to do so by electronic conferencing, the Company will arrange for the director's participation by means where the director can hear, and be heard, by those present at the meeting.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Sessions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sessions of non-management directors are held regularly throughout the year.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324"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Our Board has the following standing committees: Audit Committee, Compensation Committee, and Nominating and Governance Committee. The charters for each committee are available in the investor relations section of our website at www.prioritycommerce.com or in print by contacting Mr. Miller at the Company's address. The Board may also establish other committees to assist in the discharge of its responsibilities.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identifies the committee members and committee chairperson (as indicated by a "C") as of the date of this Proxy Statement: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2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c>
          <w:tcPr>
            <w:tcW w:w="0" w:type="dxa"/>
            <w:vAlign w:val="bottom"/>
          </w:tcPr>
          <w:p>
            <w:pPr>
              <w:spacing w:after="0"/>
              <w:rPr>
                <w:sz w:val="1"/>
                <w:szCs w:val="1"/>
                <w:color w:val="auto"/>
              </w:rPr>
            </w:pPr>
          </w:p>
        </w:tc>
      </w:tr>
      <w:tr>
        <w:trPr>
          <w:trHeight w:val="238"/>
        </w:trPr>
        <w:tc>
          <w:tcPr>
            <w:tcW w:w="5000" w:type="dxa"/>
            <w:vAlign w:val="bottom"/>
            <w:gridSpan w:val="2"/>
            <w:vMerge w:val="continue"/>
          </w:tcPr>
          <w:p>
            <w:pPr>
              <w:spacing w:after="0"/>
              <w:rPr>
                <w:sz w:val="20"/>
                <w:szCs w:val="20"/>
                <w:color w:val="auto"/>
              </w:rPr>
            </w:pPr>
          </w:p>
        </w:tc>
        <w:tc>
          <w:tcPr>
            <w:tcW w:w="2120" w:type="dxa"/>
            <w:vAlign w:val="bottom"/>
            <w:gridSpan w:val="2"/>
            <w:vMerge w:val="continue"/>
          </w:tcPr>
          <w:p>
            <w:pPr>
              <w:spacing w:after="0"/>
              <w:rPr>
                <w:sz w:val="20"/>
                <w:szCs w:val="20"/>
                <w:color w:val="auto"/>
              </w:rPr>
            </w:pPr>
          </w:p>
        </w:tc>
        <w:tc>
          <w:tcPr>
            <w:tcW w:w="2100" w:type="dxa"/>
            <w:vAlign w:val="bottom"/>
            <w:gridSpan w:val="2"/>
            <w:vMerge w:val="continue"/>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tc>
        <w:tc>
          <w:tcPr>
            <w:tcW w:w="0" w:type="dxa"/>
            <w:vAlign w:val="bottom"/>
          </w:tcPr>
          <w:p>
            <w:pPr>
              <w:spacing w:after="0"/>
              <w:rPr>
                <w:sz w:val="1"/>
                <w:szCs w:val="1"/>
                <w:color w:val="auto"/>
              </w:rPr>
            </w:pPr>
          </w:p>
        </w:tc>
      </w:tr>
      <w:tr>
        <w:trPr>
          <w:trHeight w:val="223"/>
        </w:trPr>
        <w:tc>
          <w:tcPr>
            <w:tcW w:w="4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Priore</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 Crisafulli*</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Marietta Davis *</w:t>
            </w:r>
          </w:p>
        </w:tc>
        <w:tc>
          <w:tcPr>
            <w:tcW w:w="2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Christina Favilla *</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29"/>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Stephen Hipp *</w:t>
            </w:r>
          </w:p>
        </w:tc>
        <w:tc>
          <w:tcPr>
            <w:tcW w:w="2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Passilla *</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Priore</w:t>
            </w: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Independent director</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6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Committee</w:t>
      </w:r>
    </w:p>
    <w:p>
      <w:pPr>
        <w:spacing w:after="0" w:line="374"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18"/>
          <w:szCs w:val="18"/>
          <w:color w:val="auto"/>
        </w:rPr>
        <w:t>The Board has established an Audit Committee comprised of independent directors. The Audit Committee consists of Michael Passilla, Marc Crisafulli, Marietta Davis, Christina Favilla and Stephen Hipp with Mr. Passilla as the chairman of the Audit Committee. Each member of the Audit Committee is independent under NASDAQ listing standards. The Audit Committee has a written charter. The purpose of the Audit Committee is, among other things, to appoint, retain, set compensation of, and supervise our independent registered public accountants, review the results and scope of the audit and other accounting related services and review our accounting practices and systems of internal accounting and disclosure controls.</w:t>
      </w:r>
    </w:p>
    <w:p>
      <w:pPr>
        <w:spacing w:after="0" w:line="262"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The Audit Committee is and at all times will be composed exclusively of "independent directors," as defined for Audit Committee members under NASDAQ listing standards and the rules and regulations of the SEC, who are "financially literate." "Financially literate" generally means being able to read and understand fundamental financial statements, including a company's balance sheet, income statement and cash flow statement. In addition, Priority is required to certify to the exchange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Passilla serves as the financial expert on the Audit Committee.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Committee</w:t>
      </w:r>
    </w:p>
    <w:p>
      <w:pPr>
        <w:spacing w:after="0" w:line="320"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The Board has established a Compensation Committee consisting of Stephen Hipp, Marc Crisafulli, Marietta Davis, Christina Favilla and Michael Passilla, with Mr. Hipp as the chairman of the Compensation Committee. The Compensation Committee has a written charter. Each member of the Compensation Committee is independent under NASDAQ listing standards. The purpose of the Compensation Committee is to review and approve compensation paid to our executive officers and directors and to administer incentive compensation plans, including authority to make and modify awards under such plans. Although the Compensation Committee values and solicits our executive officers’ input regarding executive and director compensation, it retains and exercises sole authority to make decisions regarding such compensation.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Nominating and Governance Committee</w:t>
      </w:r>
    </w:p>
    <w:p>
      <w:pPr>
        <w:spacing w:after="0" w:line="33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The Board has established a Nominating and Governance Committee comprised of Christina Favilla, Marc Crisafulli, Marietta Davis, Stephen Hipp and Michael Passilla, with Ms. Favilla as the chairwoman of the Nominating and Governance Committee. Each member of the Nominating and Governance Committee is independent under NASDAQ listing standards. The Nominating and Governance Committee has a written charter. The Nominating and Governance Committee is responsible for overseeing the selection of persons to be nominated to serve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6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391"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8"/>
          <w:szCs w:val="18"/>
          <w:color w:val="auto"/>
        </w:rPr>
        <w:t>The Audit Committee operates pursuant to a charter that is reviewed annually by the Audit Committee. Additionally, a brief description of the primary responsibilities of the Audit Committee is included in this Proxy Statement under "Corporate Governance-Board Committees-Audit Committee." Under the Audit Committee charter, management is responsible for the preparation, presentation and integrity of the Company's financial statements, the application of accounting and financial reporting principles and our internal controls and procedures designed to assure compliance with accounting standards and applicable laws and regulations. EY, our Independent Registered Public Accounting Firm, is responsible for auditing our financial statements and expressing an opinion as to their conformity with accounting principles generally accepted in the United States of America.</w:t>
      </w:r>
    </w:p>
    <w:p>
      <w:pPr>
        <w:spacing w:after="0" w:line="220"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18"/>
          <w:szCs w:val="18"/>
          <w:color w:val="auto"/>
        </w:rPr>
        <w:t>In the performance of its oversight function, the Audit Committee reviewed and discussed the audited financial statements with management and EY. The Audit Committee also discussed with EY the matters required to be discussed by applicable requirements of the Public Company Accounting Oversight Board and the Securities and Exchange Commission. In addition, the Audit Committee received the written disclosures and the letters from EY required by applicable requirements of the Public Company Accounting Oversight Board regarding EY's communications with the Audit Committee concerning independence, and discussed with EY their independence.</w:t>
      </w:r>
    </w:p>
    <w:p>
      <w:pPr>
        <w:spacing w:after="0" w:line="221"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Based upon the review and discussions described in the preceding paragraph, the Audit Committee recommended to the Board that the audited financial statements of the Company be included in its Annual Report on Form 10-K for the year ended December 31, 2022, filed with the SEC.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Audit Committee of the Company's Board of Directors: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Passilla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Crisafulli</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Marietta Davis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Favilla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Hipp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6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391"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the Company's directors, executive officers and stockholders who own more than 10% of the Company's stock to file forms with the SEC to report their ownership of the Company's stock and any changes in ownership. The Company assists its directors and executive officers by identifying reportable transactions of which it is aware and preparing and filing their forms on their behalf. All persons required to file forms with the SEC must also send copies of the forms to the Company. We have reviewed all forms provided to us. The following Form 4s were late: Ranjana Ram (1), Bradley Miller (1), Thomas Priore (1). All Form 4s have since been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6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78"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Priority has opted to comply with the executive compensation disclosure rules applicable to "smaller reporting companies" as such terms are under the rules promulgated under the Securities Act of 1933, as amended. These rules require compensation disclosure for Priority's principal executive officer and its two most highly compensated executive officers other than its principal executive officer. These officers are referred to as the "Named Executive Officers" or "NEOs."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NEOs for Priority's year ended December 31, 2022 were:</w:t>
      </w:r>
    </w:p>
    <w:p>
      <w:pPr>
        <w:spacing w:after="0" w:line="32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Priore, its Chairman and Chief Executive Officer;</w:t>
      </w:r>
    </w:p>
    <w:p>
      <w:pPr>
        <w:spacing w:after="0" w:line="8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O’Leary, its Chief Financial Officer</w:t>
      </w:r>
      <w:r>
        <w:rPr>
          <w:rFonts w:ascii="Times New Roman" w:cs="Times New Roman" w:eastAsia="Times New Roman" w:hAnsi="Times New Roman"/>
          <w:sz w:val="23"/>
          <w:szCs w:val="23"/>
          <w:color w:val="auto"/>
          <w:vertAlign w:val="superscript"/>
        </w:rPr>
        <w:t>1</w:t>
      </w:r>
    </w:p>
    <w:p>
      <w:pPr>
        <w:spacing w:after="0" w:line="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Vollkommer, its Chief Financial Officer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and</w:t>
      </w:r>
    </w:p>
    <w:p>
      <w:pPr>
        <w:spacing w:after="0" w:line="3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Bradley Miller, its General Counsel and Chief Risk Officer</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Compensation Table, ("SCT") presents summary information regarding the total compensation for Priority's years ended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 for the Named Executive Officers: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8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8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w:t>
            </w: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Salary $</w:t>
            </w: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Bonus</w:t>
            </w:r>
            <w:r>
              <w:rPr>
                <w:rFonts w:ascii="Times New Roman" w:cs="Times New Roman" w:eastAsia="Times New Roman" w:hAnsi="Times New Roman"/>
                <w:sz w:val="21"/>
                <w:szCs w:val="21"/>
                <w:b w:val="1"/>
                <w:bCs w:val="1"/>
                <w:color w:val="auto"/>
                <w:vertAlign w:val="superscript"/>
              </w:rPr>
              <w:t>4</w:t>
            </w:r>
            <w:r>
              <w:rPr>
                <w:rFonts w:ascii="Times New Roman" w:cs="Times New Roman" w:eastAsia="Times New Roman" w:hAnsi="Times New Roman"/>
                <w:sz w:val="16"/>
                <w:szCs w:val="16"/>
                <w:b w:val="1"/>
                <w:bCs w:val="1"/>
                <w:color w:val="auto"/>
              </w:rPr>
              <w:t xml:space="preserve"> $</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Awards $</w:t>
            </w:r>
            <w:r>
              <w:rPr>
                <w:rFonts w:ascii="Times New Roman" w:cs="Times New Roman" w:eastAsia="Times New Roman" w:hAnsi="Times New Roman"/>
                <w:sz w:val="21"/>
                <w:szCs w:val="21"/>
                <w:b w:val="1"/>
                <w:bCs w:val="1"/>
                <w:color w:val="auto"/>
                <w:w w:val="96"/>
                <w:vertAlign w:val="superscript"/>
              </w:rPr>
              <w:t>5</w:t>
            </w:r>
          </w:p>
        </w:tc>
        <w:tc>
          <w:tcPr>
            <w:tcW w:w="920" w:type="dxa"/>
            <w:vAlign w:val="bottom"/>
            <w:vMerge w:val="continue"/>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Incentive</w:t>
            </w: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w w:val="96"/>
              </w:rPr>
              <w:t xml:space="preserve">All Other </w:t>
            </w:r>
            <w:r>
              <w:rPr>
                <w:rFonts w:ascii="Times New Roman" w:cs="Times New Roman" w:eastAsia="Times New Roman" w:hAnsi="Times New Roman"/>
                <w:sz w:val="21"/>
                <w:szCs w:val="21"/>
                <w:b w:val="1"/>
                <w:bCs w:val="1"/>
                <w:color w:val="auto"/>
                <w:w w:val="96"/>
                <w:vertAlign w:val="superscript"/>
              </w:rPr>
              <w:t>3</w:t>
            </w:r>
          </w:p>
        </w:tc>
        <w:tc>
          <w:tcPr>
            <w:tcW w:w="3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0" w:type="dxa"/>
            <w:vAlign w:val="bottom"/>
          </w:tcPr>
          <w:p>
            <w:pPr>
              <w:spacing w:after="0"/>
              <w:rPr>
                <w:sz w:val="1"/>
                <w:szCs w:val="1"/>
                <w:color w:val="auto"/>
              </w:rPr>
            </w:pPr>
          </w:p>
        </w:tc>
      </w:tr>
      <w:tr>
        <w:trPr>
          <w:trHeight w:val="216"/>
        </w:trPr>
        <w:tc>
          <w:tcPr>
            <w:tcW w:w="26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 $</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w:t>
            </w:r>
          </w:p>
        </w:tc>
        <w:tc>
          <w:tcPr>
            <w:tcW w:w="9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Thomas Priore</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$975,000</w:t>
            </w:r>
          </w:p>
        </w:tc>
        <w:tc>
          <w:tcPr>
            <w:tcW w:w="1100" w:type="dxa"/>
            <w:vAlign w:val="bottom"/>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$1,140,000</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rPr>
              <w:t>$23,305</w:t>
            </w:r>
          </w:p>
        </w:tc>
        <w:tc>
          <w:tcPr>
            <w:tcW w:w="300" w:type="dxa"/>
            <w:vAlign w:val="bottom"/>
            <w:shd w:val="clear" w:color="auto" w:fill="CCEEFF"/>
          </w:tcPr>
          <w:p>
            <w:pPr>
              <w:spacing w:after="0"/>
              <w:rPr>
                <w:sz w:val="22"/>
                <w:szCs w:val="22"/>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$2,138,305</w:t>
            </w:r>
          </w:p>
        </w:tc>
        <w:tc>
          <w:tcPr>
            <w:tcW w:w="0" w:type="dxa"/>
            <w:vAlign w:val="bottom"/>
          </w:tcPr>
          <w:p>
            <w:pPr>
              <w:spacing w:after="0"/>
              <w:rPr>
                <w:sz w:val="1"/>
                <w:szCs w:val="1"/>
                <w:color w:val="auto"/>
              </w:rPr>
            </w:pPr>
          </w:p>
        </w:tc>
      </w:tr>
      <w:tr>
        <w:trPr>
          <w:trHeight w:val="108"/>
        </w:trPr>
        <w:tc>
          <w:tcPr>
            <w:tcW w:w="2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President, Chief Executive Officer, and</w:t>
            </w:r>
          </w:p>
        </w:tc>
        <w:tc>
          <w:tcPr>
            <w:tcW w:w="840" w:type="dxa"/>
            <w:vAlign w:val="bottom"/>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80" w:type="dxa"/>
            <w:vAlign w:val="bottom"/>
            <w:vMerge w:val="continue"/>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Chairman</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$900,000</w:t>
            </w:r>
          </w:p>
        </w:tc>
        <w:tc>
          <w:tcPr>
            <w:tcW w:w="1100" w:type="dxa"/>
            <w:vAlign w:val="bottom"/>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$2,000,000</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rPr>
              <w:t>$20,885</w:t>
            </w:r>
          </w:p>
        </w:tc>
        <w:tc>
          <w:tcPr>
            <w:tcW w:w="30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$2,920,885</w:t>
            </w:r>
          </w:p>
        </w:tc>
        <w:tc>
          <w:tcPr>
            <w:tcW w:w="0" w:type="dxa"/>
            <w:vAlign w:val="bottom"/>
          </w:tcPr>
          <w:p>
            <w:pPr>
              <w:spacing w:after="0"/>
              <w:rPr>
                <w:sz w:val="1"/>
                <w:szCs w:val="1"/>
                <w:color w:val="auto"/>
              </w:rPr>
            </w:pPr>
          </w:p>
        </w:tc>
      </w:tr>
      <w:tr>
        <w:trPr>
          <w:trHeight w:val="74"/>
        </w:trPr>
        <w:tc>
          <w:tcPr>
            <w:tcW w:w="26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08"/>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Timothy O'Leary</w:t>
            </w:r>
            <w:r>
              <w:rPr>
                <w:rFonts w:ascii="Times New Roman" w:cs="Times New Roman" w:eastAsia="Times New Roman" w:hAnsi="Times New Roman"/>
                <w:sz w:val="21"/>
                <w:szCs w:val="21"/>
                <w:b w:val="1"/>
                <w:bCs w:val="1"/>
                <w:color w:val="auto"/>
                <w:vertAlign w:val="superscript"/>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$107,693</w:t>
            </w:r>
          </w:p>
        </w:tc>
        <w:tc>
          <w:tcPr>
            <w:tcW w:w="11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$69,701</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$611,941</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$789,335</w:t>
            </w:r>
          </w:p>
        </w:tc>
        <w:tc>
          <w:tcPr>
            <w:tcW w:w="0" w:type="dxa"/>
            <w:vAlign w:val="bottom"/>
          </w:tcPr>
          <w:p>
            <w:pPr>
              <w:spacing w:after="0"/>
              <w:rPr>
                <w:sz w:val="1"/>
                <w:szCs w:val="1"/>
                <w:color w:val="auto"/>
              </w:rPr>
            </w:pPr>
          </w:p>
        </w:tc>
      </w:tr>
      <w:tr>
        <w:trPr>
          <w:trHeight w:val="212"/>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11"/>
        </w:trPr>
        <w:tc>
          <w:tcPr>
            <w:tcW w:w="2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Michael Vollkommer</w:t>
            </w:r>
            <w:r>
              <w:rPr>
                <w:rFonts w:ascii="Times New Roman" w:cs="Times New Roman" w:eastAsia="Times New Roman" w:hAnsi="Times New Roman"/>
                <w:sz w:val="21"/>
                <w:szCs w:val="21"/>
                <w:b w:val="1"/>
                <w:bCs w:val="1"/>
                <w:color w:val="auto"/>
                <w:vertAlign w:val="superscript"/>
              </w:rPr>
              <w:t>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$310,577</w:t>
            </w:r>
          </w:p>
        </w:tc>
        <w:tc>
          <w:tcPr>
            <w:tcW w:w="110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$127,675</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rPr>
              <w:t>$12,200</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$450,452</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$425,000</w:t>
            </w:r>
          </w:p>
        </w:tc>
        <w:tc>
          <w:tcPr>
            <w:tcW w:w="1100" w:type="dxa"/>
            <w:vAlign w:val="bottom"/>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$212,500</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$750,000</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auto"/>
                <w:w w:val="99"/>
              </w:rPr>
              <w:t>$11,600</w:t>
            </w:r>
          </w:p>
        </w:tc>
        <w:tc>
          <w:tcPr>
            <w:tcW w:w="30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$1,399,100</w:t>
            </w:r>
          </w:p>
        </w:tc>
        <w:tc>
          <w:tcPr>
            <w:tcW w:w="0" w:type="dxa"/>
            <w:vAlign w:val="bottom"/>
          </w:tcPr>
          <w:p>
            <w:pPr>
              <w:spacing w:after="0"/>
              <w:rPr>
                <w:sz w:val="1"/>
                <w:szCs w:val="1"/>
                <w:color w:val="auto"/>
              </w:rPr>
            </w:pPr>
          </w:p>
        </w:tc>
      </w:tr>
      <w:tr>
        <w:trPr>
          <w:trHeight w:val="112"/>
        </w:trPr>
        <w:tc>
          <w:tcPr>
            <w:tcW w:w="268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5"/>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Bradley Miller</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$359,615</w:t>
            </w:r>
          </w:p>
        </w:tc>
        <w:tc>
          <w:tcPr>
            <w:tcW w:w="11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$178,125</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$1,072,000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$12,200</w:t>
            </w:r>
          </w:p>
        </w:tc>
        <w:tc>
          <w:tcPr>
            <w:tcW w:w="3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$1,621,940</w:t>
            </w:r>
          </w:p>
        </w:tc>
        <w:tc>
          <w:tcPr>
            <w:tcW w:w="0" w:type="dxa"/>
            <w:vAlign w:val="bottom"/>
          </w:tcPr>
          <w:p>
            <w:pPr>
              <w:spacing w:after="0"/>
              <w:rPr>
                <w:sz w:val="1"/>
                <w:szCs w:val="1"/>
                <w:color w:val="auto"/>
              </w:rPr>
            </w:pPr>
          </w:p>
        </w:tc>
      </w:tr>
      <w:tr>
        <w:trPr>
          <w:trHeight w:val="212"/>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General Counsel and Chief Risk Officer</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$323,462</w:t>
            </w:r>
          </w:p>
        </w:tc>
        <w:tc>
          <w:tcPr>
            <w:tcW w:w="110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$162,500</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center"/>
              <w:ind w:left="219"/>
              <w:spacing w:after="0"/>
              <w:rPr>
                <w:sz w:val="20"/>
                <w:szCs w:val="20"/>
                <w:color w:val="auto"/>
              </w:rPr>
            </w:pPr>
            <w:r>
              <w:rPr>
                <w:rFonts w:ascii="Times New Roman" w:cs="Times New Roman" w:eastAsia="Times New Roman" w:hAnsi="Times New Roman"/>
                <w:sz w:val="16"/>
                <w:szCs w:val="16"/>
                <w:color w:val="auto"/>
              </w:rPr>
              <w:t>$10,600</w:t>
            </w:r>
          </w:p>
        </w:tc>
        <w:tc>
          <w:tcPr>
            <w:tcW w:w="30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$496,562</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hanging="332"/>
        <w:spacing w:after="0" w:line="194" w:lineRule="auto"/>
        <w:tabs>
          <w:tab w:leader="none" w:pos="328"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Mr. O'Leary joined the Company on September 19, 2022, with an annual salary of $400,000 per year and an annual target bonus of 65% of his base salary. The stock award reflects an initial award of 149,254 shares which shall vest equally on each anniversary date over a three-year period.</w:t>
      </w:r>
    </w:p>
    <w:p>
      <w:pPr>
        <w:ind w:left="320" w:hanging="312"/>
        <w:spacing w:after="0" w:line="182" w:lineRule="auto"/>
        <w:tabs>
          <w:tab w:leader="none" w:pos="32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Mr. Vollkommer retired as Chief Financial officer on September 16, 2022.</w:t>
      </w:r>
    </w:p>
    <w:p>
      <w:pPr>
        <w:spacing w:after="0" w:line="10" w:lineRule="exact"/>
        <w:rPr>
          <w:rFonts w:ascii="Times New Roman" w:cs="Times New Roman" w:eastAsia="Times New Roman" w:hAnsi="Times New Roman"/>
          <w:sz w:val="22"/>
          <w:szCs w:val="22"/>
          <w:color w:val="auto"/>
          <w:vertAlign w:val="superscript"/>
        </w:rPr>
      </w:pPr>
    </w:p>
    <w:p>
      <w:pPr>
        <w:ind w:left="340" w:hanging="332"/>
        <w:spacing w:after="0" w:line="183" w:lineRule="auto"/>
        <w:tabs>
          <w:tab w:leader="none" w:pos="328"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Reflects medical insurance premiums paid by the Company on behalf of Mr. Priore, and 401(k) matching contributions for Mr. Vollkommer and Mr. Miller. Mr. O'Leary will be eligible for 401(k) in 2023.</w:t>
      </w:r>
    </w:p>
    <w:p>
      <w:pPr>
        <w:ind w:left="320" w:hanging="312"/>
        <w:spacing w:after="0" w:line="182" w:lineRule="auto"/>
        <w:tabs>
          <w:tab w:leader="none" w:pos="32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In 2021, a special transaction-related cash bonus of $2,000,000 was awarded by the Company to Mr. Priore in connection with the sale of an investment.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6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Mr. Thomas Priore</w:t>
      </w:r>
    </w:p>
    <w:p>
      <w:pPr>
        <w:spacing w:after="0" w:line="335"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18"/>
          <w:szCs w:val="18"/>
          <w:color w:val="auto"/>
        </w:rPr>
        <w:t>Mr. Thomas Priore is party to a director agreement among the Priority Payment Systems Holdings LLC and Pipeline Cynergy Holdings, LLC (together referred to as the "Employers") and Priority, dated May 21, 2014 (which we refer to as the "Thomas Priore Director Agreement"). In 2017 and through November 30, 2018, he served as Executive Chairman of Priority as an independent contractor. Effective December 1, 2018, he also became our President and Chief Executive Officer. As Chief Executive Officer, the Compensation Committee set performance goals for Mr. Priore based upon revenue, adjusted EBITDA (a non-GAAP measure), and personal performance goals for determining his short-term and long-term incentive. Mr. Priore’s annual incentive bonus target is 100% of his base salary and his annual long-term incentive bonus target is 100% of his base salary. Given the Company’s performance and Mr. Priore’s leadership and meaningful contributions, the 2022 annual incentive bonus and long-term incentive bonus were achieved by Mr. Priore at 95% of his target.</w:t>
      </w: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Mr. Tim O’Leary</w:t>
      </w:r>
    </w:p>
    <w:p>
      <w:pPr>
        <w:spacing w:after="0" w:line="376" w:lineRule="exact"/>
        <w:rPr>
          <w:sz w:val="20"/>
          <w:szCs w:val="20"/>
          <w:color w:val="auto"/>
        </w:rPr>
      </w:pPr>
    </w:p>
    <w:p>
      <w:pPr>
        <w:ind w:right="80"/>
        <w:spacing w:after="0" w:line="379" w:lineRule="auto"/>
        <w:rPr>
          <w:sz w:val="20"/>
          <w:szCs w:val="20"/>
          <w:color w:val="auto"/>
        </w:rPr>
      </w:pPr>
      <w:r>
        <w:rPr>
          <w:rFonts w:ascii="Times New Roman" w:cs="Times New Roman" w:eastAsia="Times New Roman" w:hAnsi="Times New Roman"/>
          <w:sz w:val="18"/>
          <w:szCs w:val="18"/>
          <w:color w:val="auto"/>
        </w:rPr>
        <w:t>Mr. Tim O’Leary was appointed as our Chief Financial Officer, effective September 19, 2022. Mr. O’Leary is eligible for an annual discretionary bonus at a target of up to 65% of his base salary and an annual long-term incentive award of up to $600,000 worth of RSUs. In connection with his joining the Company, Mr. O’Leary was granted an initial award of 149,254 RSUs which shall vest equally on each anniversary over a three-year period. As a result of his meaningful contributions, Mr. O’Leary was awarded an annual incentive bonus in the amount of $69,701 which was prorated to reflect the time he has been with the Company.</w:t>
      </w: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Mr. Michael Vollkommer</w:t>
      </w:r>
    </w:p>
    <w:p>
      <w:pPr>
        <w:spacing w:after="0" w:line="376" w:lineRule="exact"/>
        <w:rPr>
          <w:sz w:val="20"/>
          <w:szCs w:val="20"/>
          <w:color w:val="auto"/>
        </w:rPr>
      </w:pPr>
    </w:p>
    <w:p>
      <w:pPr>
        <w:ind w:right="200"/>
        <w:spacing w:after="0" w:line="391" w:lineRule="auto"/>
        <w:rPr>
          <w:sz w:val="20"/>
          <w:szCs w:val="20"/>
          <w:color w:val="auto"/>
        </w:rPr>
      </w:pPr>
      <w:r>
        <w:rPr>
          <w:rFonts w:ascii="Times New Roman" w:cs="Times New Roman" w:eastAsia="Times New Roman" w:hAnsi="Times New Roman"/>
          <w:sz w:val="18"/>
          <w:szCs w:val="18"/>
          <w:color w:val="auto"/>
        </w:rPr>
        <w:t>Mr. Michael Vollkommer served as the Company Chief Financial Officer through September 16, 2022. The target for Mr. Vollkommer’s bonus was up to 50% of his base salary. As a result of the Company’s performance and Mr. Vollkommer’s meaningful contributions, Mr. Vollkommer was awarded a discretionary bonus of $127,125 which was prorated to reflect his retirement from the Company in September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Mr. Vollkommer’s performance in 2021, the Compensation Committee awarded Mr. Vollkommer a discretionary bonus of $212,500.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Mr. Bradley Miller</w:t>
      </w:r>
    </w:p>
    <w:p>
      <w:pPr>
        <w:spacing w:after="0" w:line="308" w:lineRule="exact"/>
        <w:rPr>
          <w:sz w:val="20"/>
          <w:szCs w:val="20"/>
          <w:color w:val="auto"/>
        </w:rPr>
      </w:pPr>
    </w:p>
    <w:p>
      <w:pPr>
        <w:ind w:right="200"/>
        <w:spacing w:after="0" w:line="438" w:lineRule="auto"/>
        <w:rPr>
          <w:sz w:val="20"/>
          <w:szCs w:val="20"/>
          <w:color w:val="auto"/>
        </w:rPr>
      </w:pPr>
      <w:r>
        <w:rPr>
          <w:rFonts w:ascii="Times New Roman" w:cs="Times New Roman" w:eastAsia="Times New Roman" w:hAnsi="Times New Roman"/>
          <w:sz w:val="18"/>
          <w:szCs w:val="18"/>
          <w:color w:val="auto"/>
        </w:rPr>
        <w:t>Mr. Miller is eligible for a discretionary target bonus of up to 50% of his base salary. Additionally, Mr. Miller may be awarded equity grants from time to time in the discretion of the Compensation Committee. As a result of his meaningful contributions in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6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376" w:lineRule="auto"/>
        <w:rPr>
          <w:sz w:val="20"/>
          <w:szCs w:val="20"/>
          <w:color w:val="auto"/>
        </w:rPr>
      </w:pPr>
      <w:r>
        <w:rPr>
          <w:rFonts w:ascii="Times New Roman" w:cs="Times New Roman" w:eastAsia="Times New Roman" w:hAnsi="Times New Roman"/>
          <w:sz w:val="18"/>
          <w:szCs w:val="18"/>
          <w:color w:val="auto"/>
        </w:rPr>
        <w:t>2022, Mr. Miller was awarded an annual incentive bonus in the amount of $178,125. Mr. Miller also received an award of 200,000 RSUs which shall vest equally on the anniversary date over three years.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364"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8"/>
          <w:szCs w:val="18"/>
          <w:color w:val="auto"/>
        </w:rPr>
        <w:t>Priority maintains a tax-qualified 401(k) defined contribution plan available to substantially all of our employees. The 401(k) plan is available on the same terms to all of its U.S. employees, including Mr. Miller and Mr. Vollkommer. Mr. Priore does not participate in the plan. Each participant may elect to make a voluntary contribution of an amount between 0% to 100% of his or her eligible compensation to the 401(k) plan, subject to Internal Revenue Service limitations. The deferred amount is invested in accordance with the election of the participant in a variety of investment choices. Subject to certain limitations, Priority will match a participant's contributions to the 401(k) plan at a rate of 100% for the first 3% of employee contributions and 50% for the next 2%. All contributions under the plan are fully vested.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283" w:lineRule="exact"/>
        <w:rPr>
          <w:sz w:val="20"/>
          <w:szCs w:val="20"/>
          <w:color w:val="auto"/>
        </w:rPr>
      </w:pPr>
    </w:p>
    <w:p>
      <w:pPr>
        <w:ind w:right="520"/>
        <w:spacing w:after="0" w:line="360" w:lineRule="auto"/>
        <w:rPr>
          <w:sz w:val="20"/>
          <w:szCs w:val="20"/>
          <w:color w:val="auto"/>
        </w:rPr>
      </w:pPr>
      <w:r>
        <w:rPr>
          <w:rFonts w:ascii="Times New Roman" w:cs="Times New Roman" w:eastAsia="Times New Roman" w:hAnsi="Times New Roman"/>
          <w:sz w:val="18"/>
          <w:szCs w:val="18"/>
          <w:color w:val="auto"/>
        </w:rPr>
        <w:t>The following Pay Versus Performance ("PVP") tables set forth compensation information for our PEO and non-PEO NEOs in accordance with SEC guidance for the years ended December 31, 2022 and 2021.</w:t>
      </w:r>
    </w:p>
    <w:p>
      <w:pPr>
        <w:spacing w:after="0" w:line="200" w:lineRule="exact"/>
        <w:rPr>
          <w:sz w:val="20"/>
          <w:szCs w:val="20"/>
          <w:color w:val="auto"/>
        </w:rPr>
      </w:pP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420" w:type="dxa"/>
            <w:vAlign w:val="bottom"/>
          </w:tcPr>
          <w:p>
            <w:pPr>
              <w:spacing w:after="0"/>
              <w:rPr>
                <w:sz w:val="12"/>
                <w:szCs w:val="12"/>
                <w:color w:val="auto"/>
              </w:rPr>
            </w:pPr>
          </w:p>
        </w:tc>
        <w:tc>
          <w:tcPr>
            <w:tcW w:w="2420" w:type="dxa"/>
            <w:vAlign w:val="bottom"/>
            <w:vMerge w:val="restart"/>
          </w:tcPr>
          <w:p>
            <w:pPr>
              <w:jc w:val="center"/>
              <w:ind w:left="1004"/>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4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$100 Investment</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42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 On Total</w:t>
            </w:r>
          </w:p>
        </w:tc>
        <w:tc>
          <w:tcPr>
            <w:tcW w:w="14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Income (loss) ($</w:t>
            </w:r>
          </w:p>
        </w:tc>
        <w:tc>
          <w:tcPr>
            <w:tcW w:w="0" w:type="dxa"/>
            <w:vAlign w:val="bottom"/>
          </w:tcPr>
          <w:p>
            <w:pPr>
              <w:spacing w:after="0"/>
              <w:rPr>
                <w:sz w:val="1"/>
                <w:szCs w:val="1"/>
                <w:color w:val="auto"/>
              </w:rPr>
            </w:pPr>
          </w:p>
        </w:tc>
      </w:tr>
      <w:tr>
        <w:trPr>
          <w:trHeight w:val="135"/>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20" w:type="dxa"/>
            <w:vAlign w:val="bottom"/>
          </w:tcPr>
          <w:p>
            <w:pPr>
              <w:jc w:val="center"/>
              <w:ind w:left="964"/>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Actually Paid to PEO</w:t>
            </w:r>
          </w:p>
        </w:tc>
        <w:tc>
          <w:tcPr>
            <w:tcW w:w="13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Shareholder Return</w:t>
            </w:r>
          </w:p>
        </w:tc>
        <w:tc>
          <w:tcPr>
            <w:tcW w:w="1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420" w:type="dxa"/>
            <w:vAlign w:val="bottom"/>
            <w:tcBorders>
              <w:bottom w:val="single" w:sz="8" w:color="auto"/>
            </w:tcBorders>
            <w:vMerge w:val="continue"/>
          </w:tcPr>
          <w:p>
            <w:pPr>
              <w:spacing w:after="0"/>
              <w:rPr>
                <w:sz w:val="17"/>
                <w:szCs w:val="17"/>
                <w:color w:val="auto"/>
              </w:rPr>
            </w:pPr>
          </w:p>
        </w:tc>
        <w:tc>
          <w:tcPr>
            <w:tcW w:w="2420" w:type="dxa"/>
            <w:vAlign w:val="bottom"/>
            <w:tcBorders>
              <w:bottom w:val="single" w:sz="8" w:color="auto"/>
            </w:tcBorders>
          </w:tcPr>
          <w:p>
            <w:pPr>
              <w:jc w:val="center"/>
              <w:ind w:left="964"/>
              <w:spacing w:after="0"/>
              <w:rPr>
                <w:sz w:val="20"/>
                <w:szCs w:val="20"/>
                <w:color w:val="auto"/>
              </w:rPr>
            </w:pPr>
            <w:r>
              <w:rPr>
                <w:rFonts w:ascii="Times New Roman" w:cs="Times New Roman" w:eastAsia="Times New Roman" w:hAnsi="Times New Roman"/>
                <w:sz w:val="14"/>
                <w:szCs w:val="14"/>
                <w:b w:val="1"/>
                <w:bCs w:val="1"/>
                <w:color w:val="auto"/>
              </w:rPr>
              <w:t>Total for PEO ($)(b)</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NEOs ($)(d)</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PEO NEOs ($)(e)</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 thousands)(g)</w:t>
            </w:r>
          </w:p>
        </w:tc>
        <w:tc>
          <w:tcPr>
            <w:tcW w:w="0" w:type="dxa"/>
            <w:vAlign w:val="bottom"/>
          </w:tcPr>
          <w:p>
            <w:pPr>
              <w:spacing w:after="0"/>
              <w:rPr>
                <w:sz w:val="1"/>
                <w:szCs w:val="1"/>
                <w:color w:val="auto"/>
              </w:rPr>
            </w:pPr>
          </w:p>
        </w:tc>
      </w:tr>
      <w:tr>
        <w:trPr>
          <w:trHeight w:val="215"/>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20" w:type="dxa"/>
            <w:vAlign w:val="bottom"/>
            <w:shd w:val="clear" w:color="auto" w:fill="CCEEFF"/>
          </w:tcPr>
          <w:p>
            <w:pPr>
              <w:jc w:val="center"/>
              <w:ind w:left="964"/>
              <w:spacing w:after="0"/>
              <w:rPr>
                <w:sz w:val="20"/>
                <w:szCs w:val="20"/>
                <w:color w:val="auto"/>
              </w:rPr>
            </w:pPr>
            <w:r>
              <w:rPr>
                <w:rFonts w:ascii="Times New Roman" w:cs="Times New Roman" w:eastAsia="Times New Roman" w:hAnsi="Times New Roman"/>
                <w:sz w:val="16"/>
                <w:szCs w:val="16"/>
                <w:color w:val="auto"/>
              </w:rPr>
              <w:t>$2,138,305</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$1,959,569</w:t>
            </w:r>
          </w:p>
        </w:tc>
        <w:tc>
          <w:tcPr>
            <w:tcW w:w="1380" w:type="dxa"/>
            <w:vAlign w:val="bottom"/>
            <w:shd w:val="clear" w:color="auto" w:fill="CCEEFF"/>
          </w:tcPr>
          <w:p>
            <w:pPr>
              <w:jc w:val="right"/>
              <w:ind w:right="305"/>
              <w:spacing w:after="0"/>
              <w:rPr>
                <w:sz w:val="20"/>
                <w:szCs w:val="20"/>
                <w:color w:val="auto"/>
              </w:rPr>
            </w:pPr>
            <w:r>
              <w:rPr>
                <w:rFonts w:ascii="Times New Roman" w:cs="Times New Roman" w:eastAsia="Times New Roman" w:hAnsi="Times New Roman"/>
                <w:sz w:val="16"/>
                <w:szCs w:val="16"/>
                <w:color w:val="auto"/>
              </w:rPr>
              <w:t>$953,909</w:t>
            </w:r>
          </w:p>
        </w:tc>
        <w:tc>
          <w:tcPr>
            <w:tcW w:w="1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$(352,720)</w:t>
            </w:r>
          </w:p>
        </w:tc>
        <w:tc>
          <w:tcPr>
            <w:tcW w:w="140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20" w:type="dxa"/>
            <w:vAlign w:val="bottom"/>
          </w:tcPr>
          <w:p>
            <w:pPr>
              <w:jc w:val="center"/>
              <w:ind w:left="964"/>
              <w:spacing w:after="0"/>
              <w:rPr>
                <w:sz w:val="20"/>
                <w:szCs w:val="20"/>
                <w:color w:val="auto"/>
              </w:rPr>
            </w:pPr>
            <w:r>
              <w:rPr>
                <w:rFonts w:ascii="Times New Roman" w:cs="Times New Roman" w:eastAsia="Times New Roman" w:hAnsi="Times New Roman"/>
                <w:sz w:val="16"/>
                <w:szCs w:val="16"/>
                <w:color w:val="auto"/>
              </w:rPr>
              <w:t>$2,920,885</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$2,924,987</w:t>
            </w:r>
          </w:p>
        </w:tc>
        <w:tc>
          <w:tcPr>
            <w:tcW w:w="1380" w:type="dxa"/>
            <w:vAlign w:val="bottom"/>
          </w:tcPr>
          <w:p>
            <w:pPr>
              <w:jc w:val="right"/>
              <w:ind w:right="245"/>
              <w:spacing w:after="0"/>
              <w:rPr>
                <w:sz w:val="20"/>
                <w:szCs w:val="20"/>
                <w:color w:val="auto"/>
              </w:rPr>
            </w:pPr>
            <w:r>
              <w:rPr>
                <w:rFonts w:ascii="Times New Roman" w:cs="Times New Roman" w:eastAsia="Times New Roman" w:hAnsi="Times New Roman"/>
                <w:sz w:val="16"/>
                <w:szCs w:val="16"/>
                <w:color w:val="auto"/>
              </w:rPr>
              <w:t>$1,784,026</w:t>
            </w:r>
          </w:p>
        </w:tc>
        <w:tc>
          <w:tcPr>
            <w:tcW w:w="1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$1,577,968</w:t>
            </w:r>
          </w:p>
        </w:tc>
        <w:tc>
          <w:tcPr>
            <w:tcW w:w="1400" w:type="dxa"/>
            <w:vAlign w:val="bottom"/>
          </w:tcPr>
          <w:p>
            <w:pPr>
              <w:jc w:val="right"/>
              <w:ind w:right="445"/>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compensation from the Summary Compensation Table for the Company's PEO, Thomas Priore for 2021 and 2022.</w:t>
      </w:r>
    </w:p>
    <w:p>
      <w:pPr>
        <w:spacing w:after="0" w:line="2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that compensation actually paid to the Company's PEO, as adjusted in the table below.</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Summary Compensation Table Total</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2,138,305</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2,920,885</w:t>
            </w:r>
          </w:p>
        </w:tc>
        <w:tc>
          <w:tcPr>
            <w:tcW w:w="0" w:type="dxa"/>
            <w:vAlign w:val="bottom"/>
          </w:tcPr>
          <w:p>
            <w:pPr>
              <w:spacing w:after="0"/>
              <w:rPr>
                <w:sz w:val="1"/>
                <w:szCs w:val="1"/>
                <w:color w:val="auto"/>
              </w:rPr>
            </w:pPr>
          </w:p>
        </w:tc>
      </w:tr>
      <w:tr>
        <w:trPr>
          <w:trHeight w:val="214"/>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Determine Compensation "Actually Paid" for PEO</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Deductions for amounts reported under the "Stock Awards" column in the SCT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awards granted during the year that remain outstanding at year end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awards granted in prior years that remain outstanding at year end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(93,113)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0" w:type="dxa"/>
            <w:vAlign w:val="bottom"/>
          </w:tcPr>
          <w:p>
            <w:pPr>
              <w:spacing w:after="0"/>
              <w:rPr>
                <w:sz w:val="1"/>
                <w:szCs w:val="1"/>
                <w:color w:val="auto"/>
              </w:rPr>
            </w:pPr>
          </w:p>
        </w:tc>
      </w:tr>
      <w:tr>
        <w:trPr>
          <w:trHeight w:val="162"/>
        </w:trPr>
        <w:tc>
          <w:tcPr>
            <w:tcW w:w="8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fair value from the end of the prior year to the vesting date for awards granted in prior years and vested in the</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(85,623)</w:t>
            </w: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year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compensation actually paid for PEO</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1,959,569</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2,924,987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660" w:hanging="328"/>
        <w:spacing w:after="0" w:line="257" w:lineRule="auto"/>
        <w:tabs>
          <w:tab w:leader="none" w:pos="654"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average summary compensation for all NEOs from the Summary Compensation Table for the named executive officers. For 2022, NEOs were Timothy O'Leary, Bradley Miller and Michael Vollkommer, who retired from the Company in September 2022. For 2021, NEOs were Michael Vollkommer and Ranjana Ram.</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compensation actually paid the Company's NEOs, as adjusted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6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2343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Summary Compensation Table Total</w:t>
      </w:r>
    </w:p>
    <w:p>
      <w:pPr>
        <w:spacing w:after="0" w:line="30" w:lineRule="exact"/>
        <w:rPr>
          <w:sz w:val="20"/>
          <w:szCs w:val="20"/>
          <w:color w:val="auto"/>
        </w:rPr>
      </w:pPr>
    </w:p>
    <w:p>
      <w:pPr>
        <w:ind w:left="20" w:right="204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Adjustments to Determine Compensation "Actually Paid" for Non-PEO NEOs </w:t>
      </w:r>
      <w:r>
        <w:rPr>
          <w:rFonts w:ascii="Times New Roman" w:cs="Times New Roman" w:eastAsia="Times New Roman" w:hAnsi="Times New Roman"/>
          <w:sz w:val="16"/>
          <w:szCs w:val="16"/>
          <w:color w:val="auto"/>
        </w:rPr>
        <w:t>Deductions for amounts reported under the "Stock Awards" column in the SCT Fair value of awards granted during the year that remain outstanding at year end Change in fair value of awards granted in prior years that remain outstanding at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2343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2343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ind w:left="20"/>
        <w:spacing w:after="0" w:line="245" w:lineRule="auto"/>
        <w:rPr>
          <w:sz w:val="20"/>
          <w:szCs w:val="20"/>
          <w:color w:val="auto"/>
        </w:rPr>
      </w:pPr>
      <w:r>
        <w:rPr>
          <w:rFonts w:ascii="Times New Roman" w:cs="Times New Roman" w:eastAsia="Times New Roman" w:hAnsi="Times New Roman"/>
          <w:sz w:val="16"/>
          <w:szCs w:val="16"/>
          <w:color w:val="auto"/>
        </w:rPr>
        <w:t>Change in fair value from the end of the prior year to the vesting date for awards granted in prior years and vested in the current year</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Deduction for fair value at the end of the prior year for awards granted in prior years that forfeited during the year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2343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Total compensation actually paid for Non-PEO NEOs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953,909</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1,784,026</w:t>
            </w:r>
          </w:p>
        </w:tc>
      </w:tr>
      <w:tr>
        <w:trPr>
          <w:trHeight w:val="432"/>
        </w:trPr>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(1,683,941)</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(2,496,197)</w:t>
            </w:r>
          </w:p>
        </w:tc>
      </w:tr>
      <w:tr>
        <w:trPr>
          <w:trHeight w:val="216"/>
        </w:trPr>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1,837,076</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2,246,633</w:t>
            </w:r>
          </w:p>
        </w:tc>
      </w:tr>
      <w:tr>
        <w:trPr>
          <w:trHeight w:val="216"/>
        </w:trPr>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(95,186)</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w:t>
            </w:r>
          </w:p>
        </w:tc>
      </w:tr>
      <w:tr>
        <w:trPr>
          <w:trHeight w:val="378"/>
        </w:trPr>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(57,008)</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40,692</w:t>
            </w:r>
          </w:p>
        </w:tc>
      </w:tr>
      <w:tr>
        <w:trPr>
          <w:trHeight w:val="219"/>
        </w:trPr>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(1,307,570)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(352,720)</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1,577,968</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20" w:space="540"/>
            <w:col w:w="2860"/>
          </w:cols>
          <w:pgMar w:left="320" w:top="162" w:right="359" w:bottom="1440" w:gutter="0" w:footer="0" w:header="0"/>
        </w:sectPr>
      </w:pPr>
    </w:p>
    <w:p>
      <w:pPr>
        <w:spacing w:after="0" w:line="10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Assumes $100 investment on December 31, 2020 in our common stock</w:t>
      </w:r>
    </w:p>
    <w:p>
      <w:pPr>
        <w:spacing w:after="0" w:line="27" w:lineRule="exact"/>
        <w:rPr>
          <w:rFonts w:ascii="Times New Roman" w:cs="Times New Roman" w:eastAsia="Times New Roman" w:hAnsi="Times New Roman"/>
          <w:sz w:val="18"/>
          <w:szCs w:val="18"/>
          <w:i w:val="1"/>
          <w:iCs w:val="1"/>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Company's net income on the consolidated statements of income reported in the Company's 2022 Annual Report on Form 10K.</w:t>
      </w:r>
    </w:p>
    <w:p>
      <w:pPr>
        <w:spacing w:after="0" w:line="9" w:lineRule="exact"/>
        <w:rPr>
          <w:rFonts w:ascii="Times New Roman" w:cs="Times New Roman" w:eastAsia="Times New Roman" w:hAnsi="Times New Roman"/>
          <w:sz w:val="18"/>
          <w:szCs w:val="18"/>
          <w:i w:val="1"/>
          <w:iCs w:val="1"/>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forfeitures represent Mr. Vollkommer's outstanding awards at the time of his retirement in September 2022.</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62" w:right="3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324" w:lineRule="exact"/>
        <w:rPr>
          <w:sz w:val="20"/>
          <w:szCs w:val="20"/>
          <w:color w:val="auto"/>
        </w:rPr>
      </w:pPr>
    </w:p>
    <w:p>
      <w:pPr>
        <w:spacing w:after="0" w:line="360"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for Priority's year ended December 31, 2022 for our non-employee directors: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00" w:type="dxa"/>
            <w:vAlign w:val="bottom"/>
          </w:tcPr>
          <w:p>
            <w:pPr>
              <w:spacing w:after="0"/>
              <w:rPr>
                <w:sz w:val="18"/>
                <w:szCs w:val="18"/>
                <w:color w:val="auto"/>
              </w:rPr>
            </w:pPr>
          </w:p>
        </w:tc>
        <w:tc>
          <w:tcPr>
            <w:tcW w:w="1740" w:type="dxa"/>
            <w:vAlign w:val="bottom"/>
            <w:vMerge w:val="restart"/>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w w:val="99"/>
              </w:rPr>
              <w:t>Fees Earned or</w:t>
            </w:r>
          </w:p>
        </w:tc>
        <w:tc>
          <w:tcPr>
            <w:tcW w:w="126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7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Non-Equity Incentive</w:t>
            </w:r>
          </w:p>
        </w:tc>
        <w:tc>
          <w:tcPr>
            <w:tcW w:w="15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90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b w:val="1"/>
                <w:bCs w:val="1"/>
                <w:color w:val="auto"/>
              </w:rPr>
              <w:t>Name of Director</w:t>
            </w:r>
          </w:p>
        </w:tc>
        <w:tc>
          <w:tcPr>
            <w:tcW w:w="1740" w:type="dxa"/>
            <w:vAlign w:val="bottom"/>
            <w:vMerge w:val="continue"/>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Stock Awards $</w:t>
            </w:r>
          </w:p>
        </w:tc>
        <w:tc>
          <w:tcPr>
            <w:tcW w:w="86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w:t>
            </w: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0" w:type="dxa"/>
            <w:vAlign w:val="bottom"/>
          </w:tcPr>
          <w:p>
            <w:pPr>
              <w:spacing w:after="0"/>
              <w:rPr>
                <w:sz w:val="1"/>
                <w:szCs w:val="1"/>
                <w:color w:val="auto"/>
              </w:rPr>
            </w:pPr>
          </w:p>
        </w:tc>
      </w:tr>
      <w:tr>
        <w:trPr>
          <w:trHeight w:val="214"/>
        </w:trPr>
        <w:tc>
          <w:tcPr>
            <w:tcW w:w="2900" w:type="dxa"/>
            <w:vAlign w:val="bottom"/>
            <w:tcBorders>
              <w:bottom w:val="single" w:sz="8" w:color="auto"/>
            </w:tcBorders>
            <w:vMerge w:val="continue"/>
          </w:tcPr>
          <w:p>
            <w:pPr>
              <w:spacing w:after="0"/>
              <w:rPr>
                <w:sz w:val="18"/>
                <w:szCs w:val="18"/>
                <w:color w:val="auto"/>
              </w:rPr>
            </w:pPr>
          </w:p>
        </w:tc>
        <w:tc>
          <w:tcPr>
            <w:tcW w:w="174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Paid in Cash $</w:t>
            </w:r>
          </w:p>
        </w:tc>
        <w:tc>
          <w:tcPr>
            <w:tcW w:w="1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Awards $</w:t>
            </w:r>
          </w:p>
        </w:tc>
        <w:tc>
          <w:tcPr>
            <w:tcW w:w="1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Plan Compensation $</w:t>
            </w:r>
          </w:p>
        </w:tc>
        <w:tc>
          <w:tcPr>
            <w:tcW w:w="15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Marc Crisafulli</w:t>
            </w:r>
            <w:r>
              <w:rPr>
                <w:rFonts w:ascii="Times New Roman" w:cs="Times New Roman" w:eastAsia="Times New Roman" w:hAnsi="Times New Roman"/>
                <w:sz w:val="21"/>
                <w:szCs w:val="21"/>
                <w:color w:val="auto"/>
                <w:vertAlign w:val="superscript"/>
              </w:rPr>
              <w:t>1</w:t>
            </w:r>
          </w:p>
        </w:tc>
        <w:tc>
          <w:tcPr>
            <w:tcW w:w="174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10,000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10,000</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Marietta Davis</w:t>
            </w:r>
          </w:p>
        </w:tc>
        <w:tc>
          <w:tcPr>
            <w:tcW w:w="17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60,000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160,000</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Christina Favilla</w:t>
            </w:r>
          </w:p>
        </w:tc>
        <w:tc>
          <w:tcPr>
            <w:tcW w:w="174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65,000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165,000</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Stephen Hipp</w:t>
            </w:r>
          </w:p>
        </w:tc>
        <w:tc>
          <w:tcPr>
            <w:tcW w:w="17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65,000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165,000</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Michael Passilla</w:t>
            </w:r>
          </w:p>
        </w:tc>
        <w:tc>
          <w:tcPr>
            <w:tcW w:w="174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70,000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170,000</w:t>
            </w:r>
          </w:p>
        </w:tc>
        <w:tc>
          <w:tcPr>
            <w:tcW w:w="0" w:type="dxa"/>
            <w:vAlign w:val="bottom"/>
          </w:tcPr>
          <w:p>
            <w:pPr>
              <w:spacing w:after="0"/>
              <w:rPr>
                <w:sz w:val="1"/>
                <w:szCs w:val="1"/>
                <w:color w:val="auto"/>
              </w:rPr>
            </w:pPr>
          </w:p>
        </w:tc>
      </w:tr>
      <w:tr>
        <w:trPr>
          <w:trHeight w:val="210"/>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John Priore</w:t>
            </w:r>
          </w:p>
        </w:tc>
        <w:tc>
          <w:tcPr>
            <w:tcW w:w="17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60,000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160,000</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Mr. Crisafulli joined the Company as an independent, non-employee director in November 2022.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Director Compensation Table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Independent Director Compensation</w:t>
      </w:r>
    </w:p>
    <w:p>
      <w:pPr>
        <w:spacing w:after="0" w:line="322"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8"/>
          <w:szCs w:val="18"/>
          <w:color w:val="auto"/>
        </w:rPr>
        <w:t>The independent directors have each entered an agreement to which each receives cash compensation of $60,000 per year, payable in monthly installments and a grant of restricted stock with a grant date fair value $100,000 which vests over four quarters. The chair of the Audit Committee received $10,000 in 2022 in addition to their director cash compensation. The chair of the Nominating and Corporate Governance Committee and the chair of the Compensation Committee both received $5,000 in 2022 in addition to their director cash compensation. Payment of each installment of the annual fee is subject to applicable restrictions under the debt and equity financing agreements of the Company and its subsidiaries. In the event any such restrictions prohibit payment of an installment of the annual fee such amount will accrue interest at a rate of 6% per annum until such amount is permitted to be paid. The independent directors are reimbursed for reasonable and documented out-of-pocket expenses incurred by him or her in the performance of their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6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OUTSTANDING EQUITY AWARDS AT 2022 YEAR END</w:t>
      </w:r>
    </w:p>
    <w:p>
      <w:pPr>
        <w:spacing w:after="0" w:line="200" w:lineRule="exact"/>
        <w:rPr>
          <w:sz w:val="20"/>
          <w:szCs w:val="20"/>
          <w:color w:val="auto"/>
        </w:rPr>
      </w:pPr>
    </w:p>
    <w:p>
      <w:pPr>
        <w:spacing w:after="0" w:line="367" w:lineRule="exact"/>
        <w:rPr>
          <w:sz w:val="20"/>
          <w:szCs w:val="20"/>
          <w:color w:val="auto"/>
        </w:rPr>
      </w:pPr>
    </w:p>
    <w:p>
      <w:pPr>
        <w:jc w:val="both"/>
        <w:spacing w:after="0" w:line="389" w:lineRule="auto"/>
        <w:rPr>
          <w:sz w:val="20"/>
          <w:szCs w:val="20"/>
          <w:color w:val="auto"/>
        </w:rPr>
      </w:pPr>
      <w:r>
        <w:rPr>
          <w:rFonts w:ascii="Times New Roman" w:cs="Times New Roman" w:eastAsia="Times New Roman" w:hAnsi="Times New Roman"/>
          <w:sz w:val="18"/>
          <w:szCs w:val="18"/>
          <w:color w:val="auto"/>
        </w:rPr>
        <w:t>The following table provides information regarding unexercised stock options, stock that has not yet vested, and equity incentive plan awards for each NEO outstanding as of the end of 2022. Each outstanding award is represented by a separate row that indicates the number of securities underlying the award.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16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90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116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260" w:type="dxa"/>
            <w:vAlign w:val="bottom"/>
          </w:tcPr>
          <w:p>
            <w:pPr>
              <w:spacing w:after="0"/>
              <w:rPr>
                <w:sz w:val="11"/>
                <w:szCs w:val="11"/>
                <w:color w:val="auto"/>
              </w:rPr>
            </w:pPr>
          </w:p>
        </w:tc>
        <w:tc>
          <w:tcPr>
            <w:tcW w:w="12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0" w:type="dxa"/>
            <w:vAlign w:val="bottom"/>
          </w:tcPr>
          <w:p>
            <w:pPr>
              <w:spacing w:after="0"/>
              <w:rPr>
                <w:sz w:val="1"/>
                <w:szCs w:val="1"/>
                <w:color w:val="auto"/>
              </w:rPr>
            </w:pPr>
          </w:p>
        </w:tc>
      </w:tr>
      <w:tr>
        <w:trPr>
          <w:trHeight w:val="146"/>
        </w:trPr>
        <w:tc>
          <w:tcPr>
            <w:tcW w:w="19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16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24"/>
              <w:spacing w:after="0" w:line="146"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37"/>
        </w:trPr>
        <w:tc>
          <w:tcPr>
            <w:tcW w:w="19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1"/>
                <w:szCs w:val="11"/>
                <w:color w:val="auto"/>
              </w:rPr>
            </w:pPr>
          </w:p>
        </w:tc>
        <w:tc>
          <w:tcPr>
            <w:tcW w:w="124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Market or Payout</w:t>
            </w:r>
          </w:p>
        </w:tc>
        <w:tc>
          <w:tcPr>
            <w:tcW w:w="0" w:type="dxa"/>
            <w:vAlign w:val="bottom"/>
          </w:tcPr>
          <w:p>
            <w:pPr>
              <w:spacing w:after="0"/>
              <w:rPr>
                <w:sz w:val="1"/>
                <w:szCs w:val="1"/>
                <w:color w:val="auto"/>
              </w:rPr>
            </w:pPr>
          </w:p>
        </w:tc>
      </w:tr>
      <w:tr>
        <w:trPr>
          <w:trHeight w:val="146"/>
        </w:trPr>
        <w:tc>
          <w:tcPr>
            <w:tcW w:w="192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20" w:type="dxa"/>
            <w:vAlign w:val="bottom"/>
            <w:vMerge w:val="restart"/>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6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Unearned Shares of</w:t>
            </w:r>
          </w:p>
        </w:tc>
        <w:tc>
          <w:tcPr>
            <w:tcW w:w="260" w:type="dxa"/>
            <w:vAlign w:val="bottom"/>
          </w:tcPr>
          <w:p>
            <w:pPr>
              <w:spacing w:after="0"/>
              <w:rPr>
                <w:sz w:val="12"/>
                <w:szCs w:val="12"/>
                <w:color w:val="auto"/>
              </w:rPr>
            </w:pPr>
          </w:p>
        </w:tc>
        <w:tc>
          <w:tcPr>
            <w:tcW w:w="12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Value of Unearned</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20" w:type="dxa"/>
            <w:vAlign w:val="bottom"/>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6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Units, or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Shares of Stock,</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20" w:type="dxa"/>
            <w:vAlign w:val="bottom"/>
          </w:tcPr>
          <w:p>
            <w:pPr>
              <w:jc w:val="center"/>
              <w:ind w:left="4"/>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Other Rights That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4"/>
              <w:spacing w:after="0" w:line="135"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0" w:type="dxa"/>
            <w:vAlign w:val="bottom"/>
          </w:tcPr>
          <w:p>
            <w:pPr>
              <w:spacing w:after="0"/>
              <w:rPr>
                <w:sz w:val="1"/>
                <w:szCs w:val="1"/>
                <w:color w:val="auto"/>
              </w:rPr>
            </w:pPr>
          </w:p>
        </w:tc>
      </w:tr>
      <w:tr>
        <w:trPr>
          <w:trHeight w:val="148"/>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20" w:type="dxa"/>
            <w:vAlign w:val="bottom"/>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Options</w:t>
            </w:r>
          </w:p>
        </w:tc>
        <w:tc>
          <w:tcPr>
            <w:tcW w:w="1160" w:type="dxa"/>
            <w:vAlign w:val="bottom"/>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 Yet Vested</w:t>
            </w:r>
          </w:p>
        </w:tc>
        <w:tc>
          <w:tcPr>
            <w:tcW w:w="2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 Have</w:t>
            </w:r>
          </w:p>
        </w:tc>
        <w:tc>
          <w:tcPr>
            <w:tcW w:w="0" w:type="dxa"/>
            <w:vAlign w:val="bottom"/>
          </w:tcPr>
          <w:p>
            <w:pPr>
              <w:spacing w:after="0"/>
              <w:rPr>
                <w:sz w:val="1"/>
                <w:szCs w:val="1"/>
                <w:color w:val="auto"/>
              </w:rPr>
            </w:pPr>
          </w:p>
        </w:tc>
      </w:tr>
      <w:tr>
        <w:trPr>
          <w:trHeight w:val="198"/>
        </w:trPr>
        <w:tc>
          <w:tcPr>
            <w:tcW w:w="1920" w:type="dxa"/>
            <w:vAlign w:val="bottom"/>
            <w:vMerge w:val="continue"/>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 (#)</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 (#)</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 Yet Vested ($)</w:t>
            </w: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Thomas Priore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51,271</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269,685</w:t>
            </w:r>
          </w:p>
        </w:tc>
        <w:tc>
          <w:tcPr>
            <w:tcW w:w="0" w:type="dxa"/>
            <w:vAlign w:val="bottom"/>
          </w:tcPr>
          <w:p>
            <w:pPr>
              <w:spacing w:after="0"/>
              <w:rPr>
                <w:sz w:val="1"/>
                <w:szCs w:val="1"/>
                <w:color w:val="auto"/>
              </w:rPr>
            </w:pPr>
          </w:p>
        </w:tc>
      </w:tr>
      <w:tr>
        <w:trPr>
          <w:trHeight w:val="213"/>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Timothy O'Leary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center"/>
              <w:ind w:left="4"/>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149,254</w:t>
            </w:r>
          </w:p>
        </w:tc>
        <w:tc>
          <w:tcPr>
            <w:tcW w:w="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785,076</w:t>
            </w:r>
          </w:p>
        </w:tc>
        <w:tc>
          <w:tcPr>
            <w:tcW w:w="0" w:type="dxa"/>
            <w:vAlign w:val="bottom"/>
          </w:tcPr>
          <w:p>
            <w:pPr>
              <w:spacing w:after="0"/>
              <w:rPr>
                <w:sz w:val="1"/>
                <w:szCs w:val="1"/>
                <w:color w:val="auto"/>
              </w:rPr>
            </w:pPr>
          </w:p>
        </w:tc>
      </w:tr>
      <w:tr>
        <w:trPr>
          <w:trHeight w:val="21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Bradley Miller</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252,301</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1,327,098</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February 2021 grant to Mr. Priore vests equally over two years. The remaining shares are scheduled to vest on February 25, 2023.</w:t>
      </w:r>
    </w:p>
    <w:p>
      <w:pPr>
        <w:spacing w:after="0" w:line="59"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September 2022 grant to Mr. O'Leary vests equally over three years.</w:t>
      </w:r>
    </w:p>
    <w:p>
      <w:pPr>
        <w:spacing w:after="0" w:line="72" w:lineRule="exact"/>
        <w:rPr>
          <w:rFonts w:ascii="Times New Roman" w:cs="Times New Roman" w:eastAsia="Times New Roman" w:hAnsi="Times New Roman"/>
          <w:sz w:val="16"/>
          <w:szCs w:val="16"/>
          <w:i w:val="1"/>
          <w:iCs w:val="1"/>
          <w:color w:val="auto"/>
        </w:rPr>
      </w:pPr>
    </w:p>
    <w:p>
      <w:pPr>
        <w:ind w:left="660" w:hanging="328"/>
        <w:spacing w:after="0" w:line="280" w:lineRule="auto"/>
        <w:tabs>
          <w:tab w:leader="none" w:pos="651" w:val="left"/>
        </w:tabs>
        <w:numPr>
          <w:ilvl w:val="0"/>
          <w:numId w:val="2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awards outstanding for Mr. Miller are 200,000 shares granted on April 15, 2022 and 52,301 shares from his 2020 performance and service grants that vested in February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6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DIRECTORS, AND EXECUTIVE OFFICERS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as of the Record Date regarding the beneficial ownership of our common stock by:</w:t>
      </w:r>
    </w:p>
    <w:p>
      <w:pPr>
        <w:spacing w:after="0" w:line="33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be the beneficial owner of more than 5% of our outstanding shares of common stock;</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each named executive officer;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and directors as a group.</w:t>
      </w:r>
    </w:p>
    <w:p>
      <w:pPr>
        <w:spacing w:after="0" w:line="374" w:lineRule="exact"/>
        <w:rPr>
          <w:sz w:val="20"/>
          <w:szCs w:val="20"/>
          <w:color w:val="auto"/>
        </w:rPr>
      </w:pPr>
    </w:p>
    <w:p>
      <w:pPr>
        <w:spacing w:after="0" w:line="37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shares of common stock beneficially owned by them.</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Name and Address of Beneficial Owner </w:t>
            </w:r>
            <w:r>
              <w:rPr>
                <w:rFonts w:ascii="Times New Roman" w:cs="Times New Roman" w:eastAsia="Times New Roman" w:hAnsi="Times New Roman"/>
                <w:sz w:val="21"/>
                <w:szCs w:val="21"/>
                <w:b w:val="1"/>
                <w:bCs w:val="1"/>
                <w:color w:val="auto"/>
                <w:vertAlign w:val="superscript"/>
              </w:rPr>
              <w:t>1</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Amount and Nature of</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Approximate Percentage of</w:t>
            </w:r>
          </w:p>
        </w:tc>
        <w:tc>
          <w:tcPr>
            <w:tcW w:w="260" w:type="dxa"/>
            <w:vAlign w:val="bottom"/>
            <w:vMerge w:val="restart"/>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0" w:type="dxa"/>
            <w:vAlign w:val="bottom"/>
          </w:tcPr>
          <w:p>
            <w:pPr>
              <w:spacing w:after="0"/>
              <w:rPr>
                <w:sz w:val="1"/>
                <w:szCs w:val="1"/>
                <w:color w:val="auto"/>
              </w:rPr>
            </w:pPr>
          </w:p>
        </w:tc>
      </w:tr>
      <w:tr>
        <w:trPr>
          <w:trHeight w:val="216"/>
        </w:trPr>
        <w:tc>
          <w:tcPr>
            <w:tcW w:w="6840" w:type="dxa"/>
            <w:vAlign w:val="bottom"/>
            <w:gridSpan w:val="2"/>
            <w:vMerge w:val="continue"/>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Beneficial Ownership</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Outstanding Common Stock</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5% or Greater Stockholders (Other than below):</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Trident Finxera Holdings LP</w:t>
            </w: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c/o Stone Point Capital</w:t>
            </w: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20 Horseneck Lane</w:t>
            </w: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5,193,039</w:t>
            </w:r>
          </w:p>
        </w:tc>
        <w:tc>
          <w:tcPr>
            <w:tcW w:w="120" w:type="dxa"/>
            <w:vAlign w:val="bottom"/>
          </w:tcPr>
          <w:p>
            <w:pPr>
              <w:spacing w:after="0"/>
              <w:rPr>
                <w:sz w:val="14"/>
                <w:szCs w:val="14"/>
                <w:color w:val="auto"/>
              </w:rPr>
            </w:pPr>
          </w:p>
        </w:tc>
        <w:tc>
          <w:tcPr>
            <w:tcW w:w="244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213"/>
        </w:trPr>
        <w:tc>
          <w:tcPr>
            <w:tcW w:w="68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Greenwich, CT 05683</w:t>
            </w:r>
          </w:p>
        </w:tc>
        <w:tc>
          <w:tcPr>
            <w:tcW w:w="1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Directors and Named Executive Officers: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40" w:type="dxa"/>
            <w:vAlign w:val="bottom"/>
            <w:gridSpan w:val="2"/>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 xml:space="preserve">Thomas Priore </w:t>
            </w:r>
            <w:r>
              <w:rPr>
                <w:rFonts w:ascii="Times New Roman" w:cs="Times New Roman" w:eastAsia="Times New Roman" w:hAnsi="Times New Roman"/>
                <w:sz w:val="23"/>
                <w:szCs w:val="23"/>
                <w:color w:val="auto"/>
                <w:vertAlign w:val="superscript"/>
              </w:rPr>
              <w:t>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46,800,933</w:t>
            </w:r>
          </w:p>
        </w:tc>
        <w:tc>
          <w:tcPr>
            <w:tcW w:w="12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John Priore </w:t>
            </w:r>
            <w:r>
              <w:rPr>
                <w:rFonts w:ascii="Times New Roman" w:cs="Times New Roman" w:eastAsia="Times New Roman" w:hAnsi="Times New Roman"/>
                <w:sz w:val="23"/>
                <w:szCs w:val="23"/>
                <w:color w:val="auto"/>
                <w:vertAlign w:val="superscript"/>
              </w:rPr>
              <w:t>4</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9,324,316</w:t>
            </w:r>
          </w:p>
        </w:tc>
        <w:tc>
          <w:tcPr>
            <w:tcW w:w="120" w:type="dxa"/>
            <w:vAlign w:val="bottom"/>
          </w:tcPr>
          <w:p>
            <w:pPr>
              <w:spacing w:after="0"/>
              <w:rPr>
                <w:sz w:val="18"/>
                <w:szCs w:val="18"/>
                <w:color w:val="auto"/>
              </w:rPr>
            </w:pPr>
          </w:p>
        </w:tc>
        <w:tc>
          <w:tcPr>
            <w:tcW w:w="2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Sean Kiewiet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1,530,707</w:t>
            </w:r>
          </w:p>
        </w:tc>
        <w:tc>
          <w:tcPr>
            <w:tcW w:w="12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Michael Vollkommer</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228,749</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Bradley Miller</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197,707</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Ranjana Ram</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627,184</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Marc Crisafulli</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Marietta Davis </w:t>
            </w:r>
            <w:r>
              <w:rPr>
                <w:rFonts w:ascii="Times New Roman" w:cs="Times New Roman" w:eastAsia="Times New Roman" w:hAnsi="Times New Roman"/>
                <w:sz w:val="21"/>
                <w:szCs w:val="21"/>
                <w:color w:val="auto"/>
                <w:vertAlign w:val="superscript"/>
              </w:rPr>
              <w:t>5</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30,174</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Christina Favilla </w:t>
            </w:r>
            <w:r>
              <w:rPr>
                <w:rFonts w:ascii="Times New Roman" w:cs="Times New Roman" w:eastAsia="Times New Roman" w:hAnsi="Times New Roman"/>
                <w:sz w:val="21"/>
                <w:szCs w:val="21"/>
                <w:color w:val="auto"/>
                <w:vertAlign w:val="superscript"/>
              </w:rPr>
              <w:t>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82,047</w:t>
            </w:r>
          </w:p>
        </w:tc>
        <w:tc>
          <w:tcPr>
            <w:tcW w:w="1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Stephen Hipp </w:t>
            </w:r>
            <w:r>
              <w:rPr>
                <w:rFonts w:ascii="Times New Roman" w:cs="Times New Roman" w:eastAsia="Times New Roman" w:hAnsi="Times New Roman"/>
                <w:sz w:val="21"/>
                <w:szCs w:val="21"/>
                <w:color w:val="auto"/>
                <w:vertAlign w:val="superscript"/>
              </w:rPr>
              <w:t>5</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157,047</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Michael Passilla </w:t>
            </w:r>
            <w:r>
              <w:rPr>
                <w:rFonts w:ascii="Times New Roman" w:cs="Times New Roman" w:eastAsia="Times New Roman" w:hAnsi="Times New Roman"/>
                <w:sz w:val="21"/>
                <w:szCs w:val="21"/>
                <w:color w:val="auto"/>
                <w:vertAlign w:val="superscript"/>
              </w:rPr>
              <w:t>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158,138</w:t>
            </w:r>
          </w:p>
        </w:tc>
        <w:tc>
          <w:tcPr>
            <w:tcW w:w="1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All directors and executive officers as a group (11 individuals)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59,157,002</w:t>
            </w:r>
          </w:p>
        </w:tc>
        <w:tc>
          <w:tcPr>
            <w:tcW w:w="120" w:type="dxa"/>
            <w:vAlign w:val="bottom"/>
          </w:tcPr>
          <w:p>
            <w:pPr>
              <w:spacing w:after="0"/>
              <w:rPr>
                <w:sz w:val="18"/>
                <w:szCs w:val="18"/>
                <w:color w:val="auto"/>
              </w:rPr>
            </w:pPr>
          </w:p>
        </w:tc>
        <w:tc>
          <w:tcPr>
            <w:tcW w:w="2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99" w:lineRule="exact"/>
        <w:rPr>
          <w:sz w:val="20"/>
          <w:szCs w:val="20"/>
          <w:color w:val="auto"/>
        </w:rPr>
      </w:pPr>
    </w:p>
    <w:p>
      <w:pPr>
        <w:ind w:left="320" w:hanging="132"/>
        <w:spacing w:after="0"/>
        <w:tabs>
          <w:tab w:leader="none" w:pos="3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Less than 1%</w:t>
      </w:r>
    </w:p>
    <w:p>
      <w:pPr>
        <w:spacing w:after="0" w:line="36" w:lineRule="exact"/>
        <w:rPr>
          <w:rFonts w:ascii="Times New Roman" w:cs="Times New Roman" w:eastAsia="Times New Roman" w:hAnsi="Times New Roman"/>
          <w:sz w:val="18"/>
          <w:szCs w:val="18"/>
          <w:b w:val="1"/>
          <w:bCs w:val="1"/>
          <w:color w:val="auto"/>
        </w:rPr>
      </w:pPr>
    </w:p>
    <w:p>
      <w:pPr>
        <w:ind w:left="660" w:hanging="328"/>
        <w:spacing w:after="0" w:line="268" w:lineRule="auto"/>
        <w:tabs>
          <w:tab w:leader="none" w:pos="654" w:val="left"/>
        </w:tabs>
        <w:numPr>
          <w:ilvl w:val="1"/>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6"/>
          <w:szCs w:val="16"/>
          <w:color w:val="auto"/>
        </w:rPr>
        <w:t>Unless otherwise indicated, the business address of each of the individuals is c/o Priority Technology Holdings, Inc., 2001 Westside Parkway, Alpharetta, GA 30004.</w:t>
      </w:r>
    </w:p>
    <w:p>
      <w:pPr>
        <w:spacing w:after="0" w:line="89" w:lineRule="exact"/>
        <w:rPr>
          <w:rFonts w:ascii="Times New Roman" w:cs="Times New Roman" w:eastAsia="Times New Roman" w:hAnsi="Times New Roman"/>
          <w:sz w:val="18"/>
          <w:szCs w:val="18"/>
          <w:i w:val="1"/>
          <w:iCs w:val="1"/>
          <w:color w:val="auto"/>
        </w:rPr>
      </w:pPr>
    </w:p>
    <w:p>
      <w:pPr>
        <w:jc w:val="both"/>
        <w:ind w:left="660" w:hanging="328"/>
        <w:spacing w:after="0" w:line="256" w:lineRule="auto"/>
        <w:tabs>
          <w:tab w:leader="none" w:pos="654" w:val="left"/>
        </w:tabs>
        <w:numPr>
          <w:ilvl w:val="1"/>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6"/>
          <w:szCs w:val="16"/>
          <w:color w:val="auto"/>
        </w:rPr>
        <w:t>The percentage of beneficial ownership of Priority is calculated based on 76,393,191 shares of common stock outstanding. Unless otherwise indicated, we believe that all persons named in the table have sole voting and investment power with respect to all shares of common stock beneficially owned by them as of the date indicated.</w:t>
      </w:r>
    </w:p>
    <w:p>
      <w:pPr>
        <w:spacing w:after="0" w:line="88" w:lineRule="exact"/>
        <w:rPr>
          <w:rFonts w:ascii="Times New Roman" w:cs="Times New Roman" w:eastAsia="Times New Roman" w:hAnsi="Times New Roman"/>
          <w:sz w:val="18"/>
          <w:szCs w:val="18"/>
          <w:i w:val="1"/>
          <w:iCs w:val="1"/>
          <w:color w:val="auto"/>
        </w:rPr>
      </w:pPr>
    </w:p>
    <w:p>
      <w:pPr>
        <w:jc w:val="both"/>
        <w:ind w:left="660" w:hanging="328"/>
        <w:spacing w:after="0" w:line="263" w:lineRule="auto"/>
        <w:tabs>
          <w:tab w:leader="none" w:pos="660" w:val="left"/>
        </w:tabs>
        <w:numPr>
          <w:ilvl w:val="1"/>
          <w:numId w:val="2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Includes 2,500,000 shares of the Company's common stock held by Lori A. Priore, the spouse of Thomas C. Priore, and Bernard H. Smyers, in their capacity as trustees of the Thomas C. Priore Irrevocable Insurance Trust u/a/d 1/8/2010, for the benefit of Lori A. Priore and the children of Thomas C. Priore and Lori A. Priore.</w:t>
      </w:r>
    </w:p>
    <w:p>
      <w:pPr>
        <w:spacing w:after="0" w:line="97" w:lineRule="exact"/>
        <w:rPr>
          <w:rFonts w:ascii="Times New Roman" w:cs="Times New Roman" w:eastAsia="Times New Roman" w:hAnsi="Times New Roman"/>
          <w:sz w:val="16"/>
          <w:szCs w:val="16"/>
          <w:i w:val="1"/>
          <w:iCs w:val="1"/>
          <w:color w:val="auto"/>
        </w:rPr>
      </w:pPr>
    </w:p>
    <w:p>
      <w:pPr>
        <w:ind w:left="660" w:hanging="328"/>
        <w:spacing w:after="0" w:line="268" w:lineRule="auto"/>
        <w:tabs>
          <w:tab w:leader="none" w:pos="654" w:val="left"/>
        </w:tabs>
        <w:numPr>
          <w:ilvl w:val="1"/>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6"/>
          <w:szCs w:val="16"/>
          <w:color w:val="auto"/>
        </w:rPr>
        <w:t>Includes 9,295,618 shares of the Company's common stock directly held by AESV Credit Card Consulting LLC, which is controlled by John Priore. John Priore may be deemed to beneficially own such shares of stock directly or indirectly controlled by him.</w:t>
      </w:r>
    </w:p>
    <w:p>
      <w:pPr>
        <w:spacing w:after="0" w:line="76" w:lineRule="exact"/>
        <w:rPr>
          <w:rFonts w:ascii="Times New Roman" w:cs="Times New Roman" w:eastAsia="Times New Roman" w:hAnsi="Times New Roman"/>
          <w:sz w:val="18"/>
          <w:szCs w:val="18"/>
          <w:i w:val="1"/>
          <w:iCs w:val="1"/>
          <w:color w:val="auto"/>
        </w:rPr>
      </w:pPr>
    </w:p>
    <w:p>
      <w:pPr>
        <w:ind w:left="660" w:hanging="328"/>
        <w:spacing w:after="0" w:line="268" w:lineRule="auto"/>
        <w:tabs>
          <w:tab w:leader="none" w:pos="654" w:val="left"/>
        </w:tabs>
        <w:numPr>
          <w:ilvl w:val="1"/>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6"/>
          <w:szCs w:val="16"/>
          <w:color w:val="auto"/>
        </w:rPr>
        <w:t>On February 25, 2022, the Reporting Person was granted 18,450 restricted stock units which vest 25% on April 1, 2022, 25% on July 1, 2022, 25% on October 1, 2022, and 25% on January 1, 2023 subject to the Reporting Person's continued service as a director of the Issuer.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6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b w:val="1"/>
          <w:bCs w:val="1"/>
          <w:color w:val="auto"/>
        </w:rPr>
        <w:t>PROPOSAL NUMBER ONE</w:t>
      </w:r>
    </w:p>
    <w:p>
      <w:pPr>
        <w:spacing w:after="0" w:line="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ELECTION OF DIRECTORS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324"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Our certificate of incorporation and bylaws currently provide that the number of directors constituting the Board shall be determined solely and exclusively by resolution duly adopted from time to time by the Board. There are seven directors presently serving on our Board, and the number of directors to be elected at this Annual Meeting is seven.</w:t>
      </w:r>
    </w:p>
    <w:p>
      <w:pPr>
        <w:spacing w:after="0" w:line="210"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The Board proposes that the following seven director nominees be elected to the Board to serve until the next annual meeting in 2024, or until his or her earlier resignation, death, or removal.</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Nominees for Directors</w:t>
            </w:r>
          </w:p>
        </w:tc>
        <w:tc>
          <w:tcPr>
            <w:tcW w:w="3040" w:type="dxa"/>
            <w:vAlign w:val="bottom"/>
          </w:tcPr>
          <w:p>
            <w:pPr>
              <w:spacing w:after="0"/>
              <w:rPr>
                <w:sz w:val="20"/>
                <w:szCs w:val="20"/>
                <w:color w:val="auto"/>
              </w:rPr>
            </w:pPr>
          </w:p>
        </w:tc>
      </w:tr>
      <w:tr>
        <w:trPr>
          <w:trHeight w:val="594"/>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Each nominee is listed below, along with their age as of the date of this Proxy Statement.</w:t>
            </w:r>
          </w:p>
        </w:tc>
        <w:tc>
          <w:tcPr>
            <w:tcW w:w="3040" w:type="dxa"/>
            <w:vAlign w:val="bottom"/>
          </w:tcPr>
          <w:p>
            <w:pPr>
              <w:spacing w:after="0"/>
              <w:rPr>
                <w:sz w:val="24"/>
                <w:szCs w:val="24"/>
                <w:color w:val="auto"/>
              </w:rPr>
            </w:pPr>
          </w:p>
        </w:tc>
      </w:tr>
      <w:tr>
        <w:trPr>
          <w:trHeight w:val="378"/>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4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Priore</w:t>
            </w:r>
          </w:p>
        </w:tc>
        <w:tc>
          <w:tcPr>
            <w:tcW w:w="30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54</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Priore</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59</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 Crisafulli</w:t>
            </w:r>
          </w:p>
        </w:tc>
        <w:tc>
          <w:tcPr>
            <w:tcW w:w="30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54</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Marietta Davis</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63</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Christina Favilla</w:t>
            </w:r>
          </w:p>
        </w:tc>
        <w:tc>
          <w:tcPr>
            <w:tcW w:w="30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56</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Hipp</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55</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Passilla</w:t>
            </w:r>
          </w:p>
        </w:tc>
        <w:tc>
          <w:tcPr>
            <w:tcW w:w="30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56</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Certain biographical information about the nominees as of the date of this Proxy Statement can be found above under "Executive Officers and Board of Directors."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337"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Pursuant to our bylaws, a nominee must receive the vote of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election of each of the director nominees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6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NUMBER TWO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APPROVAL OF ADVISORY VOTE ON NAMED EXECUTIVE OFFICER COMPENSATION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70"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Pursuant to Section 14A of the Securities Exchange Act (the “Exchange Act”), we are required to provide our stockholders with the opportunity to vote to approve, on an advisory, non-binding basis, the compensation of our NEOs as disclosed in this Proxy Statement in accordance with the SEC’s rules.</w:t>
      </w:r>
    </w:p>
    <w:p>
      <w:pPr>
        <w:spacing w:after="0" w:line="1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described in detail in the </w:t>
      </w:r>
      <w:r>
        <w:rPr>
          <w:rFonts w:ascii="Times New Roman" w:cs="Times New Roman" w:eastAsia="Times New Roman" w:hAnsi="Times New Roman"/>
          <w:sz w:val="18"/>
          <w:szCs w:val="18"/>
          <w:i w:val="1"/>
          <w:iCs w:val="1"/>
          <w:color w:val="auto"/>
        </w:rPr>
        <w:t>Compensation of Executive Officers and Compensation of Directors</w:t>
      </w:r>
      <w:r>
        <w:rPr>
          <w:rFonts w:ascii="Times New Roman" w:cs="Times New Roman" w:eastAsia="Times New Roman" w:hAnsi="Times New Roman"/>
          <w:sz w:val="18"/>
          <w:szCs w:val="18"/>
          <w:color w:val="auto"/>
        </w:rPr>
        <w:t xml:space="preserve"> sections above, our executive compensation programs are designed to attract, retain, and motivate executives of superior ability who are dedicated to the long-term interests of our stockholders. Under these programs, our NEOs are rewarded for the achievement of specific annual, long-term, and strategic goals, corporate goals, and the realization of increased stockholder value.</w:t>
      </w:r>
    </w:p>
    <w:p>
      <w:pPr>
        <w:spacing w:after="0" w:line="202"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auto"/>
        </w:rPr>
        <w:t xml:space="preserve">Highlights of our executive compensation program, as described in the </w:t>
      </w:r>
      <w:r>
        <w:rPr>
          <w:rFonts w:ascii="Times New Roman" w:cs="Times New Roman" w:eastAsia="Times New Roman" w:hAnsi="Times New Roman"/>
          <w:sz w:val="18"/>
          <w:szCs w:val="18"/>
          <w:i w:val="1"/>
          <w:iCs w:val="1"/>
          <w:color w:val="auto"/>
        </w:rPr>
        <w:t>Compensation of Executive Officers and Compensation of Directors</w:t>
      </w:r>
      <w:r>
        <w:rPr>
          <w:rFonts w:ascii="Times New Roman" w:cs="Times New Roman" w:eastAsia="Times New Roman" w:hAnsi="Times New Roman"/>
          <w:sz w:val="18"/>
          <w:szCs w:val="18"/>
          <w:color w:val="auto"/>
        </w:rPr>
        <w:t xml:space="preserve"> section, include:</w:t>
      </w:r>
    </w:p>
    <w:p>
      <w:pPr>
        <w:spacing w:after="0" w:line="17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programs that are performance-based and align executive officer incentives with stockholder interests over multiple timeframes;</w:t>
      </w:r>
    </w:p>
    <w:p>
      <w:pPr>
        <w:spacing w:after="0" w:line="27" w:lineRule="exact"/>
        <w:rPr>
          <w:rFonts w:ascii="Times New Roman" w:cs="Times New Roman" w:eastAsia="Times New Roman" w:hAnsi="Times New Roman"/>
          <w:sz w:val="18"/>
          <w:szCs w:val="18"/>
          <w:color w:val="auto"/>
        </w:rPr>
      </w:pPr>
    </w:p>
    <w:p>
      <w:pPr>
        <w:ind w:left="660" w:right="440" w:hanging="328"/>
        <w:spacing w:after="0" w:line="273"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incentives that are earned based on performance measured against specific financial and strategic objectives for an executive’s area of responsibility, together with a qualitative assessment of performance;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at-risk pay and compensation design that reflect an executive officer’s impact on Corporation performance over time; and</w:t>
      </w:r>
    </w:p>
    <w:p>
      <w:pPr>
        <w:spacing w:after="0" w:line="22" w:lineRule="exact"/>
        <w:rPr>
          <w:rFonts w:ascii="Times New Roman" w:cs="Times New Roman" w:eastAsia="Times New Roman" w:hAnsi="Times New Roman"/>
          <w:sz w:val="18"/>
          <w:szCs w:val="18"/>
          <w:color w:val="auto"/>
        </w:rPr>
      </w:pPr>
    </w:p>
    <w:p>
      <w:pPr>
        <w:ind w:left="660" w:hanging="328"/>
        <w:spacing w:after="0" w:line="29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risk management practices, including a clawback policy, anti-hedging policy, anti-pledging policy, stock ownership requirements, net share retention ratio, and net hold requirements with respect to equity grants.</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We are asking our shareholders to indicate their support for our NEO compensation as described in this Proxy Statement. This proposal, commonly known as a “say-on-pay” proposal, gives our stockholders the opportunity to express their views on our NEOs’ compensation. This vote is not intended to address any specific item of compensation, but rather the overall compensation of our NEOs and the philosophy, policies, and practices described in this Proxy Statement. Accordingly, we ask our stockholders to vote FOR the approval, on an advisory basis, of the compensation of our NEOs, as disclosed in this Proxy Statement, including the </w:t>
      </w:r>
      <w:r>
        <w:rPr>
          <w:rFonts w:ascii="Times New Roman" w:cs="Times New Roman" w:eastAsia="Times New Roman" w:hAnsi="Times New Roman"/>
          <w:sz w:val="18"/>
          <w:szCs w:val="18"/>
          <w:i w:val="1"/>
          <w:iCs w:val="1"/>
          <w:color w:val="auto"/>
        </w:rPr>
        <w:t>Compensation of Executive Officers and Compensation of Directors</w:t>
      </w:r>
      <w:r>
        <w:rPr>
          <w:rFonts w:ascii="Times New Roman" w:cs="Times New Roman" w:eastAsia="Times New Roman" w:hAnsi="Times New Roman"/>
          <w:sz w:val="18"/>
          <w:szCs w:val="18"/>
          <w:color w:val="auto"/>
        </w:rPr>
        <w:t xml:space="preserve"> section, the 2022 Summary Compensation Table, and the other related tables and narrative discussion.</w:t>
      </w:r>
    </w:p>
    <w:p>
      <w:pPr>
        <w:spacing w:after="0" w:line="2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Though the say-on-pay vote is advisory, and therefore not binding, our Board of Directors and the Compensation Committee value the opinions of our stockholders, and the Compensation Committee will consider the voting results when making future decisions regarding executive compensation as it deems appropriate. We expect to hold our next say-on-pay vote in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7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approval of Proposal Number 2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Proposal Number 2</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6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NUMBER THREE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RATIFICATION OF INDEPENDENT REGISTERED PUBLIC ACCOUNTING FIRM</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324"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18"/>
          <w:szCs w:val="18"/>
          <w:color w:val="auto"/>
        </w:rPr>
        <w:t>The Audit Committee of the Board has appointed EY to serve as the Company's independent registered public accounting firm for the year ending December 31, 2023. The Board is submitting the appointment of EY as the Company's independent registered public accounting firm for stockholder ratification and recommends that stockholders ratify this appointment. Stockholder ratification of the appointment of EY is not required by law or otherwise. The Board is submitting this matter to stockholders for ratification because the Board believes it to be a good corporate governance practice. If the stockholders do not ratify the appointment, the Audit Committee may reconsider whether to retain EY. Even if the appointment is ratified, the Audit Committee may appoint a different independent registered public accounting firm at any time during the year if, in its discretion, it determines that such a change would be in the Company's best interest and that of the Company's stockholders. A representative of EY is expected to attend the Annual Meeting, and he or she will have the opportunity to make a statement and will be available to respond to appropriate questions. For additional information regarding the Company's relationship with EY, please refer to the Audit Committee Report above.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Fees and Services</w:t>
      </w:r>
    </w:p>
    <w:p>
      <w:pPr>
        <w:spacing w:after="0" w:line="162"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The following table shows the fees for professional services provided by EY, our independent registered public accounting firm for fiscal year 2022 and 2021, in each of the last two years.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1,960,750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1,577,561</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4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698,718</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4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455,760</w:t>
            </w:r>
          </w:p>
        </w:tc>
      </w:tr>
      <w:tr>
        <w:trPr>
          <w:trHeight w:val="248"/>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2,732,039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The amounts reported as audit fees are fees, including out-of-pocket expenses, for the current-year audit and related quarterly reviews irrespective of the period in which the related services are rendered or billed. Audit fees include fees associated with the annual audit of the Company’s consolidated financial statements included in the Annual Report on Form 10-K, review of quarterly reports on Form 10-Q, SEC regulatory filings, and statutory audits. The 2021 audit fees have been adjusted in the table above to reflect final billing for that fiscal year audit.</w:t>
      </w:r>
    </w:p>
    <w:p>
      <w:pPr>
        <w:spacing w:after="0" w:line="217" w:lineRule="exact"/>
        <w:rPr>
          <w:sz w:val="20"/>
          <w:szCs w:val="20"/>
          <w:color w:val="auto"/>
        </w:rPr>
      </w:pPr>
    </w:p>
    <w:p>
      <w:pPr>
        <w:ind w:right="100"/>
        <w:spacing w:after="0" w:line="344" w:lineRule="auto"/>
        <w:rPr>
          <w:sz w:val="20"/>
          <w:szCs w:val="20"/>
          <w:color w:val="auto"/>
        </w:rPr>
      </w:pPr>
      <w:r>
        <w:rPr>
          <w:rFonts w:ascii="Times New Roman" w:cs="Times New Roman" w:eastAsia="Times New Roman" w:hAnsi="Times New Roman"/>
          <w:sz w:val="18"/>
          <w:szCs w:val="18"/>
          <w:color w:val="auto"/>
        </w:rPr>
        <w:t>The amounts reported as audit-related, tax and all other fees are fees billed, including out-of-pocket expenses, for services rendered during the fiscal year, even if the auditor did not bill the registrant for those services until after year end. Tax fees include fees associated with tax compliance services, including the preparation, review and filing of certain tax returns, as well as tax advisory services. All other fees include fees associated with advisory services, including fees associated with the Company’s acquisition in 2021.</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6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on Audit Committee Pre-Approval of Audit and Permissible Non-Audit Services of Independent Auditors</w:t>
      </w:r>
    </w:p>
    <w:p>
      <w:pPr>
        <w:spacing w:after="0" w:line="324"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The Audit Committee has also adopted policies and procedures for pre-approving all non-audit work performed by EY. The Audit Committee has pre-approved the use, as needed, of EY for specific types of services that fall within categories of non-audit services, including various tax services. The Audit Committee receives regular updates as to the fees associated with the services that are subject to pre-approval. Services that do not fall within a pre-approved category require specific consideration and pre-approval by the Audit Committee. All services rendered by EY in the table above were pre-approved by the Audit Committee.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337"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The approval of Proposal Number Three requires the affirmative vote of a majority of the votes properly cast at our Annual Meeting. Abstentions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92"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8"/>
          <w:szCs w:val="18"/>
          <w:b w:val="1"/>
          <w:bCs w:val="1"/>
          <w:color w:val="auto"/>
        </w:rPr>
        <w:t>The Board recommends a vote "FOR" the ratification of the appointment of Ernst and Young LLP as the Company's independent registered public accounting firm for the year ending December 31, 2023.</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6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0" w:lineRule="exact"/>
        <w:rPr>
          <w:sz w:val="20"/>
          <w:szCs w:val="20"/>
          <w:color w:val="auto"/>
        </w:rPr>
      </w:pPr>
    </w:p>
    <w:p>
      <w:pPr>
        <w:spacing w:after="0" w:line="31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As of the date of this proxy statement, we know of no business that will be presented for consideration at the Annual Meeting, other than the items referred to above. If any other matter is properly brought before the Annual Meeting for action by stockholders, proxies in the enclosed form returned to the Company will be voted in accordance with the recommendation of the Board or, in the absence of such a recommendation, in accordance with the judgment of the proxy holder.</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 for the 2023 Annual Meeting</w:t>
      </w:r>
    </w:p>
    <w:p>
      <w:pPr>
        <w:spacing w:after="0" w:line="324"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8"/>
          <w:szCs w:val="18"/>
          <w:color w:val="auto"/>
        </w:rPr>
        <w:t>We expect that our 2024 Annual Meeting will be held in May 2024 consistent with our 2023 Annual Meeting. Stockholders of record who intend to nominate a candidate for director or submit a proposal at the annual meeting of stockholders in 2024 must provide written notice to the Company in accordance with our bylaws. Under our bylaws, such notice must be received at the Company's principal executive offices, addressed to the Secretary of the Company, not earlier than January 26, 2024 nor later than February 24, 2024, which are dates at least 90 days but not more than 120 days in advance of the first anniversary of the date of the 2023 Annual Meeting. Stockholders are also advised to review our bylaws, which contain additional requirements about advance notice of stockholder proposals and director nominations.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62" w:right="33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PRIORITY TECHNOLOGY HOLDINGS, INC.</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2001 WESTSIDE PARKWAY</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SUITE 155</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ALPHARETTA, GEORGIA 30004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INTERNET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Before the Annual Meeting - Go to www.proxyvote.com</w:t>
      </w:r>
    </w:p>
    <w:p>
      <w:pPr>
        <w:spacing w:after="0" w:line="285" w:lineRule="exact"/>
        <w:rPr>
          <w:sz w:val="20"/>
          <w:szCs w:val="20"/>
          <w:color w:val="auto"/>
        </w:rPr>
      </w:pPr>
    </w:p>
    <w:p>
      <w:pPr>
        <w:jc w:val="both"/>
        <w:ind w:right="220"/>
        <w:spacing w:after="0" w:line="313" w:lineRule="auto"/>
        <w:rPr>
          <w:sz w:val="20"/>
          <w:szCs w:val="20"/>
          <w:color w:val="auto"/>
        </w:rPr>
      </w:pPr>
      <w:r>
        <w:rPr>
          <w:rFonts w:ascii="Times New Roman" w:cs="Times New Roman" w:eastAsia="Times New Roman" w:hAnsi="Times New Roman"/>
          <w:sz w:val="14"/>
          <w:szCs w:val="14"/>
          <w:b w:val="1"/>
          <w:bCs w:val="1"/>
          <w:color w:val="auto"/>
        </w:rPr>
        <w:t>Use the Internet to transmit your voting instructions and for electronic delivery of information up until 11:59 P.M. Eastern Time on May 23, 2023. Have your proxy card in hand when you access the web site and follow the instructions to obtain your records and to create an electronic voting instruction form.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During the Annual Meeting - Go to </w:t>
      </w:r>
      <w:r>
        <w:rPr>
          <w:rFonts w:ascii="Times New Roman" w:cs="Times New Roman" w:eastAsia="Times New Roman" w:hAnsi="Times New Roman"/>
          <w:sz w:val="14"/>
          <w:szCs w:val="14"/>
          <w:b w:val="1"/>
          <w:bCs w:val="1"/>
          <w:u w:val="single" w:color="auto"/>
          <w:color w:val="auto"/>
        </w:rPr>
        <w:t>www.virtualshareholdermeeting.com/PRTH2023</w:t>
      </w:r>
      <w:r>
        <w:rPr>
          <w:rFonts w:ascii="Times New Roman" w:cs="Times New Roman" w:eastAsia="Times New Roman" w:hAnsi="Times New Roman"/>
          <w:sz w:val="14"/>
          <w:szCs w:val="14"/>
          <w:b w:val="1"/>
          <w:bCs w:val="1"/>
          <w:color w:val="auto"/>
        </w:rPr>
        <w:t>.</w:t>
      </w:r>
    </w:p>
    <w:p>
      <w:pPr>
        <w:spacing w:after="0" w:line="42" w:lineRule="exact"/>
        <w:rPr>
          <w:sz w:val="20"/>
          <w:szCs w:val="20"/>
          <w:color w:val="auto"/>
        </w:rPr>
      </w:pPr>
    </w:p>
    <w:p>
      <w:pPr>
        <w:ind w:right="260"/>
        <w:spacing w:after="0" w:line="345" w:lineRule="auto"/>
        <w:rPr>
          <w:sz w:val="20"/>
          <w:szCs w:val="20"/>
          <w:color w:val="auto"/>
        </w:rPr>
      </w:pPr>
      <w:r>
        <w:rPr>
          <w:rFonts w:ascii="Times New Roman" w:cs="Times New Roman" w:eastAsia="Times New Roman" w:hAnsi="Times New Roman"/>
          <w:sz w:val="14"/>
          <w:szCs w:val="14"/>
          <w:b w:val="1"/>
          <w:bCs w:val="1"/>
          <w:color w:val="auto"/>
        </w:rPr>
        <w:t>You may attend the meeting via the Internet and vote during the meeting. Have the information that is printed in the box marked by the arrow available and follow the instructions.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ELECTRONIC DELIVERY OF FUTURE PROXY MATERIALS</w:t>
      </w:r>
    </w:p>
    <w:p>
      <w:pPr>
        <w:spacing w:after="0" w:line="177" w:lineRule="exact"/>
        <w:rPr>
          <w:sz w:val="20"/>
          <w:szCs w:val="20"/>
          <w:color w:val="auto"/>
        </w:rPr>
      </w:pPr>
    </w:p>
    <w:p>
      <w:pPr>
        <w:ind w:right="40"/>
        <w:spacing w:after="0" w:line="307" w:lineRule="auto"/>
        <w:rPr>
          <w:sz w:val="20"/>
          <w:szCs w:val="20"/>
          <w:color w:val="auto"/>
        </w:rPr>
      </w:pPr>
      <w:r>
        <w:rPr>
          <w:rFonts w:ascii="Times New Roman" w:cs="Times New Roman" w:eastAsia="Times New Roman" w:hAnsi="Times New Roman"/>
          <w:sz w:val="14"/>
          <w:szCs w:val="14"/>
          <w:b w:val="1"/>
          <w:bCs w:val="1"/>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spacing w:after="0" w:line="177" w:lineRule="exact"/>
        <w:rPr>
          <w:sz w:val="20"/>
          <w:szCs w:val="20"/>
          <w:color w:val="auto"/>
        </w:rPr>
      </w:pPr>
    </w:p>
    <w:p>
      <w:pPr>
        <w:ind w:right="260"/>
        <w:spacing w:after="0" w:line="345" w:lineRule="auto"/>
        <w:rPr>
          <w:sz w:val="20"/>
          <w:szCs w:val="20"/>
          <w:color w:val="auto"/>
        </w:rPr>
      </w:pPr>
      <w:r>
        <w:rPr>
          <w:rFonts w:ascii="Times New Roman" w:cs="Times New Roman" w:eastAsia="Times New Roman" w:hAnsi="Times New Roman"/>
          <w:sz w:val="14"/>
          <w:szCs w:val="14"/>
          <w:b w:val="1"/>
          <w:bCs w:val="1"/>
          <w:color w:val="auto"/>
        </w:rPr>
        <w:t>Use any touch-tone telephone to transmit your voting instructions up until 11:59 P.M. Eastern Time on May 23, 2023. Have your proxy card in hand when you call and then follow the instructions.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MAIL</w:t>
      </w:r>
    </w:p>
    <w:p>
      <w:pPr>
        <w:spacing w:after="0" w:line="177" w:lineRule="exact"/>
        <w:rPr>
          <w:sz w:val="20"/>
          <w:szCs w:val="20"/>
          <w:color w:val="auto"/>
        </w:rPr>
      </w:pPr>
    </w:p>
    <w:p>
      <w:pPr>
        <w:ind w:right="380"/>
        <w:spacing w:after="0" w:line="345" w:lineRule="auto"/>
        <w:rPr>
          <w:sz w:val="20"/>
          <w:szCs w:val="20"/>
          <w:color w:val="auto"/>
        </w:rPr>
      </w:pPr>
      <w:r>
        <w:rPr>
          <w:rFonts w:ascii="Times New Roman" w:cs="Times New Roman" w:eastAsia="Times New Roman" w:hAnsi="Times New Roman"/>
          <w:sz w:val="14"/>
          <w:szCs w:val="14"/>
          <w:b w:val="1"/>
          <w:bCs w:val="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3980" w:space="720"/>
            <w:col w:w="65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VOTE, MARK BLOCKS BELOW IN BLUE OR BLACK INK AS FOLLOWS:</w:t>
      </w:r>
    </w:p>
    <w:p>
      <w:pPr>
        <w:spacing w:after="0" w:line="26"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color w:val="auto"/>
        </w:rPr>
        <w:t>KEEP THIS PORTION FOR YOUR RECORDS</w:t>
      </w:r>
    </w:p>
    <w:p>
      <w:pPr>
        <w:spacing w:after="0" w:line="6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DETACH AND RETURN THIS PORTION ONLY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43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that you vote FOR the</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election of the following seven director nominees: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3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Election of Directors</w:t>
            </w: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For   Against</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Abstain</w:t>
            </w:r>
          </w:p>
        </w:tc>
        <w:tc>
          <w:tcPr>
            <w:tcW w:w="4620" w:type="dxa"/>
            <w:vAlign w:val="bottom"/>
            <w:gridSpan w:val="3"/>
          </w:tcPr>
          <w:p>
            <w:pPr>
              <w:ind w:left="4180"/>
              <w:spacing w:after="0"/>
              <w:rPr>
                <w:sz w:val="20"/>
                <w:szCs w:val="20"/>
                <w:color w:val="auto"/>
              </w:rPr>
            </w:pPr>
            <w:r>
              <w:rPr>
                <w:rFonts w:ascii="Times New Roman" w:cs="Times New Roman" w:eastAsia="Times New Roman" w:hAnsi="Times New Roman"/>
                <w:sz w:val="14"/>
                <w:szCs w:val="14"/>
                <w:color w:val="auto"/>
              </w:rPr>
              <w:t>For</w:t>
            </w: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Against</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96"/>
              </w:rPr>
              <w:t>Abstain</w:t>
            </w:r>
          </w:p>
        </w:tc>
        <w:tc>
          <w:tcPr>
            <w:tcW w:w="0" w:type="dxa"/>
            <w:vAlign w:val="bottom"/>
          </w:tcPr>
          <w:p>
            <w:pPr>
              <w:spacing w:after="0"/>
              <w:rPr>
                <w:sz w:val="1"/>
                <w:szCs w:val="1"/>
                <w:color w:val="auto"/>
              </w:rPr>
            </w:pPr>
          </w:p>
        </w:tc>
      </w:tr>
      <w:tr>
        <w:trPr>
          <w:trHeight w:val="213"/>
        </w:trPr>
        <w:tc>
          <w:tcPr>
            <w:tcW w:w="33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1a. Thomas Priore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color w:val="auto"/>
              </w:rPr>
              <w:t>3. Ratification of the appointment of Ernst and Young</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3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2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33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1b. John Priore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20" w:type="dxa"/>
            <w:vAlign w:val="bottom"/>
            <w:gridSpan w:val="3"/>
          </w:tcPr>
          <w:p>
            <w:pPr>
              <w:ind w:left="240"/>
              <w:spacing w:after="0" w:line="139" w:lineRule="exact"/>
              <w:rPr>
                <w:sz w:val="20"/>
                <w:szCs w:val="20"/>
                <w:color w:val="auto"/>
              </w:rPr>
            </w:pPr>
            <w:r>
              <w:rPr>
                <w:rFonts w:ascii="Times New Roman" w:cs="Times New Roman" w:eastAsia="Times New Roman" w:hAnsi="Times New Roman"/>
                <w:sz w:val="14"/>
                <w:szCs w:val="14"/>
                <w:color w:val="auto"/>
              </w:rPr>
              <w:t>LLP as the Company's independent registered public</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2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accounting firm for the year ending December 31,</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3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1c. Marc Crisafulli</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3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3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1d. Marietta Davis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20" w:type="dxa"/>
            <w:vAlign w:val="bottom"/>
            <w:gridSpan w:val="3"/>
          </w:tcPr>
          <w:p>
            <w:pPr>
              <w:ind w:left="240"/>
              <w:spacing w:after="0" w:line="159" w:lineRule="exact"/>
              <w:rPr>
                <w:sz w:val="20"/>
                <w:szCs w:val="20"/>
                <w:color w:val="auto"/>
              </w:rPr>
            </w:pPr>
            <w:r>
              <w:rPr>
                <w:rFonts w:ascii="Times New Roman" w:cs="Times New Roman" w:eastAsia="Times New Roman" w:hAnsi="Times New Roman"/>
                <w:sz w:val="14"/>
                <w:szCs w:val="14"/>
                <w:color w:val="auto"/>
              </w:rPr>
              <w:t>NOTE: To consider such other business as may</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340"/>
              <w:spacing w:after="0" w:line="155" w:lineRule="exact"/>
              <w:rPr>
                <w:sz w:val="20"/>
                <w:szCs w:val="20"/>
                <w:color w:val="auto"/>
              </w:rPr>
            </w:pPr>
            <w:r>
              <w:rPr>
                <w:rFonts w:ascii="Times New Roman" w:cs="Times New Roman" w:eastAsia="Times New Roman" w:hAnsi="Times New Roman"/>
                <w:sz w:val="14"/>
                <w:szCs w:val="14"/>
                <w:color w:val="auto"/>
              </w:rPr>
              <w:t>1e. Christina Favilla</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20" w:type="dxa"/>
            <w:vAlign w:val="bottom"/>
            <w:gridSpan w:val="3"/>
          </w:tcPr>
          <w:p>
            <w:pPr>
              <w:ind w:left="240"/>
              <w:spacing w:after="0" w:line="155" w:lineRule="exact"/>
              <w:rPr>
                <w:sz w:val="20"/>
                <w:szCs w:val="20"/>
                <w:color w:val="auto"/>
              </w:rPr>
            </w:pPr>
            <w:r>
              <w:rPr>
                <w:rFonts w:ascii="Times New Roman" w:cs="Times New Roman" w:eastAsia="Times New Roman" w:hAnsi="Times New Roman"/>
                <w:sz w:val="14"/>
                <w:szCs w:val="14"/>
                <w:color w:val="auto"/>
              </w:rPr>
              <w:t>properly come before the Annual Meeting and any</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5400"/>
        <w:spacing w:after="0"/>
        <w:rPr>
          <w:sz w:val="20"/>
          <w:szCs w:val="20"/>
          <w:color w:val="auto"/>
        </w:rPr>
      </w:pPr>
      <w:r>
        <w:rPr>
          <w:rFonts w:ascii="Times New Roman" w:cs="Times New Roman" w:eastAsia="Times New Roman" w:hAnsi="Times New Roman"/>
          <w:sz w:val="14"/>
          <w:szCs w:val="14"/>
          <w:color w:val="auto"/>
        </w:rPr>
        <w:t>adjournments or postponements thereof.</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1f. Stephen Hipp</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1g. Michael Passilla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that you vote</w:t>
      </w:r>
    </w:p>
    <w:p>
      <w:pPr>
        <w:spacing w:after="0"/>
        <w:rPr>
          <w:sz w:val="20"/>
          <w:szCs w:val="20"/>
          <w:color w:val="auto"/>
        </w:rPr>
      </w:pPr>
      <w:r>
        <w:rPr>
          <w:rFonts w:ascii="Times New Roman" w:cs="Times New Roman" w:eastAsia="Times New Roman" w:hAnsi="Times New Roman"/>
          <w:sz w:val="14"/>
          <w:szCs w:val="14"/>
          <w:b w:val="1"/>
          <w:bCs w:val="1"/>
          <w:color w:val="auto"/>
        </w:rPr>
        <w:t>FOR proposals 2 and 3.</w:t>
      </w:r>
    </w:p>
    <w:p>
      <w:pPr>
        <w:spacing w:after="0" w:line="26" w:lineRule="exact"/>
        <w:rPr>
          <w:sz w:val="20"/>
          <w:szCs w:val="20"/>
          <w:color w:val="auto"/>
        </w:rPr>
      </w:pPr>
    </w:p>
    <w:p>
      <w:pPr>
        <w:ind w:left="3320"/>
        <w:spacing w:after="0"/>
        <w:tabs>
          <w:tab w:leader="none" w:pos="3720" w:val="left"/>
          <w:tab w:leader="none" w:pos="4460" w:val="left"/>
        </w:tabs>
        <w:rPr>
          <w:sz w:val="20"/>
          <w:szCs w:val="20"/>
          <w:color w:val="auto"/>
        </w:rPr>
      </w:pPr>
      <w:r>
        <w:rPr>
          <w:rFonts w:ascii="Times New Roman" w:cs="Times New Roman" w:eastAsia="Times New Roman" w:hAnsi="Times New Roman"/>
          <w:sz w:val="14"/>
          <w:szCs w:val="14"/>
          <w:u w:val="single" w:color="auto"/>
          <w:color w:val="auto"/>
        </w:rPr>
        <w:t>For</w:t>
        <w:tab/>
        <w:t>Against</w:t>
      </w:r>
      <w:r>
        <w:rPr>
          <w:sz w:val="20"/>
          <w:szCs w:val="20"/>
          <w:color w:val="auto"/>
        </w:rPr>
        <w:tab/>
      </w:r>
      <w:r>
        <w:rPr>
          <w:rFonts w:ascii="Times New Roman" w:cs="Times New Roman" w:eastAsia="Times New Roman" w:hAnsi="Times New Roman"/>
          <w:sz w:val="14"/>
          <w:szCs w:val="14"/>
          <w:u w:val="single" w:color="auto"/>
          <w:color w:val="auto"/>
        </w:rPr>
        <w:t>Abstain</w:t>
      </w:r>
    </w:p>
    <w:p>
      <w:pPr>
        <w:spacing w:after="0" w:line="42" w:lineRule="exact"/>
        <w:rPr>
          <w:sz w:val="20"/>
          <w:szCs w:val="20"/>
          <w:color w:val="auto"/>
        </w:rPr>
      </w:pPr>
    </w:p>
    <w:p>
      <w:pPr>
        <w:ind w:right="8300" w:firstLine="6"/>
        <w:spacing w:after="0" w:line="241" w:lineRule="auto"/>
        <w:tabs>
          <w:tab w:leader="none" w:pos="14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on a non-binding advisory basis,the compensation of our Named Executive Officers.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sign exactly as your name(s) appear(s) hereon.</w:t>
      </w:r>
    </w:p>
    <w:p>
      <w:pPr>
        <w:spacing w:after="0" w:line="221" w:lineRule="auto"/>
        <w:rPr>
          <w:sz w:val="20"/>
          <w:szCs w:val="20"/>
          <w:color w:val="auto"/>
        </w:rPr>
      </w:pPr>
      <w:r>
        <w:rPr>
          <w:rFonts w:ascii="Times New Roman" w:cs="Times New Roman" w:eastAsia="Times New Roman" w:hAnsi="Times New Roman"/>
          <w:sz w:val="14"/>
          <w:szCs w:val="14"/>
          <w:color w:val="auto"/>
        </w:rPr>
        <w:t>When signing as attorney, executor, administrator, or</w:t>
      </w:r>
    </w:p>
    <w:p>
      <w:pPr>
        <w:spacing w:after="0" w:line="221" w:lineRule="auto"/>
        <w:rPr>
          <w:sz w:val="20"/>
          <w:szCs w:val="20"/>
          <w:color w:val="auto"/>
        </w:rPr>
      </w:pPr>
      <w:r>
        <w:rPr>
          <w:rFonts w:ascii="Times New Roman" w:cs="Times New Roman" w:eastAsia="Times New Roman" w:hAnsi="Times New Roman"/>
          <w:sz w:val="14"/>
          <w:szCs w:val="14"/>
          <w:color w:val="auto"/>
        </w:rPr>
        <w:t>other fiduciary, please give full title as such. Joint</w:t>
      </w:r>
    </w:p>
    <w:p>
      <w:pPr>
        <w:spacing w:after="0" w:line="202" w:lineRule="auto"/>
        <w:rPr>
          <w:sz w:val="20"/>
          <w:szCs w:val="20"/>
          <w:color w:val="auto"/>
        </w:rPr>
      </w:pPr>
      <w:r>
        <w:rPr>
          <w:rFonts w:ascii="Times New Roman" w:cs="Times New Roman" w:eastAsia="Times New Roman" w:hAnsi="Times New Roman"/>
          <w:sz w:val="14"/>
          <w:szCs w:val="14"/>
          <w:color w:val="auto"/>
        </w:rPr>
        <w:t>owners should each sign personally. All holders must</w:t>
      </w:r>
    </w:p>
    <w:p>
      <w:pPr>
        <w:spacing w:after="0" w:line="221" w:lineRule="auto"/>
        <w:rPr>
          <w:sz w:val="20"/>
          <w:szCs w:val="20"/>
          <w:color w:val="auto"/>
        </w:rPr>
      </w:pPr>
      <w:r>
        <w:rPr>
          <w:rFonts w:ascii="Times New Roman" w:cs="Times New Roman" w:eastAsia="Times New Roman" w:hAnsi="Times New Roman"/>
          <w:sz w:val="14"/>
          <w:szCs w:val="14"/>
          <w:color w:val="auto"/>
        </w:rPr>
        <w:t>sign. If a corporation or partnership, please sign in full</w:t>
      </w:r>
    </w:p>
    <w:p>
      <w:pPr>
        <w:spacing w:after="0"/>
        <w:rPr>
          <w:sz w:val="20"/>
          <w:szCs w:val="20"/>
          <w:color w:val="auto"/>
        </w:rPr>
      </w:pPr>
      <w:r>
        <w:rPr>
          <w:rFonts w:ascii="Times New Roman" w:cs="Times New Roman" w:eastAsia="Times New Roman" w:hAnsi="Times New Roman"/>
          <w:sz w:val="14"/>
          <w:szCs w:val="14"/>
          <w:color w:val="auto"/>
        </w:rPr>
        <w:t>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6669405" cy="248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940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3720" w:val="left"/>
          <w:tab w:leader="none" w:pos="5380" w:val="left"/>
          <w:tab w:leader="none" w:pos="9640" w:val="left"/>
        </w:tabs>
        <w:rPr>
          <w:sz w:val="20"/>
          <w:szCs w:val="20"/>
          <w:color w:val="auto"/>
        </w:rPr>
      </w:pPr>
      <w:r>
        <w:rPr>
          <w:rFonts w:ascii="Times New Roman" w:cs="Times New Roman" w:eastAsia="Times New Roman" w:hAnsi="Times New Roman"/>
          <w:sz w:val="14"/>
          <w:szCs w:val="14"/>
          <w:color w:val="auto"/>
        </w:rPr>
        <w:t>Signature [PLEASE SIGN WITHIN BOX]</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(Joint Owners)</w:t>
      </w:r>
      <w:r>
        <w:rPr>
          <w:sz w:val="20"/>
          <w:szCs w:val="20"/>
          <w:color w:val="auto"/>
        </w:rPr>
        <w:tab/>
      </w: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[control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40" w:top="925" w:right="339" w:bottom="1440" w:gutter="0" w:footer="0" w:header="0"/>
        </w:sectPr>
      </w:pPr>
    </w:p>
    <w:bookmarkStart w:id="36" w:name="page37"/>
    <w:bookmarkEnd w:id="36"/>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8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The Notice and Proxy Statement and Annual Report are available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p>
    <w:p>
      <w:pPr>
        <w:spacing w:after="0" w:line="3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7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May 24, 2023 11:00 A.M. Eastern Daylight Time</w:t>
      </w:r>
    </w:p>
    <w:p>
      <w:pPr>
        <w:spacing w:after="0" w:line="7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120"/>
        <w:spacing w:after="0" w:line="341" w:lineRule="auto"/>
        <w:rPr>
          <w:sz w:val="20"/>
          <w:szCs w:val="20"/>
          <w:color w:val="auto"/>
        </w:rPr>
      </w:pPr>
      <w:r>
        <w:rPr>
          <w:rFonts w:ascii="Times New Roman" w:cs="Times New Roman" w:eastAsia="Times New Roman" w:hAnsi="Times New Roman"/>
          <w:sz w:val="18"/>
          <w:szCs w:val="18"/>
          <w:color w:val="auto"/>
        </w:rPr>
        <w:t>The undersigned hereby appoints Thomas C. Priore and Bradley Miller, and each of them, with power to act without the other and with power of substitution, as proxies and attorneys-in-fact and hereby authorizes them to represent and vote, as provided on the other side, all the shares of Priority Technology Holdings, Inc. common stock which the undersigned is entitled to vote and, in their discretion, to vote upon such other business as may properly come before the Annual Meeting of Stockholders of the Company to be held virtually on the Internet at www.virtualshareholdermeeting.com/PRTH2023 or any adjournment or postponement thereof, with all powers which the undersigned would possess if present at the meeting.</w:t>
      </w:r>
    </w:p>
    <w:p>
      <w:pPr>
        <w:spacing w:after="0" w:line="189"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8"/>
          <w:szCs w:val="18"/>
          <w:b w:val="1"/>
          <w:bCs w:val="1"/>
          <w:color w:val="auto"/>
        </w:rPr>
        <w:t>THIS PROXY CARD, WHEN PROPERLY EXECUTED, WILL BE VOTED IN THE MANNER DIRECTED HEREIN BY THE UNDERSIGNED. IF NO DIRECTION IS MADE BUT THE CARD IS SIGNED, THIS PROXY CARD WILL BE VOTED FOR THE ELECTION OF ALL SEVEN NOMINEES UNDER PROPOSAL 1, FOR PROPOSALS 2 AND 3 AND IN THE DISCRETION OF THE PROXIES WITH RESPECT TO SUCH OTHER BUSINESS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31</w:t>
      </w:r>
    </w:p>
    <w:sectPr>
      <w:pgSz w:w="11900" w:h="16838" w:orient="portrait"/>
      <w:cols w:equalWidth="0" w:num="1">
        <w:col w:w="11120"/>
      </w:cols>
      <w:pgMar w:left="44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lvl w:ilvl="1">
      <w:lvlJc w:val="left"/>
      <w:lvlText w:val="(%2)"/>
      <w:numFmt w:val="decimal"/>
      <w:start w:val="29"/>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lowerLetter"/>
      <w:start w:val="2"/>
    </w:lvl>
  </w:abstractNum>
  <w:abstractNum w:abstractNumId="16">
    <w:nsid w:val="436C6125"/>
    <w:multiLevelType w:val="hybridMultilevel"/>
    <w:lvl w:ilvl="0">
      <w:lvlJc w:val="left"/>
      <w:lvlText w:val="(%1)"/>
      <w:numFmt w:val="lowerLetter"/>
      <w:start w:val="4"/>
    </w:lvl>
  </w:abstractNum>
  <w:abstractNum w:abstractNumId="17">
    <w:nsid w:val="628C895D"/>
    <w:multiLevelType w:val="hybridMultilevel"/>
    <w:lvl w:ilvl="0">
      <w:lvlJc w:val="left"/>
      <w:lvlText w:val="(%1)"/>
      <w:numFmt w:val="lowerLetter"/>
      <w:start w:val="6"/>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lvl w:ilvl="1">
      <w:lvlJc w:val="left"/>
      <w:lvlText w:val="(%2)"/>
      <w:numFmt w:val="decimal"/>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2023-04-11T15:12:49Z</dcterms:created>
  <dcterms:modified xsi:type="dcterms:W3CDTF">2023-04-11T15:12:49Z</dcterms:modified>
</cp:coreProperties>
</file>