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May 12, 2021</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w:t>
      </w:r>
    </w:p>
    <w:p>
      <w:pPr>
        <w:spacing w:after="0" w:line="128"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u w:val="single" w:color="auto"/>
          <w:color w:val="auto"/>
        </w:rPr>
        <w:t>Priority Technology Holdings, Inc.</w:t>
      </w:r>
    </w:p>
    <w:p>
      <w:pPr>
        <w:spacing w:after="0" w:line="30"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226"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320" w:type="dxa"/>
            <w:vAlign w:val="bottom"/>
          </w:tcPr>
          <w:p>
            <w:pPr>
              <w:spacing w:after="0"/>
              <w:rPr>
                <w:sz w:val="13"/>
                <w:szCs w:val="13"/>
                <w:color w:val="auto"/>
              </w:rPr>
            </w:pPr>
          </w:p>
        </w:tc>
        <w:tc>
          <w:tcPr>
            <w:tcW w:w="2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001-37872</w:t>
            </w:r>
          </w:p>
        </w:tc>
        <w:tc>
          <w:tcPr>
            <w:tcW w:w="12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Borders>
              <w:bottom w:val="single" w:sz="8" w:color="auto"/>
            </w:tcBorders>
          </w:tcPr>
          <w:p>
            <w:pPr>
              <w:jc w:val="right"/>
              <w:ind w:right="1440"/>
              <w:spacing w:after="0"/>
              <w:rPr>
                <w:sz w:val="20"/>
                <w:szCs w:val="20"/>
                <w:color w:val="auto"/>
              </w:rPr>
            </w:pPr>
            <w:r>
              <w:rPr>
                <w:rFonts w:ascii="Arial" w:cs="Arial" w:eastAsia="Arial" w:hAnsi="Arial"/>
                <w:sz w:val="12"/>
                <w:szCs w:val="12"/>
                <w:b w:val="1"/>
                <w:bCs w:val="1"/>
                <w:color w:val="auto"/>
              </w:rPr>
              <w:t>47-4257046</w:t>
            </w:r>
          </w:p>
        </w:tc>
        <w:tc>
          <w:tcPr>
            <w:tcW w:w="20" w:type="dxa"/>
            <w:vAlign w:val="bottom"/>
          </w:tcPr>
          <w:p>
            <w:pPr>
              <w:spacing w:after="0"/>
              <w:rPr>
                <w:sz w:val="13"/>
                <w:szCs w:val="13"/>
                <w:color w:val="auto"/>
              </w:rPr>
            </w:pPr>
          </w:p>
        </w:tc>
      </w:tr>
      <w:tr>
        <w:trPr>
          <w:trHeight w:val="142"/>
        </w:trPr>
        <w:tc>
          <w:tcPr>
            <w:tcW w:w="4000" w:type="dxa"/>
            <w:vAlign w:val="bottom"/>
            <w:gridSpan w:val="2"/>
          </w:tcPr>
          <w:p>
            <w:pPr>
              <w:jc w:val="center"/>
              <w:ind w:right="360"/>
              <w:spacing w:after="0"/>
              <w:rPr>
                <w:sz w:val="20"/>
                <w:szCs w:val="20"/>
                <w:color w:val="auto"/>
              </w:rPr>
            </w:pPr>
            <w:r>
              <w:rPr>
                <w:rFonts w:ascii="Arial" w:cs="Arial" w:eastAsia="Arial" w:hAnsi="Arial"/>
                <w:sz w:val="12"/>
                <w:szCs w:val="12"/>
                <w:color w:val="auto"/>
                <w:w w:val="93"/>
              </w:rPr>
              <w:t>(State or other jurisdiction of incorporation)</w:t>
            </w:r>
          </w:p>
        </w:tc>
        <w:tc>
          <w:tcPr>
            <w:tcW w:w="3700" w:type="dxa"/>
            <w:vAlign w:val="bottom"/>
            <w:gridSpan w:val="4"/>
          </w:tcPr>
          <w:p>
            <w:pPr>
              <w:jc w:val="center"/>
              <w:ind w:right="340"/>
              <w:spacing w:after="0"/>
              <w:rPr>
                <w:sz w:val="20"/>
                <w:szCs w:val="20"/>
                <w:color w:val="auto"/>
              </w:rPr>
            </w:pPr>
            <w:r>
              <w:rPr>
                <w:rFonts w:ascii="Arial" w:cs="Arial" w:eastAsia="Arial" w:hAnsi="Arial"/>
                <w:sz w:val="12"/>
                <w:szCs w:val="12"/>
                <w:color w:val="auto"/>
                <w:w w:val="92"/>
              </w:rPr>
              <w:t>(Commission File Number)</w:t>
            </w:r>
          </w:p>
        </w:tc>
        <w:tc>
          <w:tcPr>
            <w:tcW w:w="3580" w:type="dxa"/>
            <w:vAlign w:val="bottom"/>
          </w:tcPr>
          <w:p>
            <w:pPr>
              <w:jc w:val="center"/>
              <w:spacing w:after="0"/>
              <w:rPr>
                <w:sz w:val="20"/>
                <w:szCs w:val="20"/>
                <w:color w:val="auto"/>
              </w:rPr>
            </w:pPr>
            <w:r>
              <w:rPr>
                <w:rFonts w:ascii="Arial" w:cs="Arial" w:eastAsia="Arial" w:hAnsi="Arial"/>
                <w:sz w:val="12"/>
                <w:szCs w:val="12"/>
                <w:color w:val="auto"/>
                <w:w w:val="94"/>
              </w:rPr>
              <w:t>(I.R.S. Employer Identification No.)</w:t>
            </w:r>
          </w:p>
        </w:tc>
        <w:tc>
          <w:tcPr>
            <w:tcW w:w="20" w:type="dxa"/>
            <w:vAlign w:val="bottom"/>
          </w:tcPr>
          <w:p>
            <w:pPr>
              <w:spacing w:after="0"/>
              <w:rPr>
                <w:sz w:val="12"/>
                <w:szCs w:val="12"/>
                <w:color w:val="auto"/>
              </w:rPr>
            </w:pPr>
          </w:p>
        </w:tc>
      </w:tr>
      <w:tr>
        <w:trPr>
          <w:trHeight w:val="428"/>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89"/>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jc w:val="right"/>
              <w:ind w:right="2380"/>
              <w:spacing w:after="0"/>
              <w:rPr>
                <w:sz w:val="20"/>
                <w:szCs w:val="20"/>
                <w:color w:val="auto"/>
              </w:rPr>
            </w:pPr>
            <w:r>
              <w:rPr>
                <w:rFonts w:ascii="Arial" w:cs="Arial" w:eastAsia="Arial" w:hAnsi="Arial"/>
                <w:sz w:val="12"/>
                <w:szCs w:val="12"/>
                <w:b w:val="1"/>
                <w:bCs w:val="1"/>
                <w:color w:val="auto"/>
              </w:rPr>
              <w:t>30004</w:t>
            </w: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91"/>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4000" w:type="dxa"/>
            <w:vAlign w:val="bottom"/>
            <w:gridSpan w:val="2"/>
          </w:tcPr>
          <w:p>
            <w:pPr>
              <w:ind w:left="1140"/>
              <w:spacing w:after="0"/>
              <w:rPr>
                <w:sz w:val="20"/>
                <w:szCs w:val="20"/>
                <w:color w:val="auto"/>
              </w:rPr>
            </w:pPr>
            <w:r>
              <w:rPr>
                <w:rFonts w:ascii="Arial" w:cs="Arial" w:eastAsia="Arial" w:hAnsi="Arial"/>
                <w:sz w:val="12"/>
                <w:szCs w:val="12"/>
                <w:b w:val="1"/>
                <w:bCs w:val="1"/>
                <w:color w:val="auto"/>
              </w:rPr>
              <w:t>Alpharetta,</w:t>
            </w:r>
          </w:p>
        </w:tc>
        <w:tc>
          <w:tcPr>
            <w:tcW w:w="3700" w:type="dxa"/>
            <w:vAlign w:val="bottom"/>
            <w:gridSpan w:val="4"/>
          </w:tcPr>
          <w:p>
            <w:pPr>
              <w:ind w:left="120"/>
              <w:spacing w:after="0"/>
              <w:rPr>
                <w:sz w:val="20"/>
                <w:szCs w:val="20"/>
                <w:color w:val="auto"/>
              </w:rPr>
            </w:pPr>
            <w:r>
              <w:rPr>
                <w:rFonts w:ascii="Arial" w:cs="Arial" w:eastAsia="Arial" w:hAnsi="Arial"/>
                <w:sz w:val="12"/>
                <w:szCs w:val="12"/>
                <w:b w:val="1"/>
                <w:bCs w:val="1"/>
                <w:color w:val="auto"/>
              </w:rPr>
              <w:t>Georgia</w:t>
            </w: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000" w:type="dxa"/>
            <w:vAlign w:val="bottom"/>
            <w:tcBorders>
              <w:top w:val="single" w:sz="8" w:color="auto"/>
            </w:tcBorders>
            <w:gridSpan w:val="2"/>
          </w:tcPr>
          <w:p>
            <w:pPr>
              <w:jc w:val="center"/>
              <w:ind w:left="1660"/>
              <w:spacing w:after="0"/>
              <w:rPr>
                <w:sz w:val="20"/>
                <w:szCs w:val="20"/>
                <w:color w:val="auto"/>
              </w:rPr>
            </w:pPr>
            <w:r>
              <w:rPr>
                <w:rFonts w:ascii="Arial" w:cs="Arial" w:eastAsia="Arial" w:hAnsi="Arial"/>
                <w:sz w:val="12"/>
                <w:szCs w:val="12"/>
                <w:color w:val="auto"/>
                <w:w w:val="92"/>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Arial" w:cs="Arial" w:eastAsia="Arial" w:hAnsi="Arial"/>
                <w:sz w:val="12"/>
                <w:szCs w:val="12"/>
                <w:color w:val="auto"/>
                <w:w w:val="91"/>
              </w:rPr>
              <w:t>(Zip Code)</w:t>
            </w:r>
          </w:p>
        </w:tc>
        <w:tc>
          <w:tcPr>
            <w:tcW w:w="20" w:type="dxa"/>
            <w:vAlign w:val="bottom"/>
            <w:tcBorders>
              <w:top w:val="single" w:sz="8" w:color="auto"/>
            </w:tcBorders>
          </w:tcPr>
          <w:p>
            <w:pPr>
              <w:spacing w:after="0"/>
              <w:rPr>
                <w:sz w:val="12"/>
                <w:szCs w:val="12"/>
                <w:color w:val="auto"/>
              </w:rPr>
            </w:pPr>
          </w:p>
        </w:tc>
      </w:tr>
    </w:tbl>
    <w:p>
      <w:pPr>
        <w:spacing w:after="0" w:line="19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u w:val="single" w:color="auto"/>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568" w:type="dxa"/>
        <w:tblCellMar>
          <w:top w:w="0" w:type="dxa"/>
          <w:left w:w="0" w:type="dxa"/>
          <w:bottom w:w="0" w:type="dxa"/>
          <w:right w:w="0" w:type="dxa"/>
        </w:tblCellMar>
      </w:tblPr>
      <w:tr>
        <w:trPr>
          <w:trHeight w:val="153"/>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Arial" w:cs="Arial" w:eastAsia="Arial" w:hAnsi="Arial"/>
                <w:sz w:val="12"/>
                <w:szCs w:val="12"/>
                <w:color w:val="auto"/>
                <w:w w:val="96"/>
              </w:rPr>
              <w:t>Securities registered pursuant to Section 12(b) of the Act:</w:t>
            </w:r>
          </w:p>
        </w:tc>
        <w:tc>
          <w:tcPr>
            <w:tcW w:w="3520" w:type="dxa"/>
            <w:vAlign w:val="bottom"/>
          </w:tcPr>
          <w:p>
            <w:pPr>
              <w:spacing w:after="0"/>
              <w:rPr>
                <w:sz w:val="13"/>
                <w:szCs w:val="13"/>
                <w:color w:val="auto"/>
              </w:rPr>
            </w:pPr>
          </w:p>
        </w:tc>
      </w:tr>
      <w:tr>
        <w:trPr>
          <w:trHeight w:val="225"/>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Title of each class</w:t>
            </w:r>
          </w:p>
        </w:tc>
        <w:tc>
          <w:tcPr>
            <w:tcW w:w="2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center"/>
              <w:ind w:right="840"/>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2"/>
        </w:trPr>
        <w:tc>
          <w:tcPr>
            <w:tcW w:w="360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Common stock, $0.001 par value</w:t>
            </w:r>
          </w:p>
        </w:tc>
        <w:tc>
          <w:tcPr>
            <w:tcW w:w="3060" w:type="dxa"/>
            <w:vAlign w:val="bottom"/>
            <w:gridSpan w:val="3"/>
          </w:tcPr>
          <w:p>
            <w:pPr>
              <w:jc w:val="center"/>
              <w:ind w:right="1080"/>
              <w:spacing w:after="0"/>
              <w:rPr>
                <w:sz w:val="20"/>
                <w:szCs w:val="20"/>
                <w:color w:val="auto"/>
              </w:rPr>
            </w:pPr>
            <w:r>
              <w:rPr>
                <w:rFonts w:ascii="Arial" w:cs="Arial" w:eastAsia="Arial" w:hAnsi="Arial"/>
                <w:sz w:val="12"/>
                <w:szCs w:val="12"/>
                <w:color w:val="auto"/>
                <w:w w:val="91"/>
              </w:rPr>
              <w:t>PRTH</w:t>
            </w:r>
          </w:p>
        </w:tc>
        <w:tc>
          <w:tcPr>
            <w:tcW w:w="3520" w:type="dxa"/>
            <w:vAlign w:val="bottom"/>
          </w:tcPr>
          <w:p>
            <w:pPr>
              <w:jc w:val="center"/>
              <w:ind w:right="840"/>
              <w:spacing w:after="0"/>
              <w:rPr>
                <w:sz w:val="20"/>
                <w:szCs w:val="20"/>
                <w:color w:val="auto"/>
              </w:rPr>
            </w:pPr>
            <w:r>
              <w:rPr>
                <w:rFonts w:ascii="Arial" w:cs="Arial" w:eastAsia="Arial" w:hAnsi="Arial"/>
                <w:sz w:val="12"/>
                <w:szCs w:val="12"/>
                <w:color w:val="auto"/>
                <w:w w:val="92"/>
              </w:rPr>
              <w:t>Nasdaq Global Market</w:t>
            </w:r>
          </w:p>
        </w:tc>
      </w:tr>
    </w:tbl>
    <w:p>
      <w:pPr>
        <w:spacing w:after="0" w:line="216" w:lineRule="exact"/>
        <w:rPr>
          <w:sz w:val="24"/>
          <w:szCs w:val="24"/>
          <w:color w:val="auto"/>
        </w:rPr>
      </w:pPr>
    </w:p>
    <w:p>
      <w:pPr>
        <w:ind w:left="8" w:right="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120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0" w:lineRule="exact"/>
        <w:rPr>
          <w:sz w:val="24"/>
          <w:szCs w:val="24"/>
          <w:color w:val="auto"/>
        </w:rPr>
      </w:pPr>
    </w:p>
    <w:p>
      <w:pPr>
        <w:ind w:left="8"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351790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2"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33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On May 12, 2021, Priority Technology Holdings, Inc. (“Priority”) issued a press release announcing its financial results for the quarter ended March 31, 2021. A copy of that press release is attached as Exhibit 99.1 to this Current Report on Form 8-K.</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May 13, 2021, Priority will hold an earnings conference call and webcast at 11:00 a.m. (Eastern Time) to discuss the financial results for the first quarter of 2021.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www.prth.com under the “Investor Relations” section.</w:t>
      </w:r>
    </w:p>
    <w:p>
      <w:pPr>
        <w:spacing w:after="0" w:line="140"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(d) Exhibits – The following exhibit is furnished as part of this Current Report on Form 8-K.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Exhibit No.</w:t>
            </w:r>
          </w:p>
        </w:tc>
        <w:tc>
          <w:tcPr>
            <w:tcW w:w="3940" w:type="dxa"/>
            <w:vAlign w:val="bottom"/>
            <w:gridSpan w:val="3"/>
          </w:tcPr>
          <w:p>
            <w:pPr>
              <w:spacing w:after="0"/>
              <w:rPr>
                <w:sz w:val="20"/>
                <w:szCs w:val="20"/>
                <w:color w:val="auto"/>
              </w:rPr>
            </w:pPr>
            <w:r>
              <w:rPr>
                <w:rFonts w:ascii="Arial" w:cs="Arial" w:eastAsia="Arial" w:hAnsi="Arial"/>
                <w:sz w:val="12"/>
                <w:szCs w:val="12"/>
                <w:b w:val="1"/>
                <w:bCs w:val="1"/>
                <w:color w:val="auto"/>
              </w:rPr>
              <w:t>Description of Exhibit</w:t>
            </w:r>
          </w:p>
        </w:tc>
      </w:tr>
      <w:tr>
        <w:trPr>
          <w:trHeight w:val="126"/>
        </w:trPr>
        <w:tc>
          <w:tcPr>
            <w:tcW w:w="220" w:type="dxa"/>
            <w:vAlign w:val="bottom"/>
            <w:tcBorders>
              <w:bottom w:val="single" w:sz="8" w:color="0000FF"/>
            </w:tcBorders>
          </w:tcPr>
          <w:p>
            <w:pPr>
              <w:spacing w:after="0" w:line="106" w:lineRule="exact"/>
              <w:rPr>
                <w:rFonts w:ascii="Arial" w:cs="Arial" w:eastAsia="Arial" w:hAnsi="Arial"/>
                <w:sz w:val="12"/>
                <w:szCs w:val="12"/>
                <w:color w:val="0000FF"/>
                <w:w w:val="85"/>
              </w:rPr>
            </w:pPr>
            <w:hyperlink w:anchor="page3">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1</w:t>
              </w:r>
            </w:hyperlink>
          </w:p>
        </w:tc>
        <w:tc>
          <w:tcPr>
            <w:tcW w:w="940" w:type="dxa"/>
            <w:vAlign w:val="bottom"/>
          </w:tcPr>
          <w:p>
            <w:pPr>
              <w:spacing w:after="0"/>
              <w:rPr>
                <w:sz w:val="10"/>
                <w:szCs w:val="10"/>
                <w:color w:val="auto"/>
              </w:rPr>
            </w:pPr>
          </w:p>
        </w:tc>
        <w:tc>
          <w:tcPr>
            <w:tcW w:w="3480" w:type="dxa"/>
            <w:vAlign w:val="bottom"/>
            <w:tcBorders>
              <w:bottom w:val="single" w:sz="8" w:color="0000FF"/>
            </w:tcBorders>
            <w:gridSpan w:val="2"/>
          </w:tcPr>
          <w:p>
            <w:pPr>
              <w:spacing w:after="0" w:line="106" w:lineRule="exact"/>
              <w:rPr>
                <w:rFonts w:ascii="Arial" w:cs="Arial" w:eastAsia="Arial" w:hAnsi="Arial"/>
                <w:sz w:val="12"/>
                <w:szCs w:val="12"/>
                <w:color w:val="0000FF"/>
                <w:w w:val="90"/>
              </w:rPr>
            </w:pPr>
            <w:hyperlink w:anchor="page3">
              <w:r>
                <w:rPr>
                  <w:rFonts w:ascii="Arial" w:cs="Arial" w:eastAsia="Arial" w:hAnsi="Arial"/>
                  <w:sz w:val="12"/>
                  <w:szCs w:val="12"/>
                  <w:color w:val="0000FF"/>
                  <w:w w:val="90"/>
                </w:rPr>
                <w:t>Press Release of Priority Technology Holdings, Inc. dated May 12, 2021</w:t>
              </w:r>
            </w:hyperlink>
          </w:p>
        </w:tc>
        <w:tc>
          <w:tcPr>
            <w:tcW w:w="460" w:type="dxa"/>
            <w:vAlign w:val="bottom"/>
          </w:tcPr>
          <w:p>
            <w:pPr>
              <w:spacing w:after="0"/>
              <w:rPr>
                <w:sz w:val="10"/>
                <w:szCs w:val="10"/>
                <w:color w:val="auto"/>
              </w:rPr>
            </w:pPr>
          </w:p>
        </w:tc>
      </w:tr>
      <w:tr>
        <w:trPr>
          <w:trHeight w:val="160"/>
        </w:trPr>
        <w:tc>
          <w:tcPr>
            <w:tcW w:w="220" w:type="dxa"/>
            <w:vAlign w:val="bottom"/>
          </w:tcPr>
          <w:p>
            <w:pPr>
              <w:spacing w:after="0"/>
              <w:rPr>
                <w:rFonts w:ascii="Arial" w:cs="Arial" w:eastAsia="Arial" w:hAnsi="Arial"/>
                <w:sz w:val="12"/>
                <w:szCs w:val="12"/>
                <w:color w:val="0000FF"/>
                <w:w w:val="85"/>
              </w:rPr>
            </w:pPr>
            <w:hyperlink w:anchor="page17">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2</w:t>
              </w:r>
            </w:hyperlink>
          </w:p>
        </w:tc>
        <w:tc>
          <w:tcPr>
            <w:tcW w:w="940" w:type="dxa"/>
            <w:vAlign w:val="bottom"/>
          </w:tcPr>
          <w:p>
            <w:pPr>
              <w:spacing w:after="0"/>
              <w:rPr>
                <w:sz w:val="13"/>
                <w:szCs w:val="13"/>
                <w:color w:val="auto"/>
              </w:rPr>
            </w:pPr>
          </w:p>
        </w:tc>
        <w:tc>
          <w:tcPr>
            <w:tcW w:w="3940" w:type="dxa"/>
            <w:vAlign w:val="bottom"/>
            <w:gridSpan w:val="3"/>
          </w:tcPr>
          <w:p>
            <w:pPr>
              <w:spacing w:after="0"/>
              <w:rPr>
                <w:rFonts w:ascii="Arial" w:cs="Arial" w:eastAsia="Arial" w:hAnsi="Arial"/>
                <w:sz w:val="12"/>
                <w:szCs w:val="12"/>
                <w:color w:val="0000FF"/>
              </w:rPr>
            </w:pPr>
            <w:hyperlink w:anchor="page17">
              <w:r>
                <w:rPr>
                  <w:rFonts w:ascii="Arial" w:cs="Arial" w:eastAsia="Arial" w:hAnsi="Arial"/>
                  <w:sz w:val="12"/>
                  <w:szCs w:val="12"/>
                  <w:color w:val="0000FF"/>
                </w:rPr>
                <w:t>Slide Presentation</w:t>
              </w:r>
            </w:hyperlink>
          </w:p>
        </w:tc>
      </w:tr>
      <w:tr>
        <w:trPr>
          <w:trHeight w:val="20"/>
        </w:trPr>
        <w:tc>
          <w:tcPr>
            <w:tcW w:w="2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160"/>
        </w:trPr>
        <w:tc>
          <w:tcPr>
            <w:tcW w:w="220" w:type="dxa"/>
            <w:vAlign w:val="bottom"/>
          </w:tcPr>
          <w:p>
            <w:pPr>
              <w:spacing w:after="0"/>
              <w:rPr>
                <w:sz w:val="20"/>
                <w:szCs w:val="20"/>
                <w:color w:val="auto"/>
              </w:rPr>
            </w:pPr>
            <w:r>
              <w:rPr>
                <w:rFonts w:ascii="Arial" w:cs="Arial" w:eastAsia="Arial" w:hAnsi="Arial"/>
                <w:sz w:val="12"/>
                <w:szCs w:val="12"/>
                <w:color w:val="auto"/>
                <w:w w:val="99"/>
              </w:rPr>
              <w:t>104</w:t>
            </w:r>
          </w:p>
        </w:tc>
        <w:tc>
          <w:tcPr>
            <w:tcW w:w="940" w:type="dxa"/>
            <w:vAlign w:val="bottom"/>
          </w:tcPr>
          <w:p>
            <w:pPr>
              <w:spacing w:after="0"/>
              <w:rPr>
                <w:sz w:val="13"/>
                <w:szCs w:val="13"/>
                <w:color w:val="auto"/>
              </w:rPr>
            </w:pPr>
          </w:p>
        </w:tc>
        <w:tc>
          <w:tcPr>
            <w:tcW w:w="3940" w:type="dxa"/>
            <w:vAlign w:val="bottom"/>
            <w:gridSpan w:val="3"/>
          </w:tcPr>
          <w:p>
            <w:pPr>
              <w:spacing w:after="0"/>
              <w:rPr>
                <w:sz w:val="20"/>
                <w:szCs w:val="20"/>
                <w:color w:val="auto"/>
              </w:rPr>
            </w:pPr>
            <w:r>
              <w:rPr>
                <w:rFonts w:ascii="Arial" w:cs="Arial" w:eastAsia="Arial" w:hAnsi="Arial"/>
                <w:sz w:val="12"/>
                <w:szCs w:val="12"/>
                <w:color w:val="auto"/>
                <w:w w:val="92"/>
              </w:rPr>
              <w:t>The cover page from this Current Report on Form 8-K, formatted in Inline XBRL.</w:t>
            </w:r>
          </w:p>
        </w:tc>
      </w:tr>
    </w:tbl>
    <w:p>
      <w:pPr>
        <w:spacing w:after="0" w:line="3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Dated: May 12, 2021</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Michael Vollkommer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Michael Vollkommer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Title:  Chief Financial Officer</w:t>
      </w:r>
    </w:p>
    <w:p>
      <w:pPr>
        <w:sectPr>
          <w:pgSz w:w="11900" w:h="16838" w:orient="portrait"/>
          <w:cols w:equalWidth="0" w:num="1">
            <w:col w:w="11300"/>
          </w:cols>
          <w:pgMar w:left="300" w:top="712"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118110</wp:posOffset>
            </wp:positionV>
            <wp:extent cx="1177290" cy="417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729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color w:val="auto"/>
        </w:rPr>
        <w:t>Investor and Media Inquiries: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Dave Faupel</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dave.faupel@prth.com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Priority Technology Holdings, Inc. Announces First Quarter 2021 Financial Results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Strong First Quarter Performance with Ongoing Growth and Further Deleveraging</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Pending Acquisition of Finxera Positions Significant Business Expansion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Capital Refinancing Strengthens the Balance Sheet and Liquidity</w:t>
      </w:r>
    </w:p>
    <w:p>
      <w:pPr>
        <w:spacing w:after="0" w:line="219" w:lineRule="exact"/>
        <w:rPr>
          <w:sz w:val="20"/>
          <w:szCs w:val="20"/>
          <w:color w:val="auto"/>
        </w:rPr>
      </w:pPr>
    </w:p>
    <w:p>
      <w:pPr>
        <w:spacing w:after="0" w:line="358" w:lineRule="auto"/>
        <w:rPr>
          <w:sz w:val="20"/>
          <w:szCs w:val="20"/>
          <w:color w:val="auto"/>
        </w:rPr>
      </w:pPr>
      <w:r>
        <w:rPr>
          <w:rFonts w:ascii="Arial" w:cs="Arial" w:eastAsia="Arial" w:hAnsi="Arial"/>
          <w:sz w:val="13"/>
          <w:szCs w:val="13"/>
          <w:color w:val="auto"/>
        </w:rPr>
        <w:t>ALPHARETTA, GA – May 12, 2021 -- Priority Technology Holdings, Inc. (NASDAQ: PRTH) (“Priority” or the “Company”), a leading payments technology company helping customers collect, store and send money, today announced its first quarter 2021 financial results.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Highlights of Consolidated Results</w:t>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First Quarter 2021, Compared with First Quarter 2020</w:t>
      </w:r>
    </w:p>
    <w:p>
      <w:pPr>
        <w:spacing w:after="0" w:line="220" w:lineRule="exact"/>
        <w:rPr>
          <w:sz w:val="20"/>
          <w:szCs w:val="20"/>
          <w:color w:val="auto"/>
        </w:rPr>
      </w:pPr>
    </w:p>
    <w:p>
      <w:pPr>
        <w:spacing w:after="0" w:line="342" w:lineRule="auto"/>
        <w:rPr>
          <w:sz w:val="20"/>
          <w:szCs w:val="20"/>
          <w:color w:val="auto"/>
        </w:rPr>
      </w:pPr>
      <w:r>
        <w:rPr>
          <w:rFonts w:ascii="Arial" w:cs="Arial" w:eastAsia="Arial" w:hAnsi="Arial"/>
          <w:sz w:val="13"/>
          <w:szCs w:val="13"/>
          <w:color w:val="auto"/>
        </w:rPr>
        <w:t>The first quarter 2020 includes results of the RentPayment business sold to MRI Software in September 2020. Financial highlights of first quarter 2021 compared with first quarter 2020, are as follows (gross profit, gross profit margin, and adjusted EBITDA are non-GAAP measures</w:t>
      </w:r>
      <w:r>
        <w:rPr>
          <w:rFonts w:ascii="Arial" w:cs="Arial" w:eastAsia="Arial" w:hAnsi="Arial"/>
          <w:sz w:val="17"/>
          <w:szCs w:val="17"/>
          <w:color w:val="auto"/>
          <w:vertAlign w:val="superscript"/>
        </w:rPr>
        <w:t>1</w:t>
      </w:r>
      <w:r>
        <w:rPr>
          <w:rFonts w:ascii="Arial" w:cs="Arial" w:eastAsia="Arial" w:hAnsi="Arial"/>
          <w:sz w:val="13"/>
          <w:szCs w:val="13"/>
          <w:color w:val="auto"/>
        </w:rPr>
        <w:t>):</w:t>
      </w:r>
    </w:p>
    <w:p>
      <w:pPr>
        <w:spacing w:after="0" w:line="84"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color w:val="auto"/>
        </w:rPr>
        <w:t>Revenue of $113.3 million increased 16.9% from $96.9 million.</w:t>
      </w:r>
    </w:p>
    <w:p>
      <w:pPr>
        <w:spacing w:after="0" w:line="57"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color w:val="auto"/>
        </w:rPr>
        <w:t>Gross profit of $31.4 million increased 2.8% from $30.6 million.</w:t>
      </w:r>
    </w:p>
    <w:p>
      <w:pPr>
        <w:spacing w:after="0" w:line="57"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color w:val="auto"/>
        </w:rPr>
        <w:t>Gross profit margin of 27.7% decreased from 31.5%.</w:t>
      </w:r>
    </w:p>
    <w:p>
      <w:pPr>
        <w:spacing w:after="0" w:line="57"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color w:val="auto"/>
        </w:rPr>
        <w:t>Income from operations of $4.5 million increased 27.2% from $3.6 million, including non-recurring expenses of $3.6 million and $1.4 million in first quarter 2021 and 2020, respectively.</w:t>
      </w:r>
    </w:p>
    <w:p>
      <w:pPr>
        <w:spacing w:after="0" w:line="57"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color w:val="auto"/>
        </w:rPr>
        <w:t>Diluted loss per share of $0.04 compares with a diluted loss per share of $0.09.</w:t>
      </w:r>
    </w:p>
    <w:p>
      <w:pPr>
        <w:spacing w:after="0" w:line="57"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color w:val="auto"/>
        </w:rPr>
        <w:t>Adjusted EBITDA of $18.0 million increased 13.9% from $15.8 million.</w:t>
      </w:r>
    </w:p>
    <w:p>
      <w:pPr>
        <w:spacing w:after="0" w:line="57"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3"/>
          <w:szCs w:val="13"/>
          <w:color w:val="auto"/>
        </w:rPr>
        <w:t>Total net leverage ratio of 5.44x at March 31, 2021 decreased from 5.85x at December 31, 2020</w:t>
      </w:r>
      <w:r>
        <w:rPr>
          <w:rFonts w:ascii="Arial" w:cs="Arial" w:eastAsia="Arial" w:hAnsi="Arial"/>
          <w:sz w:val="17"/>
          <w:szCs w:val="17"/>
          <w:color w:val="auto"/>
          <w:vertAlign w:val="superscript"/>
        </w:rPr>
        <w:t>1</w:t>
      </w:r>
      <w:r>
        <w:rPr>
          <w:rFonts w:ascii="Arial" w:cs="Arial" w:eastAsia="Arial" w:hAnsi="Arial"/>
          <w:sz w:val="13"/>
          <w:szCs w:val="13"/>
          <w:color w:val="auto"/>
        </w:rPr>
        <w: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653" w:right="299" w:bottom="1440" w:gutter="0" w:footer="0" w:header="0"/>
        </w:sectPr>
      </w:pPr>
    </w:p>
    <w:bookmarkStart w:id="3" w:name="page4"/>
    <w:bookmarkEnd w:id="3"/>
    <w:p>
      <w:pPr>
        <w:ind w:left="8"/>
        <w:spacing w:after="0"/>
        <w:rPr>
          <w:sz w:val="20"/>
          <w:szCs w:val="20"/>
          <w:color w:val="auto"/>
        </w:rPr>
      </w:pPr>
      <w:r>
        <w:rPr>
          <w:rFonts w:ascii="Arial" w:cs="Arial" w:eastAsia="Arial" w:hAnsi="Arial"/>
          <w:sz w:val="12"/>
          <w:szCs w:val="12"/>
          <w:color w:val="auto"/>
        </w:rPr>
        <w:t>The first quarter 2021 results compared with first quarter 2020 results, excluding the RentPayment business sold in September 2020 and non-recurring expenses from both quarters</w:t>
      </w:r>
      <w:r>
        <w:rPr>
          <w:rFonts w:ascii="Arial" w:cs="Arial" w:eastAsia="Arial" w:hAnsi="Arial"/>
          <w:sz w:val="16"/>
          <w:szCs w:val="16"/>
          <w:color w:val="auto"/>
          <w:vertAlign w:val="superscript"/>
        </w:rPr>
        <w:t>2,3</w:t>
      </w:r>
      <w:r>
        <w:rPr>
          <w:rFonts w:ascii="Arial" w:cs="Arial" w:eastAsia="Arial" w:hAnsi="Arial"/>
          <w:sz w:val="12"/>
          <w:szCs w:val="12"/>
          <w:color w:val="auto"/>
        </w:rPr>
        <w:t>, are as follows:</w:t>
      </w:r>
    </w:p>
    <w:p>
      <w:pPr>
        <w:spacing w:after="0" w:line="185" w:lineRule="exact"/>
        <w:rPr>
          <w:sz w:val="20"/>
          <w:szCs w:val="20"/>
          <w:color w:val="auto"/>
        </w:rPr>
      </w:pPr>
    </w:p>
    <w:p>
      <w:pPr>
        <w:ind w:left="428" w:hanging="212"/>
        <w:spacing w:after="0"/>
        <w:tabs>
          <w:tab w:leader="none" w:pos="428" w:val="left"/>
        </w:tabs>
        <w:numPr>
          <w:ilvl w:val="0"/>
          <w:numId w:val="3"/>
        </w:numPr>
        <w:rPr>
          <w:rFonts w:ascii="Arial" w:cs="Arial" w:eastAsia="Arial" w:hAnsi="Arial"/>
          <w:sz w:val="12"/>
          <w:szCs w:val="12"/>
          <w:color w:val="auto"/>
        </w:rPr>
      </w:pPr>
      <w:r>
        <w:rPr>
          <w:rFonts w:ascii="Arial" w:cs="Arial" w:eastAsia="Arial" w:hAnsi="Arial"/>
          <w:sz w:val="13"/>
          <w:szCs w:val="13"/>
          <w:color w:val="auto"/>
        </w:rPr>
        <w:t>Revenue of $113.3 million increased 21.7% from $93.1 million.</w:t>
      </w:r>
    </w:p>
    <w:p>
      <w:pPr>
        <w:spacing w:after="0" w:line="57" w:lineRule="exact"/>
        <w:rPr>
          <w:rFonts w:ascii="Arial" w:cs="Arial" w:eastAsia="Arial" w:hAnsi="Arial"/>
          <w:sz w:val="12"/>
          <w:szCs w:val="12"/>
          <w:color w:val="auto"/>
        </w:rPr>
      </w:pPr>
    </w:p>
    <w:p>
      <w:pPr>
        <w:ind w:left="428" w:hanging="212"/>
        <w:spacing w:after="0"/>
        <w:tabs>
          <w:tab w:leader="none" w:pos="428" w:val="left"/>
        </w:tabs>
        <w:numPr>
          <w:ilvl w:val="0"/>
          <w:numId w:val="3"/>
        </w:numPr>
        <w:rPr>
          <w:rFonts w:ascii="Arial" w:cs="Arial" w:eastAsia="Arial" w:hAnsi="Arial"/>
          <w:sz w:val="12"/>
          <w:szCs w:val="12"/>
          <w:color w:val="auto"/>
        </w:rPr>
      </w:pPr>
      <w:r>
        <w:rPr>
          <w:rFonts w:ascii="Arial" w:cs="Arial" w:eastAsia="Arial" w:hAnsi="Arial"/>
          <w:sz w:val="13"/>
          <w:szCs w:val="13"/>
          <w:color w:val="auto"/>
        </w:rPr>
        <w:t>Gross profit of $31.4 million increased 16.0% from $27.1 million.</w:t>
      </w:r>
    </w:p>
    <w:p>
      <w:pPr>
        <w:spacing w:after="0" w:line="57" w:lineRule="exact"/>
        <w:rPr>
          <w:rFonts w:ascii="Arial" w:cs="Arial" w:eastAsia="Arial" w:hAnsi="Arial"/>
          <w:sz w:val="12"/>
          <w:szCs w:val="12"/>
          <w:color w:val="auto"/>
        </w:rPr>
      </w:pPr>
    </w:p>
    <w:p>
      <w:pPr>
        <w:ind w:left="428" w:hanging="212"/>
        <w:spacing w:after="0"/>
        <w:tabs>
          <w:tab w:leader="none" w:pos="428" w:val="left"/>
        </w:tabs>
        <w:numPr>
          <w:ilvl w:val="0"/>
          <w:numId w:val="3"/>
        </w:numPr>
        <w:rPr>
          <w:rFonts w:ascii="Arial" w:cs="Arial" w:eastAsia="Arial" w:hAnsi="Arial"/>
          <w:sz w:val="12"/>
          <w:szCs w:val="12"/>
          <w:color w:val="auto"/>
        </w:rPr>
      </w:pPr>
      <w:r>
        <w:rPr>
          <w:rFonts w:ascii="Arial" w:cs="Arial" w:eastAsia="Arial" w:hAnsi="Arial"/>
          <w:sz w:val="13"/>
          <w:szCs w:val="13"/>
          <w:color w:val="auto"/>
        </w:rPr>
        <w:t>Gross profit margin of 27.7% decreased 140 basis points from 29.1%.</w:t>
      </w:r>
    </w:p>
    <w:p>
      <w:pPr>
        <w:spacing w:after="0" w:line="57" w:lineRule="exact"/>
        <w:rPr>
          <w:rFonts w:ascii="Arial" w:cs="Arial" w:eastAsia="Arial" w:hAnsi="Arial"/>
          <w:sz w:val="12"/>
          <w:szCs w:val="12"/>
          <w:color w:val="auto"/>
        </w:rPr>
      </w:pPr>
    </w:p>
    <w:p>
      <w:pPr>
        <w:ind w:left="428" w:hanging="212"/>
        <w:spacing w:after="0"/>
        <w:tabs>
          <w:tab w:leader="none" w:pos="428" w:val="left"/>
        </w:tabs>
        <w:numPr>
          <w:ilvl w:val="0"/>
          <w:numId w:val="3"/>
        </w:numPr>
        <w:rPr>
          <w:rFonts w:ascii="Arial" w:cs="Arial" w:eastAsia="Arial" w:hAnsi="Arial"/>
          <w:sz w:val="12"/>
          <w:szCs w:val="12"/>
          <w:color w:val="auto"/>
        </w:rPr>
      </w:pPr>
      <w:r>
        <w:rPr>
          <w:rFonts w:ascii="Arial" w:cs="Arial" w:eastAsia="Arial" w:hAnsi="Arial"/>
          <w:sz w:val="13"/>
          <w:szCs w:val="13"/>
          <w:color w:val="auto"/>
        </w:rPr>
        <w:t>Income from operations of $8.2 million increased 132.9% from $3.5 million.</w:t>
      </w:r>
    </w:p>
    <w:p>
      <w:pPr>
        <w:spacing w:after="0" w:line="57" w:lineRule="exact"/>
        <w:rPr>
          <w:rFonts w:ascii="Arial" w:cs="Arial" w:eastAsia="Arial" w:hAnsi="Arial"/>
          <w:sz w:val="12"/>
          <w:szCs w:val="12"/>
          <w:color w:val="auto"/>
        </w:rPr>
      </w:pPr>
    </w:p>
    <w:p>
      <w:pPr>
        <w:ind w:left="428" w:hanging="212"/>
        <w:spacing w:after="0"/>
        <w:tabs>
          <w:tab w:leader="none" w:pos="428" w:val="left"/>
        </w:tabs>
        <w:numPr>
          <w:ilvl w:val="0"/>
          <w:numId w:val="3"/>
        </w:numPr>
        <w:rPr>
          <w:rFonts w:ascii="Arial" w:cs="Arial" w:eastAsia="Arial" w:hAnsi="Arial"/>
          <w:sz w:val="12"/>
          <w:szCs w:val="12"/>
          <w:color w:val="auto"/>
        </w:rPr>
      </w:pPr>
      <w:r>
        <w:rPr>
          <w:rFonts w:ascii="Arial" w:cs="Arial" w:eastAsia="Arial" w:hAnsi="Arial"/>
          <w:sz w:val="13"/>
          <w:szCs w:val="13"/>
          <w:color w:val="auto"/>
        </w:rPr>
        <w:t>Adjusted EBITDA of $18.0 million increased 37.0% from $13.1 million.</w:t>
      </w:r>
    </w:p>
    <w:p>
      <w:pPr>
        <w:spacing w:after="0" w:line="220" w:lineRule="exact"/>
        <w:rPr>
          <w:sz w:val="20"/>
          <w:szCs w:val="20"/>
          <w:color w:val="auto"/>
        </w:rPr>
      </w:pPr>
    </w:p>
    <w:p>
      <w:pPr>
        <w:jc w:val="both"/>
        <w:ind w:left="8"/>
        <w:spacing w:after="0" w:line="308" w:lineRule="auto"/>
        <w:rPr>
          <w:sz w:val="20"/>
          <w:szCs w:val="20"/>
          <w:color w:val="auto"/>
        </w:rPr>
      </w:pPr>
      <w:r>
        <w:rPr>
          <w:rFonts w:ascii="Arial" w:cs="Arial" w:eastAsia="Arial" w:hAnsi="Arial"/>
          <w:sz w:val="13"/>
          <w:szCs w:val="13"/>
          <w:color w:val="auto"/>
        </w:rPr>
        <w:t>The Company announced during first quarter 2021 that it entered into an agreement to acquire Finxera Holdings, Inc. (“Finxera”). That acquisition is expected to close in third quarter 2021. In first quarter 2021, Finxera generated revenue of $16.8 million, gross profit of $15.6 million, and Adjusted EBITDA of $11.7 million. On a pro forma basis</w:t>
      </w:r>
      <w:r>
        <w:rPr>
          <w:rFonts w:ascii="Arial" w:cs="Arial" w:eastAsia="Arial" w:hAnsi="Arial"/>
          <w:sz w:val="17"/>
          <w:szCs w:val="17"/>
          <w:color w:val="auto"/>
          <w:vertAlign w:val="superscript"/>
        </w:rPr>
        <w:t>4</w:t>
      </w:r>
      <w:r>
        <w:rPr>
          <w:rFonts w:ascii="Arial" w:cs="Arial" w:eastAsia="Arial" w:hAnsi="Arial"/>
          <w:sz w:val="13"/>
          <w:szCs w:val="13"/>
          <w:color w:val="auto"/>
        </w:rPr>
        <w:t>, including first quarter results of Finxera, together with the April 2021 tuck-in reseller acquisition, first quarter 2021 financial results (excluding revenue and cost synergies) are as follows:</w:t>
      </w:r>
    </w:p>
    <w:p>
      <w:pPr>
        <w:spacing w:after="0" w:line="148" w:lineRule="exact"/>
        <w:rPr>
          <w:sz w:val="20"/>
          <w:szCs w:val="20"/>
          <w:color w:val="auto"/>
        </w:rPr>
      </w:pPr>
    </w:p>
    <w:p>
      <w:pPr>
        <w:ind w:left="428" w:hanging="212"/>
        <w:spacing w:after="0"/>
        <w:tabs>
          <w:tab w:leader="none" w:pos="428" w:val="left"/>
        </w:tabs>
        <w:numPr>
          <w:ilvl w:val="1"/>
          <w:numId w:val="4"/>
        </w:numPr>
        <w:rPr>
          <w:rFonts w:ascii="Arial" w:cs="Arial" w:eastAsia="Arial" w:hAnsi="Arial"/>
          <w:sz w:val="12"/>
          <w:szCs w:val="12"/>
          <w:color w:val="auto"/>
        </w:rPr>
      </w:pPr>
      <w:r>
        <w:rPr>
          <w:rFonts w:ascii="Arial" w:cs="Arial" w:eastAsia="Arial" w:hAnsi="Arial"/>
          <w:sz w:val="13"/>
          <w:szCs w:val="13"/>
          <w:color w:val="auto"/>
        </w:rPr>
        <w:t>Revenue of $130.1 million.</w:t>
      </w:r>
    </w:p>
    <w:p>
      <w:pPr>
        <w:spacing w:after="0" w:line="57" w:lineRule="exact"/>
        <w:rPr>
          <w:rFonts w:ascii="Arial" w:cs="Arial" w:eastAsia="Arial" w:hAnsi="Arial"/>
          <w:sz w:val="12"/>
          <w:szCs w:val="12"/>
          <w:color w:val="auto"/>
        </w:rPr>
      </w:pPr>
    </w:p>
    <w:p>
      <w:pPr>
        <w:ind w:left="428" w:hanging="212"/>
        <w:spacing w:after="0"/>
        <w:tabs>
          <w:tab w:leader="none" w:pos="428" w:val="left"/>
        </w:tabs>
        <w:numPr>
          <w:ilvl w:val="1"/>
          <w:numId w:val="4"/>
        </w:numPr>
        <w:rPr>
          <w:rFonts w:ascii="Arial" w:cs="Arial" w:eastAsia="Arial" w:hAnsi="Arial"/>
          <w:sz w:val="12"/>
          <w:szCs w:val="12"/>
          <w:color w:val="auto"/>
        </w:rPr>
      </w:pPr>
      <w:r>
        <w:rPr>
          <w:rFonts w:ascii="Arial" w:cs="Arial" w:eastAsia="Arial" w:hAnsi="Arial"/>
          <w:sz w:val="13"/>
          <w:szCs w:val="13"/>
          <w:color w:val="auto"/>
        </w:rPr>
        <w:t>Gross profit of $50.9 million.</w:t>
      </w:r>
    </w:p>
    <w:p>
      <w:pPr>
        <w:spacing w:after="0" w:line="57" w:lineRule="exact"/>
        <w:rPr>
          <w:rFonts w:ascii="Arial" w:cs="Arial" w:eastAsia="Arial" w:hAnsi="Arial"/>
          <w:sz w:val="12"/>
          <w:szCs w:val="12"/>
          <w:color w:val="auto"/>
        </w:rPr>
      </w:pPr>
    </w:p>
    <w:p>
      <w:pPr>
        <w:ind w:left="428" w:hanging="212"/>
        <w:spacing w:after="0"/>
        <w:tabs>
          <w:tab w:leader="none" w:pos="428" w:val="left"/>
        </w:tabs>
        <w:numPr>
          <w:ilvl w:val="1"/>
          <w:numId w:val="4"/>
        </w:numPr>
        <w:rPr>
          <w:rFonts w:ascii="Arial" w:cs="Arial" w:eastAsia="Arial" w:hAnsi="Arial"/>
          <w:sz w:val="12"/>
          <w:szCs w:val="12"/>
          <w:color w:val="auto"/>
        </w:rPr>
      </w:pPr>
      <w:r>
        <w:rPr>
          <w:rFonts w:ascii="Arial" w:cs="Arial" w:eastAsia="Arial" w:hAnsi="Arial"/>
          <w:sz w:val="13"/>
          <w:szCs w:val="13"/>
          <w:color w:val="auto"/>
        </w:rPr>
        <w:t>Gross profit margin of 39.2%.</w:t>
      </w:r>
    </w:p>
    <w:p>
      <w:pPr>
        <w:spacing w:after="0" w:line="57" w:lineRule="exact"/>
        <w:rPr>
          <w:rFonts w:ascii="Arial" w:cs="Arial" w:eastAsia="Arial" w:hAnsi="Arial"/>
          <w:sz w:val="12"/>
          <w:szCs w:val="12"/>
          <w:color w:val="auto"/>
        </w:rPr>
      </w:pPr>
    </w:p>
    <w:p>
      <w:pPr>
        <w:ind w:left="428" w:hanging="212"/>
        <w:spacing w:after="0"/>
        <w:tabs>
          <w:tab w:leader="none" w:pos="428" w:val="left"/>
        </w:tabs>
        <w:numPr>
          <w:ilvl w:val="1"/>
          <w:numId w:val="4"/>
        </w:numPr>
        <w:rPr>
          <w:rFonts w:ascii="Arial" w:cs="Arial" w:eastAsia="Arial" w:hAnsi="Arial"/>
          <w:sz w:val="12"/>
          <w:szCs w:val="12"/>
          <w:color w:val="auto"/>
        </w:rPr>
      </w:pPr>
      <w:r>
        <w:rPr>
          <w:rFonts w:ascii="Arial" w:cs="Arial" w:eastAsia="Arial" w:hAnsi="Arial"/>
          <w:sz w:val="13"/>
          <w:szCs w:val="13"/>
          <w:color w:val="auto"/>
        </w:rPr>
        <w:t>Adjusted EBITDA of $33.5 million.</w:t>
      </w:r>
    </w:p>
    <w:p>
      <w:pPr>
        <w:spacing w:after="0" w:line="221" w:lineRule="exact"/>
        <w:rPr>
          <w:rFonts w:ascii="Arial" w:cs="Arial" w:eastAsia="Arial" w:hAnsi="Arial"/>
          <w:sz w:val="12"/>
          <w:szCs w:val="12"/>
          <w:color w:val="auto"/>
        </w:rPr>
      </w:pPr>
    </w:p>
    <w:p>
      <w:pPr>
        <w:ind w:left="8" w:hanging="8"/>
        <w:spacing w:after="0" w:line="328" w:lineRule="auto"/>
        <w:tabs>
          <w:tab w:leader="none" w:pos="152" w:val="left"/>
        </w:tabs>
        <w:numPr>
          <w:ilvl w:val="0"/>
          <w:numId w:val="4"/>
        </w:numPr>
        <w:rPr>
          <w:rFonts w:ascii="Arial" w:cs="Arial" w:eastAsia="Arial" w:hAnsi="Arial"/>
          <w:sz w:val="10"/>
          <w:szCs w:val="10"/>
          <w:i w:val="1"/>
          <w:iCs w:val="1"/>
          <w:color w:val="auto"/>
        </w:rPr>
      </w:pPr>
      <w:r>
        <w:rPr>
          <w:rFonts w:ascii="Arial" w:cs="Arial" w:eastAsia="Arial" w:hAnsi="Arial"/>
          <w:sz w:val="12"/>
          <w:szCs w:val="12"/>
          <w:i w:val="1"/>
          <w:iCs w:val="1"/>
          <w:color w:val="auto"/>
        </w:rPr>
        <w:t>See “Non-GAAP Financial Measures” and the reconciliations of Gross Profit, Gross Profit Margin, and Adjusted EBITDA to their most comparable GAAP measures, and the calculation of Total Net Leverage Ratio as of March 31, 2021 provided below for additional information.</w:t>
      </w:r>
    </w:p>
    <w:p>
      <w:pPr>
        <w:ind w:left="148" w:hanging="148"/>
        <w:spacing w:after="0"/>
        <w:tabs>
          <w:tab w:leader="none" w:pos="148" w:val="left"/>
        </w:tabs>
        <w:numPr>
          <w:ilvl w:val="0"/>
          <w:numId w:val="4"/>
        </w:numPr>
        <w:rPr>
          <w:rFonts w:ascii="Arial" w:cs="Arial" w:eastAsia="Arial" w:hAnsi="Arial"/>
          <w:sz w:val="10"/>
          <w:szCs w:val="10"/>
          <w:i w:val="1"/>
          <w:iCs w:val="1"/>
          <w:color w:val="auto"/>
        </w:rPr>
      </w:pPr>
      <w:r>
        <w:rPr>
          <w:rFonts w:ascii="Arial" w:cs="Arial" w:eastAsia="Arial" w:hAnsi="Arial"/>
          <w:sz w:val="12"/>
          <w:szCs w:val="12"/>
          <w:i w:val="1"/>
          <w:iCs w:val="1"/>
          <w:color w:val="auto"/>
        </w:rPr>
        <w:t>See "Results With and Without RentPayment" for a summary of the results for the three months ended March 31, 2020, excluding the actual results of the RentPayment business sold in September 2020.</w:t>
      </w:r>
    </w:p>
    <w:p>
      <w:pPr>
        <w:spacing w:after="0" w:line="51" w:lineRule="exact"/>
        <w:rPr>
          <w:rFonts w:ascii="Arial" w:cs="Arial" w:eastAsia="Arial" w:hAnsi="Arial"/>
          <w:sz w:val="10"/>
          <w:szCs w:val="10"/>
          <w:i w:val="1"/>
          <w:iCs w:val="1"/>
          <w:color w:val="auto"/>
        </w:rPr>
      </w:pPr>
    </w:p>
    <w:p>
      <w:pPr>
        <w:ind w:left="128" w:hanging="128"/>
        <w:spacing w:after="0"/>
        <w:tabs>
          <w:tab w:leader="none" w:pos="128" w:val="left"/>
        </w:tabs>
        <w:numPr>
          <w:ilvl w:val="0"/>
          <w:numId w:val="4"/>
        </w:numPr>
        <w:rPr>
          <w:rFonts w:ascii="Arial" w:cs="Arial" w:eastAsia="Arial" w:hAnsi="Arial"/>
          <w:sz w:val="10"/>
          <w:szCs w:val="10"/>
          <w:i w:val="1"/>
          <w:iCs w:val="1"/>
          <w:color w:val="auto"/>
        </w:rPr>
      </w:pPr>
      <w:r>
        <w:rPr>
          <w:rFonts w:ascii="Arial" w:cs="Arial" w:eastAsia="Arial" w:hAnsi="Arial"/>
          <w:sz w:val="12"/>
          <w:szCs w:val="12"/>
          <w:i w:val="1"/>
          <w:iCs w:val="1"/>
          <w:color w:val="auto"/>
        </w:rPr>
        <w:t>See “Non-GAAP Financial Measures” for the details of non-recurring expenses for the three months ended March 31, 2021 and 2020.</w:t>
      </w:r>
    </w:p>
    <w:p>
      <w:pPr>
        <w:spacing w:after="0" w:line="51" w:lineRule="exact"/>
        <w:rPr>
          <w:rFonts w:ascii="Arial" w:cs="Arial" w:eastAsia="Arial" w:hAnsi="Arial"/>
          <w:sz w:val="10"/>
          <w:szCs w:val="10"/>
          <w:i w:val="1"/>
          <w:iCs w:val="1"/>
          <w:color w:val="auto"/>
        </w:rPr>
      </w:pPr>
    </w:p>
    <w:p>
      <w:pPr>
        <w:ind w:left="148" w:hanging="148"/>
        <w:spacing w:after="0"/>
        <w:tabs>
          <w:tab w:leader="none" w:pos="148" w:val="left"/>
        </w:tabs>
        <w:numPr>
          <w:ilvl w:val="0"/>
          <w:numId w:val="4"/>
        </w:numPr>
        <w:rPr>
          <w:rFonts w:ascii="Arial" w:cs="Arial" w:eastAsia="Arial" w:hAnsi="Arial"/>
          <w:sz w:val="10"/>
          <w:szCs w:val="10"/>
          <w:i w:val="1"/>
          <w:iCs w:val="1"/>
          <w:color w:val="auto"/>
        </w:rPr>
      </w:pPr>
      <w:r>
        <w:rPr>
          <w:rFonts w:ascii="Arial" w:cs="Arial" w:eastAsia="Arial" w:hAnsi="Arial"/>
          <w:sz w:val="12"/>
          <w:szCs w:val="12"/>
          <w:i w:val="1"/>
          <w:iCs w:val="1"/>
          <w:color w:val="auto"/>
        </w:rPr>
        <w:t>See "Pro Forma Results" for a presentation of first quarter 2021 results including the actual first quarter 2021 results of Finxera and the April 2021 acquisition.</w:t>
      </w:r>
    </w:p>
    <w:p>
      <w:pPr>
        <w:spacing w:after="0" w:line="220" w:lineRule="exact"/>
        <w:rPr>
          <w:sz w:val="20"/>
          <w:szCs w:val="20"/>
          <w:color w:val="auto"/>
        </w:rPr>
      </w:pPr>
    </w:p>
    <w:p>
      <w:pPr>
        <w:ind w:left="8" w:right="180"/>
        <w:spacing w:after="0" w:line="407" w:lineRule="auto"/>
        <w:rPr>
          <w:sz w:val="20"/>
          <w:szCs w:val="20"/>
          <w:color w:val="auto"/>
        </w:rPr>
      </w:pPr>
      <w:r>
        <w:rPr>
          <w:rFonts w:ascii="Arial" w:cs="Arial" w:eastAsia="Arial" w:hAnsi="Arial"/>
          <w:sz w:val="12"/>
          <w:szCs w:val="12"/>
          <w:color w:val="auto"/>
        </w:rPr>
        <w:t>“Our consistent focus on solving payment pain points for our customers and partners has driven us to achieve another powerful quarter on the heels of an excellent finish to 2020,” said Tom Priore, Chairman and Chief Executive Officer of Priority. “With the pending Finxera acquisition, we continue to build momentum towards fulfilling our mission to be the premier platform to collect, store and send money with a full breadth of payment and virtual banking capabilities. The future of digital commerce will be won by those with complete control of the payment rails for payment authorization, settlement, account ledgering and disbursement. We are well equipped to deploy those capabilities to activate new solutions, including payment facilitation, in new market segments quickly and at scale.”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8"/>
          </w:cols>
          <w:pgMar w:left="292" w:top="669"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b w:val="1"/>
          <w:bCs w:val="1"/>
          <w:u w:val="single" w:color="auto"/>
          <w:color w:val="auto"/>
        </w:rPr>
        <w:t>Conference Call</w:t>
      </w:r>
    </w:p>
    <w:p>
      <w:pPr>
        <w:spacing w:after="0" w:line="215" w:lineRule="exact"/>
        <w:rPr>
          <w:sz w:val="20"/>
          <w:szCs w:val="20"/>
          <w:color w:val="auto"/>
        </w:rPr>
      </w:pPr>
    </w:p>
    <w:p>
      <w:pPr>
        <w:jc w:val="both"/>
        <w:spacing w:after="0" w:line="336" w:lineRule="auto"/>
        <w:rPr>
          <w:sz w:val="20"/>
          <w:szCs w:val="20"/>
          <w:color w:val="auto"/>
        </w:rPr>
      </w:pPr>
      <w:r>
        <w:rPr>
          <w:rFonts w:ascii="Arial" w:cs="Arial" w:eastAsia="Arial" w:hAnsi="Arial"/>
          <w:sz w:val="13"/>
          <w:szCs w:val="13"/>
          <w:color w:val="070707"/>
        </w:rPr>
        <w:t xml:space="preserve">Priority Technology Holdings, Inc.’s leadership will host a conference call on Thursday, May 13, 2021 at 11:00 a.m. EDT to discuss its first quarter financial results and business developments. Participants can access the call by </w:t>
      </w:r>
      <w:r>
        <w:rPr>
          <w:rFonts w:ascii="Arial" w:cs="Arial" w:eastAsia="Arial" w:hAnsi="Arial"/>
          <w:sz w:val="13"/>
          <w:szCs w:val="13"/>
          <w:color w:val="000000"/>
        </w:rPr>
        <w:t>Phone: US/Canada: (877) 501-3161 or International: (786) 815-8443.</w:t>
      </w:r>
    </w:p>
    <w:p>
      <w:pPr>
        <w:ind w:right="420"/>
        <w:spacing w:after="0" w:line="393" w:lineRule="auto"/>
        <w:rPr>
          <w:sz w:val="20"/>
          <w:szCs w:val="20"/>
          <w:color w:val="auto"/>
        </w:rPr>
      </w:pPr>
      <w:r>
        <w:rPr>
          <w:rFonts w:ascii="Arial" w:cs="Arial" w:eastAsia="Arial" w:hAnsi="Arial"/>
          <w:sz w:val="13"/>
          <w:szCs w:val="13"/>
          <w:color w:val="auto"/>
        </w:rPr>
        <w:t xml:space="preserve">Internet webcast link and accompanying slide presentation can be accessed at </w:t>
      </w:r>
      <w:r>
        <w:rPr>
          <w:rFonts w:ascii="Arial" w:cs="Arial" w:eastAsia="Arial" w:hAnsi="Arial"/>
          <w:sz w:val="13"/>
          <w:szCs w:val="13"/>
          <w:b w:val="1"/>
          <w:bCs w:val="1"/>
          <w:u w:val="single" w:color="auto"/>
          <w:color w:val="0000FF"/>
        </w:rPr>
        <w:t>https://edge.media-server.com/mmc/p/8k5v6qka</w:t>
      </w:r>
      <w:r>
        <w:rPr>
          <w:rFonts w:ascii="Arial" w:cs="Arial" w:eastAsia="Arial" w:hAnsi="Arial"/>
          <w:sz w:val="13"/>
          <w:szCs w:val="13"/>
          <w:color w:val="auto"/>
        </w:rPr>
        <w:t xml:space="preserve"> and will also be posted in the “Investor Relations” section of the Company’s website at </w:t>
      </w:r>
      <w:r>
        <w:rPr>
          <w:rFonts w:ascii="Arial" w:cs="Arial" w:eastAsia="Arial" w:hAnsi="Arial"/>
          <w:sz w:val="13"/>
          <w:szCs w:val="13"/>
          <w:u w:val="single" w:color="auto"/>
          <w:color w:val="0000FF"/>
        </w:rPr>
        <w:t>www.PRTH.com</w:t>
      </w:r>
      <w:r>
        <w:rPr>
          <w:rFonts w:ascii="Arial" w:cs="Arial" w:eastAsia="Arial" w:hAnsi="Arial"/>
          <w:sz w:val="13"/>
          <w:szCs w:val="13"/>
          <w:color w:val="auto"/>
        </w:rPr>
        <w:t>.</w:t>
      </w:r>
    </w:p>
    <w:p>
      <w:pPr>
        <w:spacing w:after="0" w:line="126" w:lineRule="exact"/>
        <w:rPr>
          <w:sz w:val="20"/>
          <w:szCs w:val="20"/>
          <w:color w:val="auto"/>
        </w:rPr>
      </w:pPr>
    </w:p>
    <w:p>
      <w:pPr>
        <w:ind w:right="120"/>
        <w:spacing w:after="0" w:line="387" w:lineRule="auto"/>
        <w:rPr>
          <w:sz w:val="20"/>
          <w:szCs w:val="20"/>
          <w:color w:val="auto"/>
        </w:rPr>
      </w:pPr>
      <w:r>
        <w:rPr>
          <w:rFonts w:ascii="Arial" w:cs="Arial" w:eastAsia="Arial" w:hAnsi="Arial"/>
          <w:sz w:val="13"/>
          <w:szCs w:val="13"/>
          <w:color w:val="auto"/>
        </w:rPr>
        <w:t xml:space="preserve">An audio replay of the call will be available shortly after the conference call until May 16, 2021 at 1:30 pm Eastern Time. To listen to the audio replay, dial (855) 859-2056 or (404) 537-3406 and enter conference ID number </w:t>
      </w:r>
      <w:r>
        <w:rPr>
          <w:rFonts w:ascii="Arial" w:cs="Arial" w:eastAsia="Arial" w:hAnsi="Arial"/>
          <w:sz w:val="13"/>
          <w:szCs w:val="13"/>
          <w:b w:val="1"/>
          <w:bCs w:val="1"/>
          <w:color w:val="auto"/>
        </w:rPr>
        <w:t>4385375</w:t>
      </w:r>
      <w:r>
        <w:rPr>
          <w:rFonts w:ascii="Arial" w:cs="Arial" w:eastAsia="Arial" w:hAnsi="Arial"/>
          <w:sz w:val="13"/>
          <w:szCs w:val="13"/>
          <w:color w:val="auto"/>
        </w:rPr>
        <w:t xml:space="preserve">. Alternatively, you may access the webcast replay in the “Investor Relations” section of the Company’s website at </w:t>
      </w:r>
      <w:r>
        <w:rPr>
          <w:rFonts w:ascii="Arial" w:cs="Arial" w:eastAsia="Arial" w:hAnsi="Arial"/>
          <w:sz w:val="13"/>
          <w:szCs w:val="13"/>
          <w:u w:val="single" w:color="auto"/>
          <w:color w:val="0000FF"/>
        </w:rPr>
        <w:t>www.PRTH.com</w:t>
      </w:r>
      <w:r>
        <w:rPr>
          <w:rFonts w:ascii="Arial" w:cs="Arial" w:eastAsia="Arial" w:hAnsi="Arial"/>
          <w:sz w:val="13"/>
          <w:szCs w:val="13"/>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0A0A0A"/>
        </w:rPr>
        <w:t>Non-GAAP Financial Measures</w:t>
      </w:r>
    </w:p>
    <w:p>
      <w:pPr>
        <w:spacing w:after="0" w:line="206"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Gross Profit and Gross Profit Margin</w:t>
      </w:r>
    </w:p>
    <w:p>
      <w:pPr>
        <w:spacing w:after="0" w:line="220" w:lineRule="exact"/>
        <w:rPr>
          <w:sz w:val="20"/>
          <w:szCs w:val="20"/>
          <w:color w:val="auto"/>
        </w:rPr>
      </w:pPr>
    </w:p>
    <w:p>
      <w:pPr>
        <w:jc w:val="both"/>
        <w:spacing w:after="0" w:line="343" w:lineRule="auto"/>
        <w:rPr>
          <w:sz w:val="20"/>
          <w:szCs w:val="20"/>
          <w:color w:val="auto"/>
        </w:rPr>
      </w:pPr>
      <w:r>
        <w:rPr>
          <w:rFonts w:ascii="Arial" w:cs="Arial" w:eastAsia="Arial" w:hAnsi="Arial"/>
          <w:sz w:val="13"/>
          <w:szCs w:val="13"/>
          <w:color w:val="auto"/>
        </w:rPr>
        <w:t>The Company’s non-GAAP gross profit metric represents revenues less costs of services. Gross profit margin is gross profit divided by revenues. We review these non-GAAP measures to evaluate our underlying profit trends. The reconciliation of gross profit to its most comparable GAAP measure is provided below:</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989"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53"/>
        </w:trPr>
        <w:tc>
          <w:tcPr>
            <w:tcW w:w="2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60" w:type="dxa"/>
            <w:vAlign w:val="bottom"/>
            <w:gridSpan w:val="4"/>
          </w:tcPr>
          <w:p>
            <w:pPr>
              <w:jc w:val="center"/>
              <w:ind w:left="500"/>
              <w:spacing w:after="0"/>
              <w:rPr>
                <w:sz w:val="20"/>
                <w:szCs w:val="20"/>
                <w:color w:val="auto"/>
              </w:rPr>
            </w:pPr>
            <w:r>
              <w:rPr>
                <w:rFonts w:ascii="Arial" w:cs="Arial" w:eastAsia="Arial" w:hAnsi="Arial"/>
                <w:sz w:val="12"/>
                <w:szCs w:val="12"/>
                <w:i w:val="1"/>
                <w:iCs w:val="1"/>
                <w:color w:val="auto"/>
                <w:w w:val="89"/>
              </w:rPr>
              <w:t>(in thousands)</w:t>
            </w:r>
          </w:p>
        </w:tc>
        <w:tc>
          <w:tcPr>
            <w:tcW w:w="1040" w:type="dxa"/>
            <w:vAlign w:val="bottom"/>
          </w:tcPr>
          <w:p>
            <w:pPr>
              <w:spacing w:after="0"/>
              <w:rPr>
                <w:sz w:val="13"/>
                <w:szCs w:val="13"/>
                <w:color w:val="auto"/>
              </w:rPr>
            </w:pPr>
          </w:p>
        </w:tc>
      </w:tr>
      <w:tr>
        <w:trPr>
          <w:trHeight w:val="189"/>
        </w:trPr>
        <w:tc>
          <w:tcPr>
            <w:tcW w:w="26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left="500"/>
              <w:spacing w:after="0"/>
              <w:rPr>
                <w:sz w:val="20"/>
                <w:szCs w:val="20"/>
                <w:color w:val="auto"/>
              </w:rPr>
            </w:pPr>
            <w:r>
              <w:rPr>
                <w:rFonts w:ascii="Arial" w:cs="Arial" w:eastAsia="Arial" w:hAnsi="Arial"/>
                <w:sz w:val="12"/>
                <w:szCs w:val="12"/>
                <w:b w:val="1"/>
                <w:bCs w:val="1"/>
                <w:color w:val="auto"/>
                <w:w w:val="92"/>
              </w:rPr>
              <w:t>Three Months Ended March 31,</w:t>
            </w:r>
          </w:p>
        </w:tc>
        <w:tc>
          <w:tcPr>
            <w:tcW w:w="1040" w:type="dxa"/>
            <w:vAlign w:val="bottom"/>
            <w:tcBorders>
              <w:bottom w:val="single" w:sz="8" w:color="auto"/>
            </w:tcBorders>
          </w:tcPr>
          <w:p>
            <w:pPr>
              <w:spacing w:after="0"/>
              <w:rPr>
                <w:sz w:val="16"/>
                <w:szCs w:val="16"/>
                <w:color w:val="auto"/>
              </w:rPr>
            </w:pPr>
          </w:p>
        </w:tc>
      </w:tr>
      <w:tr>
        <w:trPr>
          <w:trHeight w:val="169"/>
        </w:trPr>
        <w:tc>
          <w:tcPr>
            <w:tcW w:w="26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b w:val="1"/>
                <w:bCs w:val="1"/>
                <w:color w:val="auto"/>
              </w:rPr>
              <w:t>2020</w:t>
            </w:r>
          </w:p>
        </w:tc>
      </w:tr>
      <w:tr>
        <w:trPr>
          <w:trHeight w:val="259"/>
        </w:trPr>
        <w:tc>
          <w:tcPr>
            <w:tcW w:w="2660" w:type="dxa"/>
            <w:vAlign w:val="bottom"/>
          </w:tcPr>
          <w:p>
            <w:pPr>
              <w:spacing w:after="0"/>
              <w:rPr>
                <w:sz w:val="20"/>
                <w:szCs w:val="20"/>
                <w:color w:val="auto"/>
              </w:rPr>
            </w:pPr>
            <w:r>
              <w:rPr>
                <w:rFonts w:ascii="Arial" w:cs="Arial" w:eastAsia="Arial" w:hAnsi="Arial"/>
                <w:sz w:val="12"/>
                <w:szCs w:val="12"/>
                <w:color w:val="auto"/>
              </w:rPr>
              <w:t>Revenues</w:t>
            </w: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20"/>
              <w:spacing w:after="0"/>
              <w:rPr>
                <w:sz w:val="20"/>
                <w:szCs w:val="20"/>
                <w:color w:val="auto"/>
              </w:rPr>
            </w:pPr>
            <w:r>
              <w:rPr>
                <w:rFonts w:ascii="Arial" w:cs="Arial" w:eastAsia="Arial" w:hAnsi="Arial"/>
                <w:sz w:val="12"/>
                <w:szCs w:val="12"/>
                <w:color w:val="auto"/>
              </w:rPr>
              <w:t>113,297</w:t>
            </w:r>
          </w:p>
        </w:tc>
        <w:tc>
          <w:tcPr>
            <w:tcW w:w="1000" w:type="dxa"/>
            <w:vAlign w:val="bottom"/>
            <w:gridSpan w:val="3"/>
          </w:tcPr>
          <w:p>
            <w:pPr>
              <w:jc w:val="right"/>
              <w:ind w:right="54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96,933</w:t>
            </w:r>
          </w:p>
        </w:tc>
      </w:tr>
      <w:tr>
        <w:trPr>
          <w:trHeight w:val="189"/>
        </w:trPr>
        <w:tc>
          <w:tcPr>
            <w:tcW w:w="2660" w:type="dxa"/>
            <w:vAlign w:val="bottom"/>
          </w:tcPr>
          <w:p>
            <w:pPr>
              <w:spacing w:after="0"/>
              <w:rPr>
                <w:sz w:val="20"/>
                <w:szCs w:val="20"/>
                <w:color w:val="auto"/>
              </w:rPr>
            </w:pPr>
            <w:r>
              <w:rPr>
                <w:rFonts w:ascii="Arial" w:cs="Arial" w:eastAsia="Arial" w:hAnsi="Arial"/>
                <w:sz w:val="12"/>
                <w:szCs w:val="12"/>
                <w:color w:val="auto"/>
              </w:rPr>
              <w:t>Costs of Services</w:t>
            </w: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(81,863)</w:t>
            </w:r>
          </w:p>
        </w:tc>
        <w:tc>
          <w:tcPr>
            <w:tcW w:w="1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(66,364)</w:t>
            </w:r>
          </w:p>
        </w:tc>
      </w:tr>
      <w:tr>
        <w:trPr>
          <w:trHeight w:val="178"/>
        </w:trPr>
        <w:tc>
          <w:tcPr>
            <w:tcW w:w="2660" w:type="dxa"/>
            <w:vAlign w:val="bottom"/>
          </w:tcPr>
          <w:p>
            <w:pPr>
              <w:spacing w:after="0"/>
              <w:rPr>
                <w:sz w:val="20"/>
                <w:szCs w:val="20"/>
                <w:color w:val="auto"/>
              </w:rPr>
            </w:pPr>
            <w:r>
              <w:rPr>
                <w:rFonts w:ascii="Arial" w:cs="Arial" w:eastAsia="Arial" w:hAnsi="Arial"/>
                <w:sz w:val="12"/>
                <w:szCs w:val="12"/>
                <w:color w:val="auto"/>
              </w:rPr>
              <w:t>Gross Profit</w:t>
            </w: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20"/>
              <w:spacing w:after="0"/>
              <w:rPr>
                <w:sz w:val="20"/>
                <w:szCs w:val="20"/>
                <w:color w:val="auto"/>
              </w:rPr>
            </w:pPr>
            <w:r>
              <w:rPr>
                <w:rFonts w:ascii="Arial" w:cs="Arial" w:eastAsia="Arial" w:hAnsi="Arial"/>
                <w:sz w:val="12"/>
                <w:szCs w:val="12"/>
                <w:color w:val="auto"/>
              </w:rPr>
              <w:t>31,434</w:t>
            </w:r>
          </w:p>
        </w:tc>
        <w:tc>
          <w:tcPr>
            <w:tcW w:w="1000" w:type="dxa"/>
            <w:vAlign w:val="bottom"/>
            <w:gridSpan w:val="3"/>
          </w:tcPr>
          <w:p>
            <w:pPr>
              <w:jc w:val="right"/>
              <w:ind w:right="54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30,569</w:t>
            </w:r>
          </w:p>
        </w:tc>
      </w:tr>
      <w:tr>
        <w:trPr>
          <w:trHeight w:val="20"/>
        </w:trPr>
        <w:tc>
          <w:tcPr>
            <w:tcW w:w="2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18"/>
        </w:trPr>
        <w:tc>
          <w:tcPr>
            <w:tcW w:w="2660" w:type="dxa"/>
            <w:vAlign w:val="bottom"/>
          </w:tcPr>
          <w:p>
            <w:pPr>
              <w:spacing w:after="0"/>
              <w:rPr>
                <w:sz w:val="20"/>
                <w:szCs w:val="20"/>
                <w:color w:val="auto"/>
              </w:rPr>
            </w:pPr>
            <w:r>
              <w:rPr>
                <w:rFonts w:ascii="Arial" w:cs="Arial" w:eastAsia="Arial" w:hAnsi="Arial"/>
                <w:sz w:val="12"/>
                <w:szCs w:val="12"/>
                <w:color w:val="auto"/>
              </w:rPr>
              <w:t>Gross Profit Margin</w:t>
            </w:r>
          </w:p>
        </w:tc>
        <w:tc>
          <w:tcPr>
            <w:tcW w:w="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27.7</w:t>
            </w: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w:t>
            </w:r>
          </w:p>
        </w:tc>
        <w:tc>
          <w:tcPr>
            <w:tcW w:w="2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31.5   %</w:t>
            </w:r>
          </w:p>
        </w:tc>
      </w:tr>
      <w:tr>
        <w:trPr>
          <w:trHeight w:val="20"/>
        </w:trPr>
        <w:tc>
          <w:tcPr>
            <w:tcW w:w="2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EBITDA, Adjusted EBITDA and Consolidated Adjusted EBITDA</w:t>
      </w:r>
    </w:p>
    <w:p>
      <w:pPr>
        <w:spacing w:after="0" w:line="220" w:lineRule="exact"/>
        <w:rPr>
          <w:sz w:val="20"/>
          <w:szCs w:val="20"/>
          <w:color w:val="auto"/>
        </w:rPr>
      </w:pPr>
    </w:p>
    <w:p>
      <w:pPr>
        <w:jc w:val="both"/>
        <w:spacing w:after="0" w:line="343" w:lineRule="auto"/>
        <w:rPr>
          <w:sz w:val="20"/>
          <w:szCs w:val="20"/>
          <w:color w:val="auto"/>
        </w:rPr>
      </w:pPr>
      <w:r>
        <w:rPr>
          <w:rFonts w:ascii="Arial" w:cs="Arial" w:eastAsia="Arial" w:hAnsi="Arial"/>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Consolidated adjusted EBITDA, which is a liquidity measure used in determining our total net leverage ratio, is adjusted EBITDA further adjusted for items specified in the definition of consolidated adjusted EBITDA within our debt agreements, which include the pro-forma impact of acquisitions and dispositions and other specified adjustments. We review the non-GAAP adjusted EBITDA measure to evaluate our business and trends, measure our performance, prepare financial projections, allocate resources,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680"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color w:val="auto"/>
        </w:rPr>
        <w:t>We review the non-GAAP consolidated adjusted EBITDA to evaluate compliance with our total net leverage ratio at each measurement period. The reconciliation of adjusted EBITDA to its most comparable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GAAP measure is provided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00" w:type="dxa"/>
            <w:vAlign w:val="bottom"/>
            <w:gridSpan w:val="3"/>
          </w:tcPr>
          <w:p>
            <w:pPr>
              <w:jc w:val="right"/>
              <w:ind w:right="472"/>
              <w:spacing w:after="0"/>
              <w:rPr>
                <w:sz w:val="20"/>
                <w:szCs w:val="20"/>
                <w:color w:val="auto"/>
              </w:rPr>
            </w:pPr>
            <w:r>
              <w:rPr>
                <w:rFonts w:ascii="Arial" w:cs="Arial" w:eastAsia="Arial" w:hAnsi="Arial"/>
                <w:sz w:val="12"/>
                <w:szCs w:val="12"/>
                <w:i w:val="1"/>
                <w:iCs w:val="1"/>
                <w:color w:val="auto"/>
              </w:rPr>
              <w:t>(in thousands)</w:t>
            </w:r>
          </w:p>
        </w:tc>
        <w:tc>
          <w:tcPr>
            <w:tcW w:w="1060" w:type="dxa"/>
            <w:vAlign w:val="bottom"/>
          </w:tcPr>
          <w:p>
            <w:pPr>
              <w:spacing w:after="0"/>
              <w:rPr>
                <w:sz w:val="13"/>
                <w:szCs w:val="13"/>
                <w:color w:val="auto"/>
              </w:rPr>
            </w:pPr>
          </w:p>
        </w:tc>
      </w:tr>
      <w:tr>
        <w:trPr>
          <w:trHeight w:val="189"/>
        </w:trPr>
        <w:tc>
          <w:tcPr>
            <w:tcW w:w="50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2"/>
              </w:rPr>
              <w:t>Three Months Ended March 31,</w:t>
            </w:r>
          </w:p>
        </w:tc>
        <w:tc>
          <w:tcPr>
            <w:tcW w:w="1060" w:type="dxa"/>
            <w:vAlign w:val="bottom"/>
            <w:tcBorders>
              <w:bottom w:val="single" w:sz="8" w:color="auto"/>
            </w:tcBorders>
          </w:tcPr>
          <w:p>
            <w:pPr>
              <w:spacing w:after="0"/>
              <w:rPr>
                <w:sz w:val="16"/>
                <w:szCs w:val="16"/>
                <w:color w:val="auto"/>
              </w:rPr>
            </w:pPr>
          </w:p>
        </w:tc>
      </w:tr>
      <w:tr>
        <w:trPr>
          <w:trHeight w:val="169"/>
        </w:trPr>
        <w:tc>
          <w:tcPr>
            <w:tcW w:w="508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40"/>
              <w:spacing w:after="0"/>
              <w:rPr>
                <w:sz w:val="20"/>
                <w:szCs w:val="20"/>
                <w:color w:val="auto"/>
              </w:rPr>
            </w:pPr>
            <w:r>
              <w:rPr>
                <w:rFonts w:ascii="Arial" w:cs="Arial" w:eastAsia="Arial" w:hAnsi="Arial"/>
                <w:sz w:val="12"/>
                <w:szCs w:val="12"/>
                <w:b w:val="1"/>
                <w:bCs w:val="1"/>
                <w:color w:val="auto"/>
                <w:w w:val="89"/>
              </w:rPr>
              <w:t>2020</w:t>
            </w:r>
          </w:p>
        </w:tc>
      </w:tr>
      <w:tr>
        <w:trPr>
          <w:trHeight w:val="160"/>
        </w:trPr>
        <w:tc>
          <w:tcPr>
            <w:tcW w:w="5080" w:type="dxa"/>
            <w:vAlign w:val="bottom"/>
          </w:tcPr>
          <w:p>
            <w:pPr>
              <w:spacing w:after="0"/>
              <w:rPr>
                <w:sz w:val="20"/>
                <w:szCs w:val="20"/>
                <w:color w:val="auto"/>
              </w:rPr>
            </w:pPr>
            <w:r>
              <w:rPr>
                <w:rFonts w:ascii="Arial" w:cs="Arial" w:eastAsia="Arial" w:hAnsi="Arial"/>
                <w:sz w:val="12"/>
                <w:szCs w:val="12"/>
                <w:color w:val="auto"/>
              </w:rPr>
              <w:t>Net loss (GAAP)</w:t>
            </w:r>
          </w:p>
        </w:tc>
        <w:tc>
          <w:tcPr>
            <w:tcW w:w="1080" w:type="dxa"/>
            <w:vAlign w:val="bottom"/>
          </w:tcPr>
          <w:p>
            <w:pPr>
              <w:jc w:val="right"/>
              <w:ind w:right="94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80"/>
              <w:spacing w:after="0"/>
              <w:rPr>
                <w:sz w:val="20"/>
                <w:szCs w:val="20"/>
                <w:color w:val="auto"/>
              </w:rPr>
            </w:pPr>
            <w:r>
              <w:rPr>
                <w:rFonts w:ascii="Arial" w:cs="Arial" w:eastAsia="Arial" w:hAnsi="Arial"/>
                <w:sz w:val="12"/>
                <w:szCs w:val="12"/>
                <w:color w:val="auto"/>
              </w:rPr>
              <w:t>(2,679)</w:t>
            </w:r>
          </w:p>
        </w:tc>
        <w:tc>
          <w:tcPr>
            <w:tcW w:w="140" w:type="dxa"/>
            <w:vAlign w:val="bottom"/>
          </w:tcPr>
          <w:p>
            <w:pPr>
              <w:spacing w:after="0"/>
              <w:rPr>
                <w:sz w:val="13"/>
                <w:szCs w:val="13"/>
                <w:color w:val="auto"/>
              </w:rPr>
            </w:pP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(5,869)</w:t>
            </w:r>
          </w:p>
        </w:tc>
      </w:tr>
      <w:tr>
        <w:trPr>
          <w:trHeight w:val="180"/>
        </w:trPr>
        <w:tc>
          <w:tcPr>
            <w:tcW w:w="5080" w:type="dxa"/>
            <w:vAlign w:val="bottom"/>
          </w:tcPr>
          <w:p>
            <w:pPr>
              <w:ind w:left="140"/>
              <w:spacing w:after="0"/>
              <w:rPr>
                <w:sz w:val="20"/>
                <w:szCs w:val="20"/>
                <w:color w:val="auto"/>
              </w:rPr>
            </w:pPr>
            <w:r>
              <w:rPr>
                <w:rFonts w:ascii="Arial" w:cs="Arial" w:eastAsia="Arial" w:hAnsi="Arial"/>
                <w:sz w:val="12"/>
                <w:szCs w:val="12"/>
                <w:color w:val="auto"/>
              </w:rPr>
              <w:t>Interest expense</w:t>
            </w:r>
          </w:p>
        </w:tc>
        <w:tc>
          <w:tcPr>
            <w:tcW w:w="1080" w:type="dxa"/>
            <w:vAlign w:val="bottom"/>
          </w:tcPr>
          <w:p>
            <w:pPr>
              <w:spacing w:after="0"/>
              <w:rPr>
                <w:sz w:val="15"/>
                <w:szCs w:val="15"/>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9,168</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10,315</w:t>
            </w:r>
          </w:p>
        </w:tc>
      </w:tr>
      <w:tr>
        <w:trPr>
          <w:trHeight w:val="180"/>
        </w:trPr>
        <w:tc>
          <w:tcPr>
            <w:tcW w:w="5080" w:type="dxa"/>
            <w:vAlign w:val="bottom"/>
          </w:tcPr>
          <w:p>
            <w:pPr>
              <w:ind w:left="140"/>
              <w:spacing w:after="0"/>
              <w:rPr>
                <w:sz w:val="20"/>
                <w:szCs w:val="20"/>
                <w:color w:val="auto"/>
              </w:rPr>
            </w:pPr>
            <w:r>
              <w:rPr>
                <w:rFonts w:ascii="Arial" w:cs="Arial" w:eastAsia="Arial" w:hAnsi="Arial"/>
                <w:sz w:val="12"/>
                <w:szCs w:val="12"/>
                <w:color w:val="auto"/>
              </w:rPr>
              <w:t>Income tax benefit</w:t>
            </w:r>
          </w:p>
        </w:tc>
        <w:tc>
          <w:tcPr>
            <w:tcW w:w="1080" w:type="dxa"/>
            <w:vAlign w:val="bottom"/>
          </w:tcPr>
          <w:p>
            <w:pPr>
              <w:spacing w:after="0"/>
              <w:rPr>
                <w:sz w:val="15"/>
                <w:szCs w:val="15"/>
                <w:color w:val="auto"/>
              </w:rPr>
            </w:pPr>
          </w:p>
        </w:tc>
        <w:tc>
          <w:tcPr>
            <w:tcW w:w="780" w:type="dxa"/>
            <w:vAlign w:val="bottom"/>
          </w:tcPr>
          <w:p>
            <w:pPr>
              <w:jc w:val="right"/>
              <w:ind w:right="80"/>
              <w:spacing w:after="0"/>
              <w:rPr>
                <w:sz w:val="20"/>
                <w:szCs w:val="20"/>
                <w:color w:val="auto"/>
              </w:rPr>
            </w:pPr>
            <w:r>
              <w:rPr>
                <w:rFonts w:ascii="Arial" w:cs="Arial" w:eastAsia="Arial" w:hAnsi="Arial"/>
                <w:sz w:val="12"/>
                <w:szCs w:val="12"/>
                <w:color w:val="auto"/>
              </w:rPr>
              <w:t>(2,231)</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(1,233)</w:t>
            </w:r>
          </w:p>
        </w:tc>
      </w:tr>
      <w:tr>
        <w:trPr>
          <w:trHeight w:val="189"/>
        </w:trPr>
        <w:tc>
          <w:tcPr>
            <w:tcW w:w="5080" w:type="dxa"/>
            <w:vAlign w:val="bottom"/>
          </w:tcPr>
          <w:p>
            <w:pPr>
              <w:ind w:left="140"/>
              <w:spacing w:after="0"/>
              <w:rPr>
                <w:sz w:val="20"/>
                <w:szCs w:val="20"/>
                <w:color w:val="auto"/>
              </w:rPr>
            </w:pPr>
            <w:r>
              <w:rPr>
                <w:rFonts w:ascii="Arial" w:cs="Arial" w:eastAsia="Arial" w:hAnsi="Arial"/>
                <w:sz w:val="12"/>
                <w:szCs w:val="12"/>
                <w:color w:val="auto"/>
              </w:rPr>
              <w:t>Depreciation and amortization</w:t>
            </w:r>
          </w:p>
        </w:tc>
        <w:tc>
          <w:tcPr>
            <w:tcW w:w="10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9,070</w:t>
            </w:r>
          </w:p>
        </w:tc>
        <w:tc>
          <w:tcPr>
            <w:tcW w:w="1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10,272</w:t>
            </w:r>
          </w:p>
        </w:tc>
      </w:tr>
      <w:tr>
        <w:trPr>
          <w:trHeight w:val="160"/>
        </w:trPr>
        <w:tc>
          <w:tcPr>
            <w:tcW w:w="5080" w:type="dxa"/>
            <w:vAlign w:val="bottom"/>
          </w:tcPr>
          <w:p>
            <w:pPr>
              <w:spacing w:after="0"/>
              <w:rPr>
                <w:sz w:val="20"/>
                <w:szCs w:val="20"/>
                <w:color w:val="auto"/>
              </w:rPr>
            </w:pPr>
            <w:r>
              <w:rPr>
                <w:rFonts w:ascii="Arial" w:cs="Arial" w:eastAsia="Arial" w:hAnsi="Arial"/>
                <w:sz w:val="12"/>
                <w:szCs w:val="12"/>
                <w:color w:val="auto"/>
              </w:rPr>
              <w:t>EBITDA (Non-GAAP)</w:t>
            </w:r>
          </w:p>
        </w:tc>
        <w:tc>
          <w:tcPr>
            <w:tcW w:w="1080" w:type="dxa"/>
            <w:vAlign w:val="bottom"/>
          </w:tcPr>
          <w:p>
            <w:pPr>
              <w:spacing w:after="0"/>
              <w:rPr>
                <w:sz w:val="13"/>
                <w:szCs w:val="13"/>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13,328</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13,485</w:t>
            </w:r>
          </w:p>
        </w:tc>
      </w:tr>
      <w:tr>
        <w:trPr>
          <w:trHeight w:val="180"/>
        </w:trPr>
        <w:tc>
          <w:tcPr>
            <w:tcW w:w="5080" w:type="dxa"/>
            <w:vAlign w:val="bottom"/>
          </w:tcPr>
          <w:p>
            <w:pPr>
              <w:ind w:left="140"/>
              <w:spacing w:after="0"/>
              <w:rPr>
                <w:sz w:val="20"/>
                <w:szCs w:val="20"/>
                <w:color w:val="auto"/>
              </w:rPr>
            </w:pPr>
            <w:r>
              <w:rPr>
                <w:rFonts w:ascii="Arial" w:cs="Arial" w:eastAsia="Arial" w:hAnsi="Arial"/>
                <w:sz w:val="12"/>
                <w:szCs w:val="12"/>
                <w:color w:val="auto"/>
              </w:rPr>
              <w:t>Non-cash stock-based compensation</w:t>
            </w:r>
          </w:p>
        </w:tc>
        <w:tc>
          <w:tcPr>
            <w:tcW w:w="1080" w:type="dxa"/>
            <w:vAlign w:val="bottom"/>
          </w:tcPr>
          <w:p>
            <w:pPr>
              <w:spacing w:after="0"/>
              <w:rPr>
                <w:sz w:val="15"/>
                <w:szCs w:val="15"/>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558</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338</w:t>
            </w:r>
          </w:p>
        </w:tc>
      </w:tr>
      <w:tr>
        <w:trPr>
          <w:trHeight w:val="180"/>
        </w:trPr>
        <w:tc>
          <w:tcPr>
            <w:tcW w:w="5080" w:type="dxa"/>
            <w:vAlign w:val="bottom"/>
          </w:tcPr>
          <w:p>
            <w:pPr>
              <w:ind w:left="140"/>
              <w:spacing w:after="0"/>
              <w:rPr>
                <w:sz w:val="20"/>
                <w:szCs w:val="20"/>
                <w:color w:val="auto"/>
              </w:rPr>
            </w:pPr>
            <w:r>
              <w:rPr>
                <w:rFonts w:ascii="Arial" w:cs="Arial" w:eastAsia="Arial" w:hAnsi="Arial"/>
                <w:sz w:val="12"/>
                <w:szCs w:val="12"/>
                <w:color w:val="auto"/>
              </w:rPr>
              <w:t>Selling, general and administrative</w:t>
            </w:r>
          </w:p>
        </w:tc>
        <w:tc>
          <w:tcPr>
            <w:tcW w:w="1080" w:type="dxa"/>
            <w:vAlign w:val="bottom"/>
          </w:tcPr>
          <w:p>
            <w:pPr>
              <w:spacing w:after="0"/>
              <w:rPr>
                <w:sz w:val="15"/>
                <w:szCs w:val="15"/>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3,627</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1,394</w:t>
            </w:r>
          </w:p>
        </w:tc>
      </w:tr>
      <w:tr>
        <w:trPr>
          <w:trHeight w:val="180"/>
        </w:trPr>
        <w:tc>
          <w:tcPr>
            <w:tcW w:w="5080" w:type="dxa"/>
            <w:vAlign w:val="bottom"/>
          </w:tcPr>
          <w:p>
            <w:pPr>
              <w:ind w:left="140"/>
              <w:spacing w:after="0"/>
              <w:rPr>
                <w:sz w:val="20"/>
                <w:szCs w:val="20"/>
                <w:color w:val="auto"/>
              </w:rPr>
            </w:pPr>
            <w:r>
              <w:rPr>
                <w:rFonts w:ascii="Arial" w:cs="Arial" w:eastAsia="Arial" w:hAnsi="Arial"/>
                <w:sz w:val="12"/>
                <w:szCs w:val="12"/>
                <w:color w:val="auto"/>
              </w:rPr>
              <w:t>Debt modification expenses</w:t>
            </w:r>
          </w:p>
        </w:tc>
        <w:tc>
          <w:tcPr>
            <w:tcW w:w="108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5"/>
                <w:szCs w:val="15"/>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376</w:t>
            </w:r>
          </w:p>
        </w:tc>
      </w:tr>
      <w:tr>
        <w:trPr>
          <w:trHeight w:val="180"/>
        </w:trPr>
        <w:tc>
          <w:tcPr>
            <w:tcW w:w="5080" w:type="dxa"/>
            <w:vAlign w:val="bottom"/>
          </w:tcPr>
          <w:p>
            <w:pPr>
              <w:ind w:left="140"/>
              <w:spacing w:after="0"/>
              <w:rPr>
                <w:sz w:val="20"/>
                <w:szCs w:val="20"/>
                <w:color w:val="auto"/>
              </w:rPr>
            </w:pPr>
            <w:r>
              <w:rPr>
                <w:rFonts w:ascii="Arial" w:cs="Arial" w:eastAsia="Arial" w:hAnsi="Arial"/>
                <w:sz w:val="12"/>
                <w:szCs w:val="12"/>
                <w:color w:val="auto"/>
              </w:rPr>
              <w:t>Write-off of equity-method investment</w:t>
            </w:r>
          </w:p>
        </w:tc>
        <w:tc>
          <w:tcPr>
            <w:tcW w:w="108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5"/>
                <w:szCs w:val="15"/>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211</w:t>
            </w:r>
          </w:p>
        </w:tc>
      </w:tr>
      <w:tr>
        <w:trPr>
          <w:trHeight w:val="189"/>
        </w:trPr>
        <w:tc>
          <w:tcPr>
            <w:tcW w:w="5080" w:type="dxa"/>
            <w:vAlign w:val="bottom"/>
          </w:tcPr>
          <w:p>
            <w:pPr>
              <w:ind w:left="140"/>
              <w:spacing w:after="0"/>
              <w:rPr>
                <w:sz w:val="20"/>
                <w:szCs w:val="20"/>
                <w:color w:val="auto"/>
              </w:rPr>
            </w:pPr>
            <w:r>
              <w:rPr>
                <w:rFonts w:ascii="Arial" w:cs="Arial" w:eastAsia="Arial" w:hAnsi="Arial"/>
                <w:sz w:val="12"/>
                <w:szCs w:val="12"/>
                <w:color w:val="auto"/>
              </w:rPr>
              <w:t>Other non-operating expense</w:t>
            </w:r>
          </w:p>
        </w:tc>
        <w:tc>
          <w:tcPr>
            <w:tcW w:w="10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488</w:t>
            </w:r>
          </w:p>
        </w:tc>
        <w:tc>
          <w:tcPr>
            <w:tcW w:w="1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r>
      <w:tr>
        <w:trPr>
          <w:trHeight w:val="178"/>
        </w:trPr>
        <w:tc>
          <w:tcPr>
            <w:tcW w:w="5080" w:type="dxa"/>
            <w:vAlign w:val="bottom"/>
          </w:tcPr>
          <w:p>
            <w:pPr>
              <w:spacing w:after="0"/>
              <w:rPr>
                <w:sz w:val="20"/>
                <w:szCs w:val="20"/>
                <w:color w:val="auto"/>
              </w:rPr>
            </w:pPr>
            <w:r>
              <w:rPr>
                <w:rFonts w:ascii="Arial" w:cs="Arial" w:eastAsia="Arial" w:hAnsi="Arial"/>
                <w:sz w:val="12"/>
                <w:szCs w:val="12"/>
                <w:b w:val="1"/>
                <w:bCs w:val="1"/>
                <w:color w:val="auto"/>
              </w:rPr>
              <w:t>Adjusted EBITDA (Non-GAAP)</w:t>
            </w:r>
          </w:p>
        </w:tc>
        <w:tc>
          <w:tcPr>
            <w:tcW w:w="1080" w:type="dxa"/>
            <w:vAlign w:val="bottom"/>
            <w:tcBorders>
              <w:bottom w:val="single" w:sz="8" w:color="auto"/>
            </w:tcBorders>
          </w:tcPr>
          <w:p>
            <w:pPr>
              <w:jc w:val="right"/>
              <w:ind w:right="940"/>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18,001</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15,804</w:t>
            </w:r>
          </w:p>
        </w:tc>
      </w:tr>
      <w:tr>
        <w:trPr>
          <w:trHeight w:val="20"/>
        </w:trPr>
        <w:tc>
          <w:tcPr>
            <w:tcW w:w="5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Reconciliation of Adjusted EBITDA to Consolidated Adjusted EBITDA for the last twelve months ended March 31, 2021 and the calculation of the Total Net Leverage Ratio at March 31, 2021 are provided below:</w:t>
      </w:r>
    </w:p>
    <w:p>
      <w:pPr>
        <w:sectPr>
          <w:pgSz w:w="11900" w:h="16838" w:orient="portrait"/>
          <w:cols w:equalWidth="0" w:num="1">
            <w:col w:w="10920"/>
          </w:cols>
          <w:pgMar w:left="300" w:top="660" w:right="67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Adjusted EBITDA (Non-GAAP)</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Allowable Board fee add-back</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Other adjustments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RentPayment adjusted EBITDA</w:t>
      </w:r>
    </w:p>
    <w:p>
      <w:pPr>
        <w:spacing w:after="0" w:line="6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Adjusted EBITDA (Non-GAAP)</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Consolidated Total Debt at March 31, 2021:</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Current portion of long-term debt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Long-term debt, net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Unamortized discounts and costs</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Less unrestricted cash</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Net Debt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153"/>
        </w:trPr>
        <w:tc>
          <w:tcPr>
            <w:tcW w:w="700" w:type="dxa"/>
            <w:vAlign w:val="bottom"/>
          </w:tcPr>
          <w:p>
            <w:pPr>
              <w:jc w:val="right"/>
              <w:ind w:right="59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72,530</w:t>
            </w:r>
          </w:p>
        </w:tc>
      </w:tr>
    </w:tbl>
    <w:p>
      <w:pPr>
        <w:spacing w:after="0" w:line="27" w:lineRule="exact"/>
        <w:rPr>
          <w:sz w:val="20"/>
          <w:szCs w:val="20"/>
          <w:color w:val="auto"/>
        </w:rPr>
      </w:pPr>
    </w:p>
    <w:p>
      <w:pPr>
        <w:jc w:val="right"/>
        <w:ind w:right="4160"/>
        <w:spacing w:after="0"/>
        <w:rPr>
          <w:sz w:val="20"/>
          <w:szCs w:val="20"/>
          <w:color w:val="auto"/>
        </w:rPr>
      </w:pPr>
      <w:r>
        <w:rPr>
          <w:rFonts w:ascii="Arial" w:cs="Arial" w:eastAsia="Arial" w:hAnsi="Arial"/>
          <w:sz w:val="12"/>
          <w:szCs w:val="12"/>
          <w:color w:val="auto"/>
        </w:rPr>
        <w:t>1,500</w:t>
      </w:r>
    </w:p>
    <w:p>
      <w:pPr>
        <w:spacing w:after="0" w:line="42" w:lineRule="exact"/>
        <w:rPr>
          <w:sz w:val="20"/>
          <w:szCs w:val="20"/>
          <w:color w:val="auto"/>
        </w:rPr>
      </w:pPr>
    </w:p>
    <w:p>
      <w:pPr>
        <w:jc w:val="right"/>
        <w:ind w:right="4160"/>
        <w:spacing w:after="0"/>
        <w:rPr>
          <w:sz w:val="20"/>
          <w:szCs w:val="20"/>
          <w:color w:val="auto"/>
        </w:rPr>
      </w:pPr>
      <w:r>
        <w:rPr>
          <w:rFonts w:ascii="Arial" w:cs="Arial" w:eastAsia="Arial" w:hAnsi="Arial"/>
          <w:sz w:val="12"/>
          <w:szCs w:val="12"/>
          <w:color w:val="auto"/>
        </w:rPr>
        <w:t>160</w:t>
      </w:r>
    </w:p>
    <w:p>
      <w:pPr>
        <w:spacing w:after="0" w:line="42" w:lineRule="exact"/>
        <w:rPr>
          <w:sz w:val="20"/>
          <w:szCs w:val="20"/>
          <w:color w:val="auto"/>
        </w:rPr>
      </w:pPr>
    </w:p>
    <w:p>
      <w:pPr>
        <w:jc w:val="right"/>
        <w:ind w:right="4120"/>
        <w:spacing w:after="0"/>
        <w:rPr>
          <w:sz w:val="20"/>
          <w:szCs w:val="20"/>
          <w:color w:val="auto"/>
        </w:rPr>
      </w:pPr>
      <w:r>
        <w:rPr>
          <w:rFonts w:ascii="Arial" w:cs="Arial" w:eastAsia="Arial" w:hAnsi="Arial"/>
          <w:sz w:val="12"/>
          <w:szCs w:val="12"/>
          <w:color w:val="auto"/>
        </w:rPr>
        <w:t>(5,553)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117157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1575" cy="5715"/>
                    </a:xfrm>
                    <a:prstGeom prst="rect">
                      <a:avLst/>
                    </a:prstGeom>
                    <a:noFill/>
                  </pic:spPr>
                </pic:pic>
              </a:graphicData>
            </a:graphic>
          </wp:anchor>
        </w:drawing>
      </w:r>
    </w:p>
    <w:p>
      <w:pPr>
        <w:spacing w:after="0" w:line="27" w:lineRule="exact"/>
        <w:rPr>
          <w:sz w:val="20"/>
          <w:szCs w:val="20"/>
          <w:color w:val="auto"/>
        </w:rPr>
      </w:pPr>
    </w:p>
    <w:p>
      <w:pPr>
        <w:ind w:left="1342" w:hanging="1342"/>
        <w:spacing w:after="0"/>
        <w:tabs>
          <w:tab w:leader="none" w:pos="1342" w:val="left"/>
        </w:tabs>
        <w:numPr>
          <w:ilvl w:val="0"/>
          <w:numId w:val="5"/>
        </w:numPr>
        <w:rPr>
          <w:rFonts w:ascii="Arial" w:cs="Arial" w:eastAsia="Arial" w:hAnsi="Arial"/>
          <w:sz w:val="11"/>
          <w:szCs w:val="11"/>
          <w:b w:val="1"/>
          <w:bCs w:val="1"/>
          <w:color w:val="auto"/>
        </w:rPr>
      </w:pPr>
      <w:r>
        <w:rPr>
          <w:rFonts w:ascii="Arial" w:cs="Arial" w:eastAsia="Arial" w:hAnsi="Arial"/>
          <w:sz w:val="11"/>
          <w:szCs w:val="11"/>
          <w:b w:val="1"/>
          <w:bCs w:val="1"/>
          <w:color w:val="auto"/>
        </w:rPr>
        <w:t>68,637</w:t>
      </w:r>
    </w:p>
    <w:p>
      <w:pPr>
        <w:spacing w:after="0" w:line="390" w:lineRule="exact"/>
        <w:rPr>
          <w:rFonts w:ascii="Arial" w:cs="Arial" w:eastAsia="Arial" w:hAnsi="Arial"/>
          <w:sz w:val="11"/>
          <w:szCs w:val="11"/>
          <w:b w:val="1"/>
          <w:bCs w:val="1"/>
          <w:color w:val="auto"/>
        </w:rPr>
      </w:pPr>
    </w:p>
    <w:p>
      <w:pPr>
        <w:ind w:left="1342"/>
        <w:spacing w:after="0"/>
        <w:rPr>
          <w:rFonts w:ascii="Arial" w:cs="Arial" w:eastAsia="Arial" w:hAnsi="Arial"/>
          <w:sz w:val="11"/>
          <w:szCs w:val="11"/>
          <w:b w:val="1"/>
          <w:bCs w:val="1"/>
          <w:color w:val="auto"/>
        </w:rPr>
      </w:pPr>
      <w:r>
        <w:rPr>
          <w:rFonts w:ascii="Arial" w:cs="Arial" w:eastAsia="Arial" w:hAnsi="Arial"/>
          <w:sz w:val="11"/>
          <w:szCs w:val="11"/>
          <w:color w:val="auto"/>
        </w:rPr>
        <w:t>24,302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117157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1575"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-280035</wp:posOffset>
            </wp:positionV>
            <wp:extent cx="117157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1575" cy="5715"/>
                    </a:xfrm>
                    <a:prstGeom prst="rect">
                      <a:avLst/>
                    </a:prstGeom>
                    <a:noFill/>
                  </pic:spPr>
                </pic:pic>
              </a:graphicData>
            </a:graphic>
          </wp:anchor>
        </w:drawing>
      </w:r>
    </w:p>
    <w:p>
      <w:pPr>
        <w:spacing w:after="0" w:line="34" w:lineRule="exact"/>
        <w:rPr>
          <w:sz w:val="20"/>
          <w:szCs w:val="20"/>
          <w:color w:val="auto"/>
        </w:rPr>
      </w:pPr>
    </w:p>
    <w:p>
      <w:pPr>
        <w:jc w:val="right"/>
        <w:ind w:right="4160"/>
        <w:spacing w:after="0"/>
        <w:rPr>
          <w:sz w:val="20"/>
          <w:szCs w:val="20"/>
          <w:color w:val="auto"/>
        </w:rPr>
      </w:pPr>
      <w:r>
        <w:rPr>
          <w:rFonts w:ascii="Arial" w:cs="Arial" w:eastAsia="Arial" w:hAnsi="Arial"/>
          <w:sz w:val="12"/>
          <w:szCs w:val="12"/>
          <w:color w:val="auto"/>
        </w:rPr>
        <w:t>350,667</w:t>
      </w:r>
    </w:p>
    <w:p>
      <w:pPr>
        <w:spacing w:after="0" w:line="42" w:lineRule="exact"/>
        <w:rPr>
          <w:sz w:val="20"/>
          <w:szCs w:val="20"/>
          <w:color w:val="auto"/>
        </w:rPr>
      </w:pPr>
    </w:p>
    <w:p>
      <w:pPr>
        <w:jc w:val="right"/>
        <w:ind w:right="4160"/>
        <w:spacing w:after="0"/>
        <w:rPr>
          <w:sz w:val="20"/>
          <w:szCs w:val="20"/>
          <w:color w:val="auto"/>
        </w:rPr>
      </w:pPr>
      <w:r>
        <w:rPr>
          <w:rFonts w:ascii="Arial" w:cs="Arial" w:eastAsia="Arial" w:hAnsi="Arial"/>
          <w:sz w:val="12"/>
          <w:szCs w:val="12"/>
          <w:color w:val="auto"/>
        </w:rPr>
        <w:t>4,135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117157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1575" cy="5715"/>
                    </a:xfrm>
                    <a:prstGeom prst="rect">
                      <a:avLst/>
                    </a:prstGeom>
                    <a:noFill/>
                  </pic:spPr>
                </pic:pic>
              </a:graphicData>
            </a:graphic>
          </wp:anchor>
        </w:drawing>
      </w:r>
    </w:p>
    <w:p>
      <w:pPr>
        <w:spacing w:after="0" w:line="31" w:lineRule="exact"/>
        <w:rPr>
          <w:sz w:val="20"/>
          <w:szCs w:val="20"/>
          <w:color w:val="auto"/>
        </w:rPr>
      </w:pPr>
    </w:p>
    <w:p>
      <w:pPr>
        <w:jc w:val="right"/>
        <w:ind w:right="4160"/>
        <w:spacing w:after="0"/>
        <w:rPr>
          <w:sz w:val="20"/>
          <w:szCs w:val="20"/>
          <w:color w:val="auto"/>
        </w:rPr>
      </w:pPr>
      <w:r>
        <w:rPr>
          <w:rFonts w:ascii="Arial" w:cs="Arial" w:eastAsia="Arial" w:hAnsi="Arial"/>
          <w:sz w:val="12"/>
          <w:szCs w:val="12"/>
          <w:color w:val="auto"/>
        </w:rPr>
        <w:t>379,104</w:t>
      </w:r>
    </w:p>
    <w:p>
      <w:pPr>
        <w:spacing w:after="0" w:line="42" w:lineRule="exact"/>
        <w:rPr>
          <w:sz w:val="20"/>
          <w:szCs w:val="20"/>
          <w:color w:val="auto"/>
        </w:rPr>
      </w:pPr>
    </w:p>
    <w:p>
      <w:pPr>
        <w:jc w:val="right"/>
        <w:ind w:right="4120"/>
        <w:spacing w:after="0"/>
        <w:rPr>
          <w:sz w:val="20"/>
          <w:szCs w:val="20"/>
          <w:color w:val="auto"/>
        </w:rPr>
      </w:pPr>
      <w:r>
        <w:rPr>
          <w:rFonts w:ascii="Arial" w:cs="Arial" w:eastAsia="Arial" w:hAnsi="Arial"/>
          <w:sz w:val="12"/>
          <w:szCs w:val="12"/>
          <w:color w:val="auto"/>
        </w:rPr>
        <w:t>(5,827)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117157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1575" cy="5715"/>
                    </a:xfrm>
                    <a:prstGeom prst="rect">
                      <a:avLst/>
                    </a:prstGeom>
                    <a:noFill/>
                  </pic:spPr>
                </pic:pic>
              </a:graphicData>
            </a:graphic>
          </wp:anchor>
        </w:drawing>
      </w:r>
    </w:p>
    <w:p>
      <w:pPr>
        <w:spacing w:after="0" w:line="27" w:lineRule="exact"/>
        <w:rPr>
          <w:sz w:val="20"/>
          <w:szCs w:val="20"/>
          <w:color w:val="auto"/>
        </w:rPr>
      </w:pPr>
    </w:p>
    <w:p>
      <w:pPr>
        <w:ind w:left="1282" w:hanging="1282"/>
        <w:spacing w:after="0"/>
        <w:tabs>
          <w:tab w:leader="none" w:pos="1282" w:val="left"/>
        </w:tabs>
        <w:numPr>
          <w:ilvl w:val="0"/>
          <w:numId w:val="6"/>
        </w:numPr>
        <w:rPr>
          <w:rFonts w:ascii="Arial" w:cs="Arial" w:eastAsia="Arial" w:hAnsi="Arial"/>
          <w:sz w:val="11"/>
          <w:szCs w:val="11"/>
          <w:b w:val="1"/>
          <w:bCs w:val="1"/>
          <w:color w:val="auto"/>
        </w:rPr>
      </w:pPr>
      <w:r>
        <w:rPr>
          <w:rFonts w:ascii="Arial" w:cs="Arial" w:eastAsia="Arial" w:hAnsi="Arial"/>
          <w:sz w:val="11"/>
          <w:szCs w:val="11"/>
          <w:b w:val="1"/>
          <w:bCs w:val="1"/>
          <w:color w:val="auto"/>
        </w:rPr>
        <w:t>373,277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117157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71575"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47625</wp:posOffset>
            </wp:positionV>
            <wp:extent cx="117157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1575" cy="5715"/>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4378" w:space="720"/>
            <w:col w:w="5822"/>
          </w:cols>
          <w:pgMar w:left="300" w:top="660" w:right="679" w:bottom="1440" w:gutter="0" w:footer="0" w:header="0"/>
          <w:type w:val="continuous"/>
        </w:sectPr>
      </w:pP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20"/>
                <w:szCs w:val="20"/>
                <w:color w:val="auto"/>
              </w:rPr>
            </w:pPr>
            <w:r>
              <w:rPr>
                <w:rFonts w:ascii="Arial" w:cs="Arial" w:eastAsia="Arial" w:hAnsi="Arial"/>
                <w:sz w:val="12"/>
                <w:szCs w:val="12"/>
                <w:b w:val="1"/>
                <w:bCs w:val="1"/>
                <w:color w:val="auto"/>
              </w:rPr>
              <w:t>Total Net Leverage Ratio</w:t>
            </w:r>
          </w:p>
        </w:tc>
        <w:tc>
          <w:tcPr>
            <w:tcW w:w="1860" w:type="dxa"/>
            <w:vAlign w:val="bottom"/>
            <w:tcBorders>
              <w:bottom w:val="single" w:sz="8" w:color="auto"/>
            </w:tcBorders>
          </w:tcPr>
          <w:p>
            <w:pPr>
              <w:ind w:left="1560"/>
              <w:spacing w:after="0"/>
              <w:rPr>
                <w:sz w:val="20"/>
                <w:szCs w:val="20"/>
                <w:color w:val="auto"/>
              </w:rPr>
            </w:pPr>
            <w:r>
              <w:rPr>
                <w:rFonts w:ascii="Arial" w:cs="Arial" w:eastAsia="Arial" w:hAnsi="Arial"/>
                <w:sz w:val="12"/>
                <w:szCs w:val="12"/>
                <w:b w:val="1"/>
                <w:bCs w:val="1"/>
                <w:color w:val="auto"/>
                <w:w w:val="93"/>
              </w:rPr>
              <w:t>5.44x</w:t>
            </w:r>
          </w:p>
        </w:tc>
      </w:tr>
      <w:tr>
        <w:trPr>
          <w:trHeight w:val="20"/>
        </w:trPr>
        <w:tc>
          <w:tcPr>
            <w:tcW w:w="50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5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0920"/>
          </w:cols>
          <w:pgMar w:left="300" w:top="660" w:right="6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3"/>
          <w:szCs w:val="13"/>
          <w:color w:val="auto"/>
        </w:rPr>
        <w:t>Further detail of certain of these adjustments, and where these items are recorded in our consolidated statements of operations, is provided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140" w:type="dxa"/>
            <w:vAlign w:val="bottom"/>
            <w:gridSpan w:val="3"/>
          </w:tcPr>
          <w:p>
            <w:pPr>
              <w:jc w:val="right"/>
              <w:ind w:right="890"/>
              <w:spacing w:after="0"/>
              <w:rPr>
                <w:sz w:val="20"/>
                <w:szCs w:val="20"/>
                <w:color w:val="auto"/>
              </w:rPr>
            </w:pPr>
            <w:r>
              <w:rPr>
                <w:rFonts w:ascii="Arial" w:cs="Arial" w:eastAsia="Arial" w:hAnsi="Arial"/>
                <w:sz w:val="12"/>
                <w:szCs w:val="12"/>
                <w:i w:val="1"/>
                <w:iCs w:val="1"/>
                <w:color w:val="auto"/>
              </w:rPr>
              <w:t>(in thousands)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2"/>
                <w:szCs w:val="12"/>
                <w:b w:val="1"/>
                <w:bCs w:val="1"/>
                <w:color w:val="auto"/>
                <w:w w:val="93"/>
              </w:rPr>
              <w:t>Three Months Ended March 31,</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98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2"/>
                <w:szCs w:val="12"/>
                <w:b w:val="1"/>
                <w:bCs w:val="1"/>
                <w:color w:val="auto"/>
              </w:rPr>
              <w:t>2020</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Borders>
              <w:bottom w:val="single" w:sz="8" w:color="auto"/>
            </w:tcBorders>
          </w:tcPr>
          <w:p>
            <w:pPr>
              <w:ind w:left="780"/>
              <w:spacing w:after="0"/>
              <w:rPr>
                <w:sz w:val="20"/>
                <w:szCs w:val="20"/>
                <w:color w:val="auto"/>
              </w:rPr>
            </w:pPr>
            <w:r>
              <w:rPr>
                <w:rFonts w:ascii="Arial" w:cs="Arial" w:eastAsia="Arial" w:hAnsi="Arial"/>
                <w:sz w:val="12"/>
                <w:szCs w:val="12"/>
                <w:b w:val="1"/>
                <w:bCs w:val="1"/>
                <w:color w:val="auto"/>
              </w:rPr>
              <w:t>Segment</w:t>
            </w:r>
          </w:p>
        </w:tc>
        <w:tc>
          <w:tcPr>
            <w:tcW w:w="0" w:type="dxa"/>
            <w:vAlign w:val="bottom"/>
          </w:tcPr>
          <w:p>
            <w:pPr>
              <w:spacing w:after="0"/>
              <w:rPr>
                <w:sz w:val="1"/>
                <w:szCs w:val="1"/>
                <w:color w:val="auto"/>
              </w:rPr>
            </w:pPr>
          </w:p>
        </w:tc>
      </w:tr>
      <w:tr>
        <w:trPr>
          <w:trHeight w:val="297"/>
        </w:trPr>
        <w:tc>
          <w:tcPr>
            <w:tcW w:w="4980" w:type="dxa"/>
            <w:vAlign w:val="bottom"/>
          </w:tcPr>
          <w:p>
            <w:pPr>
              <w:spacing w:after="0"/>
              <w:rPr>
                <w:sz w:val="20"/>
                <w:szCs w:val="20"/>
                <w:color w:val="auto"/>
              </w:rPr>
            </w:pPr>
            <w:r>
              <w:rPr>
                <w:rFonts w:ascii="Arial" w:cs="Arial" w:eastAsia="Arial" w:hAnsi="Arial"/>
                <w:sz w:val="12"/>
                <w:szCs w:val="12"/>
                <w:b w:val="1"/>
                <w:bCs w:val="1"/>
                <w:color w:val="auto"/>
              </w:rPr>
              <w:t>Selling, general and administrative expense:</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140"/>
              <w:spacing w:after="0"/>
              <w:rPr>
                <w:sz w:val="20"/>
                <w:szCs w:val="20"/>
                <w:color w:val="auto"/>
              </w:rPr>
            </w:pPr>
            <w:r>
              <w:rPr>
                <w:rFonts w:ascii="Arial" w:cs="Arial" w:eastAsia="Arial" w:hAnsi="Arial"/>
                <w:sz w:val="12"/>
                <w:szCs w:val="12"/>
                <w:color w:val="auto"/>
              </w:rPr>
              <w:t>Litigation settlement costs</w:t>
            </w:r>
          </w:p>
        </w:tc>
        <w:tc>
          <w:tcPr>
            <w:tcW w:w="1080" w:type="dxa"/>
            <w:vAlign w:val="bottom"/>
          </w:tcPr>
          <w:p>
            <w:pPr>
              <w:jc w:val="right"/>
              <w:ind w:right="940"/>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111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2"/>
                <w:szCs w:val="12"/>
                <w:color w:val="auto"/>
              </w:rPr>
              <w:t>Corporate</w:t>
            </w:r>
          </w:p>
        </w:tc>
        <w:tc>
          <w:tcPr>
            <w:tcW w:w="0" w:type="dxa"/>
            <w:vAlign w:val="bottom"/>
          </w:tcPr>
          <w:p>
            <w:pPr>
              <w:spacing w:after="0"/>
              <w:rPr>
                <w:sz w:val="1"/>
                <w:szCs w:val="1"/>
                <w:color w:val="auto"/>
              </w:rPr>
            </w:pPr>
          </w:p>
        </w:tc>
      </w:tr>
      <w:tr>
        <w:trPr>
          <w:trHeight w:val="180"/>
        </w:trPr>
        <w:tc>
          <w:tcPr>
            <w:tcW w:w="4980" w:type="dxa"/>
            <w:vAlign w:val="bottom"/>
          </w:tcPr>
          <w:p>
            <w:pPr>
              <w:ind w:left="140"/>
              <w:spacing w:after="0"/>
              <w:rPr>
                <w:sz w:val="20"/>
                <w:szCs w:val="20"/>
                <w:color w:val="auto"/>
              </w:rPr>
            </w:pPr>
            <w:r>
              <w:rPr>
                <w:rFonts w:ascii="Arial" w:cs="Arial" w:eastAsia="Arial" w:hAnsi="Arial"/>
                <w:sz w:val="12"/>
                <w:szCs w:val="12"/>
                <w:color w:val="auto"/>
              </w:rPr>
              <w:t>Certain legal fees and expenses</w:t>
            </w:r>
          </w:p>
        </w:tc>
        <w:tc>
          <w:tcPr>
            <w:tcW w:w="1080" w:type="dxa"/>
            <w:vAlign w:val="bottom"/>
          </w:tcPr>
          <w:p>
            <w:pPr>
              <w:spacing w:after="0"/>
              <w:rPr>
                <w:sz w:val="15"/>
                <w:szCs w:val="15"/>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1,843</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472</w:t>
            </w:r>
          </w:p>
        </w:tc>
        <w:tc>
          <w:tcPr>
            <w:tcW w:w="2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2"/>
                <w:szCs w:val="12"/>
                <w:color w:val="auto"/>
              </w:rPr>
              <w:t>Corporate</w:t>
            </w:r>
          </w:p>
        </w:tc>
        <w:tc>
          <w:tcPr>
            <w:tcW w:w="0" w:type="dxa"/>
            <w:vAlign w:val="bottom"/>
          </w:tcPr>
          <w:p>
            <w:pPr>
              <w:spacing w:after="0"/>
              <w:rPr>
                <w:sz w:val="1"/>
                <w:szCs w:val="1"/>
                <w:color w:val="auto"/>
              </w:rPr>
            </w:pPr>
          </w:p>
        </w:tc>
      </w:tr>
      <w:tr>
        <w:trPr>
          <w:trHeight w:val="180"/>
        </w:trPr>
        <w:tc>
          <w:tcPr>
            <w:tcW w:w="4980" w:type="dxa"/>
            <w:vAlign w:val="bottom"/>
          </w:tcPr>
          <w:p>
            <w:pPr>
              <w:ind w:left="140"/>
              <w:spacing w:after="0"/>
              <w:rPr>
                <w:sz w:val="20"/>
                <w:szCs w:val="20"/>
                <w:color w:val="auto"/>
              </w:rPr>
            </w:pPr>
            <w:r>
              <w:rPr>
                <w:rFonts w:ascii="Arial" w:cs="Arial" w:eastAsia="Arial" w:hAnsi="Arial"/>
                <w:sz w:val="12"/>
                <w:szCs w:val="12"/>
                <w:color w:val="auto"/>
              </w:rPr>
              <w:t>Professional, accounting and consulting fees</w:t>
            </w:r>
          </w:p>
        </w:tc>
        <w:tc>
          <w:tcPr>
            <w:tcW w:w="1080" w:type="dxa"/>
            <w:vAlign w:val="bottom"/>
          </w:tcPr>
          <w:p>
            <w:pPr>
              <w:spacing w:after="0"/>
              <w:rPr>
                <w:sz w:val="15"/>
                <w:szCs w:val="15"/>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1,784</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24</w:t>
            </w:r>
          </w:p>
        </w:tc>
        <w:tc>
          <w:tcPr>
            <w:tcW w:w="2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2"/>
                <w:szCs w:val="12"/>
                <w:color w:val="auto"/>
              </w:rPr>
              <w:t>Corporate</w:t>
            </w:r>
          </w:p>
        </w:tc>
        <w:tc>
          <w:tcPr>
            <w:tcW w:w="0" w:type="dxa"/>
            <w:vAlign w:val="bottom"/>
          </w:tcPr>
          <w:p>
            <w:pPr>
              <w:spacing w:after="0"/>
              <w:rPr>
                <w:sz w:val="1"/>
                <w:szCs w:val="1"/>
                <w:color w:val="auto"/>
              </w:rPr>
            </w:pPr>
          </w:p>
        </w:tc>
      </w:tr>
      <w:tr>
        <w:trPr>
          <w:trHeight w:val="189"/>
        </w:trPr>
        <w:tc>
          <w:tcPr>
            <w:tcW w:w="4980" w:type="dxa"/>
            <w:vAlign w:val="bottom"/>
          </w:tcPr>
          <w:p>
            <w:pPr>
              <w:ind w:left="140"/>
              <w:spacing w:after="0"/>
              <w:rPr>
                <w:sz w:val="20"/>
                <w:szCs w:val="20"/>
                <w:color w:val="auto"/>
              </w:rPr>
            </w:pPr>
            <w:r>
              <w:rPr>
                <w:rFonts w:ascii="Arial" w:cs="Arial" w:eastAsia="Arial" w:hAnsi="Arial"/>
                <w:sz w:val="12"/>
                <w:szCs w:val="12"/>
                <w:color w:val="auto"/>
              </w:rPr>
              <w:t>Acquisition transition services</w:t>
            </w:r>
          </w:p>
        </w:tc>
        <w:tc>
          <w:tcPr>
            <w:tcW w:w="108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6"/>
                <w:szCs w:val="16"/>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896</w:t>
            </w:r>
          </w:p>
        </w:tc>
        <w:tc>
          <w:tcPr>
            <w:tcW w:w="220" w:type="dxa"/>
            <w:vAlign w:val="bottom"/>
          </w:tcPr>
          <w:p>
            <w:pPr>
              <w:spacing w:after="0"/>
              <w:rPr>
                <w:sz w:val="16"/>
                <w:szCs w:val="16"/>
                <w:color w:val="auto"/>
              </w:rPr>
            </w:pPr>
          </w:p>
        </w:tc>
        <w:tc>
          <w:tcPr>
            <w:tcW w:w="2000" w:type="dxa"/>
            <w:vAlign w:val="bottom"/>
          </w:tcPr>
          <w:p>
            <w:pPr>
              <w:spacing w:after="0"/>
              <w:rPr>
                <w:sz w:val="20"/>
                <w:szCs w:val="20"/>
                <w:color w:val="auto"/>
              </w:rPr>
            </w:pPr>
            <w:r>
              <w:rPr>
                <w:rFonts w:ascii="Arial" w:cs="Arial" w:eastAsia="Arial" w:hAnsi="Arial"/>
                <w:sz w:val="12"/>
                <w:szCs w:val="12"/>
                <w:color w:val="auto"/>
              </w:rPr>
              <w:t>Integrated Partners</w:t>
            </w:r>
          </w:p>
        </w:tc>
        <w:tc>
          <w:tcPr>
            <w:tcW w:w="0" w:type="dxa"/>
            <w:vAlign w:val="bottom"/>
          </w:tcPr>
          <w:p>
            <w:pPr>
              <w:spacing w:after="0"/>
              <w:rPr>
                <w:sz w:val="1"/>
                <w:szCs w:val="1"/>
                <w:color w:val="auto"/>
              </w:rPr>
            </w:pPr>
          </w:p>
        </w:tc>
      </w:tr>
      <w:tr>
        <w:trPr>
          <w:trHeight w:val="167"/>
        </w:trPr>
        <w:tc>
          <w:tcPr>
            <w:tcW w:w="49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940"/>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3,627</w:t>
            </w:r>
          </w:p>
        </w:tc>
        <w:tc>
          <w:tcPr>
            <w:tcW w:w="14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1,394</w:t>
            </w: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2"/>
                <w:szCs w:val="12"/>
                <w:b w:val="1"/>
                <w:bCs w:val="1"/>
                <w:color w:val="auto"/>
              </w:rPr>
              <w:t>Salary and employee benefit expense:</w:t>
            </w: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980" w:type="dxa"/>
            <w:vAlign w:val="bottom"/>
            <w:vMerge w:val="continue"/>
          </w:tcPr>
          <w:p>
            <w:pPr>
              <w:spacing w:after="0"/>
              <w:rPr>
                <w:sz w:val="23"/>
                <w:szCs w:val="23"/>
                <w:color w:val="auto"/>
              </w:rPr>
            </w:pPr>
          </w:p>
        </w:tc>
        <w:tc>
          <w:tcPr>
            <w:tcW w:w="10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140"/>
              <w:spacing w:after="0"/>
              <w:rPr>
                <w:sz w:val="20"/>
                <w:szCs w:val="20"/>
                <w:color w:val="auto"/>
              </w:rPr>
            </w:pPr>
            <w:r>
              <w:rPr>
                <w:rFonts w:ascii="Arial" w:cs="Arial" w:eastAsia="Arial" w:hAnsi="Arial"/>
                <w:sz w:val="12"/>
                <w:szCs w:val="12"/>
                <w:color w:val="auto"/>
              </w:rPr>
              <w:t>Non-cash stock-based compensation</w:t>
            </w:r>
          </w:p>
        </w:tc>
        <w:tc>
          <w:tcPr>
            <w:tcW w:w="1080" w:type="dxa"/>
            <w:vAlign w:val="bottom"/>
          </w:tcPr>
          <w:p>
            <w:pPr>
              <w:jc w:val="right"/>
              <w:ind w:right="94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95</w:t>
            </w:r>
          </w:p>
        </w:tc>
        <w:tc>
          <w:tcPr>
            <w:tcW w:w="140" w:type="dxa"/>
            <w:vAlign w:val="bottom"/>
          </w:tcPr>
          <w:p>
            <w:pPr>
              <w:spacing w:after="0"/>
              <w:rPr>
                <w:sz w:val="15"/>
                <w:szCs w:val="15"/>
                <w:color w:val="auto"/>
              </w:rPr>
            </w:pPr>
          </w:p>
        </w:tc>
        <w:tc>
          <w:tcPr>
            <w:tcW w:w="1220" w:type="dxa"/>
            <w:vAlign w:val="bottom"/>
          </w:tcPr>
          <w:p>
            <w:pPr>
              <w:jc w:val="right"/>
              <w:ind w:right="111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107</w:t>
            </w:r>
          </w:p>
        </w:tc>
        <w:tc>
          <w:tcPr>
            <w:tcW w:w="2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2"/>
                <w:szCs w:val="12"/>
                <w:color w:val="auto"/>
              </w:rPr>
              <w:t>Consumer</w:t>
            </w:r>
          </w:p>
        </w:tc>
        <w:tc>
          <w:tcPr>
            <w:tcW w:w="0" w:type="dxa"/>
            <w:vAlign w:val="bottom"/>
          </w:tcPr>
          <w:p>
            <w:pPr>
              <w:spacing w:after="0"/>
              <w:rPr>
                <w:sz w:val="1"/>
                <w:szCs w:val="1"/>
                <w:color w:val="auto"/>
              </w:rPr>
            </w:pPr>
          </w:p>
        </w:tc>
      </w:tr>
      <w:tr>
        <w:trPr>
          <w:trHeight w:val="180"/>
        </w:trPr>
        <w:tc>
          <w:tcPr>
            <w:tcW w:w="4980" w:type="dxa"/>
            <w:vAlign w:val="bottom"/>
          </w:tcPr>
          <w:p>
            <w:pPr>
              <w:ind w:left="140"/>
              <w:spacing w:after="0"/>
              <w:rPr>
                <w:sz w:val="20"/>
                <w:szCs w:val="20"/>
                <w:color w:val="auto"/>
              </w:rPr>
            </w:pPr>
            <w:r>
              <w:rPr>
                <w:rFonts w:ascii="Arial" w:cs="Arial" w:eastAsia="Arial" w:hAnsi="Arial"/>
                <w:sz w:val="12"/>
                <w:szCs w:val="12"/>
                <w:color w:val="auto"/>
              </w:rPr>
              <w:t>Non-cash stock-based compensation</w:t>
            </w:r>
          </w:p>
        </w:tc>
        <w:tc>
          <w:tcPr>
            <w:tcW w:w="1080" w:type="dxa"/>
            <w:vAlign w:val="bottom"/>
          </w:tcPr>
          <w:p>
            <w:pPr>
              <w:spacing w:after="0"/>
              <w:rPr>
                <w:sz w:val="15"/>
                <w:szCs w:val="15"/>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30</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34</w:t>
            </w:r>
          </w:p>
        </w:tc>
        <w:tc>
          <w:tcPr>
            <w:tcW w:w="2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2"/>
                <w:szCs w:val="12"/>
                <w:color w:val="auto"/>
              </w:rPr>
              <w:t>Commercial</w:t>
            </w:r>
          </w:p>
        </w:tc>
        <w:tc>
          <w:tcPr>
            <w:tcW w:w="0" w:type="dxa"/>
            <w:vAlign w:val="bottom"/>
          </w:tcPr>
          <w:p>
            <w:pPr>
              <w:spacing w:after="0"/>
              <w:rPr>
                <w:sz w:val="1"/>
                <w:szCs w:val="1"/>
                <w:color w:val="auto"/>
              </w:rPr>
            </w:pPr>
          </w:p>
        </w:tc>
      </w:tr>
      <w:tr>
        <w:trPr>
          <w:trHeight w:val="189"/>
        </w:trPr>
        <w:tc>
          <w:tcPr>
            <w:tcW w:w="4980" w:type="dxa"/>
            <w:vAlign w:val="bottom"/>
          </w:tcPr>
          <w:p>
            <w:pPr>
              <w:ind w:left="140"/>
              <w:spacing w:after="0"/>
              <w:rPr>
                <w:sz w:val="20"/>
                <w:szCs w:val="20"/>
                <w:color w:val="auto"/>
              </w:rPr>
            </w:pPr>
            <w:r>
              <w:rPr>
                <w:rFonts w:ascii="Arial" w:cs="Arial" w:eastAsia="Arial" w:hAnsi="Arial"/>
                <w:sz w:val="12"/>
                <w:szCs w:val="12"/>
                <w:color w:val="auto"/>
              </w:rPr>
              <w:t>Non-cash stock-based compensation</w:t>
            </w:r>
          </w:p>
        </w:tc>
        <w:tc>
          <w:tcPr>
            <w:tcW w:w="10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433</w:t>
            </w:r>
          </w:p>
        </w:tc>
        <w:tc>
          <w:tcPr>
            <w:tcW w:w="1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197</w:t>
            </w:r>
          </w:p>
        </w:tc>
        <w:tc>
          <w:tcPr>
            <w:tcW w:w="220" w:type="dxa"/>
            <w:vAlign w:val="bottom"/>
          </w:tcPr>
          <w:p>
            <w:pPr>
              <w:spacing w:after="0"/>
              <w:rPr>
                <w:sz w:val="16"/>
                <w:szCs w:val="16"/>
                <w:color w:val="auto"/>
              </w:rPr>
            </w:pPr>
          </w:p>
        </w:tc>
        <w:tc>
          <w:tcPr>
            <w:tcW w:w="2000" w:type="dxa"/>
            <w:vAlign w:val="bottom"/>
          </w:tcPr>
          <w:p>
            <w:pPr>
              <w:spacing w:after="0"/>
              <w:rPr>
                <w:sz w:val="20"/>
                <w:szCs w:val="20"/>
                <w:color w:val="auto"/>
              </w:rPr>
            </w:pPr>
            <w:r>
              <w:rPr>
                <w:rFonts w:ascii="Arial" w:cs="Arial" w:eastAsia="Arial" w:hAnsi="Arial"/>
                <w:sz w:val="12"/>
                <w:szCs w:val="12"/>
                <w:color w:val="auto"/>
              </w:rPr>
              <w:t>Corporate</w:t>
            </w:r>
          </w:p>
        </w:tc>
        <w:tc>
          <w:tcPr>
            <w:tcW w:w="0" w:type="dxa"/>
            <w:vAlign w:val="bottom"/>
          </w:tcPr>
          <w:p>
            <w:pPr>
              <w:spacing w:after="0"/>
              <w:rPr>
                <w:sz w:val="1"/>
                <w:szCs w:val="1"/>
                <w:color w:val="auto"/>
              </w:rPr>
            </w:pPr>
          </w:p>
        </w:tc>
      </w:tr>
      <w:tr>
        <w:trPr>
          <w:trHeight w:val="167"/>
        </w:trPr>
        <w:tc>
          <w:tcPr>
            <w:tcW w:w="4980" w:type="dxa"/>
            <w:vAlign w:val="bottom"/>
          </w:tcPr>
          <w:p>
            <w:pPr>
              <w:spacing w:after="0"/>
              <w:rPr>
                <w:sz w:val="14"/>
                <w:szCs w:val="14"/>
                <w:color w:val="auto"/>
              </w:rPr>
            </w:pPr>
          </w:p>
        </w:tc>
        <w:tc>
          <w:tcPr>
            <w:tcW w:w="1080" w:type="dxa"/>
            <w:vAlign w:val="bottom"/>
            <w:tcBorders>
              <w:bottom w:val="single" w:sz="8" w:color="auto"/>
            </w:tcBorders>
          </w:tcPr>
          <w:p>
            <w:pPr>
              <w:jc w:val="right"/>
              <w:ind w:right="940"/>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558</w:t>
            </w:r>
          </w:p>
        </w:tc>
        <w:tc>
          <w:tcPr>
            <w:tcW w:w="140" w:type="dxa"/>
            <w:vAlign w:val="bottom"/>
          </w:tcPr>
          <w:p>
            <w:pPr>
              <w:spacing w:after="0"/>
              <w:rPr>
                <w:sz w:val="14"/>
                <w:szCs w:val="14"/>
                <w:color w:val="auto"/>
              </w:rPr>
            </w:pPr>
          </w:p>
        </w:tc>
        <w:tc>
          <w:tcPr>
            <w:tcW w:w="1220" w:type="dxa"/>
            <w:vAlign w:val="bottom"/>
            <w:tcBorders>
              <w:bottom w:val="single" w:sz="8" w:color="auto"/>
            </w:tcBorders>
          </w:tcPr>
          <w:p>
            <w:pPr>
              <w:jc w:val="right"/>
              <w:ind w:right="111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338</w:t>
            </w: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2"/>
                <w:szCs w:val="12"/>
                <w:b w:val="1"/>
                <w:bCs w:val="1"/>
                <w:color w:val="auto"/>
              </w:rPr>
              <w:t>Other expenses, net</w:t>
            </w: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98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140"/>
              <w:spacing w:after="0"/>
              <w:rPr>
                <w:sz w:val="20"/>
                <w:szCs w:val="20"/>
                <w:color w:val="auto"/>
              </w:rPr>
            </w:pPr>
            <w:r>
              <w:rPr>
                <w:rFonts w:ascii="Arial" w:cs="Arial" w:eastAsia="Arial" w:hAnsi="Arial"/>
                <w:sz w:val="12"/>
                <w:szCs w:val="12"/>
                <w:color w:val="auto"/>
              </w:rPr>
              <w:t>Debt modification expenses</w:t>
            </w:r>
          </w:p>
        </w:tc>
        <w:tc>
          <w:tcPr>
            <w:tcW w:w="1080" w:type="dxa"/>
            <w:vAlign w:val="bottom"/>
          </w:tcPr>
          <w:p>
            <w:pPr>
              <w:jc w:val="right"/>
              <w:ind w:right="940"/>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111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376</w:t>
            </w:r>
          </w:p>
        </w:tc>
        <w:tc>
          <w:tcPr>
            <w:tcW w:w="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140"/>
              <w:spacing w:after="0"/>
              <w:rPr>
                <w:sz w:val="20"/>
                <w:szCs w:val="20"/>
                <w:color w:val="auto"/>
              </w:rPr>
            </w:pPr>
            <w:r>
              <w:rPr>
                <w:rFonts w:ascii="Arial" w:cs="Arial" w:eastAsia="Arial" w:hAnsi="Arial"/>
                <w:sz w:val="12"/>
                <w:szCs w:val="12"/>
                <w:color w:val="auto"/>
              </w:rPr>
              <w:t>Write-off of equity-method investment</w:t>
            </w:r>
          </w:p>
        </w:tc>
        <w:tc>
          <w:tcPr>
            <w:tcW w:w="108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211</w:t>
            </w:r>
          </w:p>
        </w:tc>
        <w:tc>
          <w:tcPr>
            <w:tcW w:w="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80" w:type="dxa"/>
            <w:vAlign w:val="bottom"/>
          </w:tcPr>
          <w:p>
            <w:pPr>
              <w:ind w:left="140"/>
              <w:spacing w:after="0"/>
              <w:rPr>
                <w:sz w:val="20"/>
                <w:szCs w:val="20"/>
                <w:color w:val="auto"/>
              </w:rPr>
            </w:pPr>
            <w:r>
              <w:rPr>
                <w:rFonts w:ascii="Arial" w:cs="Arial" w:eastAsia="Arial" w:hAnsi="Arial"/>
                <w:sz w:val="12"/>
                <w:szCs w:val="12"/>
                <w:color w:val="auto"/>
              </w:rPr>
              <w:t>Other non-operating expense</w:t>
            </w:r>
          </w:p>
        </w:tc>
        <w:tc>
          <w:tcPr>
            <w:tcW w:w="10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488</w:t>
            </w:r>
          </w:p>
        </w:tc>
        <w:tc>
          <w:tcPr>
            <w:tcW w:w="1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1080" w:type="dxa"/>
            <w:vAlign w:val="bottom"/>
            <w:tcBorders>
              <w:bottom w:val="single" w:sz="8" w:color="auto"/>
            </w:tcBorders>
          </w:tcPr>
          <w:p>
            <w:pPr>
              <w:jc w:val="right"/>
              <w:ind w:right="940"/>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488</w:t>
            </w:r>
          </w:p>
        </w:tc>
        <w:tc>
          <w:tcPr>
            <w:tcW w:w="140" w:type="dxa"/>
            <w:vAlign w:val="bottom"/>
          </w:tcPr>
          <w:p>
            <w:pPr>
              <w:spacing w:after="0"/>
              <w:rPr>
                <w:sz w:val="14"/>
                <w:szCs w:val="14"/>
                <w:color w:val="auto"/>
              </w:rPr>
            </w:pPr>
          </w:p>
        </w:tc>
        <w:tc>
          <w:tcPr>
            <w:tcW w:w="1220" w:type="dxa"/>
            <w:vAlign w:val="bottom"/>
            <w:tcBorders>
              <w:bottom w:val="single" w:sz="8" w:color="auto"/>
            </w:tcBorders>
          </w:tcPr>
          <w:p>
            <w:pPr>
              <w:jc w:val="right"/>
              <w:ind w:right="111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587</w:t>
            </w: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both"/>
        <w:spacing w:after="0" w:line="337" w:lineRule="auto"/>
        <w:rPr>
          <w:sz w:val="20"/>
          <w:szCs w:val="20"/>
          <w:color w:val="auto"/>
        </w:rPr>
      </w:pPr>
      <w:r>
        <w:rPr>
          <w:rFonts w:ascii="Arial" w:cs="Arial" w:eastAsia="Arial" w:hAnsi="Arial"/>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660" w:right="299" w:bottom="1440" w:gutter="0" w:footer="0" w:header="0"/>
        </w:sectPr>
      </w:pPr>
    </w:p>
    <w:bookmarkStart w:id="8" w:name="page9"/>
    <w:bookmarkEnd w:id="8"/>
    <w:p>
      <w:pPr>
        <w:jc w:val="center"/>
        <w:ind w:right="-259"/>
        <w:spacing w:after="0"/>
        <w:rPr>
          <w:sz w:val="20"/>
          <w:szCs w:val="20"/>
          <w:color w:val="auto"/>
        </w:rPr>
      </w:pPr>
      <w:r>
        <w:rPr>
          <w:rFonts w:ascii="Arial" w:cs="Arial" w:eastAsia="Arial" w:hAnsi="Arial"/>
          <w:sz w:val="13"/>
          <w:szCs w:val="13"/>
          <w:b w:val="1"/>
          <w:bCs w:val="1"/>
          <w:u w:val="single" w:color="auto"/>
          <w:color w:val="auto"/>
        </w:rPr>
        <w:t>Pro-Forma Results</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color w:val="auto"/>
        </w:rPr>
        <w:t>On a pro forma basis, including first quarter results of Finxera, together with the April 2021 tuck-in reseller acquisition, first quarter 2021 financial results (excluding revenue and cost synergies)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2"/>
                <w:szCs w:val="12"/>
                <w:i w:val="1"/>
                <w:iCs w:val="1"/>
                <w:color w:val="auto"/>
              </w:rPr>
              <w:t>(in thousands)</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9"/>
        </w:trPr>
        <w:tc>
          <w:tcPr>
            <w:tcW w:w="2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ind w:left="280"/>
              <w:spacing w:after="0"/>
              <w:rPr>
                <w:sz w:val="20"/>
                <w:szCs w:val="20"/>
                <w:color w:val="auto"/>
              </w:rPr>
            </w:pPr>
            <w:r>
              <w:rPr>
                <w:rFonts w:ascii="Arial" w:cs="Arial" w:eastAsia="Arial" w:hAnsi="Arial"/>
                <w:sz w:val="12"/>
                <w:szCs w:val="12"/>
                <w:b w:val="1"/>
                <w:bCs w:val="1"/>
                <w:color w:val="auto"/>
              </w:rPr>
              <w:t>Three Months Ended March 31, 2021 (a)</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69"/>
        </w:trPr>
        <w:tc>
          <w:tcPr>
            <w:tcW w:w="27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Priority</w:t>
            </w:r>
          </w:p>
        </w:tc>
        <w:tc>
          <w:tcPr>
            <w:tcW w:w="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Finxera</w:t>
            </w: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91"/>
              </w:rPr>
              <w:t>Tuck-in Acquisition</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Pro Forma</w:t>
            </w:r>
          </w:p>
        </w:tc>
      </w:tr>
      <w:tr>
        <w:trPr>
          <w:trHeight w:val="160"/>
        </w:trPr>
        <w:tc>
          <w:tcPr>
            <w:tcW w:w="2760" w:type="dxa"/>
            <w:vAlign w:val="bottom"/>
          </w:tcPr>
          <w:p>
            <w:pPr>
              <w:spacing w:after="0"/>
              <w:rPr>
                <w:sz w:val="20"/>
                <w:szCs w:val="20"/>
                <w:color w:val="auto"/>
              </w:rPr>
            </w:pPr>
            <w:r>
              <w:rPr>
                <w:rFonts w:ascii="Arial" w:cs="Arial" w:eastAsia="Arial" w:hAnsi="Arial"/>
                <w:sz w:val="12"/>
                <w:szCs w:val="12"/>
                <w:color w:val="auto"/>
              </w:rPr>
              <w:t>Revenues</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113,297</w:t>
            </w:r>
          </w:p>
        </w:tc>
        <w:tc>
          <w:tcPr>
            <w:tcW w:w="6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16,769</w:t>
            </w:r>
          </w:p>
        </w:tc>
        <w:tc>
          <w:tcPr>
            <w:tcW w:w="5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2"/>
                <w:szCs w:val="12"/>
                <w:color w:val="auto"/>
              </w:rPr>
              <w:t>130,066</w:t>
            </w:r>
          </w:p>
        </w:tc>
      </w:tr>
      <w:tr>
        <w:trPr>
          <w:trHeight w:val="360"/>
        </w:trPr>
        <w:tc>
          <w:tcPr>
            <w:tcW w:w="2760" w:type="dxa"/>
            <w:vAlign w:val="bottom"/>
          </w:tcPr>
          <w:p>
            <w:pPr>
              <w:spacing w:after="0"/>
              <w:rPr>
                <w:sz w:val="20"/>
                <w:szCs w:val="20"/>
                <w:color w:val="auto"/>
              </w:rPr>
            </w:pPr>
            <w:r>
              <w:rPr>
                <w:rFonts w:ascii="Arial" w:cs="Arial" w:eastAsia="Arial" w:hAnsi="Arial"/>
                <w:sz w:val="12"/>
                <w:szCs w:val="12"/>
                <w:color w:val="auto"/>
              </w:rPr>
              <w:t>Gross Profit</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31,434</w:t>
            </w:r>
          </w:p>
        </w:tc>
        <w:tc>
          <w:tcPr>
            <w:tcW w:w="6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15,647</w:t>
            </w:r>
          </w:p>
        </w:tc>
        <w:tc>
          <w:tcPr>
            <w:tcW w:w="5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20"/>
              <w:spacing w:after="0"/>
              <w:rPr>
                <w:sz w:val="20"/>
                <w:szCs w:val="20"/>
                <w:color w:val="auto"/>
              </w:rPr>
            </w:pPr>
            <w:r>
              <w:rPr>
                <w:rFonts w:ascii="Arial" w:cs="Arial" w:eastAsia="Arial" w:hAnsi="Arial"/>
                <w:sz w:val="12"/>
                <w:szCs w:val="12"/>
                <w:color w:val="auto"/>
              </w:rPr>
              <w:t>3,855</w:t>
            </w:r>
          </w:p>
        </w:tc>
        <w:tc>
          <w:tcPr>
            <w:tcW w:w="120" w:type="dxa"/>
            <w:vAlign w:val="bottom"/>
          </w:tcPr>
          <w:p>
            <w:pPr>
              <w:spacing w:after="0"/>
              <w:rPr>
                <w:sz w:val="24"/>
                <w:szCs w:val="2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2"/>
                <w:szCs w:val="12"/>
                <w:color w:val="auto"/>
              </w:rPr>
              <w:t>50,936</w:t>
            </w:r>
          </w:p>
        </w:tc>
      </w:tr>
      <w:tr>
        <w:trPr>
          <w:trHeight w:val="180"/>
        </w:trPr>
        <w:tc>
          <w:tcPr>
            <w:tcW w:w="2760" w:type="dxa"/>
            <w:vAlign w:val="bottom"/>
          </w:tcPr>
          <w:p>
            <w:pPr>
              <w:ind w:left="140"/>
              <w:spacing w:after="0"/>
              <w:rPr>
                <w:sz w:val="20"/>
                <w:szCs w:val="20"/>
                <w:color w:val="auto"/>
              </w:rPr>
            </w:pPr>
            <w:r>
              <w:rPr>
                <w:rFonts w:ascii="Arial" w:cs="Arial" w:eastAsia="Arial" w:hAnsi="Arial"/>
                <w:sz w:val="12"/>
                <w:szCs w:val="12"/>
                <w:color w:val="auto"/>
              </w:rPr>
              <w:t>Gross Profit Margin</w:t>
            </w:r>
          </w:p>
        </w:tc>
        <w:tc>
          <w:tcPr>
            <w:tcW w:w="340" w:type="dxa"/>
            <w:vAlign w:val="bottom"/>
          </w:tcPr>
          <w:p>
            <w:pPr>
              <w:spacing w:after="0"/>
              <w:rPr>
                <w:sz w:val="15"/>
                <w:szCs w:val="15"/>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27.7</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93.3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39.2   %</w:t>
            </w:r>
          </w:p>
        </w:tc>
      </w:tr>
      <w:tr>
        <w:trPr>
          <w:trHeight w:val="360"/>
        </w:trPr>
        <w:tc>
          <w:tcPr>
            <w:tcW w:w="2760" w:type="dxa"/>
            <w:vAlign w:val="bottom"/>
          </w:tcPr>
          <w:p>
            <w:pPr>
              <w:spacing w:after="0"/>
              <w:rPr>
                <w:sz w:val="20"/>
                <w:szCs w:val="20"/>
                <w:color w:val="auto"/>
              </w:rPr>
            </w:pPr>
            <w:r>
              <w:rPr>
                <w:rFonts w:ascii="Arial" w:cs="Arial" w:eastAsia="Arial" w:hAnsi="Arial"/>
                <w:sz w:val="12"/>
                <w:szCs w:val="12"/>
                <w:color w:val="auto"/>
              </w:rPr>
              <w:t>Adjusted EBITDA</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18,001</w:t>
            </w:r>
          </w:p>
        </w:tc>
        <w:tc>
          <w:tcPr>
            <w:tcW w:w="6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11,680</w:t>
            </w:r>
          </w:p>
        </w:tc>
        <w:tc>
          <w:tcPr>
            <w:tcW w:w="5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20"/>
              <w:spacing w:after="0"/>
              <w:rPr>
                <w:sz w:val="20"/>
                <w:szCs w:val="20"/>
                <w:color w:val="auto"/>
              </w:rPr>
            </w:pPr>
            <w:r>
              <w:rPr>
                <w:rFonts w:ascii="Arial" w:cs="Arial" w:eastAsia="Arial" w:hAnsi="Arial"/>
                <w:sz w:val="12"/>
                <w:szCs w:val="12"/>
                <w:color w:val="auto"/>
              </w:rPr>
              <w:t>3,855</w:t>
            </w:r>
          </w:p>
        </w:tc>
        <w:tc>
          <w:tcPr>
            <w:tcW w:w="120" w:type="dxa"/>
            <w:vAlign w:val="bottom"/>
          </w:tcPr>
          <w:p>
            <w:pPr>
              <w:spacing w:after="0"/>
              <w:rPr>
                <w:sz w:val="24"/>
                <w:szCs w:val="2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2"/>
                <w:szCs w:val="12"/>
                <w:color w:val="auto"/>
              </w:rPr>
              <w:t>33,536</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color w:val="auto"/>
        </w:rPr>
        <w:t>(a) Actual first quarter 2021 results of Priority, Finxera and the April 2021 tuck-in reseller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020"/>
          </w:cols>
          <w:pgMar w:left="300" w:top="656" w:right="57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u w:val="single" w:color="auto"/>
          <w:color w:val="auto"/>
        </w:rPr>
        <w:t>About Priority Technology Holdings, Inc.</w:t>
      </w:r>
    </w:p>
    <w:p>
      <w:pPr>
        <w:spacing w:after="0" w:line="224" w:lineRule="exact"/>
        <w:rPr>
          <w:sz w:val="20"/>
          <w:szCs w:val="20"/>
          <w:color w:val="auto"/>
        </w:rPr>
      </w:pPr>
    </w:p>
    <w:p>
      <w:pPr>
        <w:jc w:val="both"/>
        <w:spacing w:after="0" w:line="330" w:lineRule="auto"/>
        <w:rPr>
          <w:sz w:val="20"/>
          <w:szCs w:val="20"/>
          <w:color w:val="auto"/>
        </w:rPr>
      </w:pPr>
      <w:r>
        <w:rPr>
          <w:rFonts w:ascii="Arial" w:cs="Arial" w:eastAsia="Arial" w:hAnsi="Arial"/>
          <w:sz w:val="13"/>
          <w:szCs w:val="13"/>
          <w:color w:val="auto"/>
        </w:rPr>
        <w:t>Priority is a leading provider of merchant acquiring, integrated payment software and commercial payment solutions, offering unique product and service capabilities to its merchant network and distribution partners. Priority’s enterprise operates from a purpose-built business platform that includes tailored customer service offerings and bespoke technology development, allowing the Company to provide end-to-end solutions for payment and payment-adjacent opportunities. Additional information can be found at www.PRTH.com.</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0A0A0A"/>
        </w:rPr>
        <w:t>Forward-Looking Statements</w:t>
      </w:r>
    </w:p>
    <w:p>
      <w:pPr>
        <w:spacing w:after="0" w:line="224" w:lineRule="exact"/>
        <w:rPr>
          <w:sz w:val="20"/>
          <w:szCs w:val="20"/>
          <w:color w:val="auto"/>
        </w:rPr>
      </w:pPr>
    </w:p>
    <w:p>
      <w:pPr>
        <w:jc w:val="both"/>
        <w:spacing w:after="0" w:line="340" w:lineRule="auto"/>
        <w:rPr>
          <w:sz w:val="20"/>
          <w:szCs w:val="20"/>
          <w:color w:val="auto"/>
        </w:rPr>
      </w:pPr>
      <w:r>
        <w:rPr>
          <w:rFonts w:ascii="Arial" w:cs="Arial" w:eastAsia="Arial" w:hAnsi="Arial"/>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expected timing of the closing of Priority Technology Holdings, Inc.'s ("Priority", "we", "our", or "us") merger with Finxera Holdings, Inc. ("Finxera") and our 2021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These forward-looking statements may include, but are not limited to, statements about the effects of the COVID-19 pandemic on our revenues and financial operating results. Our actual results could differ materially, and potentially adversely, from those discussed or implied herein.</w:t>
      </w:r>
    </w:p>
    <w:p>
      <w:pPr>
        <w:spacing w:after="0" w:line="142" w:lineRule="exact"/>
        <w:rPr>
          <w:sz w:val="20"/>
          <w:szCs w:val="20"/>
          <w:color w:val="auto"/>
        </w:rPr>
      </w:pPr>
    </w:p>
    <w:p>
      <w:pPr>
        <w:jc w:val="both"/>
        <w:spacing w:after="0" w:line="345" w:lineRule="auto"/>
        <w:rPr>
          <w:sz w:val="20"/>
          <w:szCs w:val="20"/>
          <w:color w:val="auto"/>
        </w:rPr>
      </w:pPr>
      <w:r>
        <w:rPr>
          <w:rFonts w:ascii="Arial" w:cs="Arial" w:eastAsia="Arial" w:hAnsi="Arial"/>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31, 2021. These filings are available online at www.sec.gov or www.PRTH.com.</w:t>
      </w:r>
    </w:p>
    <w:p>
      <w:pPr>
        <w:spacing w:after="0" w:line="138" w:lineRule="exact"/>
        <w:rPr>
          <w:sz w:val="20"/>
          <w:szCs w:val="20"/>
          <w:color w:val="auto"/>
        </w:rPr>
      </w:pPr>
    </w:p>
    <w:p>
      <w:pPr>
        <w:jc w:val="both"/>
        <w:spacing w:after="0" w:line="376" w:lineRule="auto"/>
        <w:rPr>
          <w:sz w:val="20"/>
          <w:szCs w:val="20"/>
          <w:color w:val="auto"/>
        </w:rPr>
      </w:pPr>
      <w:r>
        <w:rPr>
          <w:rFonts w:ascii="Arial" w:cs="Arial" w:eastAsia="Arial" w:hAnsi="Arial"/>
          <w:sz w:val="12"/>
          <w:szCs w:val="12"/>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665" w:right="299" w:bottom="1440" w:gutter="0" w:footer="0" w:header="0"/>
        </w:sectPr>
      </w:pPr>
    </w:p>
    <w:bookmarkStart w:id="10" w:name="page11"/>
    <w:bookmarkEnd w:id="10"/>
    <w:p>
      <w:pPr>
        <w:spacing w:after="0" w:line="358" w:lineRule="auto"/>
        <w:rPr>
          <w:sz w:val="20"/>
          <w:szCs w:val="20"/>
          <w:color w:val="auto"/>
        </w:rPr>
      </w:pPr>
      <w:r>
        <w:rPr>
          <w:rFonts w:ascii="Arial" w:cs="Arial" w:eastAsia="Arial" w:hAnsi="Arial"/>
          <w:sz w:val="13"/>
          <w:szCs w:val="13"/>
          <w:color w:val="auto"/>
        </w:rPr>
        <w:t>looking statements, no inference should be made that we will make additional updates with respect to those or other forward-looking statements. We qualify all of our forward-looking statements by these cautionary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669" w:right="29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 thousands, except per share amounts)</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EXPENSES:</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2"/>
          <w:szCs w:val="12"/>
          <w:color w:val="auto"/>
        </w:rPr>
        <w:t>Costs of services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2"/>
          <w:szCs w:val="12"/>
          <w:color w:val="auto"/>
        </w:rPr>
        <w:t>Salary and employee benefits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2"/>
          <w:szCs w:val="12"/>
          <w:color w:val="auto"/>
        </w:rPr>
        <w:t>Depreciation and amortization</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2"/>
          <w:szCs w:val="12"/>
          <w:color w:val="auto"/>
        </w:rPr>
        <w:t>Selling, general and administrative</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Total operating expenses</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Income from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EXPENSES:</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2"/>
          <w:szCs w:val="12"/>
          <w:color w:val="auto"/>
        </w:rPr>
        <w:t>Interest expense</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2"/>
          <w:szCs w:val="12"/>
          <w:color w:val="auto"/>
        </w:rPr>
        <w:t>Other expenses, net</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Total other expenses, net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Loss before income taxes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Income tax benefit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loss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Loss per common share:</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2"/>
          <w:szCs w:val="12"/>
          <w:color w:val="auto"/>
        </w:rPr>
        <w:t>Basic and diluted</w:t>
      </w:r>
    </w:p>
    <w:p>
      <w:pPr>
        <w:spacing w:after="0" w:line="11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Weighted-average common shares outstanding:</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2"/>
          <w:szCs w:val="12"/>
          <w:color w:val="auto"/>
        </w:rPr>
        <w:t>Basic and diluted</w:t>
      </w:r>
    </w:p>
    <w:p>
      <w:pPr>
        <w:spacing w:after="0" w:line="20" w:lineRule="exact"/>
        <w:rPr>
          <w:sz w:val="20"/>
          <w:szCs w:val="20"/>
          <w:color w:val="auto"/>
        </w:rPr>
      </w:pPr>
      <w:r>
        <w:rPr>
          <w:sz w:val="20"/>
          <w:szCs w:val="20"/>
          <w:color w:val="auto"/>
        </w:rPr>
        <w:br w:type="column"/>
      </w:r>
    </w:p>
    <w:p>
      <w:pPr>
        <w:jc w:val="center"/>
        <w:ind w:right="3219"/>
        <w:spacing w:after="0"/>
        <w:rPr>
          <w:sz w:val="20"/>
          <w:szCs w:val="20"/>
          <w:color w:val="auto"/>
        </w:rPr>
      </w:pPr>
      <w:r>
        <w:rPr>
          <w:rFonts w:ascii="Arial" w:cs="Arial" w:eastAsia="Arial" w:hAnsi="Arial"/>
          <w:sz w:val="12"/>
          <w:szCs w:val="12"/>
          <w:b w:val="1"/>
          <w:bCs w:val="1"/>
          <w:color w:val="auto"/>
        </w:rPr>
        <w:t>PRIORITY TECHNOLOGY HOLDINGS, INC.</w:t>
      </w:r>
    </w:p>
    <w:p>
      <w:pPr>
        <w:spacing w:after="0" w:line="24" w:lineRule="exact"/>
        <w:rPr>
          <w:sz w:val="20"/>
          <w:szCs w:val="20"/>
          <w:color w:val="auto"/>
        </w:rPr>
      </w:pPr>
    </w:p>
    <w:p>
      <w:pPr>
        <w:jc w:val="center"/>
        <w:ind w:right="3219"/>
        <w:spacing w:after="0"/>
        <w:rPr>
          <w:sz w:val="20"/>
          <w:szCs w:val="20"/>
          <w:color w:val="auto"/>
        </w:rPr>
      </w:pPr>
      <w:r>
        <w:rPr>
          <w:rFonts w:ascii="Arial" w:cs="Arial" w:eastAsia="Arial" w:hAnsi="Arial"/>
          <w:sz w:val="10"/>
          <w:szCs w:val="10"/>
          <w:b w:val="1"/>
          <w:bCs w:val="1"/>
          <w:color w:val="auto"/>
        </w:rPr>
        <w:t>Condensed Consolidated Statements of Operations</w:t>
      </w:r>
    </w:p>
    <w:p>
      <w:pPr>
        <w:spacing w:after="0" w:line="51" w:lineRule="exact"/>
        <w:rPr>
          <w:sz w:val="20"/>
          <w:szCs w:val="20"/>
          <w:color w:val="auto"/>
        </w:rPr>
      </w:pPr>
    </w:p>
    <w:p>
      <w:pPr>
        <w:jc w:val="center"/>
        <w:ind w:right="3219"/>
        <w:spacing w:after="0"/>
        <w:rPr>
          <w:sz w:val="20"/>
          <w:szCs w:val="20"/>
          <w:color w:val="auto"/>
        </w:rPr>
      </w:pPr>
      <w:r>
        <w:rPr>
          <w:rFonts w:ascii="Arial" w:cs="Arial" w:eastAsia="Arial" w:hAnsi="Arial"/>
          <w:sz w:val="12"/>
          <w:szCs w:val="12"/>
          <w:i w:val="1"/>
          <w:iCs w:val="1"/>
          <w:color w:val="auto"/>
        </w:rPr>
        <w:t>Unaudited</w:t>
      </w:r>
    </w:p>
    <w:p>
      <w:pPr>
        <w:spacing w:after="0" w:line="209" w:lineRule="exact"/>
        <w:rPr>
          <w:sz w:val="20"/>
          <w:szCs w:val="20"/>
          <w:color w:val="auto"/>
        </w:rPr>
      </w:pPr>
    </w:p>
    <w:p>
      <w:pPr>
        <w:ind w:left="1820"/>
        <w:spacing w:after="0"/>
        <w:rPr>
          <w:sz w:val="20"/>
          <w:szCs w:val="20"/>
          <w:color w:val="auto"/>
        </w:rPr>
      </w:pPr>
      <w:r>
        <w:rPr>
          <w:rFonts w:ascii="Arial" w:cs="Arial" w:eastAsia="Arial" w:hAnsi="Arial"/>
          <w:sz w:val="12"/>
          <w:szCs w:val="12"/>
          <w:b w:val="1"/>
          <w:bCs w:val="1"/>
          <w:color w:val="auto"/>
        </w:rPr>
        <w:t>Three Months Ended March 31,</w:t>
      </w:r>
    </w:p>
    <w:p>
      <w:pPr>
        <w:spacing w:after="0" w:line="19" w:lineRule="exact"/>
        <w:rPr>
          <w:sz w:val="20"/>
          <w:szCs w:val="20"/>
          <w:color w:val="auto"/>
        </w:rPr>
      </w:pPr>
    </w:p>
    <w:tbl>
      <w:tblPr>
        <w:tblLayout w:type="fixed"/>
        <w:tblInd w:w="980" w:type="dxa"/>
        <w:tblCellMar>
          <w:top w:w="0" w:type="dxa"/>
          <w:left w:w="0" w:type="dxa"/>
          <w:bottom w:w="0" w:type="dxa"/>
          <w:right w:w="0" w:type="dxa"/>
        </w:tblCellMar>
      </w:tblPr>
      <w:tr>
        <w:trPr>
          <w:trHeight w:val="178"/>
        </w:trPr>
        <w:tc>
          <w:tcPr>
            <w:tcW w:w="3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2020</w:t>
            </w:r>
          </w:p>
        </w:tc>
      </w:tr>
      <w:tr>
        <w:trPr>
          <w:trHeight w:val="169"/>
        </w:trPr>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113,297</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96,933</w:t>
            </w:r>
          </w:p>
        </w:tc>
      </w:tr>
      <w:tr>
        <w:trPr>
          <w:trHeight w:val="466"/>
        </w:trPr>
        <w:tc>
          <w:tcPr>
            <w:tcW w:w="360" w:type="dxa"/>
            <w:vAlign w:val="bottom"/>
          </w:tcPr>
          <w:p>
            <w:pPr>
              <w:spacing w:after="0"/>
              <w:rPr>
                <w:sz w:val="24"/>
                <w:szCs w:val="24"/>
                <w:color w:val="auto"/>
              </w:rPr>
            </w:pP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81,863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00"/>
              <w:spacing w:after="0"/>
              <w:rPr>
                <w:sz w:val="20"/>
                <w:szCs w:val="20"/>
                <w:color w:val="auto"/>
              </w:rPr>
            </w:pPr>
            <w:r>
              <w:rPr>
                <w:rFonts w:ascii="Arial" w:cs="Arial" w:eastAsia="Arial" w:hAnsi="Arial"/>
                <w:sz w:val="12"/>
                <w:szCs w:val="12"/>
                <w:color w:val="auto"/>
              </w:rPr>
              <w:t>66,364</w:t>
            </w:r>
          </w:p>
        </w:tc>
      </w:tr>
      <w:tr>
        <w:trPr>
          <w:trHeight w:val="180"/>
        </w:trPr>
        <w:tc>
          <w:tcPr>
            <w:tcW w:w="360" w:type="dxa"/>
            <w:vAlign w:val="bottom"/>
          </w:tcPr>
          <w:p>
            <w:pPr>
              <w:spacing w:after="0"/>
              <w:rPr>
                <w:sz w:val="15"/>
                <w:szCs w:val="15"/>
                <w:color w:val="auto"/>
              </w:rPr>
            </w:pP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9,548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100"/>
              <w:spacing w:after="0"/>
              <w:rPr>
                <w:sz w:val="20"/>
                <w:szCs w:val="20"/>
                <w:color w:val="auto"/>
              </w:rPr>
            </w:pPr>
            <w:r>
              <w:rPr>
                <w:rFonts w:ascii="Arial" w:cs="Arial" w:eastAsia="Arial" w:hAnsi="Arial"/>
                <w:sz w:val="12"/>
                <w:szCs w:val="12"/>
                <w:color w:val="auto"/>
              </w:rPr>
              <w:t>10,129</w:t>
            </w:r>
          </w:p>
        </w:tc>
      </w:tr>
      <w:tr>
        <w:trPr>
          <w:trHeight w:val="180"/>
        </w:trPr>
        <w:tc>
          <w:tcPr>
            <w:tcW w:w="360" w:type="dxa"/>
            <w:vAlign w:val="bottom"/>
          </w:tcPr>
          <w:p>
            <w:pPr>
              <w:spacing w:after="0"/>
              <w:rPr>
                <w:sz w:val="15"/>
                <w:szCs w:val="15"/>
                <w:color w:val="auto"/>
              </w:rPr>
            </w:pP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9,070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100"/>
              <w:spacing w:after="0"/>
              <w:rPr>
                <w:sz w:val="20"/>
                <w:szCs w:val="20"/>
                <w:color w:val="auto"/>
              </w:rPr>
            </w:pPr>
            <w:r>
              <w:rPr>
                <w:rFonts w:ascii="Arial" w:cs="Arial" w:eastAsia="Arial" w:hAnsi="Arial"/>
                <w:sz w:val="12"/>
                <w:szCs w:val="12"/>
                <w:color w:val="auto"/>
              </w:rPr>
              <w:t>10,272</w:t>
            </w:r>
          </w:p>
        </w:tc>
      </w:tr>
      <w:tr>
        <w:trPr>
          <w:trHeight w:val="189"/>
        </w:trPr>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8,289</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6,609</w:t>
            </w:r>
          </w:p>
        </w:tc>
      </w:tr>
      <w:tr>
        <w:trPr>
          <w:trHeight w:val="169"/>
        </w:trPr>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108,770</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93,374</w:t>
            </w:r>
          </w:p>
        </w:tc>
      </w:tr>
      <w:tr>
        <w:trPr>
          <w:trHeight w:val="232"/>
        </w:trPr>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4,527</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3,559</w:t>
            </w:r>
          </w:p>
        </w:tc>
      </w:tr>
      <w:tr>
        <w:trPr>
          <w:trHeight w:val="439"/>
        </w:trPr>
        <w:tc>
          <w:tcPr>
            <w:tcW w:w="360" w:type="dxa"/>
            <w:vAlign w:val="bottom"/>
          </w:tcPr>
          <w:p>
            <w:pPr>
              <w:spacing w:after="0"/>
              <w:rPr>
                <w:sz w:val="24"/>
                <w:szCs w:val="24"/>
                <w:color w:val="auto"/>
              </w:rPr>
            </w:pP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(9,168)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(10,315)</w:t>
            </w:r>
          </w:p>
        </w:tc>
      </w:tr>
      <w:tr>
        <w:trPr>
          <w:trHeight w:val="189"/>
        </w:trPr>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(269)</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(346)</w:t>
            </w:r>
          </w:p>
        </w:tc>
      </w:tr>
      <w:tr>
        <w:trPr>
          <w:trHeight w:val="169"/>
        </w:trPr>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(9,437)</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(10,661)</w:t>
            </w:r>
          </w:p>
        </w:tc>
      </w:tr>
      <w:tr>
        <w:trPr>
          <w:trHeight w:val="223"/>
        </w:trPr>
        <w:tc>
          <w:tcPr>
            <w:tcW w:w="360" w:type="dxa"/>
            <w:vAlign w:val="bottom"/>
          </w:tcPr>
          <w:p>
            <w:pPr>
              <w:spacing w:after="0"/>
              <w:rPr>
                <w:sz w:val="19"/>
                <w:szCs w:val="19"/>
                <w:color w:val="auto"/>
              </w:rPr>
            </w:pP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(4,910)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(7,102)</w:t>
            </w:r>
          </w:p>
        </w:tc>
      </w:tr>
      <w:tr>
        <w:trPr>
          <w:trHeight w:val="261"/>
        </w:trPr>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(2,231)</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(1,233)</w:t>
            </w:r>
          </w:p>
        </w:tc>
      </w:tr>
      <w:tr>
        <w:trPr>
          <w:trHeight w:val="232"/>
        </w:trPr>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(2,679)</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(5,869)</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4"/>
        </w:trPr>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(0.04)</w:t>
            </w:r>
          </w:p>
        </w:tc>
        <w:tc>
          <w:tcPr>
            <w:tcW w:w="120" w:type="dxa"/>
            <w:vAlign w:val="bottom"/>
          </w:tcPr>
          <w:p>
            <w:pPr>
              <w:spacing w:after="0"/>
              <w:rPr>
                <w:sz w:val="24"/>
                <w:szCs w:val="24"/>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(0.09)</w:t>
            </w:r>
          </w:p>
        </w:tc>
      </w:tr>
      <w:tr>
        <w:trPr>
          <w:trHeight w:val="432"/>
        </w:trPr>
        <w:tc>
          <w:tcPr>
            <w:tcW w:w="360" w:type="dxa"/>
            <w:vAlign w:val="bottom"/>
          </w:tcPr>
          <w:p>
            <w:pPr>
              <w:spacing w:after="0"/>
              <w:rPr>
                <w:sz w:val="24"/>
                <w:szCs w:val="24"/>
                <w:color w:val="auto"/>
              </w:rPr>
            </w:pPr>
          </w:p>
        </w:tc>
        <w:tc>
          <w:tcPr>
            <w:tcW w:w="1240" w:type="dxa"/>
            <w:vAlign w:val="bottom"/>
          </w:tcPr>
          <w:p>
            <w:pPr>
              <w:jc w:val="right"/>
              <w:ind w:right="100"/>
              <w:spacing w:after="0"/>
              <w:rPr>
                <w:sz w:val="20"/>
                <w:szCs w:val="20"/>
                <w:color w:val="auto"/>
              </w:rPr>
            </w:pPr>
            <w:r>
              <w:rPr>
                <w:rFonts w:ascii="Arial" w:cs="Arial" w:eastAsia="Arial" w:hAnsi="Arial"/>
                <w:sz w:val="12"/>
                <w:szCs w:val="12"/>
                <w:color w:val="auto"/>
              </w:rPr>
              <w:t>67,543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00"/>
              <w:spacing w:after="0"/>
              <w:rPr>
                <w:sz w:val="20"/>
                <w:szCs w:val="20"/>
                <w:color w:val="auto"/>
              </w:rPr>
            </w:pPr>
            <w:r>
              <w:rPr>
                <w:rFonts w:ascii="Arial" w:cs="Arial" w:eastAsia="Arial" w:hAnsi="Arial"/>
                <w:sz w:val="12"/>
                <w:szCs w:val="12"/>
                <w:color w:val="auto"/>
              </w:rPr>
              <w:t>67,061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10</w:t>
      </w:r>
    </w:p>
    <w:p>
      <w:pPr>
        <w:sectPr>
          <w:pgSz w:w="11900" w:h="16838" w:orient="portrait"/>
          <w:cols w:equalWidth="0" w:num="2">
            <w:col w:w="3620" w:space="720"/>
            <w:col w:w="5819"/>
          </w:cols>
          <w:pgMar w:left="300" w:top="649" w:right="1440" w:bottom="1440" w:gutter="0" w:footer="0" w:header="0"/>
        </w:sectPr>
      </w:pPr>
    </w:p>
    <w:bookmarkStart w:id="12" w:name="page13"/>
    <w:bookmarkEnd w:id="12"/>
    <w:p>
      <w:pPr>
        <w:ind w:left="4380"/>
        <w:spacing w:after="0"/>
        <w:rPr>
          <w:sz w:val="20"/>
          <w:szCs w:val="20"/>
          <w:color w:val="auto"/>
        </w:rPr>
      </w:pPr>
      <w:r>
        <w:rPr>
          <w:rFonts w:ascii="Arial" w:cs="Arial" w:eastAsia="Arial" w:hAnsi="Arial"/>
          <w:sz w:val="12"/>
          <w:szCs w:val="12"/>
          <w:b w:val="1"/>
          <w:bCs w:val="1"/>
          <w:color w:val="auto"/>
        </w:rPr>
        <w:t>PRIORITY TECHNOLOGY HOLDINGS, INC.</w:t>
      </w:r>
    </w:p>
    <w:p>
      <w:pPr>
        <w:spacing w:after="0" w:line="24" w:lineRule="exact"/>
        <w:rPr>
          <w:sz w:val="20"/>
          <w:szCs w:val="20"/>
          <w:color w:val="auto"/>
        </w:rPr>
      </w:pPr>
    </w:p>
    <w:p>
      <w:pPr>
        <w:ind w:left="4620"/>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4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2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2"/>
                <w:szCs w:val="12"/>
                <w:i w:val="1"/>
                <w:iCs w:val="1"/>
                <w:color w:val="auto"/>
                <w:w w:val="94"/>
              </w:rPr>
              <w:t>Unaudited</w:t>
            </w: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3"/>
              </w:rPr>
              <w:t>March 31, 2021</w:t>
            </w:r>
          </w:p>
        </w:tc>
        <w:tc>
          <w:tcPr>
            <w:tcW w:w="300" w:type="dxa"/>
            <w:vAlign w:val="bottom"/>
          </w:tcPr>
          <w:p>
            <w:pPr>
              <w:spacing w:after="0"/>
              <w:rPr>
                <w:sz w:val="16"/>
                <w:szCs w:val="16"/>
                <w:color w:val="auto"/>
              </w:rPr>
            </w:pPr>
          </w:p>
        </w:tc>
        <w:tc>
          <w:tcPr>
            <w:tcW w:w="1720" w:type="dxa"/>
            <w:vAlign w:val="bottom"/>
          </w:tcPr>
          <w:p>
            <w:pPr>
              <w:jc w:val="right"/>
              <w:ind w:right="460"/>
              <w:spacing w:after="0"/>
              <w:rPr>
                <w:sz w:val="20"/>
                <w:szCs w:val="20"/>
                <w:color w:val="auto"/>
              </w:rPr>
            </w:pPr>
            <w:r>
              <w:rPr>
                <w:rFonts w:ascii="Arial" w:cs="Arial" w:eastAsia="Arial" w:hAnsi="Arial"/>
                <w:sz w:val="12"/>
                <w:szCs w:val="12"/>
                <w:b w:val="1"/>
                <w:bCs w:val="1"/>
                <w:color w:val="auto"/>
              </w:rPr>
              <w:t>December 31, 2020</w:t>
            </w:r>
          </w:p>
        </w:tc>
        <w:tc>
          <w:tcPr>
            <w:tcW w:w="0" w:type="dxa"/>
            <w:vAlign w:val="bottom"/>
          </w:tcPr>
          <w:p>
            <w:pPr>
              <w:spacing w:after="0"/>
              <w:rPr>
                <w:sz w:val="1"/>
                <w:szCs w:val="1"/>
                <w:color w:val="auto"/>
              </w:rPr>
            </w:pPr>
          </w:p>
        </w:tc>
      </w:tr>
      <w:tr>
        <w:trPr>
          <w:trHeight w:val="153"/>
        </w:trPr>
        <w:tc>
          <w:tcPr>
            <w:tcW w:w="454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26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40" w:type="dxa"/>
            <w:vAlign w:val="bottom"/>
          </w:tcPr>
          <w:p>
            <w:pPr>
              <w:spacing w:after="0"/>
              <w:rPr>
                <w:sz w:val="20"/>
                <w:szCs w:val="20"/>
                <w:color w:val="auto"/>
              </w:rPr>
            </w:pPr>
            <w:r>
              <w:rPr>
                <w:rFonts w:ascii="Arial" w:cs="Arial" w:eastAsia="Arial" w:hAnsi="Arial"/>
                <w:sz w:val="12"/>
                <w:szCs w:val="12"/>
                <w:color w:val="auto"/>
              </w:rPr>
              <w:t>Current assets:</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40" w:type="dxa"/>
            <w:vAlign w:val="bottom"/>
          </w:tcPr>
          <w:p>
            <w:pPr>
              <w:ind w:left="80"/>
              <w:spacing w:after="0"/>
              <w:rPr>
                <w:sz w:val="20"/>
                <w:szCs w:val="20"/>
                <w:color w:val="auto"/>
              </w:rPr>
            </w:pPr>
            <w:r>
              <w:rPr>
                <w:rFonts w:ascii="Arial" w:cs="Arial" w:eastAsia="Arial" w:hAnsi="Arial"/>
                <w:sz w:val="12"/>
                <w:szCs w:val="12"/>
                <w:color w:val="auto"/>
              </w:rPr>
              <w:t>Cash</w:t>
            </w:r>
          </w:p>
        </w:tc>
        <w:tc>
          <w:tcPr>
            <w:tcW w:w="2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5,827</w:t>
            </w:r>
          </w:p>
        </w:tc>
        <w:tc>
          <w:tcPr>
            <w:tcW w:w="10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9,241</w:t>
            </w:r>
          </w:p>
        </w:tc>
        <w:tc>
          <w:tcPr>
            <w:tcW w:w="0" w:type="dxa"/>
            <w:vAlign w:val="bottom"/>
          </w:tcPr>
          <w:p>
            <w:pPr>
              <w:spacing w:after="0"/>
              <w:rPr>
                <w:sz w:val="1"/>
                <w:szCs w:val="1"/>
                <w:color w:val="auto"/>
              </w:rPr>
            </w:pPr>
          </w:p>
        </w:tc>
      </w:tr>
      <w:tr>
        <w:trPr>
          <w:trHeight w:val="180"/>
        </w:trPr>
        <w:tc>
          <w:tcPr>
            <w:tcW w:w="4540" w:type="dxa"/>
            <w:vAlign w:val="bottom"/>
          </w:tcPr>
          <w:p>
            <w:pPr>
              <w:ind w:left="80"/>
              <w:spacing w:after="0"/>
              <w:rPr>
                <w:sz w:val="20"/>
                <w:szCs w:val="20"/>
                <w:color w:val="auto"/>
              </w:rPr>
            </w:pPr>
            <w:r>
              <w:rPr>
                <w:rFonts w:ascii="Arial" w:cs="Arial" w:eastAsia="Arial" w:hAnsi="Arial"/>
                <w:sz w:val="12"/>
                <w:szCs w:val="12"/>
                <w:color w:val="auto"/>
              </w:rPr>
              <w:t>Restricted cash</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58,933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78,879</w:t>
            </w:r>
          </w:p>
        </w:tc>
        <w:tc>
          <w:tcPr>
            <w:tcW w:w="0" w:type="dxa"/>
            <w:vAlign w:val="bottom"/>
          </w:tcPr>
          <w:p>
            <w:pPr>
              <w:spacing w:after="0"/>
              <w:rPr>
                <w:sz w:val="1"/>
                <w:szCs w:val="1"/>
                <w:color w:val="auto"/>
              </w:rPr>
            </w:pPr>
          </w:p>
        </w:tc>
      </w:tr>
      <w:tr>
        <w:trPr>
          <w:trHeight w:val="180"/>
        </w:trPr>
        <w:tc>
          <w:tcPr>
            <w:tcW w:w="4540" w:type="dxa"/>
            <w:vAlign w:val="bottom"/>
          </w:tcPr>
          <w:p>
            <w:pPr>
              <w:ind w:left="80"/>
              <w:spacing w:after="0"/>
              <w:rPr>
                <w:sz w:val="20"/>
                <w:szCs w:val="20"/>
                <w:color w:val="auto"/>
              </w:rPr>
            </w:pPr>
            <w:r>
              <w:rPr>
                <w:rFonts w:ascii="Arial" w:cs="Arial" w:eastAsia="Arial" w:hAnsi="Arial"/>
                <w:sz w:val="12"/>
                <w:szCs w:val="12"/>
                <w:color w:val="auto"/>
              </w:rPr>
              <w:t>Accounts receivable, net of allowance</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50,886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41,321</w:t>
            </w:r>
          </w:p>
        </w:tc>
        <w:tc>
          <w:tcPr>
            <w:tcW w:w="0" w:type="dxa"/>
            <w:vAlign w:val="bottom"/>
          </w:tcPr>
          <w:p>
            <w:pPr>
              <w:spacing w:after="0"/>
              <w:rPr>
                <w:sz w:val="1"/>
                <w:szCs w:val="1"/>
                <w:color w:val="auto"/>
              </w:rPr>
            </w:pPr>
          </w:p>
        </w:tc>
      </w:tr>
      <w:tr>
        <w:trPr>
          <w:trHeight w:val="180"/>
        </w:trPr>
        <w:tc>
          <w:tcPr>
            <w:tcW w:w="4540" w:type="dxa"/>
            <w:vAlign w:val="bottom"/>
          </w:tcPr>
          <w:p>
            <w:pPr>
              <w:ind w:left="80"/>
              <w:spacing w:after="0"/>
              <w:rPr>
                <w:sz w:val="20"/>
                <w:szCs w:val="20"/>
                <w:color w:val="auto"/>
              </w:rPr>
            </w:pPr>
            <w:r>
              <w:rPr>
                <w:rFonts w:ascii="Arial" w:cs="Arial" w:eastAsia="Arial" w:hAnsi="Arial"/>
                <w:sz w:val="12"/>
                <w:szCs w:val="12"/>
                <w:color w:val="auto"/>
              </w:rPr>
              <w:t>Prepaid expenses and other current assets</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4,083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3,500</w:t>
            </w:r>
          </w:p>
        </w:tc>
        <w:tc>
          <w:tcPr>
            <w:tcW w:w="0" w:type="dxa"/>
            <w:vAlign w:val="bottom"/>
          </w:tcPr>
          <w:p>
            <w:pPr>
              <w:spacing w:after="0"/>
              <w:rPr>
                <w:sz w:val="1"/>
                <w:szCs w:val="1"/>
                <w:color w:val="auto"/>
              </w:rPr>
            </w:pPr>
          </w:p>
        </w:tc>
      </w:tr>
      <w:tr>
        <w:trPr>
          <w:trHeight w:val="180"/>
        </w:trPr>
        <w:tc>
          <w:tcPr>
            <w:tcW w:w="4540" w:type="dxa"/>
            <w:vAlign w:val="bottom"/>
          </w:tcPr>
          <w:p>
            <w:pPr>
              <w:ind w:left="80"/>
              <w:spacing w:after="0"/>
              <w:rPr>
                <w:sz w:val="20"/>
                <w:szCs w:val="20"/>
                <w:color w:val="auto"/>
              </w:rPr>
            </w:pPr>
            <w:r>
              <w:rPr>
                <w:rFonts w:ascii="Arial" w:cs="Arial" w:eastAsia="Arial" w:hAnsi="Arial"/>
                <w:sz w:val="12"/>
                <w:szCs w:val="12"/>
                <w:color w:val="auto"/>
              </w:rPr>
              <w:t>Current portion of notes receivable, net of allowance</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1,829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2,190</w:t>
            </w:r>
          </w:p>
        </w:tc>
        <w:tc>
          <w:tcPr>
            <w:tcW w:w="0" w:type="dxa"/>
            <w:vAlign w:val="bottom"/>
          </w:tcPr>
          <w:p>
            <w:pPr>
              <w:spacing w:after="0"/>
              <w:rPr>
                <w:sz w:val="1"/>
                <w:szCs w:val="1"/>
                <w:color w:val="auto"/>
              </w:rPr>
            </w:pPr>
          </w:p>
        </w:tc>
      </w:tr>
      <w:tr>
        <w:trPr>
          <w:trHeight w:val="189"/>
        </w:trPr>
        <w:tc>
          <w:tcPr>
            <w:tcW w:w="4540" w:type="dxa"/>
            <w:vAlign w:val="bottom"/>
          </w:tcPr>
          <w:p>
            <w:pPr>
              <w:ind w:left="80"/>
              <w:spacing w:after="0"/>
              <w:rPr>
                <w:sz w:val="20"/>
                <w:szCs w:val="20"/>
                <w:color w:val="auto"/>
              </w:rPr>
            </w:pPr>
            <w:r>
              <w:rPr>
                <w:rFonts w:ascii="Arial" w:cs="Arial" w:eastAsia="Arial" w:hAnsi="Arial"/>
                <w:sz w:val="12"/>
                <w:szCs w:val="12"/>
                <w:color w:val="auto"/>
              </w:rPr>
              <w:t>Settlement assets</w:t>
            </w:r>
          </w:p>
        </w:tc>
        <w:tc>
          <w:tcPr>
            <w:tcW w:w="2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1,220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753</w:t>
            </w:r>
          </w:p>
        </w:tc>
        <w:tc>
          <w:tcPr>
            <w:tcW w:w="0" w:type="dxa"/>
            <w:vAlign w:val="bottom"/>
          </w:tcPr>
          <w:p>
            <w:pPr>
              <w:spacing w:after="0"/>
              <w:rPr>
                <w:sz w:val="1"/>
                <w:szCs w:val="1"/>
                <w:color w:val="auto"/>
              </w:rPr>
            </w:pPr>
          </w:p>
        </w:tc>
      </w:tr>
      <w:tr>
        <w:trPr>
          <w:trHeight w:val="160"/>
        </w:trPr>
        <w:tc>
          <w:tcPr>
            <w:tcW w:w="4540" w:type="dxa"/>
            <w:vAlign w:val="bottom"/>
          </w:tcPr>
          <w:p>
            <w:pPr>
              <w:ind w:left="300"/>
              <w:spacing w:after="0"/>
              <w:rPr>
                <w:sz w:val="20"/>
                <w:szCs w:val="20"/>
                <w:color w:val="auto"/>
              </w:rPr>
            </w:pPr>
            <w:r>
              <w:rPr>
                <w:rFonts w:ascii="Arial" w:cs="Arial" w:eastAsia="Arial" w:hAnsi="Arial"/>
                <w:sz w:val="12"/>
                <w:szCs w:val="12"/>
                <w:color w:val="auto"/>
              </w:rPr>
              <w:t>Total current assets</w:t>
            </w:r>
          </w:p>
        </w:tc>
        <w:tc>
          <w:tcPr>
            <w:tcW w:w="2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122,778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135,884</w:t>
            </w:r>
          </w:p>
        </w:tc>
        <w:tc>
          <w:tcPr>
            <w:tcW w:w="0" w:type="dxa"/>
            <w:vAlign w:val="bottom"/>
          </w:tcPr>
          <w:p>
            <w:pPr>
              <w:spacing w:after="0"/>
              <w:rPr>
                <w:sz w:val="1"/>
                <w:szCs w:val="1"/>
                <w:color w:val="auto"/>
              </w:rPr>
            </w:pPr>
          </w:p>
        </w:tc>
      </w:tr>
      <w:tr>
        <w:trPr>
          <w:trHeight w:val="351"/>
        </w:trPr>
        <w:tc>
          <w:tcPr>
            <w:tcW w:w="4540" w:type="dxa"/>
            <w:vAlign w:val="bottom"/>
          </w:tcPr>
          <w:p>
            <w:pPr>
              <w:spacing w:after="0"/>
              <w:rPr>
                <w:sz w:val="20"/>
                <w:szCs w:val="20"/>
                <w:color w:val="auto"/>
              </w:rPr>
            </w:pPr>
            <w:r>
              <w:rPr>
                <w:rFonts w:ascii="Arial" w:cs="Arial" w:eastAsia="Arial" w:hAnsi="Arial"/>
                <w:sz w:val="12"/>
                <w:szCs w:val="12"/>
                <w:color w:val="auto"/>
              </w:rPr>
              <w:t>Notes receivable, less current portion</w:t>
            </w:r>
          </w:p>
        </w:tc>
        <w:tc>
          <w:tcPr>
            <w:tcW w:w="2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5,084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5,527</w:t>
            </w:r>
          </w:p>
        </w:tc>
        <w:tc>
          <w:tcPr>
            <w:tcW w:w="0" w:type="dxa"/>
            <w:vAlign w:val="bottom"/>
          </w:tcPr>
          <w:p>
            <w:pPr>
              <w:spacing w:after="0"/>
              <w:rPr>
                <w:sz w:val="1"/>
                <w:szCs w:val="1"/>
                <w:color w:val="auto"/>
              </w:rPr>
            </w:pPr>
          </w:p>
        </w:tc>
      </w:tr>
      <w:tr>
        <w:trPr>
          <w:trHeight w:val="180"/>
        </w:trPr>
        <w:tc>
          <w:tcPr>
            <w:tcW w:w="4540" w:type="dxa"/>
            <w:vAlign w:val="bottom"/>
          </w:tcPr>
          <w:p>
            <w:pPr>
              <w:spacing w:after="0"/>
              <w:rPr>
                <w:sz w:val="20"/>
                <w:szCs w:val="20"/>
                <w:color w:val="auto"/>
              </w:rPr>
            </w:pPr>
            <w:r>
              <w:rPr>
                <w:rFonts w:ascii="Arial" w:cs="Arial" w:eastAsia="Arial" w:hAnsi="Arial"/>
                <w:sz w:val="12"/>
                <w:szCs w:val="12"/>
                <w:color w:val="auto"/>
              </w:rPr>
              <w:t>Property, equipment, and software, net</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23,791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22,875</w:t>
            </w:r>
          </w:p>
        </w:tc>
        <w:tc>
          <w:tcPr>
            <w:tcW w:w="0" w:type="dxa"/>
            <w:vAlign w:val="bottom"/>
          </w:tcPr>
          <w:p>
            <w:pPr>
              <w:spacing w:after="0"/>
              <w:rPr>
                <w:sz w:val="1"/>
                <w:szCs w:val="1"/>
                <w:color w:val="auto"/>
              </w:rPr>
            </w:pPr>
          </w:p>
        </w:tc>
      </w:tr>
      <w:tr>
        <w:trPr>
          <w:trHeight w:val="180"/>
        </w:trPr>
        <w:tc>
          <w:tcPr>
            <w:tcW w:w="4540" w:type="dxa"/>
            <w:vAlign w:val="bottom"/>
          </w:tcPr>
          <w:p>
            <w:pPr>
              <w:spacing w:after="0"/>
              <w:rPr>
                <w:sz w:val="20"/>
                <w:szCs w:val="20"/>
                <w:color w:val="auto"/>
              </w:rPr>
            </w:pPr>
            <w:r>
              <w:rPr>
                <w:rFonts w:ascii="Arial" w:cs="Arial" w:eastAsia="Arial" w:hAnsi="Arial"/>
                <w:sz w:val="12"/>
                <w:szCs w:val="12"/>
                <w:color w:val="auto"/>
              </w:rPr>
              <w:t>Goodwill</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106,832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106,832</w:t>
            </w:r>
          </w:p>
        </w:tc>
        <w:tc>
          <w:tcPr>
            <w:tcW w:w="0" w:type="dxa"/>
            <w:vAlign w:val="bottom"/>
          </w:tcPr>
          <w:p>
            <w:pPr>
              <w:spacing w:after="0"/>
              <w:rPr>
                <w:sz w:val="1"/>
                <w:szCs w:val="1"/>
                <w:color w:val="auto"/>
              </w:rPr>
            </w:pPr>
          </w:p>
        </w:tc>
      </w:tr>
      <w:tr>
        <w:trPr>
          <w:trHeight w:val="180"/>
        </w:trPr>
        <w:tc>
          <w:tcPr>
            <w:tcW w:w="4540" w:type="dxa"/>
            <w:vAlign w:val="bottom"/>
          </w:tcPr>
          <w:p>
            <w:pPr>
              <w:spacing w:after="0"/>
              <w:rPr>
                <w:sz w:val="20"/>
                <w:szCs w:val="20"/>
                <w:color w:val="auto"/>
              </w:rPr>
            </w:pPr>
            <w:r>
              <w:rPr>
                <w:rFonts w:ascii="Arial" w:cs="Arial" w:eastAsia="Arial" w:hAnsi="Arial"/>
                <w:sz w:val="12"/>
                <w:szCs w:val="12"/>
                <w:color w:val="auto"/>
              </w:rPr>
              <w:t>Intangible assets, net</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91,062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98,057</w:t>
            </w:r>
          </w:p>
        </w:tc>
        <w:tc>
          <w:tcPr>
            <w:tcW w:w="0" w:type="dxa"/>
            <w:vAlign w:val="bottom"/>
          </w:tcPr>
          <w:p>
            <w:pPr>
              <w:spacing w:after="0"/>
              <w:rPr>
                <w:sz w:val="1"/>
                <w:szCs w:val="1"/>
                <w:color w:val="auto"/>
              </w:rPr>
            </w:pPr>
          </w:p>
        </w:tc>
      </w:tr>
      <w:tr>
        <w:trPr>
          <w:trHeight w:val="180"/>
        </w:trPr>
        <w:tc>
          <w:tcPr>
            <w:tcW w:w="4540" w:type="dxa"/>
            <w:vAlign w:val="bottom"/>
          </w:tcPr>
          <w:p>
            <w:pPr>
              <w:spacing w:after="0"/>
              <w:rPr>
                <w:sz w:val="20"/>
                <w:szCs w:val="20"/>
                <w:color w:val="auto"/>
              </w:rPr>
            </w:pPr>
            <w:r>
              <w:rPr>
                <w:rFonts w:ascii="Arial" w:cs="Arial" w:eastAsia="Arial" w:hAnsi="Arial"/>
                <w:sz w:val="12"/>
                <w:szCs w:val="12"/>
                <w:color w:val="auto"/>
              </w:rPr>
              <w:t>Deferred income taxes, net</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48,996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46,697</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20"/>
                <w:szCs w:val="20"/>
                <w:color w:val="auto"/>
              </w:rPr>
            </w:pPr>
            <w:r>
              <w:rPr>
                <w:rFonts w:ascii="Arial" w:cs="Arial" w:eastAsia="Arial" w:hAnsi="Arial"/>
                <w:sz w:val="12"/>
                <w:szCs w:val="12"/>
                <w:color w:val="auto"/>
              </w:rPr>
              <w:t>Other non-current assets</w:t>
            </w:r>
          </w:p>
        </w:tc>
        <w:tc>
          <w:tcPr>
            <w:tcW w:w="2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1,949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1,957</w:t>
            </w:r>
          </w:p>
        </w:tc>
        <w:tc>
          <w:tcPr>
            <w:tcW w:w="0" w:type="dxa"/>
            <w:vAlign w:val="bottom"/>
          </w:tcPr>
          <w:p>
            <w:pPr>
              <w:spacing w:after="0"/>
              <w:rPr>
                <w:sz w:val="1"/>
                <w:szCs w:val="1"/>
                <w:color w:val="auto"/>
              </w:rPr>
            </w:pPr>
          </w:p>
        </w:tc>
      </w:tr>
      <w:tr>
        <w:trPr>
          <w:trHeight w:val="178"/>
        </w:trPr>
        <w:tc>
          <w:tcPr>
            <w:tcW w:w="4540" w:type="dxa"/>
            <w:vAlign w:val="bottom"/>
          </w:tcPr>
          <w:p>
            <w:pPr>
              <w:ind w:left="440"/>
              <w:spacing w:after="0"/>
              <w:rPr>
                <w:sz w:val="20"/>
                <w:szCs w:val="20"/>
                <w:color w:val="auto"/>
              </w:rPr>
            </w:pPr>
            <w:r>
              <w:rPr>
                <w:rFonts w:ascii="Arial" w:cs="Arial" w:eastAsia="Arial" w:hAnsi="Arial"/>
                <w:sz w:val="12"/>
                <w:szCs w:val="12"/>
                <w:b w:val="1"/>
                <w:bCs w:val="1"/>
                <w:color w:val="auto"/>
              </w:rPr>
              <w:t>Total assets</w:t>
            </w:r>
          </w:p>
        </w:tc>
        <w:tc>
          <w:tcPr>
            <w:tcW w:w="2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400,492</w:t>
            </w:r>
          </w:p>
        </w:tc>
        <w:tc>
          <w:tcPr>
            <w:tcW w:w="10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417,829</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2"/>
                <w:szCs w:val="12"/>
                <w:b w:val="1"/>
                <w:bCs w:val="1"/>
                <w:color w:val="auto"/>
              </w:rPr>
              <w:t>LIABILITIES AND STOCKHOLDERS' DEFICIT</w:t>
            </w:r>
          </w:p>
        </w:tc>
        <w:tc>
          <w:tcPr>
            <w:tcW w:w="2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540" w:type="dxa"/>
            <w:vAlign w:val="bottom"/>
            <w:vMerge w:val="continue"/>
          </w:tcPr>
          <w:p>
            <w:pPr>
              <w:spacing w:after="0"/>
              <w:rPr>
                <w:sz w:val="22"/>
                <w:szCs w:val="22"/>
                <w:color w:val="auto"/>
              </w:rPr>
            </w:pPr>
          </w:p>
        </w:tc>
        <w:tc>
          <w:tcPr>
            <w:tcW w:w="2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4540" w:type="dxa"/>
            <w:vAlign w:val="bottom"/>
          </w:tcPr>
          <w:p>
            <w:pPr>
              <w:spacing w:after="0"/>
              <w:rPr>
                <w:sz w:val="20"/>
                <w:szCs w:val="20"/>
                <w:color w:val="auto"/>
              </w:rPr>
            </w:pPr>
            <w:r>
              <w:rPr>
                <w:rFonts w:ascii="Arial" w:cs="Arial" w:eastAsia="Arial" w:hAnsi="Arial"/>
                <w:sz w:val="12"/>
                <w:szCs w:val="12"/>
                <w:color w:val="auto"/>
              </w:rPr>
              <w:t>Current liabilities:</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40" w:type="dxa"/>
            <w:vAlign w:val="bottom"/>
          </w:tcPr>
          <w:p>
            <w:pPr>
              <w:ind w:left="80"/>
              <w:spacing w:after="0"/>
              <w:rPr>
                <w:sz w:val="20"/>
                <w:szCs w:val="20"/>
                <w:color w:val="auto"/>
              </w:rPr>
            </w:pPr>
            <w:r>
              <w:rPr>
                <w:rFonts w:ascii="Arial" w:cs="Arial" w:eastAsia="Arial" w:hAnsi="Arial"/>
                <w:sz w:val="12"/>
                <w:szCs w:val="12"/>
                <w:color w:val="auto"/>
              </w:rPr>
              <w:t>Accounts payable and accrued expenses</w:t>
            </w:r>
          </w:p>
        </w:tc>
        <w:tc>
          <w:tcPr>
            <w:tcW w:w="2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29,880</w:t>
            </w:r>
          </w:p>
        </w:tc>
        <w:tc>
          <w:tcPr>
            <w:tcW w:w="10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29,821</w:t>
            </w:r>
          </w:p>
        </w:tc>
        <w:tc>
          <w:tcPr>
            <w:tcW w:w="0" w:type="dxa"/>
            <w:vAlign w:val="bottom"/>
          </w:tcPr>
          <w:p>
            <w:pPr>
              <w:spacing w:after="0"/>
              <w:rPr>
                <w:sz w:val="1"/>
                <w:szCs w:val="1"/>
                <w:color w:val="auto"/>
              </w:rPr>
            </w:pPr>
          </w:p>
        </w:tc>
      </w:tr>
      <w:tr>
        <w:trPr>
          <w:trHeight w:val="180"/>
        </w:trPr>
        <w:tc>
          <w:tcPr>
            <w:tcW w:w="4540" w:type="dxa"/>
            <w:vAlign w:val="bottom"/>
          </w:tcPr>
          <w:p>
            <w:pPr>
              <w:ind w:left="80"/>
              <w:spacing w:after="0"/>
              <w:rPr>
                <w:sz w:val="20"/>
                <w:szCs w:val="20"/>
                <w:color w:val="auto"/>
              </w:rPr>
            </w:pPr>
            <w:r>
              <w:rPr>
                <w:rFonts w:ascii="Arial" w:cs="Arial" w:eastAsia="Arial" w:hAnsi="Arial"/>
                <w:sz w:val="12"/>
                <w:szCs w:val="12"/>
                <w:color w:val="auto"/>
              </w:rPr>
              <w:t>Accrued residual commissions</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30,300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23,824</w:t>
            </w:r>
          </w:p>
        </w:tc>
        <w:tc>
          <w:tcPr>
            <w:tcW w:w="0" w:type="dxa"/>
            <w:vAlign w:val="bottom"/>
          </w:tcPr>
          <w:p>
            <w:pPr>
              <w:spacing w:after="0"/>
              <w:rPr>
                <w:sz w:val="1"/>
                <w:szCs w:val="1"/>
                <w:color w:val="auto"/>
              </w:rPr>
            </w:pPr>
          </w:p>
        </w:tc>
      </w:tr>
      <w:tr>
        <w:trPr>
          <w:trHeight w:val="180"/>
        </w:trPr>
        <w:tc>
          <w:tcPr>
            <w:tcW w:w="4540" w:type="dxa"/>
            <w:vAlign w:val="bottom"/>
          </w:tcPr>
          <w:p>
            <w:pPr>
              <w:ind w:left="80"/>
              <w:spacing w:after="0"/>
              <w:rPr>
                <w:sz w:val="20"/>
                <w:szCs w:val="20"/>
                <w:color w:val="auto"/>
              </w:rPr>
            </w:pPr>
            <w:r>
              <w:rPr>
                <w:rFonts w:ascii="Arial" w:cs="Arial" w:eastAsia="Arial" w:hAnsi="Arial"/>
                <w:sz w:val="12"/>
                <w:szCs w:val="12"/>
                <w:color w:val="auto"/>
              </w:rPr>
              <w:t>Customer deposits and advance payments</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5,488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2,883</w:t>
            </w:r>
          </w:p>
        </w:tc>
        <w:tc>
          <w:tcPr>
            <w:tcW w:w="0" w:type="dxa"/>
            <w:vAlign w:val="bottom"/>
          </w:tcPr>
          <w:p>
            <w:pPr>
              <w:spacing w:after="0"/>
              <w:rPr>
                <w:sz w:val="1"/>
                <w:szCs w:val="1"/>
                <w:color w:val="auto"/>
              </w:rPr>
            </w:pPr>
          </w:p>
        </w:tc>
      </w:tr>
      <w:tr>
        <w:trPr>
          <w:trHeight w:val="180"/>
        </w:trPr>
        <w:tc>
          <w:tcPr>
            <w:tcW w:w="4540" w:type="dxa"/>
            <w:vAlign w:val="bottom"/>
          </w:tcPr>
          <w:p>
            <w:pPr>
              <w:ind w:left="80"/>
              <w:spacing w:after="0"/>
              <w:rPr>
                <w:sz w:val="20"/>
                <w:szCs w:val="20"/>
                <w:color w:val="auto"/>
              </w:rPr>
            </w:pPr>
            <w:r>
              <w:rPr>
                <w:rFonts w:ascii="Arial" w:cs="Arial" w:eastAsia="Arial" w:hAnsi="Arial"/>
                <w:sz w:val="12"/>
                <w:szCs w:val="12"/>
                <w:color w:val="auto"/>
              </w:rPr>
              <w:t>Current portion of long-term debt</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24,302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19,442</w:t>
            </w:r>
          </w:p>
        </w:tc>
        <w:tc>
          <w:tcPr>
            <w:tcW w:w="0" w:type="dxa"/>
            <w:vAlign w:val="bottom"/>
          </w:tcPr>
          <w:p>
            <w:pPr>
              <w:spacing w:after="0"/>
              <w:rPr>
                <w:sz w:val="1"/>
                <w:szCs w:val="1"/>
                <w:color w:val="auto"/>
              </w:rPr>
            </w:pPr>
          </w:p>
        </w:tc>
      </w:tr>
      <w:tr>
        <w:trPr>
          <w:trHeight w:val="189"/>
        </w:trPr>
        <w:tc>
          <w:tcPr>
            <w:tcW w:w="4540" w:type="dxa"/>
            <w:vAlign w:val="bottom"/>
          </w:tcPr>
          <w:p>
            <w:pPr>
              <w:ind w:left="80"/>
              <w:spacing w:after="0"/>
              <w:rPr>
                <w:sz w:val="20"/>
                <w:szCs w:val="20"/>
                <w:color w:val="auto"/>
              </w:rPr>
            </w:pPr>
            <w:r>
              <w:rPr>
                <w:rFonts w:ascii="Arial" w:cs="Arial" w:eastAsia="Arial" w:hAnsi="Arial"/>
                <w:sz w:val="12"/>
                <w:szCs w:val="12"/>
                <w:color w:val="auto"/>
              </w:rPr>
              <w:t>Settlement obligations</w:t>
            </w:r>
          </w:p>
        </w:tc>
        <w:tc>
          <w:tcPr>
            <w:tcW w:w="2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50,820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72,878</w:t>
            </w:r>
          </w:p>
        </w:tc>
        <w:tc>
          <w:tcPr>
            <w:tcW w:w="0" w:type="dxa"/>
            <w:vAlign w:val="bottom"/>
          </w:tcPr>
          <w:p>
            <w:pPr>
              <w:spacing w:after="0"/>
              <w:rPr>
                <w:sz w:val="1"/>
                <w:szCs w:val="1"/>
                <w:color w:val="auto"/>
              </w:rPr>
            </w:pPr>
          </w:p>
        </w:tc>
      </w:tr>
      <w:tr>
        <w:trPr>
          <w:trHeight w:val="169"/>
        </w:trPr>
        <w:tc>
          <w:tcPr>
            <w:tcW w:w="4540" w:type="dxa"/>
            <w:vAlign w:val="bottom"/>
          </w:tcPr>
          <w:p>
            <w:pPr>
              <w:ind w:left="300"/>
              <w:spacing w:after="0"/>
              <w:rPr>
                <w:sz w:val="20"/>
                <w:szCs w:val="20"/>
                <w:color w:val="auto"/>
              </w:rPr>
            </w:pPr>
            <w:r>
              <w:rPr>
                <w:rFonts w:ascii="Arial" w:cs="Arial" w:eastAsia="Arial" w:hAnsi="Arial"/>
                <w:sz w:val="12"/>
                <w:szCs w:val="12"/>
                <w:color w:val="auto"/>
              </w:rPr>
              <w:t>Total current liabilities</w:t>
            </w:r>
          </w:p>
        </w:tc>
        <w:tc>
          <w:tcPr>
            <w:tcW w:w="2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140,790</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148,848</w:t>
            </w:r>
          </w:p>
        </w:tc>
        <w:tc>
          <w:tcPr>
            <w:tcW w:w="0" w:type="dxa"/>
            <w:vAlign w:val="bottom"/>
          </w:tcPr>
          <w:p>
            <w:pPr>
              <w:spacing w:after="0"/>
              <w:rPr>
                <w:sz w:val="1"/>
                <w:szCs w:val="1"/>
                <w:color w:val="auto"/>
              </w:rPr>
            </w:pPr>
          </w:p>
        </w:tc>
      </w:tr>
      <w:tr>
        <w:trPr>
          <w:trHeight w:val="259"/>
        </w:trPr>
        <w:tc>
          <w:tcPr>
            <w:tcW w:w="4540" w:type="dxa"/>
            <w:vAlign w:val="bottom"/>
          </w:tcPr>
          <w:p>
            <w:pPr>
              <w:spacing w:after="0"/>
              <w:rPr>
                <w:sz w:val="20"/>
                <w:szCs w:val="20"/>
                <w:color w:val="auto"/>
              </w:rPr>
            </w:pPr>
            <w:r>
              <w:rPr>
                <w:rFonts w:ascii="Arial" w:cs="Arial" w:eastAsia="Arial" w:hAnsi="Arial"/>
                <w:sz w:val="12"/>
                <w:szCs w:val="12"/>
                <w:color w:val="auto"/>
              </w:rPr>
              <w:t>Long-term debt, net of current portion, discounts and debt issuance costs</w:t>
            </w:r>
          </w:p>
        </w:tc>
        <w:tc>
          <w:tcPr>
            <w:tcW w:w="2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350,667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357,873</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2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8,790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9,672</w:t>
            </w:r>
          </w:p>
        </w:tc>
        <w:tc>
          <w:tcPr>
            <w:tcW w:w="0" w:type="dxa"/>
            <w:vAlign w:val="bottom"/>
          </w:tcPr>
          <w:p>
            <w:pPr>
              <w:spacing w:after="0"/>
              <w:rPr>
                <w:sz w:val="1"/>
                <w:szCs w:val="1"/>
                <w:color w:val="auto"/>
              </w:rPr>
            </w:pPr>
          </w:p>
        </w:tc>
      </w:tr>
      <w:tr>
        <w:trPr>
          <w:trHeight w:val="167"/>
        </w:trPr>
        <w:tc>
          <w:tcPr>
            <w:tcW w:w="4540" w:type="dxa"/>
            <w:vAlign w:val="bottom"/>
          </w:tcPr>
          <w:p>
            <w:pPr>
              <w:ind w:left="300"/>
              <w:spacing w:after="0"/>
              <w:rPr>
                <w:sz w:val="20"/>
                <w:szCs w:val="20"/>
                <w:color w:val="auto"/>
              </w:rPr>
            </w:pPr>
            <w:r>
              <w:rPr>
                <w:rFonts w:ascii="Arial" w:cs="Arial" w:eastAsia="Arial" w:hAnsi="Arial"/>
                <w:sz w:val="12"/>
                <w:szCs w:val="12"/>
                <w:color w:val="auto"/>
              </w:rPr>
              <w:t>Total long-term liabilities</w:t>
            </w:r>
          </w:p>
        </w:tc>
        <w:tc>
          <w:tcPr>
            <w:tcW w:w="2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359,457</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367,545</w:t>
            </w:r>
          </w:p>
        </w:tc>
        <w:tc>
          <w:tcPr>
            <w:tcW w:w="0" w:type="dxa"/>
            <w:vAlign w:val="bottom"/>
          </w:tcPr>
          <w:p>
            <w:pPr>
              <w:spacing w:after="0"/>
              <w:rPr>
                <w:sz w:val="1"/>
                <w:szCs w:val="1"/>
                <w:color w:val="auto"/>
              </w:rPr>
            </w:pPr>
          </w:p>
        </w:tc>
      </w:tr>
      <w:tr>
        <w:trPr>
          <w:trHeight w:val="232"/>
        </w:trPr>
        <w:tc>
          <w:tcPr>
            <w:tcW w:w="4540" w:type="dxa"/>
            <w:vAlign w:val="bottom"/>
          </w:tcPr>
          <w:p>
            <w:pPr>
              <w:ind w:left="440"/>
              <w:spacing w:after="0"/>
              <w:rPr>
                <w:sz w:val="20"/>
                <w:szCs w:val="20"/>
                <w:color w:val="auto"/>
              </w:rPr>
            </w:pPr>
            <w:r>
              <w:rPr>
                <w:rFonts w:ascii="Arial" w:cs="Arial" w:eastAsia="Arial" w:hAnsi="Arial"/>
                <w:sz w:val="12"/>
                <w:szCs w:val="12"/>
                <w:b w:val="1"/>
                <w:bCs w:val="1"/>
                <w:color w:val="auto"/>
              </w:rPr>
              <w:t>Total liabilities</w:t>
            </w:r>
          </w:p>
        </w:tc>
        <w:tc>
          <w:tcPr>
            <w:tcW w:w="2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500,247</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516,393</w:t>
            </w:r>
          </w:p>
        </w:tc>
        <w:tc>
          <w:tcPr>
            <w:tcW w:w="0" w:type="dxa"/>
            <w:vAlign w:val="bottom"/>
          </w:tcPr>
          <w:p>
            <w:pPr>
              <w:spacing w:after="0"/>
              <w:rPr>
                <w:sz w:val="1"/>
                <w:szCs w:val="1"/>
                <w:color w:val="auto"/>
              </w:rPr>
            </w:pPr>
          </w:p>
        </w:tc>
      </w:tr>
      <w:tr>
        <w:trPr>
          <w:trHeight w:val="261"/>
        </w:trPr>
        <w:tc>
          <w:tcPr>
            <w:tcW w:w="4540" w:type="dxa"/>
            <w:vAlign w:val="bottom"/>
          </w:tcPr>
          <w:p>
            <w:pPr>
              <w:spacing w:after="0"/>
              <w:rPr>
                <w:sz w:val="20"/>
                <w:szCs w:val="20"/>
                <w:color w:val="auto"/>
              </w:rPr>
            </w:pPr>
            <w:r>
              <w:rPr>
                <w:rFonts w:ascii="Arial" w:cs="Arial" w:eastAsia="Arial" w:hAnsi="Arial"/>
                <w:sz w:val="12"/>
                <w:szCs w:val="12"/>
                <w:color w:val="auto"/>
              </w:rPr>
              <w:t>Stockholders' deficit:</w:t>
            </w:r>
          </w:p>
        </w:tc>
        <w:tc>
          <w:tcPr>
            <w:tcW w:w="2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4540" w:type="dxa"/>
            <w:vAlign w:val="bottom"/>
          </w:tcPr>
          <w:p>
            <w:pPr>
              <w:ind w:left="80"/>
              <w:spacing w:after="0"/>
              <w:rPr>
                <w:sz w:val="20"/>
                <w:szCs w:val="20"/>
                <w:color w:val="auto"/>
              </w:rPr>
            </w:pPr>
            <w:r>
              <w:rPr>
                <w:rFonts w:ascii="Arial" w:cs="Arial" w:eastAsia="Arial" w:hAnsi="Arial"/>
                <w:sz w:val="12"/>
                <w:szCs w:val="12"/>
                <w:color w:val="auto"/>
              </w:rPr>
              <w:t>Preferred stock</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4540" w:type="dxa"/>
            <w:vAlign w:val="bottom"/>
          </w:tcPr>
          <w:p>
            <w:pPr>
              <w:ind w:left="80"/>
              <w:spacing w:after="0"/>
              <w:rPr>
                <w:sz w:val="20"/>
                <w:szCs w:val="20"/>
                <w:color w:val="auto"/>
              </w:rPr>
            </w:pPr>
            <w:r>
              <w:rPr>
                <w:rFonts w:ascii="Arial" w:cs="Arial" w:eastAsia="Arial" w:hAnsi="Arial"/>
                <w:sz w:val="12"/>
                <w:szCs w:val="12"/>
                <w:color w:val="auto"/>
              </w:rPr>
              <w:t>Common stock</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80"/>
        </w:trPr>
        <w:tc>
          <w:tcPr>
            <w:tcW w:w="4540" w:type="dxa"/>
            <w:vAlign w:val="bottom"/>
          </w:tcPr>
          <w:p>
            <w:pPr>
              <w:ind w:left="80"/>
              <w:spacing w:after="0"/>
              <w:rPr>
                <w:sz w:val="20"/>
                <w:szCs w:val="20"/>
                <w:color w:val="auto"/>
              </w:rPr>
            </w:pPr>
            <w:r>
              <w:rPr>
                <w:rFonts w:ascii="Arial" w:cs="Arial" w:eastAsia="Arial" w:hAnsi="Arial"/>
                <w:sz w:val="12"/>
                <w:szCs w:val="12"/>
                <w:color w:val="auto"/>
              </w:rPr>
              <w:t>Additional paid-in capital</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7,257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5,769</w:t>
            </w:r>
          </w:p>
        </w:tc>
        <w:tc>
          <w:tcPr>
            <w:tcW w:w="0" w:type="dxa"/>
            <w:vAlign w:val="bottom"/>
          </w:tcPr>
          <w:p>
            <w:pPr>
              <w:spacing w:after="0"/>
              <w:rPr>
                <w:sz w:val="1"/>
                <w:szCs w:val="1"/>
                <w:color w:val="auto"/>
              </w:rPr>
            </w:pPr>
          </w:p>
        </w:tc>
      </w:tr>
      <w:tr>
        <w:trPr>
          <w:trHeight w:val="180"/>
        </w:trPr>
        <w:tc>
          <w:tcPr>
            <w:tcW w:w="4540" w:type="dxa"/>
            <w:vAlign w:val="bottom"/>
          </w:tcPr>
          <w:p>
            <w:pPr>
              <w:ind w:left="80"/>
              <w:spacing w:after="0"/>
              <w:rPr>
                <w:sz w:val="20"/>
                <w:szCs w:val="20"/>
                <w:color w:val="auto"/>
              </w:rPr>
            </w:pPr>
            <w:r>
              <w:rPr>
                <w:rFonts w:ascii="Arial" w:cs="Arial" w:eastAsia="Arial" w:hAnsi="Arial"/>
                <w:sz w:val="12"/>
                <w:szCs w:val="12"/>
                <w:color w:val="auto"/>
              </w:rPr>
              <w:t>Treasury stock, at cost</w:t>
            </w: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ind w:right="80"/>
              <w:spacing w:after="0"/>
              <w:rPr>
                <w:sz w:val="20"/>
                <w:szCs w:val="20"/>
                <w:color w:val="auto"/>
              </w:rPr>
            </w:pPr>
            <w:r>
              <w:rPr>
                <w:rFonts w:ascii="Arial" w:cs="Arial" w:eastAsia="Arial" w:hAnsi="Arial"/>
                <w:sz w:val="12"/>
                <w:szCs w:val="12"/>
                <w:color w:val="auto"/>
              </w:rPr>
              <w:t>(2,388)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ind w:right="80"/>
              <w:spacing w:after="0"/>
              <w:rPr>
                <w:sz w:val="20"/>
                <w:szCs w:val="20"/>
                <w:color w:val="auto"/>
              </w:rPr>
            </w:pPr>
            <w:r>
              <w:rPr>
                <w:rFonts w:ascii="Arial" w:cs="Arial" w:eastAsia="Arial" w:hAnsi="Arial"/>
                <w:sz w:val="12"/>
                <w:szCs w:val="12"/>
                <w:color w:val="auto"/>
              </w:rPr>
              <w:t>(2,388)</w:t>
            </w:r>
          </w:p>
        </w:tc>
        <w:tc>
          <w:tcPr>
            <w:tcW w:w="0" w:type="dxa"/>
            <w:vAlign w:val="bottom"/>
          </w:tcPr>
          <w:p>
            <w:pPr>
              <w:spacing w:after="0"/>
              <w:rPr>
                <w:sz w:val="1"/>
                <w:szCs w:val="1"/>
                <w:color w:val="auto"/>
              </w:rPr>
            </w:pPr>
          </w:p>
        </w:tc>
      </w:tr>
      <w:tr>
        <w:trPr>
          <w:trHeight w:val="187"/>
        </w:trPr>
        <w:tc>
          <w:tcPr>
            <w:tcW w:w="4540" w:type="dxa"/>
            <w:vAlign w:val="bottom"/>
          </w:tcPr>
          <w:p>
            <w:pPr>
              <w:ind w:left="80"/>
              <w:spacing w:after="0"/>
              <w:rPr>
                <w:sz w:val="20"/>
                <w:szCs w:val="20"/>
                <w:color w:val="auto"/>
              </w:rPr>
            </w:pPr>
            <w:r>
              <w:rPr>
                <w:rFonts w:ascii="Arial" w:cs="Arial" w:eastAsia="Arial" w:hAnsi="Arial"/>
                <w:sz w:val="12"/>
                <w:szCs w:val="12"/>
                <w:color w:val="auto"/>
              </w:rPr>
              <w:t>Accumulated deficit</w:t>
            </w:r>
          </w:p>
        </w:tc>
        <w:tc>
          <w:tcPr>
            <w:tcW w:w="2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(104,692)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(102,013)</w:t>
            </w:r>
          </w:p>
        </w:tc>
        <w:tc>
          <w:tcPr>
            <w:tcW w:w="0" w:type="dxa"/>
            <w:vAlign w:val="bottom"/>
          </w:tcPr>
          <w:p>
            <w:pPr>
              <w:spacing w:after="0"/>
              <w:rPr>
                <w:sz w:val="1"/>
                <w:szCs w:val="1"/>
                <w:color w:val="auto"/>
              </w:rPr>
            </w:pPr>
          </w:p>
        </w:tc>
      </w:tr>
      <w:tr>
        <w:trPr>
          <w:trHeight w:val="171"/>
        </w:trPr>
        <w:tc>
          <w:tcPr>
            <w:tcW w:w="4540" w:type="dxa"/>
            <w:vAlign w:val="bottom"/>
          </w:tcPr>
          <w:p>
            <w:pPr>
              <w:ind w:left="360"/>
              <w:spacing w:after="0"/>
              <w:rPr>
                <w:sz w:val="20"/>
                <w:szCs w:val="20"/>
                <w:color w:val="auto"/>
              </w:rPr>
            </w:pPr>
            <w:r>
              <w:rPr>
                <w:rFonts w:ascii="Arial" w:cs="Arial" w:eastAsia="Arial" w:hAnsi="Arial"/>
                <w:sz w:val="12"/>
                <w:szCs w:val="12"/>
                <w:b w:val="1"/>
                <w:bCs w:val="1"/>
                <w:color w:val="auto"/>
              </w:rPr>
              <w:t>Total stockholders' deficit</w:t>
            </w:r>
          </w:p>
        </w:tc>
        <w:tc>
          <w:tcPr>
            <w:tcW w:w="2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(99,755)</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(98,564)</w:t>
            </w:r>
          </w:p>
        </w:tc>
        <w:tc>
          <w:tcPr>
            <w:tcW w:w="0" w:type="dxa"/>
            <w:vAlign w:val="bottom"/>
          </w:tcPr>
          <w:p>
            <w:pPr>
              <w:spacing w:after="0"/>
              <w:rPr>
                <w:sz w:val="1"/>
                <w:szCs w:val="1"/>
                <w:color w:val="auto"/>
              </w:rPr>
            </w:pPr>
          </w:p>
        </w:tc>
      </w:tr>
      <w:tr>
        <w:trPr>
          <w:trHeight w:val="277"/>
        </w:trPr>
        <w:tc>
          <w:tcPr>
            <w:tcW w:w="4540" w:type="dxa"/>
            <w:vAlign w:val="bottom"/>
          </w:tcPr>
          <w:p>
            <w:pPr>
              <w:ind w:left="440"/>
              <w:spacing w:after="0"/>
              <w:rPr>
                <w:sz w:val="20"/>
                <w:szCs w:val="20"/>
                <w:color w:val="auto"/>
              </w:rPr>
            </w:pPr>
            <w:r>
              <w:rPr>
                <w:rFonts w:ascii="Arial" w:cs="Arial" w:eastAsia="Arial" w:hAnsi="Arial"/>
                <w:sz w:val="12"/>
                <w:szCs w:val="12"/>
                <w:b w:val="1"/>
                <w:bCs w:val="1"/>
                <w:color w:val="auto"/>
              </w:rPr>
              <w:t>Total liabilities and stockholders' deficit</w:t>
            </w:r>
          </w:p>
        </w:tc>
        <w:tc>
          <w:tcPr>
            <w:tcW w:w="2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60" w:type="dxa"/>
            <w:vAlign w:val="bottom"/>
          </w:tcPr>
          <w:p>
            <w:pPr>
              <w:jc w:val="right"/>
              <w:ind w:right="100"/>
              <w:spacing w:after="0"/>
              <w:rPr>
                <w:sz w:val="20"/>
                <w:szCs w:val="20"/>
                <w:color w:val="auto"/>
              </w:rPr>
            </w:pPr>
            <w:r>
              <w:rPr>
                <w:rFonts w:ascii="Arial" w:cs="Arial" w:eastAsia="Arial" w:hAnsi="Arial"/>
                <w:sz w:val="12"/>
                <w:szCs w:val="12"/>
                <w:color w:val="auto"/>
              </w:rPr>
              <w:t>400,492</w:t>
            </w:r>
          </w:p>
        </w:tc>
        <w:tc>
          <w:tcPr>
            <w:tcW w:w="100" w:type="dxa"/>
            <w:vAlign w:val="bottom"/>
          </w:tcPr>
          <w:p>
            <w:pPr>
              <w:spacing w:after="0"/>
              <w:rPr>
                <w:sz w:val="24"/>
                <w:szCs w:val="2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ind w:right="120"/>
              <w:spacing w:after="0"/>
              <w:rPr>
                <w:sz w:val="20"/>
                <w:szCs w:val="20"/>
                <w:color w:val="auto"/>
              </w:rPr>
            </w:pPr>
            <w:r>
              <w:rPr>
                <w:rFonts w:ascii="Arial" w:cs="Arial" w:eastAsia="Arial" w:hAnsi="Arial"/>
                <w:sz w:val="12"/>
                <w:szCs w:val="12"/>
                <w:color w:val="auto"/>
              </w:rPr>
              <w:t>417,829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40" w:type="dxa"/>
            <w:vAlign w:val="bottom"/>
            <w:vMerge w:val="restart"/>
          </w:tcPr>
          <w:p>
            <w:pPr>
              <w:jc w:val="right"/>
              <w:ind w:right="1420"/>
              <w:spacing w:after="0"/>
              <w:rPr>
                <w:sz w:val="20"/>
                <w:szCs w:val="20"/>
                <w:color w:val="auto"/>
              </w:rPr>
            </w:pPr>
            <w:r>
              <w:rPr>
                <w:rFonts w:ascii="Arial" w:cs="Arial" w:eastAsia="Arial" w:hAnsi="Arial"/>
                <w:sz w:val="12"/>
                <w:szCs w:val="12"/>
                <w:color w:val="auto"/>
              </w:rPr>
              <w:t>11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45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68" w:right="29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2"/>
          <w:szCs w:val="12"/>
          <w:b w:val="1"/>
          <w:bCs w:val="1"/>
          <w:color w:val="auto"/>
        </w:rPr>
        <w:t>PRIORITY TECHNOLOGY HOLDINGS,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8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3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2"/>
                <w:szCs w:val="12"/>
                <w:b w:val="1"/>
                <w:bCs w:val="1"/>
                <w:color w:val="auto"/>
              </w:rPr>
              <w:t>Three Months Ended March 31,</w:t>
            </w:r>
          </w:p>
        </w:tc>
        <w:tc>
          <w:tcPr>
            <w:tcW w:w="0" w:type="dxa"/>
            <w:vAlign w:val="bottom"/>
          </w:tcPr>
          <w:p>
            <w:pPr>
              <w:spacing w:after="0"/>
              <w:rPr>
                <w:sz w:val="1"/>
                <w:szCs w:val="1"/>
                <w:color w:val="auto"/>
              </w:rPr>
            </w:pPr>
          </w:p>
        </w:tc>
      </w:tr>
      <w:tr>
        <w:trPr>
          <w:trHeight w:val="167"/>
        </w:trPr>
        <w:tc>
          <w:tcPr>
            <w:tcW w:w="4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3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80" w:type="dxa"/>
            <w:vAlign w:val="bottom"/>
          </w:tcPr>
          <w:p>
            <w:pPr>
              <w:ind w:left="80"/>
              <w:spacing w:after="0"/>
              <w:rPr>
                <w:sz w:val="20"/>
                <w:szCs w:val="20"/>
                <w:color w:val="auto"/>
              </w:rPr>
            </w:pPr>
            <w:r>
              <w:rPr>
                <w:rFonts w:ascii="Arial" w:cs="Arial" w:eastAsia="Arial" w:hAnsi="Arial"/>
                <w:sz w:val="12"/>
                <w:szCs w:val="12"/>
                <w:color w:val="auto"/>
              </w:rPr>
              <w:t>Net loss</w:t>
            </w:r>
          </w:p>
        </w:tc>
        <w:tc>
          <w:tcPr>
            <w:tcW w:w="36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(2,679)</w:t>
            </w:r>
          </w:p>
        </w:tc>
        <w:tc>
          <w:tcPr>
            <w:tcW w:w="120" w:type="dxa"/>
            <w:vAlign w:val="bottom"/>
          </w:tcPr>
          <w:p>
            <w:pPr>
              <w:spacing w:after="0"/>
              <w:rPr>
                <w:sz w:val="15"/>
                <w:szCs w:val="15"/>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(5,869)</w:t>
            </w:r>
          </w:p>
        </w:tc>
        <w:tc>
          <w:tcPr>
            <w:tcW w:w="0" w:type="dxa"/>
            <w:vAlign w:val="bottom"/>
          </w:tcPr>
          <w:p>
            <w:pPr>
              <w:spacing w:after="0"/>
              <w:rPr>
                <w:sz w:val="1"/>
                <w:szCs w:val="1"/>
                <w:color w:val="auto"/>
              </w:rPr>
            </w:pPr>
          </w:p>
        </w:tc>
      </w:tr>
      <w:tr>
        <w:trPr>
          <w:trHeight w:val="180"/>
        </w:trPr>
        <w:tc>
          <w:tcPr>
            <w:tcW w:w="4580" w:type="dxa"/>
            <w:vAlign w:val="bottom"/>
          </w:tcPr>
          <w:p>
            <w:pPr>
              <w:ind w:left="8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80" w:type="dxa"/>
            <w:vAlign w:val="bottom"/>
          </w:tcPr>
          <w:p>
            <w:pPr>
              <w:ind w:left="140"/>
              <w:spacing w:after="0"/>
              <w:rPr>
                <w:sz w:val="20"/>
                <w:szCs w:val="20"/>
                <w:color w:val="auto"/>
              </w:rPr>
            </w:pPr>
            <w:r>
              <w:rPr>
                <w:rFonts w:ascii="Arial" w:cs="Arial" w:eastAsia="Arial" w:hAnsi="Arial"/>
                <w:sz w:val="12"/>
                <w:szCs w:val="12"/>
                <w:color w:val="auto"/>
              </w:rPr>
              <w:t>Depreciation and amortization of assets</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9,070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120"/>
              <w:spacing w:after="0"/>
              <w:rPr>
                <w:sz w:val="20"/>
                <w:szCs w:val="20"/>
                <w:color w:val="auto"/>
              </w:rPr>
            </w:pPr>
            <w:r>
              <w:rPr>
                <w:rFonts w:ascii="Arial" w:cs="Arial" w:eastAsia="Arial" w:hAnsi="Arial"/>
                <w:sz w:val="12"/>
                <w:szCs w:val="12"/>
                <w:color w:val="auto"/>
              </w:rPr>
              <w:t>10,272</w:t>
            </w:r>
          </w:p>
        </w:tc>
        <w:tc>
          <w:tcPr>
            <w:tcW w:w="0" w:type="dxa"/>
            <w:vAlign w:val="bottom"/>
          </w:tcPr>
          <w:p>
            <w:pPr>
              <w:spacing w:after="0"/>
              <w:rPr>
                <w:sz w:val="1"/>
                <w:szCs w:val="1"/>
                <w:color w:val="auto"/>
              </w:rPr>
            </w:pPr>
          </w:p>
        </w:tc>
      </w:tr>
      <w:tr>
        <w:trPr>
          <w:trHeight w:val="180"/>
        </w:trPr>
        <w:tc>
          <w:tcPr>
            <w:tcW w:w="4580" w:type="dxa"/>
            <w:vAlign w:val="bottom"/>
          </w:tcPr>
          <w:p>
            <w:pPr>
              <w:ind w:left="140"/>
              <w:spacing w:after="0"/>
              <w:rPr>
                <w:sz w:val="20"/>
                <w:szCs w:val="20"/>
                <w:color w:val="auto"/>
              </w:rPr>
            </w:pPr>
            <w:r>
              <w:rPr>
                <w:rFonts w:ascii="Arial" w:cs="Arial" w:eastAsia="Arial" w:hAnsi="Arial"/>
                <w:sz w:val="12"/>
                <w:szCs w:val="12"/>
                <w:color w:val="auto"/>
              </w:rPr>
              <w:t>Equity-classified and liability-classified stock-based compensation</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558</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120"/>
              <w:spacing w:after="0"/>
              <w:rPr>
                <w:sz w:val="20"/>
                <w:szCs w:val="20"/>
                <w:color w:val="auto"/>
              </w:rPr>
            </w:pPr>
            <w:r>
              <w:rPr>
                <w:rFonts w:ascii="Arial" w:cs="Arial" w:eastAsia="Arial" w:hAnsi="Arial"/>
                <w:sz w:val="12"/>
                <w:szCs w:val="12"/>
                <w:color w:val="auto"/>
              </w:rPr>
              <w:t>338</w:t>
            </w:r>
          </w:p>
        </w:tc>
        <w:tc>
          <w:tcPr>
            <w:tcW w:w="0" w:type="dxa"/>
            <w:vAlign w:val="bottom"/>
          </w:tcPr>
          <w:p>
            <w:pPr>
              <w:spacing w:after="0"/>
              <w:rPr>
                <w:sz w:val="1"/>
                <w:szCs w:val="1"/>
                <w:color w:val="auto"/>
              </w:rPr>
            </w:pPr>
          </w:p>
        </w:tc>
      </w:tr>
      <w:tr>
        <w:trPr>
          <w:trHeight w:val="180"/>
        </w:trPr>
        <w:tc>
          <w:tcPr>
            <w:tcW w:w="4580" w:type="dxa"/>
            <w:vAlign w:val="bottom"/>
          </w:tcPr>
          <w:p>
            <w:pPr>
              <w:ind w:left="140"/>
              <w:spacing w:after="0"/>
              <w:rPr>
                <w:sz w:val="20"/>
                <w:szCs w:val="20"/>
                <w:color w:val="auto"/>
              </w:rPr>
            </w:pPr>
            <w:r>
              <w:rPr>
                <w:rFonts w:ascii="Arial" w:cs="Arial" w:eastAsia="Arial" w:hAnsi="Arial"/>
                <w:sz w:val="12"/>
                <w:szCs w:val="12"/>
                <w:color w:val="auto"/>
              </w:rPr>
              <w:t>Amortization of debt issuance costs and discounts</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590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120"/>
              <w:spacing w:after="0"/>
              <w:rPr>
                <w:sz w:val="20"/>
                <w:szCs w:val="20"/>
                <w:color w:val="auto"/>
              </w:rPr>
            </w:pPr>
            <w:r>
              <w:rPr>
                <w:rFonts w:ascii="Arial" w:cs="Arial" w:eastAsia="Arial" w:hAnsi="Arial"/>
                <w:sz w:val="12"/>
                <w:szCs w:val="12"/>
                <w:color w:val="auto"/>
              </w:rPr>
              <w:t>460</w:t>
            </w:r>
          </w:p>
        </w:tc>
        <w:tc>
          <w:tcPr>
            <w:tcW w:w="0" w:type="dxa"/>
            <w:vAlign w:val="bottom"/>
          </w:tcPr>
          <w:p>
            <w:pPr>
              <w:spacing w:after="0"/>
              <w:rPr>
                <w:sz w:val="1"/>
                <w:szCs w:val="1"/>
                <w:color w:val="auto"/>
              </w:rPr>
            </w:pPr>
          </w:p>
        </w:tc>
      </w:tr>
      <w:tr>
        <w:trPr>
          <w:trHeight w:val="180"/>
        </w:trPr>
        <w:tc>
          <w:tcPr>
            <w:tcW w:w="4580" w:type="dxa"/>
            <w:vAlign w:val="bottom"/>
          </w:tcPr>
          <w:p>
            <w:pPr>
              <w:ind w:left="140"/>
              <w:spacing w:after="0"/>
              <w:rPr>
                <w:sz w:val="20"/>
                <w:szCs w:val="20"/>
                <w:color w:val="auto"/>
              </w:rPr>
            </w:pPr>
            <w:r>
              <w:rPr>
                <w:rFonts w:ascii="Arial" w:cs="Arial" w:eastAsia="Arial" w:hAnsi="Arial"/>
                <w:sz w:val="12"/>
                <w:szCs w:val="12"/>
                <w:color w:val="auto"/>
              </w:rPr>
              <w:t>Deferred income tax benefit, net of change in allowance</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(2,299)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(1,233)</w:t>
            </w:r>
          </w:p>
        </w:tc>
        <w:tc>
          <w:tcPr>
            <w:tcW w:w="0" w:type="dxa"/>
            <w:vAlign w:val="bottom"/>
          </w:tcPr>
          <w:p>
            <w:pPr>
              <w:spacing w:after="0"/>
              <w:rPr>
                <w:sz w:val="1"/>
                <w:szCs w:val="1"/>
                <w:color w:val="auto"/>
              </w:rPr>
            </w:pPr>
          </w:p>
        </w:tc>
      </w:tr>
      <w:tr>
        <w:trPr>
          <w:trHeight w:val="180"/>
        </w:trPr>
        <w:tc>
          <w:tcPr>
            <w:tcW w:w="4580" w:type="dxa"/>
            <w:vAlign w:val="bottom"/>
          </w:tcPr>
          <w:p>
            <w:pPr>
              <w:ind w:left="140"/>
              <w:spacing w:after="0"/>
              <w:rPr>
                <w:sz w:val="20"/>
                <w:szCs w:val="20"/>
                <w:color w:val="auto"/>
              </w:rPr>
            </w:pPr>
            <w:r>
              <w:rPr>
                <w:rFonts w:ascii="Arial" w:cs="Arial" w:eastAsia="Arial" w:hAnsi="Arial"/>
                <w:sz w:val="12"/>
                <w:szCs w:val="12"/>
                <w:color w:val="auto"/>
              </w:rPr>
              <w:t>Payment-in-kind interest</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1,924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120"/>
              <w:spacing w:after="0"/>
              <w:rPr>
                <w:sz w:val="20"/>
                <w:szCs w:val="20"/>
                <w:color w:val="auto"/>
              </w:rPr>
            </w:pPr>
            <w:r>
              <w:rPr>
                <w:rFonts w:ascii="Arial" w:cs="Arial" w:eastAsia="Arial" w:hAnsi="Arial"/>
                <w:sz w:val="12"/>
                <w:szCs w:val="12"/>
                <w:color w:val="auto"/>
              </w:rPr>
              <w:t>1,391</w:t>
            </w:r>
          </w:p>
        </w:tc>
        <w:tc>
          <w:tcPr>
            <w:tcW w:w="0" w:type="dxa"/>
            <w:vAlign w:val="bottom"/>
          </w:tcPr>
          <w:p>
            <w:pPr>
              <w:spacing w:after="0"/>
              <w:rPr>
                <w:sz w:val="1"/>
                <w:szCs w:val="1"/>
                <w:color w:val="auto"/>
              </w:rPr>
            </w:pPr>
          </w:p>
        </w:tc>
      </w:tr>
      <w:tr>
        <w:trPr>
          <w:trHeight w:val="180"/>
        </w:trPr>
        <w:tc>
          <w:tcPr>
            <w:tcW w:w="4580" w:type="dxa"/>
            <w:vAlign w:val="bottom"/>
          </w:tcPr>
          <w:p>
            <w:pPr>
              <w:ind w:left="140"/>
              <w:spacing w:after="0"/>
              <w:rPr>
                <w:sz w:val="20"/>
                <w:szCs w:val="20"/>
                <w:color w:val="auto"/>
              </w:rPr>
            </w:pPr>
            <w:r>
              <w:rPr>
                <w:rFonts w:ascii="Arial" w:cs="Arial" w:eastAsia="Arial" w:hAnsi="Arial"/>
                <w:sz w:val="12"/>
                <w:szCs w:val="12"/>
                <w:color w:val="auto"/>
              </w:rPr>
              <w:t>Other non-cash items, net</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(64)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120"/>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80"/>
        </w:trPr>
        <w:tc>
          <w:tcPr>
            <w:tcW w:w="4580" w:type="dxa"/>
            <w:vAlign w:val="bottom"/>
          </w:tcPr>
          <w:p>
            <w:pPr>
              <w:ind w:left="80"/>
              <w:spacing w:after="0"/>
              <w:rPr>
                <w:sz w:val="20"/>
                <w:szCs w:val="20"/>
                <w:color w:val="auto"/>
              </w:rPr>
            </w:pPr>
            <w:r>
              <w:rPr>
                <w:rFonts w:ascii="Arial" w:cs="Arial" w:eastAsia="Arial" w:hAnsi="Arial"/>
                <w:sz w:val="12"/>
                <w:szCs w:val="12"/>
                <w:color w:val="auto"/>
              </w:rPr>
              <w:t>Change in operating assets and liabilities:</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80" w:type="dxa"/>
            <w:vAlign w:val="bottom"/>
          </w:tcPr>
          <w:p>
            <w:pPr>
              <w:ind w:left="220"/>
              <w:spacing w:after="0"/>
              <w:rPr>
                <w:sz w:val="20"/>
                <w:szCs w:val="20"/>
                <w:color w:val="auto"/>
              </w:rPr>
            </w:pPr>
            <w:r>
              <w:rPr>
                <w:rFonts w:ascii="Arial" w:cs="Arial" w:eastAsia="Arial" w:hAnsi="Arial"/>
                <w:sz w:val="12"/>
                <w:szCs w:val="12"/>
                <w:color w:val="auto"/>
              </w:rPr>
              <w:t>Accounts receivable</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(9,575)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120"/>
              <w:spacing w:after="0"/>
              <w:rPr>
                <w:sz w:val="20"/>
                <w:szCs w:val="20"/>
                <w:color w:val="auto"/>
              </w:rPr>
            </w:pPr>
            <w:r>
              <w:rPr>
                <w:rFonts w:ascii="Arial" w:cs="Arial" w:eastAsia="Arial" w:hAnsi="Arial"/>
                <w:sz w:val="12"/>
                <w:szCs w:val="12"/>
                <w:color w:val="auto"/>
              </w:rPr>
              <w:t>631</w:t>
            </w:r>
          </w:p>
        </w:tc>
        <w:tc>
          <w:tcPr>
            <w:tcW w:w="0" w:type="dxa"/>
            <w:vAlign w:val="bottom"/>
          </w:tcPr>
          <w:p>
            <w:pPr>
              <w:spacing w:after="0"/>
              <w:rPr>
                <w:sz w:val="1"/>
                <w:szCs w:val="1"/>
                <w:color w:val="auto"/>
              </w:rPr>
            </w:pPr>
          </w:p>
        </w:tc>
      </w:tr>
      <w:tr>
        <w:trPr>
          <w:trHeight w:val="180"/>
        </w:trPr>
        <w:tc>
          <w:tcPr>
            <w:tcW w:w="4580" w:type="dxa"/>
            <w:vAlign w:val="bottom"/>
          </w:tcPr>
          <w:p>
            <w:pPr>
              <w:ind w:left="220"/>
              <w:spacing w:after="0"/>
              <w:rPr>
                <w:sz w:val="20"/>
                <w:szCs w:val="20"/>
                <w:color w:val="auto"/>
              </w:rPr>
            </w:pPr>
            <w:r>
              <w:rPr>
                <w:rFonts w:ascii="Arial" w:cs="Arial" w:eastAsia="Arial" w:hAnsi="Arial"/>
                <w:sz w:val="12"/>
                <w:szCs w:val="12"/>
                <w:color w:val="auto"/>
              </w:rPr>
              <w:t>Settlement assets and obligations, net</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(22,526)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(7,047)</w:t>
            </w:r>
          </w:p>
        </w:tc>
        <w:tc>
          <w:tcPr>
            <w:tcW w:w="0" w:type="dxa"/>
            <w:vAlign w:val="bottom"/>
          </w:tcPr>
          <w:p>
            <w:pPr>
              <w:spacing w:after="0"/>
              <w:rPr>
                <w:sz w:val="1"/>
                <w:szCs w:val="1"/>
                <w:color w:val="auto"/>
              </w:rPr>
            </w:pPr>
          </w:p>
        </w:tc>
      </w:tr>
      <w:tr>
        <w:trPr>
          <w:trHeight w:val="180"/>
        </w:trPr>
        <w:tc>
          <w:tcPr>
            <w:tcW w:w="4580" w:type="dxa"/>
            <w:vAlign w:val="bottom"/>
          </w:tcPr>
          <w:p>
            <w:pPr>
              <w:ind w:left="220"/>
              <w:spacing w:after="0"/>
              <w:rPr>
                <w:sz w:val="20"/>
                <w:szCs w:val="20"/>
                <w:color w:val="auto"/>
              </w:rPr>
            </w:pPr>
            <w:r>
              <w:rPr>
                <w:rFonts w:ascii="Arial" w:cs="Arial" w:eastAsia="Arial" w:hAnsi="Arial"/>
                <w:sz w:val="12"/>
                <w:szCs w:val="12"/>
                <w:color w:val="auto"/>
              </w:rPr>
              <w:t>Prepaid expenses and other current assets</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(583)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120"/>
              <w:spacing w:after="0"/>
              <w:rPr>
                <w:sz w:val="20"/>
                <w:szCs w:val="20"/>
                <w:color w:val="auto"/>
              </w:rPr>
            </w:pPr>
            <w:r>
              <w:rPr>
                <w:rFonts w:ascii="Arial" w:cs="Arial" w:eastAsia="Arial" w:hAnsi="Arial"/>
                <w:sz w:val="12"/>
                <w:szCs w:val="12"/>
                <w:color w:val="auto"/>
              </w:rPr>
              <w:t>390</w:t>
            </w:r>
          </w:p>
        </w:tc>
        <w:tc>
          <w:tcPr>
            <w:tcW w:w="0" w:type="dxa"/>
            <w:vAlign w:val="bottom"/>
          </w:tcPr>
          <w:p>
            <w:pPr>
              <w:spacing w:after="0"/>
              <w:rPr>
                <w:sz w:val="1"/>
                <w:szCs w:val="1"/>
                <w:color w:val="auto"/>
              </w:rPr>
            </w:pPr>
          </w:p>
        </w:tc>
      </w:tr>
      <w:tr>
        <w:trPr>
          <w:trHeight w:val="180"/>
        </w:trPr>
        <w:tc>
          <w:tcPr>
            <w:tcW w:w="4580" w:type="dxa"/>
            <w:vAlign w:val="bottom"/>
          </w:tcPr>
          <w:p>
            <w:pPr>
              <w:ind w:left="220"/>
              <w:spacing w:after="0"/>
              <w:rPr>
                <w:sz w:val="20"/>
                <w:szCs w:val="20"/>
                <w:color w:val="auto"/>
              </w:rPr>
            </w:pPr>
            <w:r>
              <w:rPr>
                <w:rFonts w:ascii="Arial" w:cs="Arial" w:eastAsia="Arial" w:hAnsi="Arial"/>
                <w:sz w:val="12"/>
                <w:szCs w:val="12"/>
                <w:color w:val="auto"/>
              </w:rPr>
              <w:t>Notes receivable</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862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(927)</w:t>
            </w:r>
          </w:p>
        </w:tc>
        <w:tc>
          <w:tcPr>
            <w:tcW w:w="0" w:type="dxa"/>
            <w:vAlign w:val="bottom"/>
          </w:tcPr>
          <w:p>
            <w:pPr>
              <w:spacing w:after="0"/>
              <w:rPr>
                <w:sz w:val="1"/>
                <w:szCs w:val="1"/>
                <w:color w:val="auto"/>
              </w:rPr>
            </w:pPr>
          </w:p>
        </w:tc>
      </w:tr>
      <w:tr>
        <w:trPr>
          <w:trHeight w:val="180"/>
        </w:trPr>
        <w:tc>
          <w:tcPr>
            <w:tcW w:w="4580" w:type="dxa"/>
            <w:vAlign w:val="bottom"/>
          </w:tcPr>
          <w:p>
            <w:pPr>
              <w:ind w:left="220"/>
              <w:spacing w:after="0"/>
              <w:rPr>
                <w:sz w:val="20"/>
                <w:szCs w:val="20"/>
                <w:color w:val="auto"/>
              </w:rPr>
            </w:pPr>
            <w:r>
              <w:rPr>
                <w:rFonts w:ascii="Arial" w:cs="Arial" w:eastAsia="Arial" w:hAnsi="Arial"/>
                <w:sz w:val="12"/>
                <w:szCs w:val="12"/>
                <w:color w:val="auto"/>
              </w:rPr>
              <w:t>Accounts payable and other accrued liabilities</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8,633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(3,541)</w:t>
            </w:r>
          </w:p>
        </w:tc>
        <w:tc>
          <w:tcPr>
            <w:tcW w:w="0" w:type="dxa"/>
            <w:vAlign w:val="bottom"/>
          </w:tcPr>
          <w:p>
            <w:pPr>
              <w:spacing w:after="0"/>
              <w:rPr>
                <w:sz w:val="1"/>
                <w:szCs w:val="1"/>
                <w:color w:val="auto"/>
              </w:rPr>
            </w:pPr>
          </w:p>
        </w:tc>
      </w:tr>
      <w:tr>
        <w:trPr>
          <w:trHeight w:val="180"/>
        </w:trPr>
        <w:tc>
          <w:tcPr>
            <w:tcW w:w="4580" w:type="dxa"/>
            <w:vAlign w:val="bottom"/>
          </w:tcPr>
          <w:p>
            <w:pPr>
              <w:ind w:left="220"/>
              <w:spacing w:after="0"/>
              <w:rPr>
                <w:sz w:val="20"/>
                <w:szCs w:val="20"/>
                <w:color w:val="auto"/>
              </w:rPr>
            </w:pPr>
            <w:r>
              <w:rPr>
                <w:rFonts w:ascii="Arial" w:cs="Arial" w:eastAsia="Arial" w:hAnsi="Arial"/>
                <w:sz w:val="12"/>
                <w:szCs w:val="12"/>
                <w:color w:val="auto"/>
              </w:rPr>
              <w:t>Customer deposits and advance payments</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2,604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(1,647)</w:t>
            </w:r>
          </w:p>
        </w:tc>
        <w:tc>
          <w:tcPr>
            <w:tcW w:w="0" w:type="dxa"/>
            <w:vAlign w:val="bottom"/>
          </w:tcPr>
          <w:p>
            <w:pPr>
              <w:spacing w:after="0"/>
              <w:rPr>
                <w:sz w:val="1"/>
                <w:szCs w:val="1"/>
                <w:color w:val="auto"/>
              </w:rPr>
            </w:pPr>
          </w:p>
        </w:tc>
      </w:tr>
      <w:tr>
        <w:trPr>
          <w:trHeight w:val="187"/>
        </w:trPr>
        <w:tc>
          <w:tcPr>
            <w:tcW w:w="4580" w:type="dxa"/>
            <w:vAlign w:val="bottom"/>
          </w:tcPr>
          <w:p>
            <w:pPr>
              <w:ind w:left="220"/>
              <w:spacing w:after="0"/>
              <w:rPr>
                <w:sz w:val="20"/>
                <w:szCs w:val="20"/>
                <w:color w:val="auto"/>
              </w:rPr>
            </w:pPr>
            <w:r>
              <w:rPr>
                <w:rFonts w:ascii="Arial" w:cs="Arial" w:eastAsia="Arial" w:hAnsi="Arial"/>
                <w:sz w:val="12"/>
                <w:szCs w:val="12"/>
                <w:color w:val="auto"/>
              </w:rPr>
              <w:t>Other assets and liabilities, net</w:t>
            </w:r>
          </w:p>
        </w:tc>
        <w:tc>
          <w:tcPr>
            <w:tcW w:w="3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59</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(680)</w:t>
            </w:r>
          </w:p>
        </w:tc>
        <w:tc>
          <w:tcPr>
            <w:tcW w:w="0" w:type="dxa"/>
            <w:vAlign w:val="bottom"/>
          </w:tcPr>
          <w:p>
            <w:pPr>
              <w:spacing w:after="0"/>
              <w:rPr>
                <w:sz w:val="1"/>
                <w:szCs w:val="1"/>
                <w:color w:val="auto"/>
              </w:rPr>
            </w:pPr>
          </w:p>
        </w:tc>
      </w:tr>
      <w:tr>
        <w:trPr>
          <w:trHeight w:val="169"/>
        </w:trPr>
        <w:tc>
          <w:tcPr>
            <w:tcW w:w="4580" w:type="dxa"/>
            <w:vAlign w:val="bottom"/>
          </w:tcPr>
          <w:p>
            <w:pPr>
              <w:ind w:left="140"/>
              <w:spacing w:after="0"/>
              <w:rPr>
                <w:sz w:val="20"/>
                <w:szCs w:val="20"/>
                <w:color w:val="auto"/>
              </w:rPr>
            </w:pPr>
            <w:r>
              <w:rPr>
                <w:rFonts w:ascii="Arial" w:cs="Arial" w:eastAsia="Arial" w:hAnsi="Arial"/>
                <w:sz w:val="12"/>
                <w:szCs w:val="12"/>
                <w:b w:val="1"/>
                <w:bCs w:val="1"/>
                <w:color w:val="auto"/>
              </w:rPr>
              <w:t>Net cash used in operating activities</w:t>
            </w:r>
          </w:p>
        </w:tc>
        <w:tc>
          <w:tcPr>
            <w:tcW w:w="3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(13,426)</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(7,254)</w:t>
            </w:r>
          </w:p>
        </w:tc>
        <w:tc>
          <w:tcPr>
            <w:tcW w:w="0" w:type="dxa"/>
            <w:vAlign w:val="bottom"/>
          </w:tcPr>
          <w:p>
            <w:pPr>
              <w:spacing w:after="0"/>
              <w:rPr>
                <w:sz w:val="1"/>
                <w:szCs w:val="1"/>
                <w:color w:val="auto"/>
              </w:rPr>
            </w:pPr>
          </w:p>
        </w:tc>
      </w:tr>
      <w:tr>
        <w:trPr>
          <w:trHeight w:val="261"/>
        </w:trPr>
        <w:tc>
          <w:tcPr>
            <w:tcW w:w="458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3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4580" w:type="dxa"/>
            <w:vAlign w:val="bottom"/>
          </w:tcPr>
          <w:p>
            <w:pPr>
              <w:ind w:left="80"/>
              <w:spacing w:after="0"/>
              <w:rPr>
                <w:sz w:val="20"/>
                <w:szCs w:val="20"/>
                <w:color w:val="auto"/>
              </w:rPr>
            </w:pPr>
            <w:r>
              <w:rPr>
                <w:rFonts w:ascii="Arial" w:cs="Arial" w:eastAsia="Arial" w:hAnsi="Arial"/>
                <w:sz w:val="12"/>
                <w:szCs w:val="12"/>
                <w:color w:val="auto"/>
              </w:rPr>
              <w:t>Additions to property, equipment, and software</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(2,754)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(2,281)</w:t>
            </w:r>
          </w:p>
        </w:tc>
        <w:tc>
          <w:tcPr>
            <w:tcW w:w="0" w:type="dxa"/>
            <w:vAlign w:val="bottom"/>
          </w:tcPr>
          <w:p>
            <w:pPr>
              <w:spacing w:after="0"/>
              <w:rPr>
                <w:sz w:val="1"/>
                <w:szCs w:val="1"/>
                <w:color w:val="auto"/>
              </w:rPr>
            </w:pPr>
          </w:p>
        </w:tc>
      </w:tr>
      <w:tr>
        <w:trPr>
          <w:trHeight w:val="187"/>
        </w:trPr>
        <w:tc>
          <w:tcPr>
            <w:tcW w:w="4580" w:type="dxa"/>
            <w:vAlign w:val="bottom"/>
          </w:tcPr>
          <w:p>
            <w:pPr>
              <w:ind w:left="80"/>
              <w:spacing w:after="0"/>
              <w:rPr>
                <w:sz w:val="20"/>
                <w:szCs w:val="20"/>
                <w:color w:val="auto"/>
              </w:rPr>
            </w:pPr>
            <w:r>
              <w:rPr>
                <w:rFonts w:ascii="Arial" w:cs="Arial" w:eastAsia="Arial" w:hAnsi="Arial"/>
                <w:sz w:val="12"/>
                <w:szCs w:val="12"/>
                <w:color w:val="auto"/>
              </w:rPr>
              <w:t>Acquisitions of intangible assets</w:t>
            </w:r>
          </w:p>
        </w:tc>
        <w:tc>
          <w:tcPr>
            <w:tcW w:w="3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(2,937)</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(948)</w:t>
            </w:r>
          </w:p>
        </w:tc>
        <w:tc>
          <w:tcPr>
            <w:tcW w:w="0" w:type="dxa"/>
            <w:vAlign w:val="bottom"/>
          </w:tcPr>
          <w:p>
            <w:pPr>
              <w:spacing w:after="0"/>
              <w:rPr>
                <w:sz w:val="1"/>
                <w:szCs w:val="1"/>
                <w:color w:val="auto"/>
              </w:rPr>
            </w:pPr>
          </w:p>
        </w:tc>
      </w:tr>
      <w:tr>
        <w:trPr>
          <w:trHeight w:val="169"/>
        </w:trPr>
        <w:tc>
          <w:tcPr>
            <w:tcW w:w="4580" w:type="dxa"/>
            <w:vAlign w:val="bottom"/>
          </w:tcPr>
          <w:p>
            <w:pPr>
              <w:ind w:left="140"/>
              <w:spacing w:after="0"/>
              <w:rPr>
                <w:sz w:val="20"/>
                <w:szCs w:val="20"/>
                <w:color w:val="auto"/>
              </w:rPr>
            </w:pPr>
            <w:r>
              <w:rPr>
                <w:rFonts w:ascii="Arial" w:cs="Arial" w:eastAsia="Arial" w:hAnsi="Arial"/>
                <w:sz w:val="12"/>
                <w:szCs w:val="12"/>
                <w:b w:val="1"/>
                <w:bCs w:val="1"/>
                <w:color w:val="auto"/>
              </w:rPr>
              <w:t>Net cash used in investing activities</w:t>
            </w:r>
          </w:p>
        </w:tc>
        <w:tc>
          <w:tcPr>
            <w:tcW w:w="3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(5,691)</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(3,229)</w:t>
            </w:r>
          </w:p>
        </w:tc>
        <w:tc>
          <w:tcPr>
            <w:tcW w:w="0" w:type="dxa"/>
            <w:vAlign w:val="bottom"/>
          </w:tcPr>
          <w:p>
            <w:pPr>
              <w:spacing w:after="0"/>
              <w:rPr>
                <w:sz w:val="1"/>
                <w:szCs w:val="1"/>
                <w:color w:val="auto"/>
              </w:rPr>
            </w:pPr>
          </w:p>
        </w:tc>
      </w:tr>
      <w:tr>
        <w:trPr>
          <w:trHeight w:val="261"/>
        </w:trPr>
        <w:tc>
          <w:tcPr>
            <w:tcW w:w="458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3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4580" w:type="dxa"/>
            <w:vAlign w:val="bottom"/>
          </w:tcPr>
          <w:p>
            <w:pPr>
              <w:ind w:left="80"/>
              <w:spacing w:after="0"/>
              <w:rPr>
                <w:sz w:val="20"/>
                <w:szCs w:val="20"/>
                <w:color w:val="auto"/>
              </w:rPr>
            </w:pPr>
            <w:r>
              <w:rPr>
                <w:rFonts w:ascii="Arial" w:cs="Arial" w:eastAsia="Arial" w:hAnsi="Arial"/>
                <w:sz w:val="12"/>
                <w:szCs w:val="12"/>
                <w:color w:val="auto"/>
              </w:rPr>
              <w:t>Repayment of long-term debt</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(4,860)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(1,002)</w:t>
            </w:r>
          </w:p>
        </w:tc>
        <w:tc>
          <w:tcPr>
            <w:tcW w:w="0" w:type="dxa"/>
            <w:vAlign w:val="bottom"/>
          </w:tcPr>
          <w:p>
            <w:pPr>
              <w:spacing w:after="0"/>
              <w:rPr>
                <w:sz w:val="1"/>
                <w:szCs w:val="1"/>
                <w:color w:val="auto"/>
              </w:rPr>
            </w:pPr>
          </w:p>
        </w:tc>
      </w:tr>
      <w:tr>
        <w:trPr>
          <w:trHeight w:val="180"/>
        </w:trPr>
        <w:tc>
          <w:tcPr>
            <w:tcW w:w="4580" w:type="dxa"/>
            <w:vAlign w:val="bottom"/>
          </w:tcPr>
          <w:p>
            <w:pPr>
              <w:ind w:left="80"/>
              <w:spacing w:after="0"/>
              <w:rPr>
                <w:sz w:val="20"/>
                <w:szCs w:val="20"/>
                <w:color w:val="auto"/>
              </w:rPr>
            </w:pPr>
            <w:r>
              <w:rPr>
                <w:rFonts w:ascii="Arial" w:cs="Arial" w:eastAsia="Arial" w:hAnsi="Arial"/>
                <w:sz w:val="12"/>
                <w:szCs w:val="12"/>
                <w:color w:val="auto"/>
              </w:rPr>
              <w:t>Debt modification costs paid</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(2,749)</w:t>
            </w:r>
          </w:p>
        </w:tc>
        <w:tc>
          <w:tcPr>
            <w:tcW w:w="0" w:type="dxa"/>
            <w:vAlign w:val="bottom"/>
          </w:tcPr>
          <w:p>
            <w:pPr>
              <w:spacing w:after="0"/>
              <w:rPr>
                <w:sz w:val="1"/>
                <w:szCs w:val="1"/>
                <w:color w:val="auto"/>
              </w:rPr>
            </w:pPr>
          </w:p>
        </w:tc>
      </w:tr>
      <w:tr>
        <w:trPr>
          <w:trHeight w:val="180"/>
        </w:trPr>
        <w:tc>
          <w:tcPr>
            <w:tcW w:w="4580" w:type="dxa"/>
            <w:vAlign w:val="bottom"/>
          </w:tcPr>
          <w:p>
            <w:pPr>
              <w:ind w:left="80"/>
              <w:spacing w:after="0"/>
              <w:rPr>
                <w:sz w:val="20"/>
                <w:szCs w:val="20"/>
                <w:color w:val="auto"/>
              </w:rPr>
            </w:pPr>
            <w:r>
              <w:rPr>
                <w:rFonts w:ascii="Arial" w:cs="Arial" w:eastAsia="Arial" w:hAnsi="Arial"/>
                <w:sz w:val="12"/>
                <w:szCs w:val="12"/>
                <w:color w:val="auto"/>
              </w:rPr>
              <w:t>Borrowings under revolving credit facility</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1300" w:type="dxa"/>
            <w:vAlign w:val="bottom"/>
          </w:tcPr>
          <w:p>
            <w:pPr>
              <w:jc w:val="right"/>
              <w:ind w:right="120"/>
              <w:spacing w:after="0"/>
              <w:rPr>
                <w:sz w:val="20"/>
                <w:szCs w:val="20"/>
                <w:color w:val="auto"/>
              </w:rPr>
            </w:pPr>
            <w:r>
              <w:rPr>
                <w:rFonts w:ascii="Arial" w:cs="Arial" w:eastAsia="Arial" w:hAnsi="Arial"/>
                <w:sz w:val="12"/>
                <w:szCs w:val="12"/>
                <w:color w:val="auto"/>
              </w:rPr>
              <w:t>3,500</w:t>
            </w:r>
          </w:p>
        </w:tc>
        <w:tc>
          <w:tcPr>
            <w:tcW w:w="0" w:type="dxa"/>
            <w:vAlign w:val="bottom"/>
          </w:tcPr>
          <w:p>
            <w:pPr>
              <w:spacing w:after="0"/>
              <w:rPr>
                <w:sz w:val="1"/>
                <w:szCs w:val="1"/>
                <w:color w:val="auto"/>
              </w:rPr>
            </w:pPr>
          </w:p>
        </w:tc>
      </w:tr>
      <w:tr>
        <w:trPr>
          <w:trHeight w:val="187"/>
        </w:trPr>
        <w:tc>
          <w:tcPr>
            <w:tcW w:w="4580" w:type="dxa"/>
            <w:vAlign w:val="bottom"/>
          </w:tcPr>
          <w:p>
            <w:pPr>
              <w:ind w:left="80"/>
              <w:spacing w:after="0"/>
              <w:rPr>
                <w:sz w:val="20"/>
                <w:szCs w:val="20"/>
                <w:color w:val="auto"/>
              </w:rPr>
            </w:pPr>
            <w:r>
              <w:rPr>
                <w:rFonts w:ascii="Arial" w:cs="Arial" w:eastAsia="Arial" w:hAnsi="Arial"/>
                <w:sz w:val="12"/>
                <w:szCs w:val="12"/>
                <w:color w:val="auto"/>
              </w:rPr>
              <w:t>Proceeds from exercise of stock options</w:t>
            </w:r>
          </w:p>
        </w:tc>
        <w:tc>
          <w:tcPr>
            <w:tcW w:w="3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617</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4580" w:type="dxa"/>
            <w:vAlign w:val="bottom"/>
          </w:tcPr>
          <w:p>
            <w:pPr>
              <w:ind w:left="140"/>
              <w:spacing w:after="0"/>
              <w:rPr>
                <w:sz w:val="20"/>
                <w:szCs w:val="20"/>
                <w:color w:val="auto"/>
              </w:rPr>
            </w:pPr>
            <w:r>
              <w:rPr>
                <w:rFonts w:ascii="Arial" w:cs="Arial" w:eastAsia="Arial" w:hAnsi="Arial"/>
                <w:sz w:val="12"/>
                <w:szCs w:val="12"/>
                <w:b w:val="1"/>
                <w:bCs w:val="1"/>
                <w:color w:val="auto"/>
              </w:rPr>
              <w:t>Net cash used in financing activities</w:t>
            </w:r>
          </w:p>
        </w:tc>
        <w:tc>
          <w:tcPr>
            <w:tcW w:w="3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(4,243)</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(251)</w:t>
            </w:r>
          </w:p>
        </w:tc>
        <w:tc>
          <w:tcPr>
            <w:tcW w:w="0" w:type="dxa"/>
            <w:vAlign w:val="bottom"/>
          </w:tcPr>
          <w:p>
            <w:pPr>
              <w:spacing w:after="0"/>
              <w:rPr>
                <w:sz w:val="1"/>
                <w:szCs w:val="1"/>
                <w:color w:val="auto"/>
              </w:rPr>
            </w:pPr>
          </w:p>
        </w:tc>
      </w:tr>
      <w:tr>
        <w:trPr>
          <w:trHeight w:val="261"/>
        </w:trPr>
        <w:tc>
          <w:tcPr>
            <w:tcW w:w="4580" w:type="dxa"/>
            <w:vAlign w:val="bottom"/>
          </w:tcPr>
          <w:p>
            <w:pPr>
              <w:spacing w:after="0"/>
              <w:rPr>
                <w:sz w:val="20"/>
                <w:szCs w:val="20"/>
                <w:color w:val="auto"/>
              </w:rPr>
            </w:pPr>
            <w:r>
              <w:rPr>
                <w:rFonts w:ascii="Arial" w:cs="Arial" w:eastAsia="Arial" w:hAnsi="Arial"/>
                <w:sz w:val="12"/>
                <w:szCs w:val="12"/>
                <w:b w:val="1"/>
                <w:bCs w:val="1"/>
                <w:color w:val="auto"/>
              </w:rPr>
              <w:t>Net change in cash and restricted cash:</w:t>
            </w:r>
          </w:p>
        </w:tc>
        <w:tc>
          <w:tcPr>
            <w:tcW w:w="3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4580" w:type="dxa"/>
            <w:vAlign w:val="bottom"/>
          </w:tcPr>
          <w:p>
            <w:pPr>
              <w:ind w:left="80"/>
              <w:spacing w:after="0"/>
              <w:rPr>
                <w:sz w:val="20"/>
                <w:szCs w:val="20"/>
                <w:color w:val="auto"/>
              </w:rPr>
            </w:pPr>
            <w:r>
              <w:rPr>
                <w:rFonts w:ascii="Arial" w:cs="Arial" w:eastAsia="Arial" w:hAnsi="Arial"/>
                <w:sz w:val="12"/>
                <w:szCs w:val="12"/>
                <w:color w:val="auto"/>
              </w:rPr>
              <w:t>Net decrease in cash and restricted cash</w:t>
            </w: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(23,360)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80"/>
              <w:spacing w:after="0"/>
              <w:rPr>
                <w:sz w:val="20"/>
                <w:szCs w:val="20"/>
                <w:color w:val="auto"/>
              </w:rPr>
            </w:pPr>
            <w:r>
              <w:rPr>
                <w:rFonts w:ascii="Arial" w:cs="Arial" w:eastAsia="Arial" w:hAnsi="Arial"/>
                <w:sz w:val="12"/>
                <w:szCs w:val="12"/>
                <w:color w:val="auto"/>
              </w:rPr>
              <w:t>(10,734)</w:t>
            </w:r>
          </w:p>
        </w:tc>
        <w:tc>
          <w:tcPr>
            <w:tcW w:w="0" w:type="dxa"/>
            <w:vAlign w:val="bottom"/>
          </w:tcPr>
          <w:p>
            <w:pPr>
              <w:spacing w:after="0"/>
              <w:rPr>
                <w:sz w:val="1"/>
                <w:szCs w:val="1"/>
                <w:color w:val="auto"/>
              </w:rPr>
            </w:pPr>
          </w:p>
        </w:tc>
      </w:tr>
      <w:tr>
        <w:trPr>
          <w:trHeight w:val="189"/>
        </w:trPr>
        <w:tc>
          <w:tcPr>
            <w:tcW w:w="4580" w:type="dxa"/>
            <w:vAlign w:val="bottom"/>
          </w:tcPr>
          <w:p>
            <w:pPr>
              <w:ind w:left="80"/>
              <w:spacing w:after="0"/>
              <w:rPr>
                <w:sz w:val="20"/>
                <w:szCs w:val="20"/>
                <w:color w:val="auto"/>
              </w:rPr>
            </w:pPr>
            <w:r>
              <w:rPr>
                <w:rFonts w:ascii="Arial" w:cs="Arial" w:eastAsia="Arial" w:hAnsi="Arial"/>
                <w:sz w:val="12"/>
                <w:szCs w:val="12"/>
                <w:color w:val="auto"/>
              </w:rPr>
              <w:t>Cash and restricted cash at beginning of period</w:t>
            </w:r>
          </w:p>
        </w:tc>
        <w:tc>
          <w:tcPr>
            <w:tcW w:w="3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88,120</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50,465</w:t>
            </w:r>
          </w:p>
        </w:tc>
        <w:tc>
          <w:tcPr>
            <w:tcW w:w="0" w:type="dxa"/>
            <w:vAlign w:val="bottom"/>
          </w:tcPr>
          <w:p>
            <w:pPr>
              <w:spacing w:after="0"/>
              <w:rPr>
                <w:sz w:val="1"/>
                <w:szCs w:val="1"/>
                <w:color w:val="auto"/>
              </w:rPr>
            </w:pPr>
          </w:p>
        </w:tc>
      </w:tr>
      <w:tr>
        <w:trPr>
          <w:trHeight w:val="178"/>
        </w:trPr>
        <w:tc>
          <w:tcPr>
            <w:tcW w:w="4580" w:type="dxa"/>
            <w:vAlign w:val="bottom"/>
          </w:tcPr>
          <w:p>
            <w:pPr>
              <w:ind w:left="80"/>
              <w:spacing w:after="0"/>
              <w:rPr>
                <w:sz w:val="20"/>
                <w:szCs w:val="20"/>
                <w:color w:val="auto"/>
              </w:rPr>
            </w:pPr>
            <w:r>
              <w:rPr>
                <w:rFonts w:ascii="Arial" w:cs="Arial" w:eastAsia="Arial" w:hAnsi="Arial"/>
                <w:sz w:val="12"/>
                <w:szCs w:val="12"/>
                <w:color w:val="auto"/>
              </w:rPr>
              <w:t>Cash and restricted cash at end of period</w:t>
            </w:r>
          </w:p>
        </w:tc>
        <w:tc>
          <w:tcPr>
            <w:tcW w:w="36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64,760</w:t>
            </w:r>
          </w:p>
        </w:tc>
        <w:tc>
          <w:tcPr>
            <w:tcW w:w="120" w:type="dxa"/>
            <w:vAlign w:val="bottom"/>
          </w:tcPr>
          <w:p>
            <w:pPr>
              <w:spacing w:after="0"/>
              <w:rPr>
                <w:sz w:val="15"/>
                <w:szCs w:val="15"/>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120"/>
              <w:spacing w:after="0"/>
              <w:rPr>
                <w:sz w:val="20"/>
                <w:szCs w:val="20"/>
                <w:color w:val="auto"/>
              </w:rPr>
            </w:pPr>
            <w:r>
              <w:rPr>
                <w:rFonts w:ascii="Arial" w:cs="Arial" w:eastAsia="Arial" w:hAnsi="Arial"/>
                <w:sz w:val="12"/>
                <w:szCs w:val="12"/>
                <w:color w:val="auto"/>
              </w:rPr>
              <w:t>39,731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0" w:type="dxa"/>
            <w:vAlign w:val="bottom"/>
            <w:vMerge w:val="restart"/>
          </w:tcPr>
          <w:p>
            <w:pPr>
              <w:jc w:val="right"/>
              <w:ind w:right="2020"/>
              <w:spacing w:after="0"/>
              <w:rPr>
                <w:sz w:val="20"/>
                <w:szCs w:val="20"/>
                <w:color w:val="auto"/>
              </w:rPr>
            </w:pPr>
            <w:r>
              <w:rPr>
                <w:rFonts w:ascii="Arial" w:cs="Arial" w:eastAsia="Arial" w:hAnsi="Arial"/>
                <w:sz w:val="12"/>
                <w:szCs w:val="12"/>
                <w:color w:val="auto"/>
              </w:rPr>
              <w:t>12</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458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49" w:right="29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20" w:type="dxa"/>
            <w:vAlign w:val="bottom"/>
          </w:tcPr>
          <w:p>
            <w:pPr>
              <w:spacing w:after="0"/>
              <w:rPr>
                <w:sz w:val="13"/>
                <w:szCs w:val="13"/>
                <w:color w:val="auto"/>
              </w:rPr>
            </w:pPr>
          </w:p>
        </w:tc>
        <w:tc>
          <w:tcPr>
            <w:tcW w:w="3680" w:type="dxa"/>
            <w:vAlign w:val="bottom"/>
            <w:gridSpan w:val="6"/>
          </w:tcPr>
          <w:p>
            <w:pPr>
              <w:jc w:val="center"/>
              <w:ind w:left="700"/>
              <w:spacing w:after="0"/>
              <w:rPr>
                <w:sz w:val="20"/>
                <w:szCs w:val="20"/>
                <w:color w:val="auto"/>
              </w:rPr>
            </w:pPr>
            <w:r>
              <w:rPr>
                <w:rFonts w:ascii="Arial" w:cs="Arial" w:eastAsia="Arial" w:hAnsi="Arial"/>
                <w:sz w:val="12"/>
                <w:szCs w:val="12"/>
                <w:b w:val="1"/>
                <w:bCs w:val="1"/>
                <w:color w:val="auto"/>
              </w:rPr>
              <w:t>PRIORITY TECHNOLOGY HOLDINGS, INC.</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2"/>
        </w:trPr>
        <w:tc>
          <w:tcPr>
            <w:tcW w:w="3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center"/>
              <w:ind w:right="652"/>
              <w:spacing w:after="0"/>
              <w:rPr>
                <w:sz w:val="20"/>
                <w:szCs w:val="20"/>
                <w:color w:val="auto"/>
              </w:rPr>
            </w:pPr>
            <w:r>
              <w:rPr>
                <w:rFonts w:ascii="Arial" w:cs="Arial" w:eastAsia="Arial" w:hAnsi="Arial"/>
                <w:sz w:val="12"/>
                <w:szCs w:val="12"/>
                <w:b w:val="1"/>
                <w:bCs w:val="1"/>
                <w:color w:val="auto"/>
                <w:w w:val="87"/>
              </w:rPr>
              <w:t>Reportable Segments' Results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3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360"/>
              <w:spacing w:after="0"/>
              <w:rPr>
                <w:sz w:val="20"/>
                <w:szCs w:val="20"/>
                <w:color w:val="auto"/>
              </w:rPr>
            </w:pPr>
            <w:r>
              <w:rPr>
                <w:rFonts w:ascii="Arial" w:cs="Arial" w:eastAsia="Arial" w:hAnsi="Arial"/>
                <w:sz w:val="12"/>
                <w:szCs w:val="12"/>
                <w:i w:val="1"/>
                <w:iCs w:val="1"/>
                <w:color w:val="auto"/>
              </w:rPr>
              <w:t>Unaudited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8"/>
        </w:trPr>
        <w:tc>
          <w:tcPr>
            <w:tcW w:w="342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2"/>
                <w:szCs w:val="12"/>
                <w:b w:val="1"/>
                <w:bCs w:val="1"/>
                <w:color w:val="auto"/>
              </w:rPr>
              <w:t>Three Months Ended March 31,</w:t>
            </w:r>
          </w:p>
        </w:tc>
        <w:tc>
          <w:tcPr>
            <w:tcW w:w="180" w:type="dxa"/>
            <w:vAlign w:val="bottom"/>
            <w:tcBorders>
              <w:bottom w:val="single" w:sz="8" w:color="auto"/>
            </w:tcBorders>
          </w:tcPr>
          <w:p>
            <w:pPr>
              <w:spacing w:after="0"/>
              <w:rPr>
                <w:sz w:val="17"/>
                <w:szCs w:val="17"/>
                <w:color w:val="auto"/>
              </w:rPr>
            </w:pPr>
          </w:p>
        </w:tc>
      </w:tr>
      <w:tr>
        <w:trPr>
          <w:trHeight w:val="167"/>
        </w:trPr>
        <w:tc>
          <w:tcPr>
            <w:tcW w:w="3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b w:val="1"/>
                <w:bCs w:val="1"/>
                <w:color w:val="auto"/>
                <w:w w:val="89"/>
              </w:rPr>
              <w:t>2021</w:t>
            </w: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auto"/>
            </w:tcBorders>
          </w:tcPr>
          <w:p>
            <w:pPr>
              <w:spacing w:after="0"/>
              <w:rPr>
                <w:sz w:val="14"/>
                <w:szCs w:val="14"/>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2"/>
                <w:szCs w:val="12"/>
                <w:b w:val="1"/>
                <w:bCs w:val="1"/>
                <w:color w:val="auto"/>
              </w:rPr>
              <w:t>Consumer Payments: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0"/>
        </w:trPr>
        <w:tc>
          <w:tcPr>
            <w:tcW w:w="3420" w:type="dxa"/>
            <w:vAlign w:val="bottom"/>
          </w:tcPr>
          <w:p>
            <w:pPr>
              <w:ind w:left="80"/>
              <w:spacing w:after="0"/>
              <w:rPr>
                <w:sz w:val="20"/>
                <w:szCs w:val="20"/>
                <w:color w:val="auto"/>
              </w:rPr>
            </w:pPr>
            <w:r>
              <w:rPr>
                <w:rFonts w:ascii="Arial" w:cs="Arial" w:eastAsia="Arial" w:hAnsi="Arial"/>
                <w:sz w:val="12"/>
                <w:szCs w:val="12"/>
                <w:color w:val="auto"/>
              </w:rPr>
              <w:t>Revenue</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108,393</w:t>
            </w:r>
          </w:p>
        </w:tc>
        <w:tc>
          <w:tcPr>
            <w:tcW w:w="800" w:type="dxa"/>
            <w:vAlign w:val="bottom"/>
            <w:gridSpan w:val="3"/>
          </w:tcPr>
          <w:p>
            <w:pPr>
              <w:jc w:val="right"/>
              <w:ind w:right="37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86,031</w:t>
            </w:r>
          </w:p>
        </w:tc>
        <w:tc>
          <w:tcPr>
            <w:tcW w:w="180" w:type="dxa"/>
            <w:vAlign w:val="bottom"/>
          </w:tcPr>
          <w:p>
            <w:pPr>
              <w:spacing w:after="0"/>
              <w:rPr>
                <w:sz w:val="15"/>
                <w:szCs w:val="15"/>
                <w:color w:val="auto"/>
              </w:rPr>
            </w:pPr>
          </w:p>
        </w:tc>
      </w:tr>
      <w:tr>
        <w:trPr>
          <w:trHeight w:val="189"/>
        </w:trPr>
        <w:tc>
          <w:tcPr>
            <w:tcW w:w="342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1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95,030</w:t>
            </w:r>
          </w:p>
        </w:tc>
        <w:tc>
          <w:tcPr>
            <w:tcW w:w="1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78,879</w:t>
            </w:r>
          </w:p>
        </w:tc>
        <w:tc>
          <w:tcPr>
            <w:tcW w:w="180" w:type="dxa"/>
            <w:vAlign w:val="bottom"/>
            <w:tcBorders>
              <w:bottom w:val="single" w:sz="8" w:color="auto"/>
            </w:tcBorders>
          </w:tcPr>
          <w:p>
            <w:pPr>
              <w:spacing w:after="0"/>
              <w:rPr>
                <w:sz w:val="16"/>
                <w:szCs w:val="16"/>
                <w:color w:val="auto"/>
              </w:rPr>
            </w:pPr>
          </w:p>
        </w:tc>
      </w:tr>
      <w:tr>
        <w:trPr>
          <w:trHeight w:val="178"/>
        </w:trPr>
        <w:tc>
          <w:tcPr>
            <w:tcW w:w="3420" w:type="dxa"/>
            <w:vAlign w:val="bottom"/>
          </w:tcPr>
          <w:p>
            <w:pPr>
              <w:ind w:left="80"/>
              <w:spacing w:after="0"/>
              <w:rPr>
                <w:sz w:val="20"/>
                <w:szCs w:val="20"/>
                <w:color w:val="auto"/>
              </w:rPr>
            </w:pPr>
            <w:r>
              <w:rPr>
                <w:rFonts w:ascii="Arial" w:cs="Arial" w:eastAsia="Arial" w:hAnsi="Arial"/>
                <w:sz w:val="12"/>
                <w:szCs w:val="12"/>
                <w:color w:val="auto"/>
              </w:rPr>
              <w:t>Income from operations</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13,363</w:t>
            </w:r>
          </w:p>
        </w:tc>
        <w:tc>
          <w:tcPr>
            <w:tcW w:w="800" w:type="dxa"/>
            <w:vAlign w:val="bottom"/>
            <w:gridSpan w:val="3"/>
          </w:tcPr>
          <w:p>
            <w:pPr>
              <w:jc w:val="right"/>
              <w:ind w:right="37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7,152</w:t>
            </w:r>
          </w:p>
        </w:tc>
        <w:tc>
          <w:tcPr>
            <w:tcW w:w="180" w:type="dxa"/>
            <w:vAlign w:val="bottom"/>
          </w:tcPr>
          <w:p>
            <w:pPr>
              <w:spacing w:after="0"/>
              <w:rPr>
                <w:sz w:val="15"/>
                <w:szCs w:val="15"/>
                <w:color w:val="auto"/>
              </w:rPr>
            </w:pPr>
          </w:p>
        </w:tc>
      </w:tr>
      <w:tr>
        <w:trPr>
          <w:trHeight w:val="20"/>
        </w:trPr>
        <w:tc>
          <w:tcPr>
            <w:tcW w:w="3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138"/>
        </w:trPr>
        <w:tc>
          <w:tcPr>
            <w:tcW w:w="3420" w:type="dxa"/>
            <w:vAlign w:val="bottom"/>
          </w:tcPr>
          <w:p>
            <w:pPr>
              <w:ind w:left="80"/>
              <w:spacing w:after="0"/>
              <w:rPr>
                <w:sz w:val="20"/>
                <w:szCs w:val="20"/>
                <w:color w:val="auto"/>
              </w:rPr>
            </w:pPr>
            <w:r>
              <w:rPr>
                <w:rFonts w:ascii="Arial" w:cs="Arial" w:eastAsia="Arial" w:hAnsi="Arial"/>
                <w:sz w:val="12"/>
                <w:szCs w:val="12"/>
                <w:color w:val="auto"/>
              </w:rPr>
              <w:t>Operating margin</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12.3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8.3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342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8,579</w:t>
            </w:r>
          </w:p>
        </w:tc>
        <w:tc>
          <w:tcPr>
            <w:tcW w:w="800" w:type="dxa"/>
            <w:vAlign w:val="bottom"/>
            <w:gridSpan w:val="3"/>
          </w:tcPr>
          <w:p>
            <w:pPr>
              <w:jc w:val="right"/>
              <w:ind w:right="37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8,583</w:t>
            </w:r>
          </w:p>
        </w:tc>
        <w:tc>
          <w:tcPr>
            <w:tcW w:w="180" w:type="dxa"/>
            <w:vAlign w:val="bottom"/>
          </w:tcPr>
          <w:p>
            <w:pPr>
              <w:spacing w:after="0"/>
              <w:rPr>
                <w:sz w:val="15"/>
                <w:szCs w:val="15"/>
                <w:color w:val="auto"/>
              </w:rPr>
            </w:pPr>
          </w:p>
        </w:tc>
      </w:tr>
      <w:tr>
        <w:trPr>
          <w:trHeight w:val="315"/>
        </w:trPr>
        <w:tc>
          <w:tcPr>
            <w:tcW w:w="3420" w:type="dxa"/>
            <w:vAlign w:val="bottom"/>
          </w:tcPr>
          <w:p>
            <w:pPr>
              <w:spacing w:after="0"/>
              <w:rPr>
                <w:sz w:val="20"/>
                <w:szCs w:val="20"/>
                <w:color w:val="auto"/>
              </w:rPr>
            </w:pPr>
            <w:r>
              <w:rPr>
                <w:rFonts w:ascii="Arial" w:cs="Arial" w:eastAsia="Arial" w:hAnsi="Arial"/>
                <w:sz w:val="12"/>
                <w:szCs w:val="12"/>
                <w:color w:val="auto"/>
              </w:rPr>
              <w:t>Key indicators: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0"/>
        </w:trPr>
        <w:tc>
          <w:tcPr>
            <w:tcW w:w="3420" w:type="dxa"/>
            <w:vAlign w:val="bottom"/>
          </w:tcPr>
          <w:p>
            <w:pPr>
              <w:ind w:left="80"/>
              <w:spacing w:after="0"/>
              <w:rPr>
                <w:sz w:val="20"/>
                <w:szCs w:val="20"/>
                <w:color w:val="auto"/>
              </w:rPr>
            </w:pPr>
            <w:r>
              <w:rPr>
                <w:rFonts w:ascii="Arial" w:cs="Arial" w:eastAsia="Arial" w:hAnsi="Arial"/>
                <w:sz w:val="12"/>
                <w:szCs w:val="12"/>
                <w:color w:val="auto"/>
              </w:rPr>
              <w:t>Merchant bankcard processing dollar value</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11,871,939</w:t>
            </w:r>
          </w:p>
        </w:tc>
        <w:tc>
          <w:tcPr>
            <w:tcW w:w="800" w:type="dxa"/>
            <w:vAlign w:val="bottom"/>
            <w:gridSpan w:val="3"/>
          </w:tcPr>
          <w:p>
            <w:pPr>
              <w:jc w:val="right"/>
              <w:ind w:right="37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10,386,748</w:t>
            </w:r>
          </w:p>
        </w:tc>
        <w:tc>
          <w:tcPr>
            <w:tcW w:w="180" w:type="dxa"/>
            <w:vAlign w:val="bottom"/>
          </w:tcPr>
          <w:p>
            <w:pPr>
              <w:spacing w:after="0"/>
              <w:rPr>
                <w:sz w:val="15"/>
                <w:szCs w:val="15"/>
                <w:color w:val="auto"/>
              </w:rPr>
            </w:pPr>
          </w:p>
        </w:tc>
      </w:tr>
      <w:tr>
        <w:trPr>
          <w:trHeight w:val="180"/>
        </w:trPr>
        <w:tc>
          <w:tcPr>
            <w:tcW w:w="3420" w:type="dxa"/>
            <w:vAlign w:val="bottom"/>
          </w:tcPr>
          <w:p>
            <w:pPr>
              <w:ind w:left="80"/>
              <w:spacing w:after="0"/>
              <w:rPr>
                <w:sz w:val="20"/>
                <w:szCs w:val="20"/>
                <w:color w:val="auto"/>
              </w:rPr>
            </w:pPr>
            <w:r>
              <w:rPr>
                <w:rFonts w:ascii="Arial" w:cs="Arial" w:eastAsia="Arial" w:hAnsi="Arial"/>
                <w:sz w:val="12"/>
                <w:szCs w:val="12"/>
                <w:color w:val="auto"/>
              </w:rPr>
              <w:t>Merchant bankcard transaction volume</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127,488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119,431</w:t>
            </w:r>
          </w:p>
        </w:tc>
        <w:tc>
          <w:tcPr>
            <w:tcW w:w="180" w:type="dxa"/>
            <w:vAlign w:val="bottom"/>
          </w:tcPr>
          <w:p>
            <w:pPr>
              <w:spacing w:after="0"/>
              <w:rPr>
                <w:sz w:val="15"/>
                <w:szCs w:val="15"/>
                <w:color w:val="auto"/>
              </w:rPr>
            </w:pPr>
          </w:p>
        </w:tc>
      </w:tr>
      <w:tr>
        <w:trPr>
          <w:trHeight w:val="288"/>
        </w:trPr>
        <w:tc>
          <w:tcPr>
            <w:tcW w:w="3420" w:type="dxa"/>
            <w:vAlign w:val="bottom"/>
          </w:tcPr>
          <w:p>
            <w:pPr>
              <w:spacing w:after="0"/>
              <w:rPr>
                <w:sz w:val="20"/>
                <w:szCs w:val="20"/>
                <w:color w:val="auto"/>
              </w:rPr>
            </w:pPr>
            <w:r>
              <w:rPr>
                <w:rFonts w:ascii="Arial" w:cs="Arial" w:eastAsia="Arial" w:hAnsi="Arial"/>
                <w:sz w:val="12"/>
                <w:szCs w:val="12"/>
                <w:b w:val="1"/>
                <w:bCs w:val="1"/>
                <w:color w:val="auto"/>
              </w:rPr>
              <w:t>Commercial Payments: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0"/>
        </w:trPr>
        <w:tc>
          <w:tcPr>
            <w:tcW w:w="3420" w:type="dxa"/>
            <w:vAlign w:val="bottom"/>
          </w:tcPr>
          <w:p>
            <w:pPr>
              <w:ind w:left="80"/>
              <w:spacing w:after="0"/>
              <w:rPr>
                <w:sz w:val="20"/>
                <w:szCs w:val="20"/>
                <w:color w:val="auto"/>
              </w:rPr>
            </w:pPr>
            <w:r>
              <w:rPr>
                <w:rFonts w:ascii="Arial" w:cs="Arial" w:eastAsia="Arial" w:hAnsi="Arial"/>
                <w:sz w:val="12"/>
                <w:szCs w:val="12"/>
                <w:color w:val="auto"/>
              </w:rPr>
              <w:t>Revenue</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3,500</w:t>
            </w:r>
          </w:p>
        </w:tc>
        <w:tc>
          <w:tcPr>
            <w:tcW w:w="800" w:type="dxa"/>
            <w:vAlign w:val="bottom"/>
            <w:gridSpan w:val="3"/>
          </w:tcPr>
          <w:p>
            <w:pPr>
              <w:jc w:val="right"/>
              <w:ind w:right="37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6,368</w:t>
            </w:r>
          </w:p>
        </w:tc>
        <w:tc>
          <w:tcPr>
            <w:tcW w:w="180" w:type="dxa"/>
            <w:vAlign w:val="bottom"/>
          </w:tcPr>
          <w:p>
            <w:pPr>
              <w:spacing w:after="0"/>
              <w:rPr>
                <w:sz w:val="15"/>
                <w:szCs w:val="15"/>
                <w:color w:val="auto"/>
              </w:rPr>
            </w:pPr>
          </w:p>
        </w:tc>
      </w:tr>
      <w:tr>
        <w:trPr>
          <w:trHeight w:val="189"/>
        </w:trPr>
        <w:tc>
          <w:tcPr>
            <w:tcW w:w="342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1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3,909</w:t>
            </w:r>
          </w:p>
        </w:tc>
        <w:tc>
          <w:tcPr>
            <w:tcW w:w="1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5,604</w:t>
            </w:r>
          </w:p>
        </w:tc>
        <w:tc>
          <w:tcPr>
            <w:tcW w:w="180" w:type="dxa"/>
            <w:vAlign w:val="bottom"/>
            <w:tcBorders>
              <w:bottom w:val="single" w:sz="8" w:color="auto"/>
            </w:tcBorders>
          </w:tcPr>
          <w:p>
            <w:pPr>
              <w:spacing w:after="0"/>
              <w:rPr>
                <w:sz w:val="16"/>
                <w:szCs w:val="16"/>
                <w:color w:val="auto"/>
              </w:rPr>
            </w:pPr>
          </w:p>
        </w:tc>
      </w:tr>
      <w:tr>
        <w:trPr>
          <w:trHeight w:val="178"/>
        </w:trPr>
        <w:tc>
          <w:tcPr>
            <w:tcW w:w="3420" w:type="dxa"/>
            <w:vAlign w:val="bottom"/>
          </w:tcPr>
          <w:p>
            <w:pPr>
              <w:ind w:left="80"/>
              <w:spacing w:after="0"/>
              <w:rPr>
                <w:sz w:val="20"/>
                <w:szCs w:val="20"/>
                <w:color w:val="auto"/>
              </w:rPr>
            </w:pPr>
            <w:r>
              <w:rPr>
                <w:rFonts w:ascii="Arial" w:cs="Arial" w:eastAsia="Arial" w:hAnsi="Arial"/>
                <w:sz w:val="12"/>
                <w:szCs w:val="12"/>
                <w:color w:val="auto"/>
              </w:rPr>
              <w:t>(Loss) income from operations</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20"/>
              <w:spacing w:after="0"/>
              <w:rPr>
                <w:sz w:val="20"/>
                <w:szCs w:val="20"/>
                <w:color w:val="auto"/>
              </w:rPr>
            </w:pPr>
            <w:r>
              <w:rPr>
                <w:rFonts w:ascii="Arial" w:cs="Arial" w:eastAsia="Arial" w:hAnsi="Arial"/>
                <w:sz w:val="12"/>
                <w:szCs w:val="12"/>
                <w:color w:val="auto"/>
              </w:rPr>
              <w:t>(409)</w:t>
            </w:r>
          </w:p>
        </w:tc>
        <w:tc>
          <w:tcPr>
            <w:tcW w:w="800" w:type="dxa"/>
            <w:vAlign w:val="bottom"/>
            <w:gridSpan w:val="3"/>
          </w:tcPr>
          <w:p>
            <w:pPr>
              <w:jc w:val="right"/>
              <w:ind w:right="37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764</w:t>
            </w:r>
          </w:p>
        </w:tc>
        <w:tc>
          <w:tcPr>
            <w:tcW w:w="180" w:type="dxa"/>
            <w:vAlign w:val="bottom"/>
          </w:tcPr>
          <w:p>
            <w:pPr>
              <w:spacing w:after="0"/>
              <w:rPr>
                <w:sz w:val="15"/>
                <w:szCs w:val="15"/>
                <w:color w:val="auto"/>
              </w:rPr>
            </w:pPr>
          </w:p>
        </w:tc>
      </w:tr>
      <w:tr>
        <w:trPr>
          <w:trHeight w:val="20"/>
        </w:trPr>
        <w:tc>
          <w:tcPr>
            <w:tcW w:w="3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138"/>
        </w:trPr>
        <w:tc>
          <w:tcPr>
            <w:tcW w:w="3420" w:type="dxa"/>
            <w:vAlign w:val="bottom"/>
          </w:tcPr>
          <w:p>
            <w:pPr>
              <w:ind w:left="80"/>
              <w:spacing w:after="0"/>
              <w:rPr>
                <w:sz w:val="20"/>
                <w:szCs w:val="20"/>
                <w:color w:val="auto"/>
              </w:rPr>
            </w:pPr>
            <w:r>
              <w:rPr>
                <w:rFonts w:ascii="Arial" w:cs="Arial" w:eastAsia="Arial" w:hAnsi="Arial"/>
                <w:sz w:val="12"/>
                <w:szCs w:val="12"/>
                <w:color w:val="auto"/>
              </w:rPr>
              <w:t>Operating margin</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right"/>
              <w:ind w:right="20"/>
              <w:spacing w:after="0"/>
              <w:rPr>
                <w:sz w:val="20"/>
                <w:szCs w:val="20"/>
                <w:color w:val="auto"/>
              </w:rPr>
            </w:pPr>
            <w:r>
              <w:rPr>
                <w:rFonts w:ascii="Arial" w:cs="Arial" w:eastAsia="Arial" w:hAnsi="Arial"/>
                <w:sz w:val="12"/>
                <w:szCs w:val="12"/>
                <w:color w:val="auto"/>
              </w:rPr>
              <w:t>(11.7)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12.0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342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74</w:t>
            </w:r>
          </w:p>
        </w:tc>
        <w:tc>
          <w:tcPr>
            <w:tcW w:w="800" w:type="dxa"/>
            <w:vAlign w:val="bottom"/>
            <w:gridSpan w:val="3"/>
          </w:tcPr>
          <w:p>
            <w:pPr>
              <w:jc w:val="right"/>
              <w:ind w:right="37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76</w:t>
            </w:r>
          </w:p>
        </w:tc>
        <w:tc>
          <w:tcPr>
            <w:tcW w:w="180" w:type="dxa"/>
            <w:vAlign w:val="bottom"/>
          </w:tcPr>
          <w:p>
            <w:pPr>
              <w:spacing w:after="0"/>
              <w:rPr>
                <w:sz w:val="15"/>
                <w:szCs w:val="15"/>
                <w:color w:val="auto"/>
              </w:rPr>
            </w:pPr>
          </w:p>
        </w:tc>
      </w:tr>
      <w:tr>
        <w:trPr>
          <w:trHeight w:val="288"/>
        </w:trPr>
        <w:tc>
          <w:tcPr>
            <w:tcW w:w="3420" w:type="dxa"/>
            <w:vAlign w:val="bottom"/>
          </w:tcPr>
          <w:p>
            <w:pPr>
              <w:spacing w:after="0"/>
              <w:rPr>
                <w:sz w:val="20"/>
                <w:szCs w:val="20"/>
                <w:color w:val="auto"/>
              </w:rPr>
            </w:pPr>
            <w:r>
              <w:rPr>
                <w:rFonts w:ascii="Arial" w:cs="Arial" w:eastAsia="Arial" w:hAnsi="Arial"/>
                <w:sz w:val="12"/>
                <w:szCs w:val="12"/>
                <w:color w:val="auto"/>
              </w:rPr>
              <w:t>Key indicators: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0"/>
        </w:trPr>
        <w:tc>
          <w:tcPr>
            <w:tcW w:w="3420" w:type="dxa"/>
            <w:vAlign w:val="bottom"/>
          </w:tcPr>
          <w:p>
            <w:pPr>
              <w:ind w:left="80"/>
              <w:spacing w:after="0"/>
              <w:rPr>
                <w:sz w:val="20"/>
                <w:szCs w:val="20"/>
                <w:color w:val="auto"/>
              </w:rPr>
            </w:pPr>
            <w:r>
              <w:rPr>
                <w:rFonts w:ascii="Arial" w:cs="Arial" w:eastAsia="Arial" w:hAnsi="Arial"/>
                <w:sz w:val="12"/>
                <w:szCs w:val="12"/>
                <w:color w:val="auto"/>
              </w:rPr>
              <w:t>Merchant bankcard processing dollar value</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63,477</w:t>
            </w:r>
          </w:p>
        </w:tc>
        <w:tc>
          <w:tcPr>
            <w:tcW w:w="800" w:type="dxa"/>
            <w:vAlign w:val="bottom"/>
            <w:gridSpan w:val="3"/>
          </w:tcPr>
          <w:p>
            <w:pPr>
              <w:jc w:val="right"/>
              <w:ind w:right="37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72,677</w:t>
            </w:r>
          </w:p>
        </w:tc>
        <w:tc>
          <w:tcPr>
            <w:tcW w:w="180" w:type="dxa"/>
            <w:vAlign w:val="bottom"/>
          </w:tcPr>
          <w:p>
            <w:pPr>
              <w:spacing w:after="0"/>
              <w:rPr>
                <w:sz w:val="15"/>
                <w:szCs w:val="15"/>
                <w:color w:val="auto"/>
              </w:rPr>
            </w:pPr>
          </w:p>
        </w:tc>
      </w:tr>
      <w:tr>
        <w:trPr>
          <w:trHeight w:val="180"/>
        </w:trPr>
        <w:tc>
          <w:tcPr>
            <w:tcW w:w="3420" w:type="dxa"/>
            <w:vAlign w:val="bottom"/>
          </w:tcPr>
          <w:p>
            <w:pPr>
              <w:ind w:left="80"/>
              <w:spacing w:after="0"/>
              <w:rPr>
                <w:sz w:val="20"/>
                <w:szCs w:val="20"/>
                <w:color w:val="auto"/>
              </w:rPr>
            </w:pPr>
            <w:r>
              <w:rPr>
                <w:rFonts w:ascii="Arial" w:cs="Arial" w:eastAsia="Arial" w:hAnsi="Arial"/>
                <w:sz w:val="12"/>
                <w:szCs w:val="12"/>
                <w:color w:val="auto"/>
              </w:rPr>
              <w:t>Merchant bankcard transaction volume</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38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25</w:t>
            </w:r>
          </w:p>
        </w:tc>
        <w:tc>
          <w:tcPr>
            <w:tcW w:w="180" w:type="dxa"/>
            <w:vAlign w:val="bottom"/>
          </w:tcPr>
          <w:p>
            <w:pPr>
              <w:spacing w:after="0"/>
              <w:rPr>
                <w:sz w:val="15"/>
                <w:szCs w:val="15"/>
                <w:color w:val="auto"/>
              </w:rPr>
            </w:pPr>
          </w:p>
        </w:tc>
      </w:tr>
      <w:tr>
        <w:trPr>
          <w:trHeight w:val="288"/>
        </w:trPr>
        <w:tc>
          <w:tcPr>
            <w:tcW w:w="3420" w:type="dxa"/>
            <w:vAlign w:val="bottom"/>
          </w:tcPr>
          <w:p>
            <w:pPr>
              <w:spacing w:after="0"/>
              <w:rPr>
                <w:sz w:val="20"/>
                <w:szCs w:val="20"/>
                <w:color w:val="auto"/>
              </w:rPr>
            </w:pPr>
            <w:r>
              <w:rPr>
                <w:rFonts w:ascii="Arial" w:cs="Arial" w:eastAsia="Arial" w:hAnsi="Arial"/>
                <w:sz w:val="12"/>
                <w:szCs w:val="12"/>
                <w:b w:val="1"/>
                <w:bCs w:val="1"/>
                <w:color w:val="auto"/>
              </w:rPr>
              <w:t>Integrated Partners: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0"/>
        </w:trPr>
        <w:tc>
          <w:tcPr>
            <w:tcW w:w="3420" w:type="dxa"/>
            <w:vAlign w:val="bottom"/>
          </w:tcPr>
          <w:p>
            <w:pPr>
              <w:ind w:left="80"/>
              <w:spacing w:after="0"/>
              <w:rPr>
                <w:sz w:val="20"/>
                <w:szCs w:val="20"/>
                <w:color w:val="auto"/>
              </w:rPr>
            </w:pPr>
            <w:r>
              <w:rPr>
                <w:rFonts w:ascii="Arial" w:cs="Arial" w:eastAsia="Arial" w:hAnsi="Arial"/>
                <w:sz w:val="12"/>
                <w:szCs w:val="12"/>
                <w:color w:val="auto"/>
              </w:rPr>
              <w:t>Revenue</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1,404</w:t>
            </w:r>
          </w:p>
        </w:tc>
        <w:tc>
          <w:tcPr>
            <w:tcW w:w="800" w:type="dxa"/>
            <w:vAlign w:val="bottom"/>
            <w:gridSpan w:val="3"/>
          </w:tcPr>
          <w:p>
            <w:pPr>
              <w:jc w:val="right"/>
              <w:ind w:right="37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4,534</w:t>
            </w:r>
          </w:p>
        </w:tc>
        <w:tc>
          <w:tcPr>
            <w:tcW w:w="180" w:type="dxa"/>
            <w:vAlign w:val="bottom"/>
          </w:tcPr>
          <w:p>
            <w:pPr>
              <w:spacing w:after="0"/>
              <w:rPr>
                <w:sz w:val="15"/>
                <w:szCs w:val="15"/>
                <w:color w:val="auto"/>
              </w:rPr>
            </w:pPr>
          </w:p>
        </w:tc>
      </w:tr>
      <w:tr>
        <w:trPr>
          <w:trHeight w:val="189"/>
        </w:trPr>
        <w:tc>
          <w:tcPr>
            <w:tcW w:w="342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1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1,312</w:t>
            </w:r>
          </w:p>
        </w:tc>
        <w:tc>
          <w:tcPr>
            <w:tcW w:w="1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4,166</w:t>
            </w:r>
          </w:p>
        </w:tc>
        <w:tc>
          <w:tcPr>
            <w:tcW w:w="180" w:type="dxa"/>
            <w:vAlign w:val="bottom"/>
            <w:tcBorders>
              <w:bottom w:val="single" w:sz="8" w:color="auto"/>
            </w:tcBorders>
          </w:tcPr>
          <w:p>
            <w:pPr>
              <w:spacing w:after="0"/>
              <w:rPr>
                <w:sz w:val="16"/>
                <w:szCs w:val="16"/>
                <w:color w:val="auto"/>
              </w:rPr>
            </w:pPr>
          </w:p>
        </w:tc>
      </w:tr>
      <w:tr>
        <w:trPr>
          <w:trHeight w:val="178"/>
        </w:trPr>
        <w:tc>
          <w:tcPr>
            <w:tcW w:w="3420" w:type="dxa"/>
            <w:vAlign w:val="bottom"/>
          </w:tcPr>
          <w:p>
            <w:pPr>
              <w:ind w:left="80"/>
              <w:spacing w:after="0"/>
              <w:rPr>
                <w:sz w:val="20"/>
                <w:szCs w:val="20"/>
                <w:color w:val="auto"/>
              </w:rPr>
            </w:pPr>
            <w:r>
              <w:rPr>
                <w:rFonts w:ascii="Arial" w:cs="Arial" w:eastAsia="Arial" w:hAnsi="Arial"/>
                <w:sz w:val="12"/>
                <w:szCs w:val="12"/>
                <w:color w:val="auto"/>
              </w:rPr>
              <w:t>Income from operations</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92</w:t>
            </w:r>
          </w:p>
        </w:tc>
        <w:tc>
          <w:tcPr>
            <w:tcW w:w="800" w:type="dxa"/>
            <w:vAlign w:val="bottom"/>
            <w:gridSpan w:val="3"/>
          </w:tcPr>
          <w:p>
            <w:pPr>
              <w:jc w:val="right"/>
              <w:ind w:right="37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368</w:t>
            </w:r>
          </w:p>
        </w:tc>
        <w:tc>
          <w:tcPr>
            <w:tcW w:w="180" w:type="dxa"/>
            <w:vAlign w:val="bottom"/>
          </w:tcPr>
          <w:p>
            <w:pPr>
              <w:spacing w:after="0"/>
              <w:rPr>
                <w:sz w:val="15"/>
                <w:szCs w:val="15"/>
                <w:color w:val="auto"/>
              </w:rPr>
            </w:pPr>
          </w:p>
        </w:tc>
      </w:tr>
      <w:tr>
        <w:trPr>
          <w:trHeight w:val="20"/>
        </w:trPr>
        <w:tc>
          <w:tcPr>
            <w:tcW w:w="3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138"/>
        </w:trPr>
        <w:tc>
          <w:tcPr>
            <w:tcW w:w="3420" w:type="dxa"/>
            <w:vAlign w:val="bottom"/>
          </w:tcPr>
          <w:p>
            <w:pPr>
              <w:ind w:left="80"/>
              <w:spacing w:after="0"/>
              <w:rPr>
                <w:sz w:val="20"/>
                <w:szCs w:val="20"/>
                <w:color w:val="auto"/>
              </w:rPr>
            </w:pPr>
            <w:r>
              <w:rPr>
                <w:rFonts w:ascii="Arial" w:cs="Arial" w:eastAsia="Arial" w:hAnsi="Arial"/>
                <w:sz w:val="12"/>
                <w:szCs w:val="12"/>
                <w:color w:val="auto"/>
              </w:rPr>
              <w:t>Operating margin</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6.6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8.1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342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129</w:t>
            </w:r>
          </w:p>
        </w:tc>
        <w:tc>
          <w:tcPr>
            <w:tcW w:w="800" w:type="dxa"/>
            <w:vAlign w:val="bottom"/>
            <w:gridSpan w:val="3"/>
          </w:tcPr>
          <w:p>
            <w:pPr>
              <w:jc w:val="right"/>
              <w:ind w:right="37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1,311</w:t>
            </w:r>
          </w:p>
        </w:tc>
        <w:tc>
          <w:tcPr>
            <w:tcW w:w="180" w:type="dxa"/>
            <w:vAlign w:val="bottom"/>
          </w:tcPr>
          <w:p>
            <w:pPr>
              <w:spacing w:after="0"/>
              <w:rPr>
                <w:sz w:val="15"/>
                <w:szCs w:val="15"/>
                <w:color w:val="auto"/>
              </w:rPr>
            </w:pPr>
          </w:p>
        </w:tc>
      </w:tr>
      <w:tr>
        <w:trPr>
          <w:trHeight w:val="288"/>
        </w:trPr>
        <w:tc>
          <w:tcPr>
            <w:tcW w:w="3420" w:type="dxa"/>
            <w:vAlign w:val="bottom"/>
          </w:tcPr>
          <w:p>
            <w:pPr>
              <w:spacing w:after="0"/>
              <w:rPr>
                <w:sz w:val="20"/>
                <w:szCs w:val="20"/>
                <w:color w:val="auto"/>
              </w:rPr>
            </w:pPr>
            <w:r>
              <w:rPr>
                <w:rFonts w:ascii="Arial" w:cs="Arial" w:eastAsia="Arial" w:hAnsi="Arial"/>
                <w:sz w:val="12"/>
                <w:szCs w:val="12"/>
                <w:color w:val="auto"/>
              </w:rPr>
              <w:t>Key indicators: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0"/>
        </w:trPr>
        <w:tc>
          <w:tcPr>
            <w:tcW w:w="3420" w:type="dxa"/>
            <w:vAlign w:val="bottom"/>
          </w:tcPr>
          <w:p>
            <w:pPr>
              <w:ind w:left="80"/>
              <w:spacing w:after="0"/>
              <w:rPr>
                <w:sz w:val="20"/>
                <w:szCs w:val="20"/>
                <w:color w:val="auto"/>
              </w:rPr>
            </w:pPr>
            <w:r>
              <w:rPr>
                <w:rFonts w:ascii="Arial" w:cs="Arial" w:eastAsia="Arial" w:hAnsi="Arial"/>
                <w:sz w:val="12"/>
                <w:szCs w:val="12"/>
                <w:color w:val="auto"/>
              </w:rPr>
              <w:t>Merchant bankcard processing dollar value</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11,372</w:t>
            </w:r>
          </w:p>
        </w:tc>
        <w:tc>
          <w:tcPr>
            <w:tcW w:w="800" w:type="dxa"/>
            <w:vAlign w:val="bottom"/>
            <w:gridSpan w:val="3"/>
          </w:tcPr>
          <w:p>
            <w:pPr>
              <w:jc w:val="right"/>
              <w:ind w:right="37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124,518</w:t>
            </w:r>
          </w:p>
        </w:tc>
        <w:tc>
          <w:tcPr>
            <w:tcW w:w="180" w:type="dxa"/>
            <w:vAlign w:val="bottom"/>
          </w:tcPr>
          <w:p>
            <w:pPr>
              <w:spacing w:after="0"/>
              <w:rPr>
                <w:sz w:val="15"/>
                <w:szCs w:val="15"/>
                <w:color w:val="auto"/>
              </w:rPr>
            </w:pPr>
          </w:p>
        </w:tc>
      </w:tr>
      <w:tr>
        <w:trPr>
          <w:trHeight w:val="180"/>
        </w:trPr>
        <w:tc>
          <w:tcPr>
            <w:tcW w:w="3420" w:type="dxa"/>
            <w:vAlign w:val="bottom"/>
          </w:tcPr>
          <w:p>
            <w:pPr>
              <w:ind w:left="80"/>
              <w:spacing w:after="0"/>
              <w:rPr>
                <w:sz w:val="20"/>
                <w:szCs w:val="20"/>
                <w:color w:val="auto"/>
              </w:rPr>
            </w:pPr>
            <w:r>
              <w:rPr>
                <w:rFonts w:ascii="Arial" w:cs="Arial" w:eastAsia="Arial" w:hAnsi="Arial"/>
                <w:sz w:val="12"/>
                <w:szCs w:val="12"/>
                <w:color w:val="auto"/>
              </w:rPr>
              <w:t>Merchant bankcard transaction volume</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95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448</w:t>
            </w:r>
          </w:p>
        </w:tc>
        <w:tc>
          <w:tcPr>
            <w:tcW w:w="180" w:type="dxa"/>
            <w:vAlign w:val="bottom"/>
          </w:tcPr>
          <w:p>
            <w:pPr>
              <w:spacing w:after="0"/>
              <w:rPr>
                <w:sz w:val="15"/>
                <w:szCs w:val="15"/>
                <w:color w:val="auto"/>
              </w:rPr>
            </w:pPr>
          </w:p>
        </w:tc>
      </w:tr>
      <w:tr>
        <w:trPr>
          <w:trHeight w:val="351"/>
        </w:trPr>
        <w:tc>
          <w:tcPr>
            <w:tcW w:w="3420" w:type="dxa"/>
            <w:vAlign w:val="bottom"/>
          </w:tcPr>
          <w:p>
            <w:pPr>
              <w:spacing w:after="0"/>
              <w:rPr>
                <w:sz w:val="20"/>
                <w:szCs w:val="20"/>
                <w:color w:val="auto"/>
              </w:rPr>
            </w:pPr>
            <w:r>
              <w:rPr>
                <w:rFonts w:ascii="Arial" w:cs="Arial" w:eastAsia="Arial" w:hAnsi="Arial"/>
                <w:sz w:val="12"/>
                <w:szCs w:val="12"/>
                <w:b w:val="1"/>
                <w:bCs w:val="1"/>
                <w:color w:val="auto"/>
              </w:rPr>
              <w:t>Income from operations of reportable segments</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13,046</w:t>
            </w:r>
          </w:p>
        </w:tc>
        <w:tc>
          <w:tcPr>
            <w:tcW w:w="800" w:type="dxa"/>
            <w:vAlign w:val="bottom"/>
            <w:gridSpan w:val="3"/>
          </w:tcPr>
          <w:p>
            <w:pPr>
              <w:jc w:val="right"/>
              <w:ind w:right="37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8,284</w:t>
            </w:r>
          </w:p>
        </w:tc>
        <w:tc>
          <w:tcPr>
            <w:tcW w:w="180" w:type="dxa"/>
            <w:vAlign w:val="bottom"/>
          </w:tcPr>
          <w:p>
            <w:pPr>
              <w:spacing w:after="0"/>
              <w:rPr>
                <w:sz w:val="24"/>
                <w:szCs w:val="24"/>
                <w:color w:val="auto"/>
              </w:rPr>
            </w:pPr>
          </w:p>
        </w:tc>
      </w:tr>
      <w:tr>
        <w:trPr>
          <w:trHeight w:val="189"/>
        </w:trPr>
        <w:tc>
          <w:tcPr>
            <w:tcW w:w="3420" w:type="dxa"/>
            <w:vAlign w:val="bottom"/>
          </w:tcPr>
          <w:p>
            <w:pPr>
              <w:ind w:left="80"/>
              <w:spacing w:after="0"/>
              <w:rPr>
                <w:sz w:val="20"/>
                <w:szCs w:val="20"/>
                <w:color w:val="auto"/>
              </w:rPr>
            </w:pPr>
            <w:r>
              <w:rPr>
                <w:rFonts w:ascii="Arial" w:cs="Arial" w:eastAsia="Arial" w:hAnsi="Arial"/>
                <w:sz w:val="12"/>
                <w:szCs w:val="12"/>
                <w:color w:val="auto"/>
              </w:rPr>
              <w:t>Less: Corporate expense</w:t>
            </w:r>
          </w:p>
        </w:tc>
        <w:tc>
          <w:tcPr>
            <w:tcW w:w="1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(8,519)</w:t>
            </w:r>
          </w:p>
        </w:tc>
        <w:tc>
          <w:tcPr>
            <w:tcW w:w="1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(4,725)</w:t>
            </w:r>
          </w:p>
        </w:tc>
        <w:tc>
          <w:tcPr>
            <w:tcW w:w="180" w:type="dxa"/>
            <w:vAlign w:val="bottom"/>
            <w:tcBorders>
              <w:bottom w:val="single" w:sz="8" w:color="auto"/>
            </w:tcBorders>
          </w:tcPr>
          <w:p>
            <w:pPr>
              <w:spacing w:after="0"/>
              <w:rPr>
                <w:sz w:val="16"/>
                <w:szCs w:val="16"/>
                <w:color w:val="auto"/>
              </w:rPr>
            </w:pPr>
          </w:p>
        </w:tc>
      </w:tr>
      <w:tr>
        <w:trPr>
          <w:trHeight w:val="178"/>
        </w:trPr>
        <w:tc>
          <w:tcPr>
            <w:tcW w:w="3420" w:type="dxa"/>
            <w:vAlign w:val="bottom"/>
          </w:tcPr>
          <w:p>
            <w:pPr>
              <w:spacing w:after="0"/>
              <w:rPr>
                <w:sz w:val="20"/>
                <w:szCs w:val="20"/>
                <w:color w:val="auto"/>
              </w:rPr>
            </w:pPr>
            <w:r>
              <w:rPr>
                <w:rFonts w:ascii="Arial" w:cs="Arial" w:eastAsia="Arial" w:hAnsi="Arial"/>
                <w:sz w:val="12"/>
                <w:szCs w:val="12"/>
                <w:b w:val="1"/>
                <w:bCs w:val="1"/>
                <w:color w:val="auto"/>
              </w:rPr>
              <w:t>Consolidated income from operations</w:t>
            </w:r>
          </w:p>
        </w:tc>
        <w:tc>
          <w:tcPr>
            <w:tcW w:w="13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4,527</w:t>
            </w:r>
          </w:p>
        </w:tc>
        <w:tc>
          <w:tcPr>
            <w:tcW w:w="1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3,559</w:t>
            </w:r>
          </w:p>
        </w:tc>
        <w:tc>
          <w:tcPr>
            <w:tcW w:w="180" w:type="dxa"/>
            <w:vAlign w:val="bottom"/>
            <w:tcBorders>
              <w:bottom w:val="single" w:sz="8" w:color="auto"/>
            </w:tcBorders>
          </w:tcPr>
          <w:p>
            <w:pPr>
              <w:spacing w:after="0"/>
              <w:rPr>
                <w:sz w:val="15"/>
                <w:szCs w:val="15"/>
                <w:color w:val="auto"/>
              </w:rPr>
            </w:pPr>
          </w:p>
        </w:tc>
      </w:tr>
      <w:tr>
        <w:trPr>
          <w:trHeight w:val="20"/>
        </w:trPr>
        <w:tc>
          <w:tcPr>
            <w:tcW w:w="3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38"/>
        </w:trPr>
        <w:tc>
          <w:tcPr>
            <w:tcW w:w="3420" w:type="dxa"/>
            <w:vAlign w:val="bottom"/>
          </w:tcPr>
          <w:p>
            <w:pPr>
              <w:spacing w:after="0"/>
              <w:rPr>
                <w:sz w:val="20"/>
                <w:szCs w:val="20"/>
                <w:color w:val="auto"/>
              </w:rPr>
            </w:pPr>
            <w:r>
              <w:rPr>
                <w:rFonts w:ascii="Arial" w:cs="Arial" w:eastAsia="Arial" w:hAnsi="Arial"/>
                <w:sz w:val="12"/>
                <w:szCs w:val="12"/>
                <w:color w:val="auto"/>
              </w:rPr>
              <w:t>Corporate depreciation and amortization</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288</w:t>
            </w:r>
          </w:p>
        </w:tc>
        <w:tc>
          <w:tcPr>
            <w:tcW w:w="800" w:type="dxa"/>
            <w:vAlign w:val="bottom"/>
            <w:gridSpan w:val="3"/>
          </w:tcPr>
          <w:p>
            <w:pPr>
              <w:jc w:val="right"/>
              <w:ind w:right="37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302</w:t>
            </w:r>
          </w:p>
        </w:tc>
        <w:tc>
          <w:tcPr>
            <w:tcW w:w="180" w:type="dxa"/>
            <w:vAlign w:val="bottom"/>
          </w:tcPr>
          <w:p>
            <w:pPr>
              <w:spacing w:after="0"/>
              <w:rPr>
                <w:sz w:val="12"/>
                <w:szCs w:val="12"/>
                <w:color w:val="auto"/>
              </w:rPr>
            </w:pPr>
          </w:p>
        </w:tc>
      </w:tr>
      <w:tr>
        <w:trPr>
          <w:trHeight w:val="315"/>
        </w:trPr>
        <w:tc>
          <w:tcPr>
            <w:tcW w:w="3420" w:type="dxa"/>
            <w:vAlign w:val="bottom"/>
          </w:tcPr>
          <w:p>
            <w:pPr>
              <w:spacing w:after="0"/>
              <w:rPr>
                <w:sz w:val="20"/>
                <w:szCs w:val="20"/>
                <w:color w:val="auto"/>
              </w:rPr>
            </w:pPr>
            <w:r>
              <w:rPr>
                <w:rFonts w:ascii="Arial" w:cs="Arial" w:eastAsia="Arial" w:hAnsi="Arial"/>
                <w:sz w:val="12"/>
                <w:szCs w:val="12"/>
                <w:color w:val="auto"/>
              </w:rPr>
              <w:t>Key indicators: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0"/>
        </w:trPr>
        <w:tc>
          <w:tcPr>
            <w:tcW w:w="3420" w:type="dxa"/>
            <w:vAlign w:val="bottom"/>
          </w:tcPr>
          <w:p>
            <w:pPr>
              <w:ind w:left="80"/>
              <w:spacing w:after="0"/>
              <w:rPr>
                <w:sz w:val="20"/>
                <w:szCs w:val="20"/>
                <w:color w:val="auto"/>
              </w:rPr>
            </w:pPr>
            <w:r>
              <w:rPr>
                <w:rFonts w:ascii="Arial" w:cs="Arial" w:eastAsia="Arial" w:hAnsi="Arial"/>
                <w:sz w:val="12"/>
                <w:szCs w:val="12"/>
                <w:color w:val="auto"/>
              </w:rPr>
              <w:t>Merchant bankcard processing dollar value</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11,946,788</w:t>
            </w:r>
          </w:p>
        </w:tc>
        <w:tc>
          <w:tcPr>
            <w:tcW w:w="800" w:type="dxa"/>
            <w:vAlign w:val="bottom"/>
            <w:gridSpan w:val="3"/>
          </w:tcPr>
          <w:p>
            <w:pPr>
              <w:jc w:val="right"/>
              <w:ind w:right="37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10,583,943</w:t>
            </w:r>
          </w:p>
        </w:tc>
        <w:tc>
          <w:tcPr>
            <w:tcW w:w="180" w:type="dxa"/>
            <w:vAlign w:val="bottom"/>
          </w:tcPr>
          <w:p>
            <w:pPr>
              <w:spacing w:after="0"/>
              <w:rPr>
                <w:sz w:val="15"/>
                <w:szCs w:val="15"/>
                <w:color w:val="auto"/>
              </w:rPr>
            </w:pPr>
          </w:p>
        </w:tc>
      </w:tr>
      <w:tr>
        <w:trPr>
          <w:trHeight w:val="180"/>
        </w:trPr>
        <w:tc>
          <w:tcPr>
            <w:tcW w:w="3420" w:type="dxa"/>
            <w:vAlign w:val="bottom"/>
          </w:tcPr>
          <w:p>
            <w:pPr>
              <w:ind w:left="80"/>
              <w:spacing w:after="0"/>
              <w:rPr>
                <w:sz w:val="20"/>
                <w:szCs w:val="20"/>
                <w:color w:val="auto"/>
              </w:rPr>
            </w:pPr>
            <w:r>
              <w:rPr>
                <w:rFonts w:ascii="Arial" w:cs="Arial" w:eastAsia="Arial" w:hAnsi="Arial"/>
                <w:sz w:val="12"/>
                <w:szCs w:val="12"/>
                <w:color w:val="auto"/>
              </w:rPr>
              <w:t>Merchant bankcard transaction volume</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127,621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119,904</w:t>
            </w:r>
          </w:p>
        </w:tc>
        <w:tc>
          <w:tcPr>
            <w:tcW w:w="180" w:type="dxa"/>
            <w:vAlign w:val="bottom"/>
          </w:tcPr>
          <w:p>
            <w:pPr>
              <w:spacing w:after="0"/>
              <w:rPr>
                <w:sz w:val="15"/>
                <w:szCs w:val="15"/>
                <w:color w:val="auto"/>
              </w:rPr>
            </w:pPr>
          </w:p>
        </w:tc>
      </w:tr>
      <w:tr>
        <w:trPr>
          <w:trHeight w:val="657"/>
        </w:trPr>
        <w:tc>
          <w:tcPr>
            <w:tcW w:w="3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center"/>
              <w:ind w:left="40"/>
              <w:spacing w:after="0"/>
              <w:rPr>
                <w:sz w:val="20"/>
                <w:szCs w:val="20"/>
                <w:color w:val="auto"/>
              </w:rPr>
            </w:pPr>
            <w:r>
              <w:rPr>
                <w:rFonts w:ascii="Arial" w:cs="Arial" w:eastAsia="Arial" w:hAnsi="Arial"/>
                <w:sz w:val="12"/>
                <w:szCs w:val="12"/>
                <w:color w:val="auto"/>
                <w:w w:val="89"/>
              </w:rPr>
              <w:t>13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159"/>
          </w:cols>
          <w:pgMar w:left="300" w:top="649" w:right="1440" w:bottom="1440" w:gutter="0" w:footer="0" w:header="0"/>
        </w:sectPr>
      </w:pPr>
    </w:p>
    <w:bookmarkStart w:id="15" w:name="page16"/>
    <w:bookmarkEnd w:id="15"/>
    <w:p>
      <w:pPr>
        <w:jc w:val="center"/>
        <w:ind w:right="-1059"/>
        <w:spacing w:after="0"/>
        <w:rPr>
          <w:sz w:val="20"/>
          <w:szCs w:val="20"/>
          <w:color w:val="auto"/>
        </w:rPr>
      </w:pPr>
      <w:r>
        <w:rPr>
          <w:rFonts w:ascii="Arial" w:cs="Arial" w:eastAsia="Arial" w:hAnsi="Arial"/>
          <w:sz w:val="12"/>
          <w:szCs w:val="12"/>
          <w:b w:val="1"/>
          <w:bCs w:val="1"/>
          <w:color w:val="auto"/>
        </w:rPr>
        <w:t>PRIORITY TECHNOLOGY HOLDINGS, INC.</w:t>
      </w:r>
    </w:p>
    <w:p>
      <w:pPr>
        <w:spacing w:after="0" w:line="24" w:lineRule="exact"/>
        <w:rPr>
          <w:sz w:val="20"/>
          <w:szCs w:val="20"/>
          <w:color w:val="auto"/>
        </w:rPr>
      </w:pPr>
    </w:p>
    <w:p>
      <w:pPr>
        <w:jc w:val="center"/>
        <w:ind w:right="-1059"/>
        <w:spacing w:after="0"/>
        <w:rPr>
          <w:sz w:val="20"/>
          <w:szCs w:val="20"/>
          <w:color w:val="auto"/>
        </w:rPr>
      </w:pPr>
      <w:r>
        <w:rPr>
          <w:rFonts w:ascii="Arial" w:cs="Arial" w:eastAsia="Arial" w:hAnsi="Arial"/>
          <w:sz w:val="12"/>
          <w:szCs w:val="12"/>
          <w:b w:val="1"/>
          <w:bCs w:val="1"/>
          <w:color w:val="auto"/>
        </w:rPr>
        <w:t>Results With and Without RentPayment</w:t>
      </w:r>
    </w:p>
    <w:p>
      <w:pPr>
        <w:spacing w:after="0" w:line="28" w:lineRule="exact"/>
        <w:rPr>
          <w:sz w:val="20"/>
          <w:szCs w:val="20"/>
          <w:color w:val="auto"/>
        </w:rPr>
      </w:pPr>
    </w:p>
    <w:p>
      <w:pPr>
        <w:jc w:val="center"/>
        <w:ind w:right="-1059"/>
        <w:spacing w:after="0"/>
        <w:rPr>
          <w:sz w:val="20"/>
          <w:szCs w:val="20"/>
          <w:color w:val="auto"/>
        </w:rPr>
      </w:pPr>
      <w:r>
        <w:rPr>
          <w:rFonts w:ascii="Arial" w:cs="Arial" w:eastAsia="Arial" w:hAnsi="Arial"/>
          <w:sz w:val="12"/>
          <w:szCs w:val="12"/>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6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jc w:val="center"/>
              <w:ind w:left="448"/>
              <w:spacing w:after="0"/>
              <w:rPr>
                <w:sz w:val="20"/>
                <w:szCs w:val="20"/>
                <w:color w:val="auto"/>
              </w:rPr>
            </w:pPr>
            <w:r>
              <w:rPr>
                <w:rFonts w:ascii="Arial" w:cs="Arial" w:eastAsia="Arial" w:hAnsi="Arial"/>
                <w:sz w:val="11"/>
                <w:szCs w:val="11"/>
                <w:i w:val="1"/>
                <w:iCs w:val="1"/>
                <w:color w:val="auto"/>
                <w:w w:val="91"/>
              </w:rPr>
              <w:t>(in thousands)</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9"/>
        </w:trPr>
        <w:tc>
          <w:tcPr>
            <w:tcW w:w="366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left="448"/>
              <w:spacing w:after="0"/>
              <w:rPr>
                <w:sz w:val="20"/>
                <w:szCs w:val="20"/>
                <w:color w:val="auto"/>
              </w:rPr>
            </w:pPr>
            <w:r>
              <w:rPr>
                <w:rFonts w:ascii="Arial" w:cs="Arial" w:eastAsia="Arial" w:hAnsi="Arial"/>
                <w:sz w:val="11"/>
                <w:szCs w:val="11"/>
                <w:b w:val="1"/>
                <w:bCs w:val="1"/>
                <w:color w:val="auto"/>
                <w:w w:val="93"/>
              </w:rPr>
              <w:t>First Quarter 2020</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r>
      <w:tr>
        <w:trPr>
          <w:trHeight w:val="147"/>
        </w:trPr>
        <w:tc>
          <w:tcPr>
            <w:tcW w:w="3660" w:type="dxa"/>
            <w:vAlign w:val="bottom"/>
          </w:tcPr>
          <w:p>
            <w:pPr>
              <w:spacing w:after="0"/>
              <w:rPr>
                <w:sz w:val="12"/>
                <w:szCs w:val="12"/>
                <w:color w:val="auto"/>
              </w:rPr>
            </w:pPr>
          </w:p>
        </w:tc>
        <w:tc>
          <w:tcPr>
            <w:tcW w:w="1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Consolidated</w:t>
            </w: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Borders>
              <w:bottom w:val="single" w:sz="8" w:color="auto"/>
            </w:tcBorders>
          </w:tcPr>
          <w:p>
            <w:pPr>
              <w:jc w:val="center"/>
              <w:ind w:left="448"/>
              <w:spacing w:after="0"/>
              <w:rPr>
                <w:sz w:val="20"/>
                <w:szCs w:val="20"/>
                <w:color w:val="auto"/>
              </w:rPr>
            </w:pPr>
            <w:r>
              <w:rPr>
                <w:rFonts w:ascii="Arial" w:cs="Arial" w:eastAsia="Arial" w:hAnsi="Arial"/>
                <w:sz w:val="11"/>
                <w:szCs w:val="11"/>
                <w:b w:val="1"/>
                <w:bCs w:val="1"/>
                <w:color w:val="auto"/>
                <w:w w:val="90"/>
              </w:rPr>
              <w:t>RentPayment</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Excl RentPayment</w:t>
            </w:r>
          </w:p>
        </w:tc>
      </w:tr>
      <w:tr>
        <w:trPr>
          <w:trHeight w:val="286"/>
        </w:trPr>
        <w:tc>
          <w:tcPr>
            <w:tcW w:w="3660" w:type="dxa"/>
            <w:vAlign w:val="bottom"/>
          </w:tcPr>
          <w:p>
            <w:pPr>
              <w:spacing w:after="0"/>
              <w:rPr>
                <w:sz w:val="20"/>
                <w:szCs w:val="20"/>
                <w:color w:val="auto"/>
              </w:rPr>
            </w:pPr>
            <w:r>
              <w:rPr>
                <w:rFonts w:ascii="Arial" w:cs="Arial" w:eastAsia="Arial" w:hAnsi="Arial"/>
                <w:sz w:val="11"/>
                <w:szCs w:val="11"/>
                <w:b w:val="1"/>
                <w:bCs w:val="1"/>
                <w:color w:val="auto"/>
              </w:rPr>
              <w:t>Revenues</w:t>
            </w:r>
          </w:p>
        </w:tc>
        <w:tc>
          <w:tcPr>
            <w:tcW w:w="1500" w:type="dxa"/>
            <w:vAlign w:val="bottom"/>
            <w:tcBorders>
              <w:bottom w:val="single" w:sz="8" w:color="auto"/>
            </w:tcBorders>
          </w:tcPr>
          <w:p>
            <w:pPr>
              <w:jc w:val="right"/>
              <w:ind w:right="136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96,933</w:t>
            </w:r>
          </w:p>
        </w:tc>
        <w:tc>
          <w:tcPr>
            <w:tcW w:w="140" w:type="dxa"/>
            <w:vAlign w:val="bottom"/>
          </w:tcPr>
          <w:p>
            <w:pPr>
              <w:spacing w:after="0"/>
              <w:rPr>
                <w:sz w:val="24"/>
                <w:szCs w:val="24"/>
                <w:color w:val="auto"/>
              </w:rPr>
            </w:pPr>
          </w:p>
        </w:tc>
        <w:tc>
          <w:tcPr>
            <w:tcW w:w="1580" w:type="dxa"/>
            <w:vAlign w:val="bottom"/>
            <w:tcBorders>
              <w:bottom w:val="single" w:sz="8" w:color="auto"/>
            </w:tcBorders>
          </w:tcPr>
          <w:p>
            <w:pPr>
              <w:jc w:val="right"/>
              <w:ind w:right="146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3,844</w:t>
            </w:r>
          </w:p>
        </w:tc>
        <w:tc>
          <w:tcPr>
            <w:tcW w:w="140" w:type="dxa"/>
            <w:vAlign w:val="bottom"/>
          </w:tcPr>
          <w:p>
            <w:pPr>
              <w:spacing w:after="0"/>
              <w:rPr>
                <w:sz w:val="24"/>
                <w:szCs w:val="24"/>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7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93,089</w:t>
            </w:r>
          </w:p>
        </w:tc>
      </w:tr>
      <w:tr>
        <w:trPr>
          <w:trHeight w:val="284"/>
        </w:trPr>
        <w:tc>
          <w:tcPr>
            <w:tcW w:w="3660" w:type="dxa"/>
            <w:vAlign w:val="bottom"/>
          </w:tcPr>
          <w:p>
            <w:pPr>
              <w:spacing w:after="0"/>
              <w:rPr>
                <w:sz w:val="20"/>
                <w:szCs w:val="20"/>
                <w:color w:val="auto"/>
              </w:rPr>
            </w:pPr>
            <w:r>
              <w:rPr>
                <w:rFonts w:ascii="Arial" w:cs="Arial" w:eastAsia="Arial" w:hAnsi="Arial"/>
                <w:sz w:val="11"/>
                <w:szCs w:val="11"/>
                <w:b w:val="1"/>
                <w:bCs w:val="1"/>
                <w:color w:val="auto"/>
              </w:rPr>
              <w:t>Operating Expenses:</w:t>
            </w: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2"/>
        </w:trPr>
        <w:tc>
          <w:tcPr>
            <w:tcW w:w="3660" w:type="dxa"/>
            <w:vAlign w:val="bottom"/>
          </w:tcPr>
          <w:p>
            <w:pPr>
              <w:ind w:left="80"/>
              <w:spacing w:after="0"/>
              <w:rPr>
                <w:sz w:val="20"/>
                <w:szCs w:val="20"/>
                <w:color w:val="auto"/>
              </w:rPr>
            </w:pPr>
            <w:r>
              <w:rPr>
                <w:rFonts w:ascii="Arial" w:cs="Arial" w:eastAsia="Arial" w:hAnsi="Arial"/>
                <w:sz w:val="11"/>
                <w:szCs w:val="11"/>
                <w:color w:val="auto"/>
              </w:rPr>
              <w:t>Costs of services</w:t>
            </w:r>
          </w:p>
        </w:tc>
        <w:tc>
          <w:tcPr>
            <w:tcW w:w="1500" w:type="dxa"/>
            <w:vAlign w:val="bottom"/>
          </w:tcPr>
          <w:p>
            <w:pPr>
              <w:spacing w:after="0"/>
              <w:rPr>
                <w:sz w:val="14"/>
                <w:szCs w:val="14"/>
                <w:color w:val="auto"/>
              </w:rPr>
            </w:pPr>
          </w:p>
        </w:tc>
        <w:tc>
          <w:tcPr>
            <w:tcW w:w="600" w:type="dxa"/>
            <w:vAlign w:val="bottom"/>
          </w:tcPr>
          <w:p>
            <w:pPr>
              <w:jc w:val="right"/>
              <w:ind w:right="126"/>
              <w:spacing w:after="0"/>
              <w:rPr>
                <w:sz w:val="20"/>
                <w:szCs w:val="20"/>
                <w:color w:val="auto"/>
              </w:rPr>
            </w:pPr>
            <w:r>
              <w:rPr>
                <w:rFonts w:ascii="Arial" w:cs="Arial" w:eastAsia="Arial" w:hAnsi="Arial"/>
                <w:sz w:val="11"/>
                <w:szCs w:val="11"/>
                <w:color w:val="auto"/>
              </w:rPr>
              <w:t>66,364</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374</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jc w:val="right"/>
              <w:ind w:right="106"/>
              <w:spacing w:after="0"/>
              <w:rPr>
                <w:sz w:val="20"/>
                <w:szCs w:val="20"/>
                <w:color w:val="auto"/>
              </w:rPr>
            </w:pPr>
            <w:r>
              <w:rPr>
                <w:rFonts w:ascii="Arial" w:cs="Arial" w:eastAsia="Arial" w:hAnsi="Arial"/>
                <w:sz w:val="11"/>
                <w:szCs w:val="11"/>
                <w:color w:val="auto"/>
              </w:rPr>
              <w:t>65,990</w:t>
            </w:r>
          </w:p>
        </w:tc>
      </w:tr>
      <w:tr>
        <w:trPr>
          <w:trHeight w:val="162"/>
        </w:trPr>
        <w:tc>
          <w:tcPr>
            <w:tcW w:w="3660" w:type="dxa"/>
            <w:vAlign w:val="bottom"/>
          </w:tcPr>
          <w:p>
            <w:pPr>
              <w:ind w:left="80"/>
              <w:spacing w:after="0"/>
              <w:rPr>
                <w:sz w:val="20"/>
                <w:szCs w:val="20"/>
                <w:color w:val="auto"/>
              </w:rPr>
            </w:pPr>
            <w:r>
              <w:rPr>
                <w:rFonts w:ascii="Arial" w:cs="Arial" w:eastAsia="Arial" w:hAnsi="Arial"/>
                <w:sz w:val="11"/>
                <w:szCs w:val="11"/>
                <w:color w:val="auto"/>
              </w:rPr>
              <w:t>Salary and employee benefits</w:t>
            </w:r>
          </w:p>
        </w:tc>
        <w:tc>
          <w:tcPr>
            <w:tcW w:w="1500" w:type="dxa"/>
            <w:vAlign w:val="bottom"/>
          </w:tcPr>
          <w:p>
            <w:pPr>
              <w:spacing w:after="0"/>
              <w:rPr>
                <w:sz w:val="14"/>
                <w:szCs w:val="14"/>
                <w:color w:val="auto"/>
              </w:rPr>
            </w:pPr>
          </w:p>
        </w:tc>
        <w:tc>
          <w:tcPr>
            <w:tcW w:w="600" w:type="dxa"/>
            <w:vAlign w:val="bottom"/>
          </w:tcPr>
          <w:p>
            <w:pPr>
              <w:jc w:val="right"/>
              <w:ind w:right="126"/>
              <w:spacing w:after="0"/>
              <w:rPr>
                <w:sz w:val="20"/>
                <w:szCs w:val="20"/>
                <w:color w:val="auto"/>
              </w:rPr>
            </w:pPr>
            <w:r>
              <w:rPr>
                <w:rFonts w:ascii="Arial" w:cs="Arial" w:eastAsia="Arial" w:hAnsi="Arial"/>
                <w:sz w:val="11"/>
                <w:szCs w:val="11"/>
                <w:color w:val="auto"/>
              </w:rPr>
              <w:t>10,129</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539</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jc w:val="right"/>
              <w:ind w:right="106"/>
              <w:spacing w:after="0"/>
              <w:rPr>
                <w:sz w:val="20"/>
                <w:szCs w:val="20"/>
                <w:color w:val="auto"/>
              </w:rPr>
            </w:pPr>
            <w:r>
              <w:rPr>
                <w:rFonts w:ascii="Arial" w:cs="Arial" w:eastAsia="Arial" w:hAnsi="Arial"/>
                <w:sz w:val="11"/>
                <w:szCs w:val="11"/>
                <w:color w:val="auto"/>
              </w:rPr>
              <w:t>9,590</w:t>
            </w:r>
          </w:p>
        </w:tc>
      </w:tr>
      <w:tr>
        <w:trPr>
          <w:trHeight w:val="162"/>
        </w:trPr>
        <w:tc>
          <w:tcPr>
            <w:tcW w:w="3660" w:type="dxa"/>
            <w:vAlign w:val="bottom"/>
          </w:tcPr>
          <w:p>
            <w:pPr>
              <w:ind w:left="80"/>
              <w:spacing w:after="0"/>
              <w:rPr>
                <w:sz w:val="20"/>
                <w:szCs w:val="20"/>
                <w:color w:val="auto"/>
              </w:rPr>
            </w:pPr>
            <w:r>
              <w:rPr>
                <w:rFonts w:ascii="Arial" w:cs="Arial" w:eastAsia="Arial" w:hAnsi="Arial"/>
                <w:sz w:val="11"/>
                <w:szCs w:val="11"/>
                <w:color w:val="auto"/>
              </w:rPr>
              <w:t>Depreciation and amortization</w:t>
            </w:r>
          </w:p>
        </w:tc>
        <w:tc>
          <w:tcPr>
            <w:tcW w:w="1500" w:type="dxa"/>
            <w:vAlign w:val="bottom"/>
          </w:tcPr>
          <w:p>
            <w:pPr>
              <w:spacing w:after="0"/>
              <w:rPr>
                <w:sz w:val="14"/>
                <w:szCs w:val="14"/>
                <w:color w:val="auto"/>
              </w:rPr>
            </w:pPr>
          </w:p>
        </w:tc>
        <w:tc>
          <w:tcPr>
            <w:tcW w:w="600" w:type="dxa"/>
            <w:vAlign w:val="bottom"/>
          </w:tcPr>
          <w:p>
            <w:pPr>
              <w:jc w:val="right"/>
              <w:ind w:right="126"/>
              <w:spacing w:after="0"/>
              <w:rPr>
                <w:sz w:val="20"/>
                <w:szCs w:val="20"/>
                <w:color w:val="auto"/>
              </w:rPr>
            </w:pPr>
            <w:r>
              <w:rPr>
                <w:rFonts w:ascii="Arial" w:cs="Arial" w:eastAsia="Arial" w:hAnsi="Arial"/>
                <w:sz w:val="11"/>
                <w:szCs w:val="11"/>
                <w:color w:val="auto"/>
              </w:rPr>
              <w:t>10,272</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1,216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jc w:val="right"/>
              <w:ind w:right="106"/>
              <w:spacing w:after="0"/>
              <w:rPr>
                <w:sz w:val="20"/>
                <w:szCs w:val="20"/>
                <w:color w:val="auto"/>
              </w:rPr>
            </w:pPr>
            <w:r>
              <w:rPr>
                <w:rFonts w:ascii="Arial" w:cs="Arial" w:eastAsia="Arial" w:hAnsi="Arial"/>
                <w:sz w:val="11"/>
                <w:szCs w:val="11"/>
                <w:color w:val="auto"/>
              </w:rPr>
              <w:t>9,056</w:t>
            </w:r>
          </w:p>
        </w:tc>
      </w:tr>
      <w:tr>
        <w:trPr>
          <w:trHeight w:val="169"/>
        </w:trPr>
        <w:tc>
          <w:tcPr>
            <w:tcW w:w="3660" w:type="dxa"/>
            <w:vAlign w:val="bottom"/>
          </w:tcPr>
          <w:p>
            <w:pPr>
              <w:ind w:left="80"/>
              <w:spacing w:after="0"/>
              <w:rPr>
                <w:sz w:val="20"/>
                <w:szCs w:val="20"/>
                <w:color w:val="auto"/>
              </w:rPr>
            </w:pPr>
            <w:r>
              <w:rPr>
                <w:rFonts w:ascii="Arial" w:cs="Arial" w:eastAsia="Arial" w:hAnsi="Arial"/>
                <w:sz w:val="11"/>
                <w:szCs w:val="11"/>
                <w:color w:val="auto"/>
              </w:rPr>
              <w:t>Selling, general and administrative</w:t>
            </w:r>
          </w:p>
        </w:tc>
        <w:tc>
          <w:tcPr>
            <w:tcW w:w="1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6,609</w:t>
            </w:r>
          </w:p>
        </w:tc>
        <w:tc>
          <w:tcPr>
            <w:tcW w:w="14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1,159</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5,450</w:t>
            </w:r>
          </w:p>
        </w:tc>
      </w:tr>
      <w:tr>
        <w:trPr>
          <w:trHeight w:val="147"/>
        </w:trPr>
        <w:tc>
          <w:tcPr>
            <w:tcW w:w="3660" w:type="dxa"/>
            <w:vAlign w:val="bottom"/>
          </w:tcPr>
          <w:p>
            <w:pPr>
              <w:ind w:left="140"/>
              <w:spacing w:after="0"/>
              <w:rPr>
                <w:sz w:val="20"/>
                <w:szCs w:val="20"/>
                <w:color w:val="auto"/>
              </w:rPr>
            </w:pPr>
            <w:r>
              <w:rPr>
                <w:rFonts w:ascii="Arial" w:cs="Arial" w:eastAsia="Arial" w:hAnsi="Arial"/>
                <w:sz w:val="11"/>
                <w:szCs w:val="11"/>
                <w:color w:val="auto"/>
              </w:rPr>
              <w:t>Total operating expenses</w:t>
            </w:r>
          </w:p>
        </w:tc>
        <w:tc>
          <w:tcPr>
            <w:tcW w:w="1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93,374</w:t>
            </w:r>
          </w:p>
        </w:tc>
        <w:tc>
          <w:tcPr>
            <w:tcW w:w="14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3,288</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90,086</w:t>
            </w:r>
          </w:p>
        </w:tc>
      </w:tr>
      <w:tr>
        <w:trPr>
          <w:trHeight w:val="239"/>
        </w:trPr>
        <w:tc>
          <w:tcPr>
            <w:tcW w:w="3660" w:type="dxa"/>
            <w:vAlign w:val="bottom"/>
          </w:tcPr>
          <w:p>
            <w:pPr>
              <w:ind w:left="140"/>
              <w:spacing w:after="0"/>
              <w:rPr>
                <w:sz w:val="20"/>
                <w:szCs w:val="20"/>
                <w:color w:val="auto"/>
              </w:rPr>
            </w:pPr>
            <w:r>
              <w:rPr>
                <w:rFonts w:ascii="Arial" w:cs="Arial" w:eastAsia="Arial" w:hAnsi="Arial"/>
                <w:sz w:val="11"/>
                <w:szCs w:val="11"/>
                <w:b w:val="1"/>
                <w:bCs w:val="1"/>
                <w:color w:val="auto"/>
              </w:rPr>
              <w:t>Income from operations</w:t>
            </w:r>
          </w:p>
        </w:tc>
        <w:tc>
          <w:tcPr>
            <w:tcW w:w="1500" w:type="dxa"/>
            <w:vAlign w:val="bottom"/>
          </w:tcPr>
          <w:p>
            <w:pPr>
              <w:spacing w:after="0"/>
              <w:rPr>
                <w:sz w:val="20"/>
                <w:szCs w:val="20"/>
                <w:color w:val="auto"/>
              </w:rPr>
            </w:pPr>
          </w:p>
        </w:tc>
        <w:tc>
          <w:tcPr>
            <w:tcW w:w="600" w:type="dxa"/>
            <w:vAlign w:val="bottom"/>
          </w:tcPr>
          <w:p>
            <w:pPr>
              <w:jc w:val="right"/>
              <w:ind w:right="126"/>
              <w:spacing w:after="0"/>
              <w:rPr>
                <w:sz w:val="20"/>
                <w:szCs w:val="20"/>
                <w:color w:val="auto"/>
              </w:rPr>
            </w:pPr>
            <w:r>
              <w:rPr>
                <w:rFonts w:ascii="Arial" w:cs="Arial" w:eastAsia="Arial" w:hAnsi="Arial"/>
                <w:sz w:val="11"/>
                <w:szCs w:val="11"/>
                <w:color w:val="auto"/>
              </w:rPr>
              <w:t>3,559</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556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tcPr>
          <w:p>
            <w:pPr>
              <w:jc w:val="right"/>
              <w:ind w:right="106"/>
              <w:spacing w:after="0"/>
              <w:rPr>
                <w:sz w:val="20"/>
                <w:szCs w:val="20"/>
                <w:color w:val="auto"/>
              </w:rPr>
            </w:pPr>
            <w:r>
              <w:rPr>
                <w:rFonts w:ascii="Arial" w:cs="Arial" w:eastAsia="Arial" w:hAnsi="Arial"/>
                <w:sz w:val="11"/>
                <w:szCs w:val="11"/>
                <w:color w:val="auto"/>
              </w:rPr>
              <w:t>3,003</w:t>
            </w:r>
          </w:p>
        </w:tc>
      </w:tr>
      <w:tr>
        <w:trPr>
          <w:trHeight w:val="261"/>
        </w:trPr>
        <w:tc>
          <w:tcPr>
            <w:tcW w:w="3660" w:type="dxa"/>
            <w:vAlign w:val="bottom"/>
          </w:tcPr>
          <w:p>
            <w:pPr>
              <w:ind w:left="140"/>
              <w:spacing w:after="0"/>
              <w:rPr>
                <w:sz w:val="20"/>
                <w:szCs w:val="20"/>
                <w:color w:val="auto"/>
              </w:rPr>
            </w:pPr>
            <w:r>
              <w:rPr>
                <w:rFonts w:ascii="Arial" w:cs="Arial" w:eastAsia="Arial" w:hAnsi="Arial"/>
                <w:sz w:val="11"/>
                <w:szCs w:val="11"/>
                <w:color w:val="auto"/>
              </w:rPr>
              <w:t>Depreciation and amortization</w:t>
            </w:r>
          </w:p>
        </w:tc>
        <w:tc>
          <w:tcPr>
            <w:tcW w:w="1500" w:type="dxa"/>
            <w:vAlign w:val="bottom"/>
          </w:tcPr>
          <w:p>
            <w:pPr>
              <w:spacing w:after="0"/>
              <w:rPr>
                <w:sz w:val="22"/>
                <w:szCs w:val="22"/>
                <w:color w:val="auto"/>
              </w:rPr>
            </w:pPr>
          </w:p>
        </w:tc>
        <w:tc>
          <w:tcPr>
            <w:tcW w:w="600" w:type="dxa"/>
            <w:vAlign w:val="bottom"/>
          </w:tcPr>
          <w:p>
            <w:pPr>
              <w:jc w:val="right"/>
              <w:ind w:right="126"/>
              <w:spacing w:after="0"/>
              <w:rPr>
                <w:sz w:val="20"/>
                <w:szCs w:val="20"/>
                <w:color w:val="auto"/>
              </w:rPr>
            </w:pPr>
            <w:r>
              <w:rPr>
                <w:rFonts w:ascii="Arial" w:cs="Arial" w:eastAsia="Arial" w:hAnsi="Arial"/>
                <w:sz w:val="11"/>
                <w:szCs w:val="11"/>
                <w:color w:val="auto"/>
              </w:rPr>
              <w:t>10,272</w:t>
            </w: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00" w:type="dxa"/>
            <w:vAlign w:val="bottom"/>
          </w:tcPr>
          <w:p>
            <w:pPr>
              <w:jc w:val="right"/>
              <w:ind w:right="106"/>
              <w:spacing w:after="0"/>
              <w:rPr>
                <w:sz w:val="20"/>
                <w:szCs w:val="20"/>
                <w:color w:val="auto"/>
              </w:rPr>
            </w:pPr>
            <w:r>
              <w:rPr>
                <w:rFonts w:ascii="Arial" w:cs="Arial" w:eastAsia="Arial" w:hAnsi="Arial"/>
                <w:sz w:val="11"/>
                <w:szCs w:val="11"/>
                <w:color w:val="auto"/>
              </w:rPr>
              <w:t>1,216</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60" w:type="dxa"/>
            <w:vAlign w:val="bottom"/>
          </w:tcPr>
          <w:p>
            <w:pPr>
              <w:jc w:val="right"/>
              <w:ind w:right="106"/>
              <w:spacing w:after="0"/>
              <w:rPr>
                <w:sz w:val="20"/>
                <w:szCs w:val="20"/>
                <w:color w:val="auto"/>
              </w:rPr>
            </w:pPr>
            <w:r>
              <w:rPr>
                <w:rFonts w:ascii="Arial" w:cs="Arial" w:eastAsia="Arial" w:hAnsi="Arial"/>
                <w:sz w:val="11"/>
                <w:szCs w:val="11"/>
                <w:color w:val="auto"/>
              </w:rPr>
              <w:t>9,056</w:t>
            </w:r>
          </w:p>
        </w:tc>
      </w:tr>
      <w:tr>
        <w:trPr>
          <w:trHeight w:val="162"/>
        </w:trPr>
        <w:tc>
          <w:tcPr>
            <w:tcW w:w="3660" w:type="dxa"/>
            <w:vAlign w:val="bottom"/>
          </w:tcPr>
          <w:p>
            <w:pPr>
              <w:ind w:left="140"/>
              <w:spacing w:after="0"/>
              <w:rPr>
                <w:sz w:val="20"/>
                <w:szCs w:val="20"/>
                <w:color w:val="auto"/>
              </w:rPr>
            </w:pPr>
            <w:r>
              <w:rPr>
                <w:rFonts w:ascii="Arial" w:cs="Arial" w:eastAsia="Arial" w:hAnsi="Arial"/>
                <w:sz w:val="11"/>
                <w:szCs w:val="11"/>
                <w:color w:val="auto"/>
              </w:rPr>
              <w:t>Other income, net</w:t>
            </w:r>
          </w:p>
        </w:tc>
        <w:tc>
          <w:tcPr>
            <w:tcW w:w="1500" w:type="dxa"/>
            <w:vAlign w:val="bottom"/>
          </w:tcPr>
          <w:p>
            <w:pPr>
              <w:spacing w:after="0"/>
              <w:rPr>
                <w:sz w:val="14"/>
                <w:szCs w:val="14"/>
                <w:color w:val="auto"/>
              </w:rPr>
            </w:pPr>
          </w:p>
        </w:tc>
        <w:tc>
          <w:tcPr>
            <w:tcW w:w="600" w:type="dxa"/>
            <w:vAlign w:val="bottom"/>
          </w:tcPr>
          <w:p>
            <w:pPr>
              <w:jc w:val="right"/>
              <w:ind w:right="126"/>
              <w:spacing w:after="0"/>
              <w:rPr>
                <w:sz w:val="20"/>
                <w:szCs w:val="20"/>
                <w:color w:val="auto"/>
              </w:rPr>
            </w:pPr>
            <w:r>
              <w:rPr>
                <w:rFonts w:ascii="Arial" w:cs="Arial" w:eastAsia="Arial" w:hAnsi="Arial"/>
                <w:sz w:val="11"/>
                <w:szCs w:val="11"/>
                <w:color w:val="auto"/>
              </w:rPr>
              <w:t>241</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1760" w:type="dxa"/>
            <w:vAlign w:val="bottom"/>
          </w:tcPr>
          <w:p>
            <w:pPr>
              <w:jc w:val="right"/>
              <w:ind w:right="106"/>
              <w:spacing w:after="0"/>
              <w:rPr>
                <w:sz w:val="20"/>
                <w:szCs w:val="20"/>
                <w:color w:val="auto"/>
              </w:rPr>
            </w:pPr>
            <w:r>
              <w:rPr>
                <w:rFonts w:ascii="Arial" w:cs="Arial" w:eastAsia="Arial" w:hAnsi="Arial"/>
                <w:sz w:val="11"/>
                <w:szCs w:val="11"/>
                <w:color w:val="auto"/>
              </w:rPr>
              <w:t>241</w:t>
            </w:r>
          </w:p>
        </w:tc>
      </w:tr>
      <w:tr>
        <w:trPr>
          <w:trHeight w:val="162"/>
        </w:trPr>
        <w:tc>
          <w:tcPr>
            <w:tcW w:w="3660" w:type="dxa"/>
            <w:vAlign w:val="bottom"/>
          </w:tcPr>
          <w:p>
            <w:pPr>
              <w:ind w:left="140"/>
              <w:spacing w:after="0"/>
              <w:rPr>
                <w:sz w:val="20"/>
                <w:szCs w:val="20"/>
                <w:color w:val="auto"/>
              </w:rPr>
            </w:pPr>
            <w:r>
              <w:rPr>
                <w:rFonts w:ascii="Arial" w:cs="Arial" w:eastAsia="Arial" w:hAnsi="Arial"/>
                <w:sz w:val="11"/>
                <w:szCs w:val="11"/>
                <w:color w:val="auto"/>
              </w:rPr>
              <w:t>Non-cash stock-based compensation</w:t>
            </w:r>
          </w:p>
        </w:tc>
        <w:tc>
          <w:tcPr>
            <w:tcW w:w="1500" w:type="dxa"/>
            <w:vAlign w:val="bottom"/>
          </w:tcPr>
          <w:p>
            <w:pPr>
              <w:spacing w:after="0"/>
              <w:rPr>
                <w:sz w:val="14"/>
                <w:szCs w:val="14"/>
                <w:color w:val="auto"/>
              </w:rPr>
            </w:pPr>
          </w:p>
        </w:tc>
        <w:tc>
          <w:tcPr>
            <w:tcW w:w="600" w:type="dxa"/>
            <w:vAlign w:val="bottom"/>
          </w:tcPr>
          <w:p>
            <w:pPr>
              <w:jc w:val="right"/>
              <w:ind w:right="126"/>
              <w:spacing w:after="0"/>
              <w:rPr>
                <w:sz w:val="20"/>
                <w:szCs w:val="20"/>
                <w:color w:val="auto"/>
              </w:rPr>
            </w:pPr>
            <w:r>
              <w:rPr>
                <w:rFonts w:ascii="Arial" w:cs="Arial" w:eastAsia="Arial" w:hAnsi="Arial"/>
                <w:sz w:val="11"/>
                <w:szCs w:val="11"/>
                <w:color w:val="auto"/>
              </w:rPr>
              <w:t>338</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1760" w:type="dxa"/>
            <w:vAlign w:val="bottom"/>
          </w:tcPr>
          <w:p>
            <w:pPr>
              <w:jc w:val="right"/>
              <w:ind w:right="106"/>
              <w:spacing w:after="0"/>
              <w:rPr>
                <w:sz w:val="20"/>
                <w:szCs w:val="20"/>
                <w:color w:val="auto"/>
              </w:rPr>
            </w:pPr>
            <w:r>
              <w:rPr>
                <w:rFonts w:ascii="Arial" w:cs="Arial" w:eastAsia="Arial" w:hAnsi="Arial"/>
                <w:sz w:val="11"/>
                <w:szCs w:val="11"/>
                <w:color w:val="auto"/>
              </w:rPr>
              <w:t>338</w:t>
            </w:r>
          </w:p>
        </w:tc>
      </w:tr>
      <w:tr>
        <w:trPr>
          <w:trHeight w:val="162"/>
        </w:trPr>
        <w:tc>
          <w:tcPr>
            <w:tcW w:w="3660" w:type="dxa"/>
            <w:vAlign w:val="bottom"/>
          </w:tcPr>
          <w:p>
            <w:pPr>
              <w:ind w:left="140"/>
              <w:spacing w:after="0"/>
              <w:rPr>
                <w:sz w:val="20"/>
                <w:szCs w:val="20"/>
                <w:color w:val="auto"/>
              </w:rPr>
            </w:pPr>
            <w:r>
              <w:rPr>
                <w:rFonts w:ascii="Arial" w:cs="Arial" w:eastAsia="Arial" w:hAnsi="Arial"/>
                <w:sz w:val="11"/>
                <w:szCs w:val="11"/>
                <w:color w:val="auto"/>
              </w:rPr>
              <w:t>Legal and professional fees</w:t>
            </w:r>
          </w:p>
        </w:tc>
        <w:tc>
          <w:tcPr>
            <w:tcW w:w="1500" w:type="dxa"/>
            <w:vAlign w:val="bottom"/>
          </w:tcPr>
          <w:p>
            <w:pPr>
              <w:spacing w:after="0"/>
              <w:rPr>
                <w:sz w:val="14"/>
                <w:szCs w:val="14"/>
                <w:color w:val="auto"/>
              </w:rPr>
            </w:pPr>
          </w:p>
        </w:tc>
        <w:tc>
          <w:tcPr>
            <w:tcW w:w="600" w:type="dxa"/>
            <w:vAlign w:val="bottom"/>
          </w:tcPr>
          <w:p>
            <w:pPr>
              <w:jc w:val="right"/>
              <w:ind w:right="126"/>
              <w:spacing w:after="0"/>
              <w:rPr>
                <w:sz w:val="20"/>
                <w:szCs w:val="20"/>
                <w:color w:val="auto"/>
              </w:rPr>
            </w:pPr>
            <w:r>
              <w:rPr>
                <w:rFonts w:ascii="Arial" w:cs="Arial" w:eastAsia="Arial" w:hAnsi="Arial"/>
                <w:sz w:val="11"/>
                <w:szCs w:val="11"/>
                <w:color w:val="auto"/>
              </w:rPr>
              <w:t>496</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1760" w:type="dxa"/>
            <w:vAlign w:val="bottom"/>
          </w:tcPr>
          <w:p>
            <w:pPr>
              <w:jc w:val="right"/>
              <w:ind w:right="106"/>
              <w:spacing w:after="0"/>
              <w:rPr>
                <w:sz w:val="20"/>
                <w:szCs w:val="20"/>
                <w:color w:val="auto"/>
              </w:rPr>
            </w:pPr>
            <w:r>
              <w:rPr>
                <w:rFonts w:ascii="Arial" w:cs="Arial" w:eastAsia="Arial" w:hAnsi="Arial"/>
                <w:sz w:val="11"/>
                <w:szCs w:val="11"/>
                <w:color w:val="auto"/>
              </w:rPr>
              <w:t>496</w:t>
            </w:r>
          </w:p>
        </w:tc>
      </w:tr>
      <w:tr>
        <w:trPr>
          <w:trHeight w:val="162"/>
        </w:trPr>
        <w:tc>
          <w:tcPr>
            <w:tcW w:w="3660" w:type="dxa"/>
            <w:vAlign w:val="bottom"/>
          </w:tcPr>
          <w:p>
            <w:pPr>
              <w:ind w:left="140"/>
              <w:spacing w:after="0"/>
              <w:rPr>
                <w:sz w:val="20"/>
                <w:szCs w:val="20"/>
                <w:color w:val="auto"/>
              </w:rPr>
            </w:pPr>
            <w:r>
              <w:rPr>
                <w:rFonts w:ascii="Arial" w:cs="Arial" w:eastAsia="Arial" w:hAnsi="Arial"/>
                <w:sz w:val="11"/>
                <w:szCs w:val="11"/>
                <w:color w:val="auto"/>
              </w:rPr>
              <w:t>Legal settlements</w:t>
            </w:r>
          </w:p>
        </w:tc>
        <w:tc>
          <w:tcPr>
            <w:tcW w:w="1500" w:type="dxa"/>
            <w:vAlign w:val="bottom"/>
          </w:tcPr>
          <w:p>
            <w:pPr>
              <w:spacing w:after="0"/>
              <w:rPr>
                <w:sz w:val="14"/>
                <w:szCs w:val="14"/>
                <w:color w:val="auto"/>
              </w:rPr>
            </w:pPr>
          </w:p>
        </w:tc>
        <w:tc>
          <w:tcPr>
            <w:tcW w:w="600" w:type="dxa"/>
            <w:vAlign w:val="bottom"/>
          </w:tcPr>
          <w:p>
            <w:pPr>
              <w:jc w:val="right"/>
              <w:ind w:right="126"/>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1760" w:type="dxa"/>
            <w:vAlign w:val="bottom"/>
          </w:tcPr>
          <w:p>
            <w:pPr>
              <w:jc w:val="right"/>
              <w:ind w:right="106"/>
              <w:spacing w:after="0"/>
              <w:rPr>
                <w:sz w:val="20"/>
                <w:szCs w:val="20"/>
                <w:color w:val="auto"/>
              </w:rPr>
            </w:pPr>
            <w:r>
              <w:rPr>
                <w:rFonts w:ascii="Arial" w:cs="Arial" w:eastAsia="Arial" w:hAnsi="Arial"/>
                <w:sz w:val="11"/>
                <w:szCs w:val="11"/>
                <w:color w:val="auto"/>
              </w:rPr>
              <w:t>2</w:t>
            </w:r>
          </w:p>
        </w:tc>
      </w:tr>
      <w:tr>
        <w:trPr>
          <w:trHeight w:val="168"/>
        </w:trPr>
        <w:tc>
          <w:tcPr>
            <w:tcW w:w="3660" w:type="dxa"/>
            <w:vAlign w:val="bottom"/>
          </w:tcPr>
          <w:p>
            <w:pPr>
              <w:ind w:left="140"/>
              <w:spacing w:after="0"/>
              <w:rPr>
                <w:sz w:val="20"/>
                <w:szCs w:val="20"/>
                <w:color w:val="auto"/>
              </w:rPr>
            </w:pPr>
            <w:r>
              <w:rPr>
                <w:rFonts w:ascii="Arial" w:cs="Arial" w:eastAsia="Arial" w:hAnsi="Arial"/>
                <w:sz w:val="11"/>
                <w:szCs w:val="11"/>
                <w:color w:val="auto"/>
              </w:rPr>
              <w:t>Acquisition integration services</w:t>
            </w:r>
          </w:p>
        </w:tc>
        <w:tc>
          <w:tcPr>
            <w:tcW w:w="1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896</w:t>
            </w:r>
          </w:p>
        </w:tc>
        <w:tc>
          <w:tcPr>
            <w:tcW w:w="14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896</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r>
      <w:tr>
        <w:trPr>
          <w:trHeight w:val="221"/>
        </w:trPr>
        <w:tc>
          <w:tcPr>
            <w:tcW w:w="3660" w:type="dxa"/>
            <w:vAlign w:val="bottom"/>
          </w:tcPr>
          <w:p>
            <w:pPr>
              <w:ind w:left="140"/>
              <w:spacing w:after="0"/>
              <w:rPr>
                <w:sz w:val="20"/>
                <w:szCs w:val="20"/>
                <w:color w:val="auto"/>
              </w:rPr>
            </w:pPr>
            <w:r>
              <w:rPr>
                <w:rFonts w:ascii="Arial" w:cs="Arial" w:eastAsia="Arial" w:hAnsi="Arial"/>
                <w:sz w:val="11"/>
                <w:szCs w:val="11"/>
                <w:b w:val="1"/>
                <w:bCs w:val="1"/>
                <w:color w:val="auto"/>
              </w:rPr>
              <w:t>Adjusted EBITDA</w:t>
            </w:r>
          </w:p>
        </w:tc>
        <w:tc>
          <w:tcPr>
            <w:tcW w:w="1500" w:type="dxa"/>
            <w:vAlign w:val="bottom"/>
            <w:tcBorders>
              <w:bottom w:val="single" w:sz="8" w:color="auto"/>
            </w:tcBorders>
          </w:tcPr>
          <w:p>
            <w:pPr>
              <w:jc w:val="right"/>
              <w:ind w:right="136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15,804</w:t>
            </w:r>
          </w:p>
        </w:tc>
        <w:tc>
          <w:tcPr>
            <w:tcW w:w="140" w:type="dxa"/>
            <w:vAlign w:val="bottom"/>
          </w:tcPr>
          <w:p>
            <w:pPr>
              <w:spacing w:after="0"/>
              <w:rPr>
                <w:sz w:val="19"/>
                <w:szCs w:val="19"/>
                <w:color w:val="auto"/>
              </w:rPr>
            </w:pPr>
          </w:p>
        </w:tc>
        <w:tc>
          <w:tcPr>
            <w:tcW w:w="1580" w:type="dxa"/>
            <w:vAlign w:val="bottom"/>
            <w:tcBorders>
              <w:bottom w:val="single" w:sz="8" w:color="auto"/>
            </w:tcBorders>
          </w:tcPr>
          <w:p>
            <w:pPr>
              <w:jc w:val="right"/>
              <w:ind w:right="1468"/>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2,668</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w w:val="97"/>
              </w:rPr>
              <w:t>$</w:t>
            </w:r>
          </w:p>
        </w:tc>
        <w:tc>
          <w:tcPr>
            <w:tcW w:w="17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13,136</w:t>
            </w:r>
          </w:p>
        </w:tc>
      </w:tr>
      <w:tr>
        <w:trPr>
          <w:trHeight w:val="20"/>
        </w:trPr>
        <w:tc>
          <w:tcPr>
            <w:tcW w:w="3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0220"/>
          </w:cols>
          <w:pgMar w:left="300" w:top="649" w:right="1379" w:bottom="1440"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2021-05-13T05:23:50Z</dcterms:created>
  <dcterms:modified xsi:type="dcterms:W3CDTF">2021-05-13T05:23:50Z</dcterms:modified>
</cp:coreProperties>
</file>