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Hipp Stephen W</w:t>
              </w:r>
            </w:hyperlink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8"/>
                </w:rPr>
                <w:t xml:space="preserve">Priority Technology Holdings, Inc.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PRTH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8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40" w:type="dxa"/>
            <w:vAlign w:val="bottom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]</w:t>
            </w: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2001 WESTSIDE PARKWAY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2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11/30/2021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155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9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25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60" w:type="dxa"/>
            <w:vAlign w:val="bottom"/>
            <w:gridSpan w:val="8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00" w:type="dxa"/>
            <w:vAlign w:val="bottom"/>
            <w:gridSpan w:val="1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gridSpan w:val="6"/>
          </w:tcPr>
          <w:p>
            <w:pPr>
              <w:ind w:left="1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4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ALPHARETTA GA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30004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8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10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11/30/2021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  <w:gridSpan w:val="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6.1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70,988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Stephen Hipp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12/02/2021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Bradley J. Miller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12/02/2021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6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(Attorney-In-Fact)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-2736850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39532" TargetMode="External"/><Relationship Id="rId13" Type="http://schemas.openxmlformats.org/officeDocument/2006/relationships/hyperlink" Target="http://www.sec.gov/cgi-bin/browse-edgar?action=getcompany&amp;CIK=00016535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2021-12-02T15:48:56Z</dcterms:created>
  <dcterms:modified xsi:type="dcterms:W3CDTF">2021-12-02T15:48:56Z</dcterms:modified>
</cp:coreProperties>
</file>