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13,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001-37872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47-4257046</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gridSpan w:val="3"/>
          </w:tcPr>
          <w:p>
            <w:pPr>
              <w:jc w:val="center"/>
              <w:ind w:right="600"/>
              <w:spacing w:after="0" w:line="195"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4500" w:type="dxa"/>
            <w:vAlign w:val="bottom"/>
            <w:gridSpan w:val="3"/>
          </w:tcPr>
          <w:p>
            <w:pPr>
              <w:jc w:val="center"/>
              <w:ind w:right="820"/>
              <w:spacing w:after="0"/>
              <w:rPr>
                <w:sz w:val="20"/>
                <w:szCs w:val="20"/>
                <w:color w:val="auto"/>
              </w:rPr>
            </w:pPr>
            <w:r>
              <w:rPr>
                <w:rFonts w:ascii="Arial" w:cs="Arial" w:eastAsia="Arial" w:hAnsi="Arial"/>
                <w:sz w:val="18"/>
                <w:szCs w:val="18"/>
                <w:color w:val="auto"/>
                <w:w w:val="94"/>
              </w:rPr>
              <w:t>incorporation)</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No.)</w:t>
            </w:r>
          </w:p>
        </w:tc>
      </w:tr>
      <w:tr>
        <w:trPr>
          <w:trHeight w:val="414"/>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24"/>
        </w:trPr>
        <w:tc>
          <w:tcPr>
            <w:tcW w:w="45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13, 2016, the registration statement (File No. 333-212675) (the “Registration Statement”) relating to the initial public offering (“IPO”) of M I Acquisitions, Inc. (the “Company”) was declared effective by the Securities and Exchange Commission. In connection therewith, the Company entered into the following agreements previously filed as exhibits to the Registration Statement:</w:t>
      </w:r>
    </w:p>
    <w:p>
      <w:pPr>
        <w:spacing w:after="0" w:line="181" w:lineRule="exact"/>
        <w:rPr>
          <w:sz w:val="20"/>
          <w:szCs w:val="20"/>
          <w:color w:val="auto"/>
        </w:rPr>
      </w:pPr>
    </w:p>
    <w:p>
      <w:pPr>
        <w:ind w:left="660" w:right="72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September 13, 2016, by and between the Company and Chardan Capital Markets, LLC (“Chardan”), as representative of the underwriters;</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September 13, 2016, by and between the Company and American Stock Transfer &amp; Trust Company, LLC;</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Warrant Agreement, dated September 13, 2016, by and between the Company and American Stock Transfer &amp; Trust Company, LLC;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Registration Rights Agreement, dated September 13, 2016, by and between the Company and the initial stockholders of the Company;</w:t>
      </w:r>
    </w:p>
    <w:p>
      <w:pPr>
        <w:spacing w:after="0" w:line="20" w:lineRule="exact"/>
        <w:rPr>
          <w:rFonts w:ascii="Arial" w:cs="Arial" w:eastAsia="Arial" w:hAnsi="Arial"/>
          <w:sz w:val="17"/>
          <w:szCs w:val="17"/>
          <w:color w:val="auto"/>
        </w:rPr>
      </w:pPr>
    </w:p>
    <w:p>
      <w:pPr>
        <w:ind w:left="660" w:right="5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Stock Escrow Agreement dated September 13, 2016 among the Company, American Stock Transfer &amp; Trust Company, LLC, and the initial stockholders of the Company;</w:t>
      </w:r>
    </w:p>
    <w:p>
      <w:pPr>
        <w:ind w:left="660" w:right="5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Agreements, dated September 13, 2016, by and between the Company, and each of the initial shareholders, officers and directors of the Company;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Administrative Services Agreement, dated September 13, 2016, by and between the Company and Magna Management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13, 2016, the Company filed its Amended and Restated Articles of Incorporation with the State of Delaware. The terms of the Amended and Restated Articles of Incorporation are set forth in the Registration Statement and are incorporated herein by reference. A copy of the Amended and Restated Articles of Incorporation is attached as Exhibit 3.1 hereto and is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Copy of the press release issued by the Company announcing the pricing of the IPO is included as Exhibits 99.1 to this Current Report on Form 8-K.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1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30"/>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 dated September 13, 2016, by and between the Registrant and Chardan Capital Markets, LLC</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Amended and Restated Articles of Incorporation</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Warrant Agreement, dated September 13, 2016, by and between American Stock Transfer &amp; Trust Company, LLC and the Registrant</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Investment Management Trust Account Agreement, dated September 13, 2016, by and between American Stock Transfer &amp; Trust Company,</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LLC and the Registrant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Registration Rights Agreement, dated September 13, 2016, by and among the Registrant and the initial stockholders</w:t>
            </w:r>
          </w:p>
        </w:tc>
      </w:tr>
      <w:tr>
        <w:trPr>
          <w:trHeight w:val="675"/>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460"/>
              <w:spacing w:after="0"/>
              <w:rPr>
                <w:sz w:val="20"/>
                <w:szCs w:val="20"/>
                <w:color w:val="auto"/>
              </w:rPr>
            </w:pPr>
            <w:r>
              <w:rPr>
                <w:rFonts w:ascii="Arial" w:cs="Arial" w:eastAsia="Arial" w:hAnsi="Arial"/>
                <w:sz w:val="18"/>
                <w:szCs w:val="18"/>
                <w:color w:val="auto"/>
                <w:w w:val="91"/>
              </w:rPr>
              <w:t>Stock Escrow Agreement dated September 13, 2016 among the Registrant, American Stock Transfer &amp; Trust Company, LLC, and the initial</w:t>
            </w:r>
          </w:p>
        </w:tc>
      </w:tr>
      <w:tr>
        <w:trPr>
          <w:trHeight w:val="230"/>
        </w:trPr>
        <w:tc>
          <w:tcPr>
            <w:tcW w:w="800" w:type="dxa"/>
            <w:vAlign w:val="bottom"/>
          </w:tcPr>
          <w:p>
            <w:pPr>
              <w:spacing w:after="0"/>
              <w:rPr>
                <w:sz w:val="20"/>
                <w:szCs w:val="20"/>
                <w:color w:val="auto"/>
              </w:rPr>
            </w:pPr>
          </w:p>
        </w:tc>
        <w:tc>
          <w:tcPr>
            <w:tcW w:w="10620" w:type="dxa"/>
            <w:vAlign w:val="bottom"/>
          </w:tcPr>
          <w:p>
            <w:pPr>
              <w:ind w:left="460"/>
              <w:spacing w:after="0"/>
              <w:rPr>
                <w:sz w:val="20"/>
                <w:szCs w:val="20"/>
                <w:color w:val="auto"/>
              </w:rPr>
            </w:pPr>
            <w:r>
              <w:rPr>
                <w:rFonts w:ascii="Arial" w:cs="Arial" w:eastAsia="Arial" w:hAnsi="Arial"/>
                <w:sz w:val="18"/>
                <w:szCs w:val="18"/>
                <w:color w:val="auto"/>
              </w:rPr>
              <w:t>stockholders</w:t>
            </w:r>
          </w:p>
        </w:tc>
      </w:tr>
      <w:tr>
        <w:trPr>
          <w:trHeight w:val="418"/>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10.4</w:t>
            </w:r>
          </w:p>
        </w:tc>
        <w:tc>
          <w:tcPr>
            <w:tcW w:w="10620" w:type="dxa"/>
            <w:vAlign w:val="bottom"/>
          </w:tcPr>
          <w:p>
            <w:pPr>
              <w:ind w:left="460"/>
              <w:spacing w:after="0"/>
              <w:rPr>
                <w:sz w:val="20"/>
                <w:szCs w:val="20"/>
                <w:color w:val="auto"/>
              </w:rPr>
            </w:pPr>
            <w:r>
              <w:rPr>
                <w:rFonts w:ascii="Arial" w:cs="Arial" w:eastAsia="Arial" w:hAnsi="Arial"/>
                <w:sz w:val="18"/>
                <w:szCs w:val="18"/>
                <w:color w:val="auto"/>
                <w:w w:val="99"/>
              </w:rPr>
              <w:t>Form of Letter Agreement by and between the Registrant, the initial shareholders and the officers and directors of the Company</w:t>
            </w:r>
          </w:p>
        </w:tc>
      </w:tr>
      <w:tr>
        <w:trPr>
          <w:trHeight w:val="216"/>
        </w:trPr>
        <w:tc>
          <w:tcPr>
            <w:tcW w:w="800" w:type="dxa"/>
            <w:vAlign w:val="bottom"/>
          </w:tcPr>
          <w:p>
            <w:pPr>
              <w:spacing w:after="0"/>
              <w:rPr>
                <w:sz w:val="18"/>
                <w:szCs w:val="18"/>
                <w:color w:val="auto"/>
              </w:rPr>
            </w:pPr>
          </w:p>
        </w:tc>
        <w:tc>
          <w:tcPr>
            <w:tcW w:w="10620" w:type="dxa"/>
            <w:vAlign w:val="bottom"/>
          </w:tcPr>
          <w:p>
            <w:pPr>
              <w:ind w:left="460"/>
              <w:spacing w:after="0"/>
              <w:rPr>
                <w:sz w:val="20"/>
                <w:szCs w:val="20"/>
                <w:color w:val="auto"/>
              </w:rPr>
            </w:pPr>
            <w:r>
              <w:rPr>
                <w:rFonts w:ascii="Arial" w:cs="Arial" w:eastAsia="Arial" w:hAnsi="Arial"/>
                <w:sz w:val="18"/>
                <w:szCs w:val="18"/>
                <w:color w:val="auto"/>
                <w:w w:val="92"/>
              </w:rPr>
              <w:t>(incorporated by reference to Exhibit 10.2 to the Registration Statement on Form S-1 filed with the Securities &amp; Exchange Commission on</w:t>
            </w:r>
          </w:p>
        </w:tc>
      </w:tr>
      <w:tr>
        <w:trPr>
          <w:trHeight w:val="230"/>
        </w:trPr>
        <w:tc>
          <w:tcPr>
            <w:tcW w:w="800" w:type="dxa"/>
            <w:vAlign w:val="bottom"/>
          </w:tcPr>
          <w:p>
            <w:pPr>
              <w:spacing w:after="0"/>
              <w:rPr>
                <w:sz w:val="20"/>
                <w:szCs w:val="20"/>
                <w:color w:val="auto"/>
              </w:rPr>
            </w:pPr>
          </w:p>
        </w:tc>
        <w:tc>
          <w:tcPr>
            <w:tcW w:w="10620" w:type="dxa"/>
            <w:vAlign w:val="bottom"/>
          </w:tcPr>
          <w:p>
            <w:pPr>
              <w:ind w:left="460"/>
              <w:spacing w:after="0"/>
              <w:rPr>
                <w:sz w:val="20"/>
                <w:szCs w:val="20"/>
                <w:color w:val="auto"/>
              </w:rPr>
            </w:pPr>
            <w:r>
              <w:rPr>
                <w:rFonts w:ascii="Arial" w:cs="Arial" w:eastAsia="Arial" w:hAnsi="Arial"/>
                <w:sz w:val="18"/>
                <w:szCs w:val="18"/>
                <w:color w:val="auto"/>
              </w:rPr>
              <w:t>September 9, 2016)</w:t>
            </w:r>
          </w:p>
        </w:tc>
      </w:tr>
      <w:tr>
        <w:trPr>
          <w:trHeight w:val="432"/>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10.5</w:t>
            </w:r>
          </w:p>
        </w:tc>
        <w:tc>
          <w:tcPr>
            <w:tcW w:w="10620" w:type="dxa"/>
            <w:vAlign w:val="bottom"/>
          </w:tcPr>
          <w:p>
            <w:pPr>
              <w:ind w:left="460"/>
              <w:spacing w:after="0"/>
              <w:rPr>
                <w:sz w:val="20"/>
                <w:szCs w:val="20"/>
                <w:color w:val="auto"/>
              </w:rPr>
            </w:pPr>
            <w:r>
              <w:rPr>
                <w:rFonts w:ascii="Arial" w:cs="Arial" w:eastAsia="Arial" w:hAnsi="Arial"/>
                <w:sz w:val="18"/>
                <w:szCs w:val="18"/>
                <w:color w:val="auto"/>
              </w:rPr>
              <w:t>Administrative Services Agreement dated September 13, 2016 by and between the Registrant and Magna Management LLC</w:t>
            </w:r>
          </w:p>
        </w:tc>
      </w:tr>
      <w:tr>
        <w:trPr>
          <w:trHeight w:val="432"/>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99.1</w:t>
            </w:r>
          </w:p>
        </w:tc>
        <w:tc>
          <w:tcPr>
            <w:tcW w:w="10620" w:type="dxa"/>
            <w:vAlign w:val="bottom"/>
          </w:tcPr>
          <w:p>
            <w:pPr>
              <w:ind w:left="460"/>
              <w:spacing w:after="0"/>
              <w:rPr>
                <w:sz w:val="20"/>
                <w:szCs w:val="20"/>
                <w:color w:val="auto"/>
              </w:rPr>
            </w:pPr>
            <w:r>
              <w:rPr>
                <w:rFonts w:ascii="Arial" w:cs="Arial" w:eastAsia="Arial" w:hAnsi="Arial"/>
                <w:sz w:val="18"/>
                <w:szCs w:val="18"/>
                <w:color w:val="auto"/>
              </w:rPr>
              <w:t>Press Release dated September 13, 2016</w:t>
            </w:r>
          </w:p>
        </w:tc>
      </w:tr>
      <w:tr>
        <w:trPr>
          <w:trHeight w:val="675"/>
        </w:trPr>
        <w:tc>
          <w:tcPr>
            <w:tcW w:w="8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13,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named on </w:t>
      </w:r>
      <w:r>
        <w:rPr>
          <w:rFonts w:ascii="Arial" w:cs="Arial" w:eastAsia="Arial" w:hAnsi="Arial"/>
          <w:sz w:val="18"/>
          <w:szCs w:val="18"/>
          <w:i w:val="1"/>
          <w:iCs w:val="1"/>
          <w:u w:val="single" w:color="auto"/>
          <w:color w:val="auto"/>
        </w:rPr>
        <w:t>Schedule A</w:t>
      </w:r>
      <w:r>
        <w:rPr>
          <w:rFonts w:ascii="Arial" w:cs="Arial" w:eastAsia="Arial" w:hAnsi="Arial"/>
          <w:sz w:val="18"/>
          <w:szCs w:val="18"/>
          <w:i w:val="1"/>
          <w:iCs w:val="1"/>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The undersigned, M I Acquisitions, Inc.,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w:t>
      </w:r>
      <w:r>
        <w:rPr>
          <w:rFonts w:ascii="Arial" w:cs="Arial" w:eastAsia="Arial" w:hAnsi="Arial"/>
          <w:sz w:val="18"/>
          <w:szCs w:val="18"/>
          <w:b w:val="1"/>
          <w:bCs w:val="1"/>
          <w:color w:val="auto"/>
        </w:rPr>
        <w:t>you</w:t>
      </w:r>
      <w:r>
        <w:rPr>
          <w:rFonts w:ascii="Arial" w:cs="Arial" w:eastAsia="Arial" w:hAnsi="Arial"/>
          <w:sz w:val="18"/>
          <w:szCs w:val="18"/>
          <w:color w:val="auto"/>
        </w:rPr>
        <w:t>”,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i w:val="1"/>
          <w:iCs w:val="1"/>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Purchase of Firm Units</w:t>
      </w:r>
      <w:r>
        <w:rPr>
          <w:rFonts w:ascii="Arial" w:cs="Arial" w:eastAsia="Arial" w:hAnsi="Arial"/>
          <w:sz w:val="16"/>
          <w:szCs w:val="16"/>
          <w:color w:val="auto"/>
        </w:rPr>
        <w:t>. On the basis of the representations and warranties herein contained, but subject to the terms and conditions herein set forth, the Company agrees to issue and sell, severally and not jointly, to the several Underwriters, an aggregate of 5,000,000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including the Deferred Underwriting Commission described in Section 1.3 below) of $9.50 per Firm Unit. The Underwriters, severally and not jointly, agree to purchase from the Company the number of Firm Units set forth opposite their respective names on </w:t>
      </w:r>
      <w:r>
        <w:rPr>
          <w:rFonts w:ascii="Arial" w:cs="Arial" w:eastAsia="Arial" w:hAnsi="Arial"/>
          <w:sz w:val="16"/>
          <w:szCs w:val="16"/>
          <w:i w:val="1"/>
          <w:iCs w:val="1"/>
          <w:color w:val="auto"/>
        </w:rPr>
        <w:t>Schedule A</w:t>
      </w:r>
      <w:r>
        <w:rPr>
          <w:rFonts w:ascii="Arial" w:cs="Arial" w:eastAsia="Arial" w:hAnsi="Arial"/>
          <w:sz w:val="16"/>
          <w:szCs w:val="16"/>
          <w:color w:val="auto"/>
        </w:rPr>
        <w:t xml:space="preserve"> attached hereto and made a part hereof at a purchase price (net of discounts and commissions, including the Deferred Underwriting Commission described in Section 1.3 below) of $9.50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Each Firm Unit consists of one (1) share of common stock, par value $0.001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and one (1) redeemable warrant to purchase one (1) share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The shares of Common Stock and the Warrants included in the Firm Units will not be separately transferable until the earlier of the 90th day after the date that the Registration Statement (as defined below)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or the announcement by the Company of the Representative’s decision to allow earlier trading, subject, however, to the Company filing a Current Report on Form 8-K (“</w:t>
      </w:r>
      <w:r>
        <w:rPr>
          <w:rFonts w:ascii="Arial" w:cs="Arial" w:eastAsia="Arial" w:hAnsi="Arial"/>
          <w:sz w:val="16"/>
          <w:szCs w:val="16"/>
          <w:b w:val="1"/>
          <w:bCs w:val="1"/>
          <w:color w:val="auto"/>
        </w:rPr>
        <w:t>Form 8-K</w:t>
      </w:r>
      <w:r>
        <w:rPr>
          <w:rFonts w:ascii="Arial" w:cs="Arial" w:eastAsia="Arial" w:hAnsi="Arial"/>
          <w:sz w:val="16"/>
          <w:szCs w:val="16"/>
          <w:color w:val="auto"/>
        </w:rPr>
        <w:t>”) with the Commission (as defined below) containing an audited balanced sheet reflecting the Company’s receipt of the gross proceeds of the Offering and issuing a press release announcing when such separate trading will begin. In no event will the Company allow separate trading until (i) the preparation of an audited balance sheet of the Company reflecting receipt by the Company of the proceeds of the Offering and the filing of such audited balance sheet with the Commission on a Form 8-K or similar form by the Company which includes such balance sheet and (ii) the issuance of a press release announcing when such separate trading shall begin. Each Warrant entitles the holder to purchase one (1) share of Common Stock for $11.50 per share during the period commencing on the later of (a) 30 days after the closing of a Business Combination (as defined below), or (b) twelve (12) months from the date of the consummation of the Offering, and terminating on the five (5) year anniversary of the closing of a Business Combination.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shall mean any acquisition by merger, capital stock exchange, asset acquisition, stock purchase, or similar business combination, or control through contractual arrangements, of one or more operating businesses by the Company. The Company’s initial focus will be on acquiring an operating business in the technology, media and telecommunications industries. The Company has the right to redeem the Warrants, with the prior consent of the Representative,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any day on which national banks in New York, New York are not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ind w:firstLine="1297"/>
        <w:spacing w:after="0" w:line="26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Payment and Delivery</w:t>
      </w:r>
      <w:r>
        <w:rPr>
          <w:rFonts w:ascii="Arial" w:cs="Arial" w:eastAsia="Arial" w:hAnsi="Arial"/>
          <w:sz w:val="17"/>
          <w:szCs w:val="17"/>
          <w:color w:val="auto"/>
        </w:rPr>
        <w:t xml:space="preserve">. Delivery and payment for the Firm Units shall be made at 10:00 A.M., New York time, on the third (3rd) Business Day following the Effective Date of the Registration Statement (or the fourth (4th) Business Day following the Effective Date, if the Registration Statement is declared effective on or after 4:00 p.m.) or at such earlier time as shall be agreed upon by the Representative and the Company at the offices of Chardan or at such other place as shall be agreed upon by the Representative and the Company. The closing of the public offering contemplated by this Agreement is referred to herein as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and the hour and date of delivery and payment for the Firm Units is referred to herein as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Payment for the Firm Units shall be made on the Closing Date at the Representative’s election by wire transfer in Federal (same day) funds or by</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or bank cashier’s check(s) in New York Clearing House funds. $51,500,000 ($59,225,000 if the Over-allotment Option (as defined in Section 1.2) is exercised in full), or approximately $10.30 per Firm Unit, of the proceeds received by the Company for the Firm Units and from the Unit Private Placement (as defined in Section 1.5.2) shall be deposited in the trust account established by the Company for the benefit of the public shareholders as described in the Registration Statement (the “</w:t>
      </w:r>
      <w:r>
        <w:rPr>
          <w:rFonts w:ascii="Arial" w:cs="Arial" w:eastAsia="Arial" w:hAnsi="Arial"/>
          <w:sz w:val="17"/>
          <w:szCs w:val="17"/>
          <w:b w:val="1"/>
          <w:bCs w:val="1"/>
          <w:color w:val="auto"/>
        </w:rPr>
        <w:t>Trust Account</w:t>
      </w:r>
      <w:r>
        <w:rPr>
          <w:rFonts w:ascii="Arial" w:cs="Arial" w:eastAsia="Arial" w:hAnsi="Arial"/>
          <w:sz w:val="17"/>
          <w:szCs w:val="17"/>
          <w:color w:val="auto"/>
        </w:rPr>
        <w:t>”) pursuant to the terms of an Investment Management Trust Agreement (the “</w:t>
      </w:r>
      <w:r>
        <w:rPr>
          <w:rFonts w:ascii="Arial" w:cs="Arial" w:eastAsia="Arial" w:hAnsi="Arial"/>
          <w:sz w:val="17"/>
          <w:szCs w:val="17"/>
          <w:b w:val="1"/>
          <w:bCs w:val="1"/>
          <w:color w:val="auto"/>
        </w:rPr>
        <w:t>Trust Agreement</w:t>
      </w:r>
      <w:r>
        <w:rPr>
          <w:rFonts w:ascii="Arial" w:cs="Arial" w:eastAsia="Arial" w:hAnsi="Arial"/>
          <w:sz w:val="17"/>
          <w:szCs w:val="17"/>
          <w:color w:val="auto"/>
        </w:rPr>
        <w:t>”). The Underwriters shall place an aggregate of $1,000,000 ($1,150,000 if the Over-allotment Option is exercised in full), or $0.20 per unit, payable to Chardan as a Deferred Underwriting Commission in accordance with Section 1.3 hereof, in the Trust Account. The proceeds (less commissions, expense allowance and 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(the “</w:t>
      </w:r>
      <w:r>
        <w:rPr>
          <w:rFonts w:ascii="Arial" w:cs="Arial" w:eastAsia="Arial" w:hAnsi="Arial"/>
          <w:sz w:val="17"/>
          <w:szCs w:val="17"/>
          <w:b w:val="1"/>
          <w:bCs w:val="1"/>
          <w:color w:val="auto"/>
        </w:rPr>
        <w:t>DTC</w:t>
      </w:r>
      <w:r>
        <w:rPr>
          <w:rFonts w:ascii="Arial" w:cs="Arial" w:eastAsia="Arial" w:hAnsi="Arial"/>
          <w:sz w:val="17"/>
          <w:szCs w:val="17"/>
          <w:color w:val="auto"/>
        </w:rPr>
        <w:t>”)) for the account of the Underwriters. The Firm Units shall be registered in such name or names and in such authorized denominations as the Representative may request in writing at least one (1) Business Day prior to the Closing Date. The Company will permit the Representative to examine and package the Firm Units for delivery prior to the Closing Date. The Company shall not be obligated to sell or deliver the Firm Units except upon tender of payment by the Representative for all the Firm Units.</w:t>
      </w:r>
    </w:p>
    <w:p>
      <w:pPr>
        <w:spacing w:after="0" w:line="1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Over-Allotment Option</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Units</w:t>
      </w:r>
      <w:r>
        <w:rPr>
          <w:rFonts w:ascii="Arial" w:cs="Arial" w:eastAsia="Arial" w:hAnsi="Arial"/>
          <w:sz w:val="16"/>
          <w:szCs w:val="16"/>
          <w:color w:val="auto"/>
        </w:rPr>
        <w:t>. For the purpose of covering any over-allotments in connection with the distribution and sale of the Firm Units, the Underwriters are hereby granted, severally and not jointly, an option to purchase up to an additional 750,000 units from the Company (the “</w:t>
      </w:r>
      <w:r>
        <w:rPr>
          <w:rFonts w:ascii="Arial" w:cs="Arial" w:eastAsia="Arial" w:hAnsi="Arial"/>
          <w:sz w:val="16"/>
          <w:szCs w:val="16"/>
          <w:b w:val="1"/>
          <w:bCs w:val="1"/>
          <w:color w:val="auto"/>
        </w:rPr>
        <w:t>Over-allotment</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Such additional 750,000 units shall be identical in all respects to the Firm Units and are hereinafter referred to as “</w:t>
      </w:r>
      <w:r>
        <w:rPr>
          <w:rFonts w:ascii="Arial" w:cs="Arial" w:eastAsia="Arial" w:hAnsi="Arial"/>
          <w:sz w:val="16"/>
          <w:szCs w:val="16"/>
          <w:b w:val="1"/>
          <w:bCs w:val="1"/>
          <w:color w:val="auto"/>
        </w:rPr>
        <w:t>Option Units</w:t>
      </w:r>
      <w:r>
        <w:rPr>
          <w:rFonts w:ascii="Arial" w:cs="Arial" w:eastAsia="Arial" w:hAnsi="Arial"/>
          <w:sz w:val="16"/>
          <w:szCs w:val="16"/>
          <w:color w:val="auto"/>
        </w:rPr>
        <w:t>.” The Firm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Option Units are hereinafter collectively referred to as the “</w:t>
      </w:r>
      <w:r>
        <w:rPr>
          <w:rFonts w:ascii="Arial" w:cs="Arial" w:eastAsia="Arial" w:hAnsi="Arial"/>
          <w:sz w:val="16"/>
          <w:szCs w:val="16"/>
          <w:b w:val="1"/>
          <w:bCs w:val="1"/>
          <w:color w:val="auto"/>
        </w:rPr>
        <w:t>Units</w:t>
      </w:r>
      <w:r>
        <w:rPr>
          <w:rFonts w:ascii="Arial" w:cs="Arial" w:eastAsia="Arial" w:hAnsi="Arial"/>
          <w:sz w:val="16"/>
          <w:szCs w:val="16"/>
          <w:color w:val="auto"/>
        </w:rPr>
        <w:t>,” and the Units, the shares of Common Stock and the Warrants included in the Units and the shares of Common Stock issuable upon exercise of the Warrants are hereinafter referred to collectively as the “</w:t>
      </w:r>
      <w:r>
        <w:rPr>
          <w:rFonts w:ascii="Arial" w:cs="Arial" w:eastAsia="Arial" w:hAnsi="Arial"/>
          <w:sz w:val="16"/>
          <w:szCs w:val="16"/>
          <w:b w:val="1"/>
          <w:bCs w:val="1"/>
          <w:color w:val="auto"/>
        </w:rPr>
        <w:t>Public Securities</w:t>
      </w:r>
      <w:r>
        <w:rPr>
          <w:rFonts w:ascii="Arial" w:cs="Arial" w:eastAsia="Arial" w:hAnsi="Arial"/>
          <w:sz w:val="16"/>
          <w:szCs w:val="16"/>
          <w:color w:val="auto"/>
        </w:rPr>
        <w:t>.” The purchase price to be paid for the Option Units (net of discounts and commissions, including the Deferred Underwriting Commission described in Section 1.3 below) will be $9.50 per Option Unit. The Option Units are to be offered initially to the public at the offering price of $10.00 per Option Unit.</w:t>
      </w:r>
    </w:p>
    <w:p>
      <w:pPr>
        <w:spacing w:after="0" w:line="16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The Over-allotment Option granted pursuant to Section 1.2.1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or facsimile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1297"/>
        <w:spacing w:after="0" w:line="28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on the Option Closing Date (or at such earlier time as shall be agreed upon by the Representative and the Company) at the Representative’s election by wire transfer in Federal (same day) funds or by certified or bank cashier’s check(s) in New York Clearing House funds, by deposit of the sum of $9.50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Underwriter shall also place an aggregate of $0.20 per Option Unit (up to $150,000), payable to the Representative, as Deferred Underwriting Commission, in accordance with Section 1.3 hereof, in the Trust Account.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The Underwriter agrees that 2.0% of the gross proceeds from the sale of the Firm Units ($1,000,000) and 2.0% of the gross proceeds from the sale of the Option Units (up to $150,000) (the “</w:t>
      </w:r>
      <w:r>
        <w:rPr>
          <w:rFonts w:ascii="Arial" w:cs="Arial" w:eastAsia="Arial" w:hAnsi="Arial"/>
          <w:sz w:val="18"/>
          <w:szCs w:val="18"/>
          <w:b w:val="1"/>
          <w:bCs w:val="1"/>
          <w:color w:val="auto"/>
        </w:rPr>
        <w:t>Deferred Underwriting Commission</w:t>
      </w:r>
      <w:r>
        <w:rPr>
          <w:rFonts w:ascii="Arial" w:cs="Arial" w:eastAsia="Arial" w:hAnsi="Arial"/>
          <w:sz w:val="18"/>
          <w:szCs w:val="18"/>
          <w:color w:val="auto"/>
        </w:rPr>
        <w:t>”) will be deposited in and held in the Trust Account and payable directly from the Trust Account, without accrued interest, to Chardan for its own account upon consummation of the Company’s Business Combination. In the event that the Company is unable to consummate a Business Combination and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as the trustee of the Trust Account (in this context, the “</w:t>
      </w:r>
      <w:r>
        <w:rPr>
          <w:rFonts w:ascii="Arial" w:cs="Arial" w:eastAsia="Arial" w:hAnsi="Arial"/>
          <w:sz w:val="18"/>
          <w:szCs w:val="18"/>
          <w:b w:val="1"/>
          <w:bCs w:val="1"/>
          <w:color w:val="auto"/>
        </w:rPr>
        <w:t>Trustee</w:t>
      </w:r>
      <w:r>
        <w:rPr>
          <w:rFonts w:ascii="Arial" w:cs="Arial" w:eastAsia="Arial" w:hAnsi="Arial"/>
          <w:sz w:val="18"/>
          <w:szCs w:val="18"/>
          <w:color w:val="auto"/>
        </w:rPr>
        <w:t>”), commences liquidation of the Trust Account as provided in the Trust Agreement, the Underwriter agrees that: (i) the Underwriters hereby forfeit any rights or claims to the Deferred Underwriting Commission; and (ii) the Deferred Underwriting Commission, together with all other amounts on deposit in the Trust Account, shall be distributed on a pro-rata basis among the Public Stockholders.</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Underwriters’ Purchase Option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Purchase Option</w:t>
      </w:r>
      <w:r>
        <w:rPr>
          <w:rFonts w:ascii="Arial" w:cs="Arial" w:eastAsia="Arial" w:hAnsi="Arial"/>
          <w:sz w:val="16"/>
          <w:szCs w:val="16"/>
          <w:color w:val="auto"/>
        </w:rPr>
        <w:t>. As additional consideration, the Company hereby agrees to issue and sell to the Underwriters (and/or their designees) on the Effective Date an option (“</w:t>
      </w:r>
      <w:r>
        <w:rPr>
          <w:rFonts w:ascii="Arial" w:cs="Arial" w:eastAsia="Arial" w:hAnsi="Arial"/>
          <w:sz w:val="16"/>
          <w:szCs w:val="16"/>
          <w:b w:val="1"/>
          <w:bCs w:val="1"/>
          <w:color w:val="auto"/>
        </w:rPr>
        <w:t>Underwriters’ Purchase Option</w:t>
      </w:r>
      <w:r>
        <w:rPr>
          <w:rFonts w:ascii="Arial" w:cs="Arial" w:eastAsia="Arial" w:hAnsi="Arial"/>
          <w:sz w:val="16"/>
          <w:szCs w:val="16"/>
          <w:color w:val="auto"/>
        </w:rPr>
        <w:t>”) for the purchase of an aggregate of 300,000 units (the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for an aggregate purchase price of $100.00. Each of the Underwriters shall receive a portion of the Underwriters’ Purchase Option proportional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Firm Units purchased by such Underwriter. The Underwriters’ Purchase Option shall be exercisable, in whole or in part, commencing the later of</w:t>
      </w:r>
    </w:p>
    <w:p>
      <w:pPr>
        <w:spacing w:after="0" w:line="2" w:lineRule="exact"/>
        <w:rPr>
          <w:sz w:val="20"/>
          <w:szCs w:val="20"/>
          <w:color w:val="auto"/>
        </w:rPr>
      </w:pPr>
    </w:p>
    <w:p>
      <w:pPr>
        <w:jc w:val="both"/>
        <w:ind w:firstLine="8"/>
        <w:spacing w:after="0" w:line="269"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closing of the Business Combination, or (ii) six (6) months from the Effective Date, and expiring five (5) years from the Effective Date, for cash or on a cashless basis, at an initial exercise price per Underwriters’ Unit of $12.00, which is equal to one hundred and twenty percent (120%) of the initial public offering price of a Unit. The Underwriters’ Purchase Option, the Underwriters’ Units, the shares of Common Stock and the Warrants included in the Underwriters’ Units (the “</w:t>
      </w:r>
      <w:r>
        <w:rPr>
          <w:rFonts w:ascii="Arial" w:cs="Arial" w:eastAsia="Arial" w:hAnsi="Arial"/>
          <w:sz w:val="17"/>
          <w:szCs w:val="17"/>
          <w:b w:val="1"/>
          <w:bCs w:val="1"/>
          <w:color w:val="auto"/>
        </w:rPr>
        <w:t>Underwriters’ Warrants</w:t>
      </w:r>
      <w:r>
        <w:rPr>
          <w:rFonts w:ascii="Arial" w:cs="Arial" w:eastAsia="Arial" w:hAnsi="Arial"/>
          <w:sz w:val="17"/>
          <w:szCs w:val="17"/>
          <w:color w:val="auto"/>
        </w:rPr>
        <w:t>”) and the shares of Common Stock issuable upon exercise of the Underwriters’ Warrants are hereinafter referred to collectively as the “</w:t>
      </w:r>
      <w:r>
        <w:rPr>
          <w:rFonts w:ascii="Arial" w:cs="Arial" w:eastAsia="Arial" w:hAnsi="Arial"/>
          <w:sz w:val="17"/>
          <w:szCs w:val="17"/>
          <w:b w:val="1"/>
          <w:bCs w:val="1"/>
          <w:color w:val="auto"/>
        </w:rPr>
        <w:t>Underwriters’ Securities</w:t>
      </w:r>
      <w:r>
        <w:rPr>
          <w:rFonts w:ascii="Arial" w:cs="Arial" w:eastAsia="Arial" w:hAnsi="Arial"/>
          <w:sz w:val="17"/>
          <w:szCs w:val="17"/>
          <w:color w:val="auto"/>
        </w:rPr>
        <w:t>.” The Public Securities and the Underwriters’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The Underwriters understand and agree that there are significant restrictions against transferring the Underwriters’ Purchase Option during the first six (6) months after the Effective Date, as set forth in Section 3 of the Underwriters’ Purchase Option.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and payment for the Underwriters’ Purchase Option shall be made on the Closing Date. The Company shall deliver to the Representative and their designees upon payment therefor, certificates for the Underwriters’ Purchase Option in the name or names and in such authorized denominations as the Underwriters may request.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spacing w:after="0"/>
        <w:tabs>
          <w:tab w:leader="none" w:pos="1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u w:val="single" w:color="auto"/>
          <w:color w:val="auto"/>
        </w:rPr>
        <w:t>Private Placement</w:t>
      </w:r>
      <w:r>
        <w:rPr>
          <w:rFonts w:ascii="Arial" w:cs="Arial" w:eastAsia="Arial" w:hAnsi="Arial"/>
          <w:sz w:val="15"/>
          <w:szCs w:val="15"/>
          <w:color w:val="auto"/>
        </w:rPr>
        <w:t>.</w:t>
      </w:r>
    </w:p>
    <w:p>
      <w:pPr>
        <w:spacing w:after="0" w:line="221" w:lineRule="exact"/>
        <w:rPr>
          <w:sz w:val="20"/>
          <w:szCs w:val="20"/>
          <w:color w:val="auto"/>
        </w:rPr>
      </w:pPr>
    </w:p>
    <w:p>
      <w:pPr>
        <w:ind w:right="200" w:firstLine="1378"/>
        <w:spacing w:after="0" w:line="28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color w:val="212121"/>
        </w:rPr>
        <w:t>In connection with the Company’s organization, the Company issued to M SPAC LLC (“</w:t>
      </w:r>
      <w:r>
        <w:rPr>
          <w:rFonts w:ascii="Arial" w:cs="Arial" w:eastAsia="Arial" w:hAnsi="Arial"/>
          <w:sz w:val="16"/>
          <w:szCs w:val="16"/>
          <w:b w:val="1"/>
          <w:bCs w:val="1"/>
          <w:color w:val="212121"/>
        </w:rPr>
        <w:t>M SPAC</w:t>
      </w:r>
      <w:r>
        <w:rPr>
          <w:rFonts w:ascii="Arial" w:cs="Arial" w:eastAsia="Arial" w:hAnsi="Arial"/>
          <w:sz w:val="16"/>
          <w:szCs w:val="16"/>
          <w:color w:val="212121"/>
        </w:rPr>
        <w:t>”), for an aggregate</w:t>
      </w:r>
      <w:r>
        <w:rPr>
          <w:rFonts w:ascii="Arial" w:cs="Arial" w:eastAsia="Arial" w:hAnsi="Arial"/>
          <w:sz w:val="16"/>
          <w:szCs w:val="16"/>
          <w:color w:val="auto"/>
        </w:rPr>
        <w:t xml:space="preserve"> </w:t>
      </w:r>
      <w:r>
        <w:rPr>
          <w:rFonts w:ascii="Arial" w:cs="Arial" w:eastAsia="Arial" w:hAnsi="Arial"/>
          <w:sz w:val="16"/>
          <w:szCs w:val="16"/>
          <w:color w:val="212121"/>
        </w:rPr>
        <w:t xml:space="preserve">consideration of $25,000, 1,437,500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(the “</w:t>
      </w:r>
      <w:r>
        <w:rPr>
          <w:rFonts w:ascii="Arial" w:cs="Arial" w:eastAsia="Arial" w:hAnsi="Arial"/>
          <w:sz w:val="16"/>
          <w:szCs w:val="16"/>
          <w:b w:val="1"/>
          <w:bCs w:val="1"/>
          <w:color w:val="212121"/>
        </w:rPr>
        <w:t>M Spac</w:t>
      </w:r>
      <w:r>
        <w:rPr>
          <w:rFonts w:ascii="Arial" w:cs="Arial" w:eastAsia="Arial" w:hAnsi="Arial"/>
          <w:sz w:val="16"/>
          <w:szCs w:val="16"/>
          <w:color w:val="212121"/>
        </w:rPr>
        <w:t xml:space="preserve"> </w:t>
      </w:r>
      <w:r>
        <w:rPr>
          <w:rFonts w:ascii="Arial" w:cs="Arial" w:eastAsia="Arial" w:hAnsi="Arial"/>
          <w:sz w:val="16"/>
          <w:szCs w:val="16"/>
          <w:b w:val="1"/>
          <w:bCs w:val="1"/>
          <w:color w:val="252525"/>
        </w:rPr>
        <w:t>Private Placement</w:t>
      </w:r>
      <w:r>
        <w:rPr>
          <w:rFonts w:ascii="Arial" w:cs="Arial" w:eastAsia="Arial" w:hAnsi="Arial"/>
          <w:sz w:val="16"/>
          <w:szCs w:val="16"/>
          <w:color w:val="212121"/>
        </w:rPr>
        <w:t>”) exempt from registration under Section 4(a)(2) of the Securities Act of 1933, as amended (the “</w:t>
      </w:r>
      <w:r>
        <w:rPr>
          <w:rFonts w:ascii="Arial" w:cs="Arial" w:eastAsia="Arial" w:hAnsi="Arial"/>
          <w:sz w:val="16"/>
          <w:szCs w:val="16"/>
          <w:b w:val="1"/>
          <w:bCs w:val="1"/>
          <w:color w:val="212121"/>
        </w:rPr>
        <w:t>Act</w:t>
      </w:r>
      <w:r>
        <w:rPr>
          <w:rFonts w:ascii="Arial" w:cs="Arial" w:eastAsia="Arial" w:hAnsi="Arial"/>
          <w:sz w:val="16"/>
          <w:szCs w:val="16"/>
          <w:color w:val="212121"/>
        </w:rPr>
        <w:t>”), of which 494,480 shares of Common Stock were subsequently sold back to the Company for at a price equal to the amount paid for such shares. On July 20, 2016, the Company issued to (i) M Spac Holding I LLC (“</w:t>
      </w:r>
      <w:r>
        <w:rPr>
          <w:rFonts w:ascii="Arial" w:cs="Arial" w:eastAsia="Arial" w:hAnsi="Arial"/>
          <w:sz w:val="16"/>
          <w:szCs w:val="16"/>
          <w:b w:val="1"/>
          <w:bCs w:val="1"/>
          <w:color w:val="212121"/>
        </w:rPr>
        <w:t>Holding I</w:t>
      </w:r>
      <w:r>
        <w:rPr>
          <w:rFonts w:ascii="Arial" w:cs="Arial" w:eastAsia="Arial" w:hAnsi="Arial"/>
          <w:sz w:val="16"/>
          <w:szCs w:val="16"/>
          <w:color w:val="212121"/>
        </w:rPr>
        <w:t xml:space="preserve">”), for an aggregate consideration of $3,351.96, 192,736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exempt from registration under Section 4(a)(2) of the Act, and (ii) M Spac Holding II LLC (“</w:t>
      </w:r>
      <w:r>
        <w:rPr>
          <w:rFonts w:ascii="Arial" w:cs="Arial" w:eastAsia="Arial" w:hAnsi="Arial"/>
          <w:sz w:val="16"/>
          <w:szCs w:val="16"/>
          <w:b w:val="1"/>
          <w:bCs w:val="1"/>
          <w:color w:val="212121"/>
        </w:rPr>
        <w:t>Holding II</w:t>
      </w:r>
      <w:r>
        <w:rPr>
          <w:rFonts w:ascii="Arial" w:cs="Arial" w:eastAsia="Arial" w:hAnsi="Arial"/>
          <w:sz w:val="16"/>
          <w:szCs w:val="16"/>
          <w:color w:val="212121"/>
        </w:rPr>
        <w:t>” and together with M Spac and Holding I, the “</w:t>
      </w:r>
      <w:r>
        <w:rPr>
          <w:rFonts w:ascii="Arial" w:cs="Arial" w:eastAsia="Arial" w:hAnsi="Arial"/>
          <w:sz w:val="16"/>
          <w:szCs w:val="16"/>
          <w:b w:val="1"/>
          <w:bCs w:val="1"/>
          <w:color w:val="212121"/>
        </w:rPr>
        <w:t>Insiders</w:t>
      </w:r>
      <w:r>
        <w:rPr>
          <w:rFonts w:ascii="Arial" w:cs="Arial" w:eastAsia="Arial" w:hAnsi="Arial"/>
          <w:sz w:val="16"/>
          <w:szCs w:val="16"/>
          <w:color w:val="212121"/>
        </w:rPr>
        <w:t xml:space="preserve">”), for an aggregate consideration of $5,247.69, 301,743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exempt from registration under Section 4(a)(2) of the Act (collectively, the “</w:t>
      </w:r>
      <w:r>
        <w:rPr>
          <w:rFonts w:ascii="Arial" w:cs="Arial" w:eastAsia="Arial" w:hAnsi="Arial"/>
          <w:sz w:val="16"/>
          <w:szCs w:val="16"/>
          <w:b w:val="1"/>
          <w:bCs w:val="1"/>
          <w:color w:val="212121"/>
        </w:rPr>
        <w:t>Holding Private</w:t>
      </w:r>
      <w:r>
        <w:rPr>
          <w:rFonts w:ascii="Arial" w:cs="Arial" w:eastAsia="Arial" w:hAnsi="Arial"/>
          <w:sz w:val="16"/>
          <w:szCs w:val="16"/>
          <w:color w:val="212121"/>
        </w:rPr>
        <w:t xml:space="preserve"> </w:t>
      </w:r>
      <w:r>
        <w:rPr>
          <w:rFonts w:ascii="Arial" w:cs="Arial" w:eastAsia="Arial" w:hAnsi="Arial"/>
          <w:sz w:val="16"/>
          <w:szCs w:val="16"/>
          <w:b w:val="1"/>
          <w:bCs w:val="1"/>
          <w:color w:val="212121"/>
        </w:rPr>
        <w:t>Placements</w:t>
      </w:r>
      <w:r>
        <w:rPr>
          <w:rFonts w:ascii="Arial" w:cs="Arial" w:eastAsia="Arial" w:hAnsi="Arial"/>
          <w:sz w:val="16"/>
          <w:szCs w:val="16"/>
          <w:color w:val="212121"/>
        </w:rPr>
        <w:t>” and together with the M Spac Private Placement, the “</w:t>
      </w:r>
      <w:r>
        <w:rPr>
          <w:rFonts w:ascii="Arial" w:cs="Arial" w:eastAsia="Arial" w:hAnsi="Arial"/>
          <w:sz w:val="16"/>
          <w:szCs w:val="16"/>
          <w:b w:val="1"/>
          <w:bCs w:val="1"/>
          <w:color w:val="212121"/>
        </w:rPr>
        <w:t>Insider Private Placements</w:t>
      </w:r>
      <w:r>
        <w:rPr>
          <w:rFonts w:ascii="Arial" w:cs="Arial" w:eastAsia="Arial" w:hAnsi="Arial"/>
          <w:sz w:val="16"/>
          <w:szCs w:val="16"/>
          <w:color w:val="212121"/>
        </w:rPr>
        <w:t>” and the shares sold in the Insider Private Placements, the</w:t>
      </w:r>
      <w:r>
        <w:rPr>
          <w:rFonts w:ascii="Arial" w:cs="Arial" w:eastAsia="Arial" w:hAnsi="Arial"/>
          <w:sz w:val="16"/>
          <w:szCs w:val="16"/>
          <w:b w:val="1"/>
          <w:bCs w:val="1"/>
          <w:color w:val="212121"/>
        </w:rPr>
        <w:t xml:space="preserve"> </w:t>
      </w:r>
      <w:r>
        <w:rPr>
          <w:rFonts w:ascii="Arial" w:cs="Arial" w:eastAsia="Arial" w:hAnsi="Arial"/>
          <w:sz w:val="16"/>
          <w:szCs w:val="16"/>
          <w:color w:val="212121"/>
        </w:rPr>
        <w:t>“</w:t>
      </w:r>
      <w:r>
        <w:rPr>
          <w:rFonts w:ascii="Arial" w:cs="Arial" w:eastAsia="Arial" w:hAnsi="Arial"/>
          <w:sz w:val="16"/>
          <w:szCs w:val="16"/>
          <w:b w:val="1"/>
          <w:bCs w:val="1"/>
          <w:color w:val="212121"/>
        </w:rPr>
        <w:t>Insider Shares</w:t>
      </w:r>
      <w:r>
        <w:rPr>
          <w:rFonts w:ascii="Arial" w:cs="Arial" w:eastAsia="Arial" w:hAnsi="Arial"/>
          <w:sz w:val="16"/>
          <w:szCs w:val="16"/>
          <w:color w:val="212121"/>
        </w:rPr>
        <w:t>”). No underwriting discounts, commissions or placement fees have been or will be payable in connection with</w:t>
      </w:r>
    </w:p>
    <w:p>
      <w:pPr>
        <w:spacing w:after="0" w:line="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212121"/>
        </w:rPr>
        <w:t xml:space="preserve">the Insider </w:t>
      </w:r>
      <w:r>
        <w:rPr>
          <w:rFonts w:ascii="Arial" w:cs="Arial" w:eastAsia="Arial" w:hAnsi="Arial"/>
          <w:sz w:val="17"/>
          <w:szCs w:val="17"/>
          <w:color w:val="252525"/>
        </w:rPr>
        <w:t>Private Placements</w:t>
      </w:r>
      <w:r>
        <w:rPr>
          <w:rFonts w:ascii="Arial" w:cs="Arial" w:eastAsia="Arial" w:hAnsi="Arial"/>
          <w:sz w:val="17"/>
          <w:szCs w:val="17"/>
          <w:color w:val="212121"/>
        </w:rPr>
        <w:t>. The Insider Shares are subject to restrictions on transfer pursuant to the terms of the Escrow Agreement (as defined in Section 2.23.3 hereof). The Insiders shall have no right to any liquidation distributions with respect to any portion of the Insider Shares in the event</w:t>
      </w:r>
    </w:p>
    <w:p>
      <w:pPr>
        <w:spacing w:after="0" w:line="273" w:lineRule="auto"/>
        <w:rPr>
          <w:sz w:val="20"/>
          <w:szCs w:val="20"/>
          <w:color w:val="auto"/>
        </w:rPr>
      </w:pPr>
      <w:r>
        <w:rPr>
          <w:rFonts w:ascii="Arial" w:cs="Arial" w:eastAsia="Arial" w:hAnsi="Arial"/>
          <w:sz w:val="17"/>
          <w:szCs w:val="17"/>
          <w:color w:val="212121"/>
        </w:rPr>
        <w:t>the Company fails to consummate a Business Combination within the required time period. The Insiders shall not have conversion rights with respect to the Insider Shares. To the extent that the Over-allotment Option is not exercised by the Underwriters in full or in part, up to 187,500 Insider Shares shall be subject to compulsory repurchase by the Company as set forth in the Escrow Agreement. The Representative purchased an interest in Holding I which entitles it to the beneficial interest in an aggregate of 48,184 Insider Shares (the “</w:t>
      </w:r>
      <w:r>
        <w:rPr>
          <w:rFonts w:ascii="Arial" w:cs="Arial" w:eastAsia="Arial" w:hAnsi="Arial"/>
          <w:sz w:val="17"/>
          <w:szCs w:val="17"/>
          <w:b w:val="1"/>
          <w:bCs w:val="1"/>
          <w:color w:val="212121"/>
        </w:rPr>
        <w:t>Representative Initial Interest</w:t>
      </w:r>
      <w:r>
        <w:rPr>
          <w:rFonts w:ascii="Arial" w:cs="Arial" w:eastAsia="Arial" w:hAnsi="Arial"/>
          <w:sz w:val="17"/>
          <w:szCs w:val="17"/>
          <w:color w:val="212121"/>
        </w:rPr>
        <w:t>”).</w:t>
      </w:r>
    </w:p>
    <w:p>
      <w:pPr>
        <w:spacing w:after="0" w:line="17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1.5.2 Simultaneously with the Closing, the Insiders shall purchase from the Company pursuant to the Private Units Subscription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(as defined in Section 2.23.2 hereof) an aggregate of 402,500 units (or 447,500 units if the Over-allotment Option is exercised in full)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 Units</w:t>
      </w:r>
      <w:r>
        <w:rPr>
          <w:rFonts w:ascii="Arial" w:cs="Arial" w:eastAsia="Arial" w:hAnsi="Arial"/>
          <w:sz w:val="16"/>
          <w:szCs w:val="16"/>
          <w:color w:val="auto"/>
        </w:rPr>
        <w:t xml:space="preserve">”) at a purchase price of $10.00 per Placement Unit in a private placement </w:t>
      </w:r>
      <w:r>
        <w:rPr>
          <w:rFonts w:ascii="Arial" w:cs="Arial" w:eastAsia="Arial" w:hAnsi="Arial"/>
          <w:sz w:val="16"/>
          <w:szCs w:val="16"/>
          <w:color w:val="212121"/>
        </w:rPr>
        <w:t>exempt from registration under Section 4(a)(2) of the Act</w:t>
      </w:r>
      <w:r>
        <w:rPr>
          <w:rFonts w:ascii="Arial" w:cs="Arial" w:eastAsia="Arial" w:hAnsi="Arial"/>
          <w:sz w:val="16"/>
          <w:szCs w:val="16"/>
          <w:color w:val="auto"/>
        </w:rPr>
        <w:t xml:space="preserv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 Private Placement</w:t>
      </w:r>
      <w:r>
        <w:rPr>
          <w:rFonts w:ascii="Arial" w:cs="Arial" w:eastAsia="Arial" w:hAnsi="Arial"/>
          <w:sz w:val="17"/>
          <w:szCs w:val="17"/>
          <w:color w:val="auto"/>
        </w:rPr>
        <w:t>”). The Placement Units, the shares of Common Stock and the Warrants included in the Placement Units (the “</w:t>
      </w:r>
      <w:r>
        <w:rPr>
          <w:rFonts w:ascii="Arial" w:cs="Arial" w:eastAsia="Arial" w:hAnsi="Arial"/>
          <w:sz w:val="17"/>
          <w:szCs w:val="17"/>
          <w:b w:val="1"/>
          <w:bCs w:val="1"/>
          <w:color w:val="auto"/>
        </w:rPr>
        <w:t>Placement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r>
        <w:rPr>
          <w:rFonts w:ascii="Arial" w:cs="Arial" w:eastAsia="Arial" w:hAnsi="Arial"/>
          <w:sz w:val="16"/>
          <w:szCs w:val="16"/>
          <w:color w:val="auto"/>
        </w:rPr>
        <w:t>”) and the shares of Common Stock issuable upon exercise of the Placement Warrants are hereinafter referred to collectively as the “</w:t>
      </w:r>
      <w:r>
        <w:rPr>
          <w:rFonts w:ascii="Arial" w:cs="Arial" w:eastAsia="Arial" w:hAnsi="Arial"/>
          <w:sz w:val="16"/>
          <w:szCs w:val="16"/>
          <w:b w:val="1"/>
          <w:bCs w:val="1"/>
          <w:color w:val="auto"/>
        </w:rPr>
        <w:t>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Each Placement Unit shall be identical to the Units sold in the Offering except that the Placement Warrants shall be non-redeemable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exercised on a cashless basis so long as the Placement Warrants continue to be held by the initial purchasers of the Private Warrants or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transferees (as described in the Private Units Subscription Agreement and the Warrant Agreement (as defined in Section 2.22 hereof)).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disclosed in the Registration Statement, there will be no placement agent in the Unit Private Placement and no party shall be entitled to a placement fee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allowance from the sale of the Placement Securities. In connection with the Unit Private Placement, the Representative has previously agreed that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contribute $150,000 to Holdings I to fund a portion of that entity’s purchase of Placement Units, for which it will be entitled to a beneficial interest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15,000 of the Placement Units acquired by Holdings I (such beneficial interest together with the Representative Initial Interest, the “</w:t>
      </w:r>
      <w:r>
        <w:rPr>
          <w:rFonts w:ascii="Arial" w:cs="Arial" w:eastAsia="Arial" w:hAnsi="Arial"/>
          <w:sz w:val="17"/>
          <w:szCs w:val="17"/>
          <w:b w:val="1"/>
          <w:bCs w:val="1"/>
          <w:color w:val="auto"/>
        </w:rPr>
        <w:t>Representative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w:t>
      </w:r>
    </w:p>
    <w:p>
      <w:pPr>
        <w:spacing w:after="0" w:line="211" w:lineRule="exact"/>
        <w:rPr>
          <w:sz w:val="20"/>
          <w:szCs w:val="20"/>
          <w:color w:val="auto"/>
        </w:rPr>
      </w:pPr>
    </w:p>
    <w:p>
      <w:pPr>
        <w:ind w:right="20" w:firstLine="1378"/>
        <w:spacing w:after="0" w:line="257" w:lineRule="auto"/>
        <w:rPr>
          <w:sz w:val="20"/>
          <w:szCs w:val="20"/>
          <w:color w:val="auto"/>
        </w:rPr>
      </w:pPr>
      <w:r>
        <w:rPr>
          <w:rFonts w:ascii="Arial" w:cs="Arial" w:eastAsia="Arial" w:hAnsi="Arial"/>
          <w:sz w:val="18"/>
          <w:szCs w:val="18"/>
          <w:color w:val="auto"/>
        </w:rPr>
        <w:t>1.5.3 The Representative agrees that, for a period 180 days immediately following the Effective Date, it will not (a) sell, transfer, assign, pledge, hypothecate or otherwise transfer the Representative Interest other than to a bona fide officer or partner of the Representative or any selected dealer in connection with the Offering, in each case in accordance with FINRA Rule 5110(g)(1), or (b) cause the Representative Interest to be the subject of any hedging, short sale, derivative, put or call transaction that would result in the effective economic disposition of the Representative Interest, except as provided for in FINRA Rule 5110(g)(2).</w:t>
      </w:r>
    </w:p>
    <w:p>
      <w:pPr>
        <w:spacing w:after="0" w:line="188"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follows: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jc w:val="both"/>
        <w:ind w:firstLine="1297"/>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333-212675),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registration of the Public Securities under the Act,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and the form of the final prospectus dated the Effective Date included in the Registration Statement (or, if applicable, the form of final</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5:00 p.m., New York City time, on the date of this Agreement. If the Company has filed, or is required pursuant to the terms hereof to file, a registration statement pursuant to Rule 462(b) under the Securities Act registering the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have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Firm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40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Pursuant to the Exchange Act</w:t>
      </w:r>
      <w:r>
        <w:rPr>
          <w:rFonts w:ascii="Arial" w:cs="Arial" w:eastAsia="Arial" w:hAnsi="Arial"/>
          <w:sz w:val="18"/>
          <w:szCs w:val="18"/>
          <w:color w:val="auto"/>
        </w:rPr>
        <w:t>. The Company has filed with the Commission a Form 8-A (File Number 001-37872) 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has been declared effective by the Commission on or prior to the Effective Date.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xml:space="preserve">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10b-5 Representation</w:t>
      </w:r>
      <w:r>
        <w:rPr>
          <w:rFonts w:ascii="Arial" w:cs="Arial" w:eastAsia="Arial" w:hAnsi="Arial"/>
          <w:sz w:val="16"/>
          <w:szCs w:val="16"/>
          <w:color w:val="auto"/>
        </w:rPr>
        <w:t>.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Section 2.3.1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and (iii) the paragraphs “Stabilizing Transactions” and “Penalty Bids” in the Underwriting subsection “Regulatory Restrictions on Purchase of Securities”, and (iv) the first, third and sixth sentences of the paragraph “Over-Allotments and Syndicate Coverage Transactions” in the Underwriting subsection “Regulatory Restrictions on Purchase of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1297"/>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best of the Company’s knowledge, the other parties thereto, in accordance with its terms, except (</w:t>
      </w:r>
      <w:r>
        <w:rPr>
          <w:rFonts w:ascii="Arial" w:cs="Arial" w:eastAsia="Arial" w:hAnsi="Arial"/>
          <w:sz w:val="16"/>
          <w:szCs w:val="16"/>
          <w:i w:val="1"/>
          <w:iCs w:val="1"/>
          <w:color w:val="auto"/>
        </w:rPr>
        <w:t>x</w:t>
      </w:r>
      <w:r>
        <w:rPr>
          <w:rFonts w:ascii="Arial" w:cs="Arial" w:eastAsia="Arial" w:hAnsi="Arial"/>
          <w:sz w:val="16"/>
          <w:szCs w:val="16"/>
          <w:color w:val="auto"/>
        </w:rPr>
        <w:t>) as such enforceability may be limited by bankruptcy, insolvency, reorganization or similar laws affecting creditors’ rights generally, (</w:t>
      </w:r>
      <w:r>
        <w:rPr>
          <w:rFonts w:ascii="Arial" w:cs="Arial" w:eastAsia="Arial" w:hAnsi="Arial"/>
          <w:sz w:val="16"/>
          <w:szCs w:val="16"/>
          <w:i w:val="1"/>
          <w:iCs w:val="1"/>
          <w:color w:val="auto"/>
        </w:rPr>
        <w:t>y</w:t>
      </w:r>
      <w:r>
        <w:rPr>
          <w:rFonts w:ascii="Arial" w:cs="Arial" w:eastAsia="Arial" w:hAnsi="Arial"/>
          <w:sz w:val="16"/>
          <w:szCs w:val="16"/>
          <w:color w:val="auto"/>
        </w:rPr>
        <w:t>) as enforceability of any indemnification or contribution provision may be limited under the federal and state securities laws, and (</w:t>
      </w:r>
      <w:r>
        <w:rPr>
          <w:rFonts w:ascii="Arial" w:cs="Arial" w:eastAsia="Arial" w:hAnsi="Arial"/>
          <w:sz w:val="16"/>
          <w:szCs w:val="16"/>
          <w:i w:val="1"/>
          <w:iCs w:val="1"/>
          <w:color w:val="auto"/>
        </w:rPr>
        <w:t>z</w:t>
      </w:r>
      <w:r>
        <w:rPr>
          <w:rFonts w:ascii="Arial" w:cs="Arial" w:eastAsia="Arial" w:hAnsi="Arial"/>
          <w:sz w:val="16"/>
          <w:szCs w:val="16"/>
          <w:color w:val="auto"/>
        </w:rPr>
        <w:t>)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best of the Company’s knowledge, any other party is in breach or default thereunder and, to the best of the Company’s knowledge, no event has occurred that, with the lapse of time or the giving of notice, or both, would constitute a breach or default thereunder. To the best of the Company’s knowledge, performance by the Company of the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are, to the best of the Company’s knowledge, correct in all material respects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Except as contemplated in the Prospectus, since the respective dates as of which information is given in the Registration Statement, any Preliminary Prospectus and/or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1297"/>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Recent Securities Transactions, Etc.</w:t>
      </w:r>
      <w:r>
        <w:rPr>
          <w:rFonts w:ascii="Arial" w:cs="Arial" w:eastAsia="Arial" w:hAnsi="Arial"/>
          <w:sz w:val="18"/>
          <w:szCs w:val="18"/>
          <w:color w:val="auto"/>
        </w:rPr>
        <w:t xml:space="preserve">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To the best of the Company’s knowledge Marcum LLP (“</w:t>
      </w:r>
      <w:r>
        <w:rPr>
          <w:rFonts w:ascii="Arial" w:cs="Arial" w:eastAsia="Arial" w:hAnsi="Arial"/>
          <w:sz w:val="18"/>
          <w:szCs w:val="18"/>
          <w:b w:val="1"/>
          <w:bCs w:val="1"/>
          <w:color w:val="auto"/>
        </w:rPr>
        <w:t>Marcum</w:t>
      </w:r>
      <w:r>
        <w:rPr>
          <w:rFonts w:ascii="Arial" w:cs="Arial" w:eastAsia="Arial" w:hAnsi="Arial"/>
          <w:sz w:val="18"/>
          <w:szCs w:val="18"/>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8"/>
          <w:szCs w:val="18"/>
          <w:b w:val="1"/>
          <w:bCs w:val="1"/>
          <w:color w:val="auto"/>
        </w:rPr>
        <w:t>PCAOB</w:t>
      </w:r>
      <w:r>
        <w:rPr>
          <w:rFonts w:ascii="Arial" w:cs="Arial" w:eastAsia="Arial" w:hAnsi="Arial"/>
          <w:sz w:val="18"/>
          <w:szCs w:val="18"/>
          <w:color w:val="auto"/>
        </w:rPr>
        <w:t>”). To the best of the Company’s knowledge, Marcum is duly registered and in good standing with the PCAOB. Marcum has not, during the periods covered by the financial statements included in the Registration Statement and the Prospectus, provided to the Company any non-audit services, as such term is used in Section 10A(g) of the Exchange Act.</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are based on or derived from sources which the Company reasonably and in good faith believes are reliable and accurate, and such data agree with the sources from which they are derived.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xml:space="preserve">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u w:val="single" w:color="auto"/>
          <w:color w:val="auto"/>
        </w:rPr>
        <w:t>Outstanding Securities</w:t>
      </w:r>
      <w:r>
        <w:rPr>
          <w:rFonts w:ascii="Arial" w:cs="Arial" w:eastAsia="Arial" w:hAnsi="Arial"/>
          <w:sz w:val="16"/>
          <w:szCs w:val="16"/>
          <w:color w:val="auto"/>
        </w:rPr>
        <w:t>. All issued and outstanding securities of the Company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issued and outstanding securities of the Company conform in all material respects to all statements relating thereto contained in the Registration Statement, the Preliminary Prospectus and the Prospectus. The offers and sales of the outstanding shares of Common Stock (including, without limitation, the Placement Securities) were at all relevant times either registered under the Act and the applicable state securities or Blue Sky laws, based in part on the representations and warranties of the purchasers of such securities, or exempt from such registration requirements.</w:t>
      </w:r>
    </w:p>
    <w:p>
      <w:pPr>
        <w:spacing w:after="0" w:line="16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2.8.2. </w:t>
      </w:r>
      <w:r>
        <w:rPr>
          <w:rFonts w:ascii="Arial" w:cs="Arial" w:eastAsia="Arial" w:hAnsi="Arial"/>
          <w:sz w:val="17"/>
          <w:szCs w:val="17"/>
          <w:u w:val="single" w:color="auto"/>
          <w:color w:val="auto"/>
        </w:rPr>
        <w:t>Securities Sold</w:t>
      </w:r>
      <w:r>
        <w:rPr>
          <w:rFonts w:ascii="Arial" w:cs="Arial" w:eastAsia="Arial" w:hAnsi="Arial"/>
          <w:sz w:val="17"/>
          <w:szCs w:val="17"/>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 When issued, the Underwriters’ Purchase Option, the Underwriters’ Warrants and the Warrants will constitute valid and binding obligations of the Company to issue and sell, upon exercise thereof and payment of the respective exercise prices therefor, the number and type of securities of the Company called for thereby in accordance with the terms thereof and such Underwriters’ Purchase Option, the Underwriters’ Warrants and the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issuable upon exercise of the Underwriters’ Purchase Option, the Underwriters’ Warrants and the Warrants have been reserved for issuance upon the exercise of the Underwriters’ Purchase Option, the Underwriters’ Warrants and the Warrants, respectively, and, when issued in accordance with the terms of such securities, will be duly and validly authorized, validly issued, fully paid and non-assessable; the holders thereof are not and will not be subject to personal liability by reason of being such holders.</w:t>
      </w:r>
    </w:p>
    <w:p>
      <w:pPr>
        <w:spacing w:after="0" w:line="18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Placement Securities</w:t>
      </w:r>
      <w:r>
        <w:rPr>
          <w:rFonts w:ascii="Arial" w:cs="Arial" w:eastAsia="Arial" w:hAnsi="Arial"/>
          <w:sz w:val="17"/>
          <w:szCs w:val="17"/>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The Placement Securities conform in all material respects to all statements with respect thereto contained in the Registration Statement, the Preliminary Prospectus and the Prospectus, as the case may.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issuable upon exercise of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u w:val="single" w:color="auto"/>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Validity and Binding Effect of Agreements</w:t>
      </w:r>
      <w:r>
        <w:rPr>
          <w:rFonts w:ascii="Arial" w:cs="Arial" w:eastAsia="Arial" w:hAnsi="Arial"/>
          <w:sz w:val="18"/>
          <w:szCs w:val="18"/>
          <w:color w:val="auto"/>
        </w:rPr>
        <w:t>. This Agreement, the Warrant Agreement, the Trust Agreement, the Services Agreement (as defined in Section 2.23.6 hereof), the Private Units Subscription Agreement (as defined in Section 2.23.2 hereof), the Escrow Agreement (as defined in Section 2.23.3 hereof) and the Registration Rights Agreement (as defined in Section 2.23.4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xml:space="preserve"> The execution, delivery, and performance by the Company of this Agreement, the Warrant Agreement, Underwriters’ Purchase Option, the Trust Agreement, the Services Agreement, the Private Units Subscription Agreement, the Escrow Agreement and the Registration Rights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or bound to or which its property is subject; (ii) result in any violation of the provisions of the Amended and Restated Certificate of Incorporation or Bylaws of the Company; or (iii) violate any existing applicable law, rule, regulation, judgment, order or decree of any governmental agency or court, domestic or foreign, having jurisdiction over the Company or any of its properties, business or assets.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 or Bylaws.</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the Company has conducted no business and has incurred no liabilities other than in connection with its formation and in furtherance of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297"/>
        <w:spacing w:after="0" w:line="272" w:lineRule="auto"/>
        <w:rPr>
          <w:sz w:val="20"/>
          <w:szCs w:val="20"/>
          <w:color w:val="auto"/>
        </w:rPr>
      </w:pPr>
      <w:r>
        <w:rPr>
          <w:rFonts w:ascii="Arial" w:cs="Arial" w:eastAsia="Arial" w:hAnsi="Arial"/>
          <w:sz w:val="17"/>
          <w:szCs w:val="17"/>
          <w:color w:val="auto"/>
        </w:rPr>
        <w:t xml:space="preserve">2.13.2. </w:t>
      </w:r>
      <w:r>
        <w:rPr>
          <w:rFonts w:ascii="Arial" w:cs="Arial" w:eastAsia="Arial" w:hAnsi="Arial"/>
          <w:sz w:val="17"/>
          <w:szCs w:val="17"/>
          <w:u w:val="single" w:color="auto"/>
          <w:color w:val="auto"/>
        </w:rPr>
        <w:t>Transactions Contemplated Herein</w:t>
      </w:r>
      <w:r>
        <w:rPr>
          <w:rFonts w:ascii="Arial" w:cs="Arial" w:eastAsia="Arial" w:hAnsi="Arial"/>
          <w:sz w:val="17"/>
          <w:szCs w:val="17"/>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Underwriters’s Purchase Option, the Trust Agreement, the Services Agreement, the Private Units Subscription Agreement, the Escrow Agreement and the Registration Rights Agreement and as contemplated by the Prospectus, except with respect to applicable federal and state securities laws and the rules and regulations promulgated by the Financial Industry Regulatory Authority (the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each of the Company’s shareholders immediately prior to the Offering, including the Insiders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each Initial Shareholder, officer or director, to become inaccurate and incorrect.</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any Initial Shareholder which has not been disclosed in the Registration Statement, the Questionnaires, the Preliminary Prospectus and the Prospectus.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corporation and is in good standing under the laws of its country of organization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2.18.1. There are no claims, payments, arrangements, agreements or understandings relating to the payment of a finder’s, consulting or origination fee by the Company or any Company Affiliate (as defined below) with respect to the sale of the Securities hereunder or any other arrangements, agreements or understandings of the Company or, to the best of the Company’s knowledge, any Company Affiliate that may affect the Underwriters’ compensation, as determined by the FINRA.</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2.18.2.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2.18.3. No officer, director, or direct or indirect beneficial owner of any class of the Company’s securities, including the Initial Shareholders and holders of securities to be purchased in the Unit Private Placement (whether debt or equity, registered or unregistered, regardless of the time acquired or the source from which derived) (any such individual or entity, a “</w:t>
      </w:r>
      <w:r>
        <w:rPr>
          <w:rFonts w:ascii="Arial" w:cs="Arial" w:eastAsia="Arial" w:hAnsi="Arial"/>
          <w:sz w:val="18"/>
          <w:szCs w:val="18"/>
          <w:b w:val="1"/>
          <w:bCs w:val="1"/>
          <w:color w:val="auto"/>
        </w:rPr>
        <w:t>Company Affiliate</w:t>
      </w:r>
      <w:r>
        <w:rPr>
          <w:rFonts w:ascii="Arial" w:cs="Arial" w:eastAsia="Arial" w:hAnsi="Arial"/>
          <w:sz w:val="18"/>
          <w:szCs w:val="18"/>
          <w:color w:val="auto"/>
        </w:rPr>
        <w:t>”) is a member, a person associated, or affiliated with a member of FINRA.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1300"/>
        <w:spacing w:after="0"/>
        <w:tabs>
          <w:tab w:leader="none" w:pos="2320" w:val="left"/>
        </w:tabs>
        <w:rPr>
          <w:sz w:val="20"/>
          <w:szCs w:val="20"/>
          <w:color w:val="auto"/>
        </w:rPr>
      </w:pPr>
      <w:r>
        <w:rPr>
          <w:rFonts w:ascii="Arial" w:cs="Arial" w:eastAsia="Arial" w:hAnsi="Arial"/>
          <w:sz w:val="18"/>
          <w:szCs w:val="18"/>
          <w:color w:val="auto"/>
        </w:rPr>
        <w:t>2.18.4.</w:t>
      </w:r>
      <w:r>
        <w:rPr>
          <w:sz w:val="20"/>
          <w:szCs w:val="20"/>
          <w:color w:val="auto"/>
        </w:rPr>
        <w:tab/>
      </w:r>
      <w:r>
        <w:rPr>
          <w:rFonts w:ascii="Arial" w:cs="Arial" w:eastAsia="Arial" w:hAnsi="Arial"/>
          <w:sz w:val="16"/>
          <w:szCs w:val="16"/>
          <w:color w:val="auto"/>
        </w:rPr>
        <w:t>No Company Affiliate is an owner of stock or other securities of any member of FINRA (other than securities purchased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open market).</w:t>
      </w:r>
    </w:p>
    <w:p>
      <w:pPr>
        <w:spacing w:after="0" w:line="211"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Private Units Subscription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2.18.7. Except with respect to Chardan,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2.18.8. No person to whom securities of the Company have been privately issued within the 180-day period prior to the initial filing date of the Registration Statement has any relationship or affiliation or association with any member of the FINRA.</w:t>
      </w:r>
    </w:p>
    <w:p>
      <w:pPr>
        <w:spacing w:after="0" w:line="17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2.18.9.</w:t>
      </w:r>
      <w:r>
        <w:rPr>
          <w:sz w:val="20"/>
          <w:szCs w:val="20"/>
          <w:color w:val="auto"/>
        </w:rPr>
        <w:tab/>
      </w:r>
      <w:r>
        <w:rPr>
          <w:rFonts w:ascii="Arial" w:cs="Arial" w:eastAsia="Arial" w:hAnsi="Arial"/>
          <w:sz w:val="17"/>
          <w:szCs w:val="17"/>
          <w:color w:val="auto"/>
        </w:rPr>
        <w:t>No FINRA member intending to participate in the Offering has a “conflict of interest” (as defined by FINRA rules)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any of the Company’s officers or directors or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best of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the Representative or to the Representative’s counsel shall be deemed a representation and warranty by the Company to the Underwriters as to the matters covered thereby.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right="20" w:firstLine="648"/>
        <w:spacing w:after="0" w:line="30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Warrant Agreement</w:t>
      </w:r>
      <w:r>
        <w:rPr>
          <w:rFonts w:ascii="Arial" w:cs="Arial" w:eastAsia="Arial" w:hAnsi="Arial"/>
          <w:sz w:val="17"/>
          <w:szCs w:val="17"/>
          <w:color w:val="auto"/>
        </w:rPr>
        <w:t>. The Company has entered into a warrant agreement with respect to the Warrants, the Underwriters’ Warrants and the Placement Warrants with CST substantially in the form filed as an exhibit to the Registration Statement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w:t>
      </w:r>
    </w:p>
    <w:p>
      <w:pPr>
        <w:spacing w:after="0" w:line="1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2.23.1.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 including but not limited to, certain matters described as being agreed to by them under the “Proposed Business” Section of the Prospectus.</w:t>
      </w:r>
    </w:p>
    <w:p>
      <w:pPr>
        <w:spacing w:after="0" w:line="1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2.23.2. </w:t>
      </w:r>
      <w:r>
        <w:rPr>
          <w:rFonts w:ascii="Arial" w:cs="Arial" w:eastAsia="Arial" w:hAnsi="Arial"/>
          <w:sz w:val="18"/>
          <w:szCs w:val="18"/>
          <w:u w:val="single" w:color="auto"/>
          <w:color w:val="auto"/>
        </w:rPr>
        <w:t>Private Units Subscription Agreement</w:t>
      </w:r>
      <w:r>
        <w:rPr>
          <w:rFonts w:ascii="Arial" w:cs="Arial" w:eastAsia="Arial" w:hAnsi="Arial"/>
          <w:sz w:val="18"/>
          <w:szCs w:val="18"/>
          <w:color w:val="auto"/>
        </w:rPr>
        <w:t>. The Insiders executed and delivered an agreement, annexed as an exhibit to the Registration Statement (the “</w:t>
      </w:r>
      <w:r>
        <w:rPr>
          <w:rFonts w:ascii="Arial" w:cs="Arial" w:eastAsia="Arial" w:hAnsi="Arial"/>
          <w:sz w:val="18"/>
          <w:szCs w:val="18"/>
          <w:b w:val="1"/>
          <w:bCs w:val="1"/>
          <w:color w:val="auto"/>
        </w:rPr>
        <w:t>Private Units Subscription Agreement</w:t>
      </w:r>
      <w:r>
        <w:rPr>
          <w:rFonts w:ascii="Arial" w:cs="Arial" w:eastAsia="Arial" w:hAnsi="Arial"/>
          <w:sz w:val="18"/>
          <w:szCs w:val="18"/>
          <w:color w:val="auto"/>
        </w:rPr>
        <w:t>”), pursuant to which such entity, among other things, the Insiders committed to purchase an aggregate of 402,500 Placement Units in the Unit Private Placement. Pursuant to the Private Units Subscription Agreement, all of the proceeds from the sale of the Placement Units will be deposited by the Company in the Trust Account in accordance with the terms of the Trust Agreement prior to the Closing.</w:t>
      </w:r>
    </w:p>
    <w:p>
      <w:pPr>
        <w:spacing w:after="0" w:line="18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2.23.3. </w:t>
      </w:r>
      <w:r>
        <w:rPr>
          <w:rFonts w:ascii="Arial" w:cs="Arial" w:eastAsia="Arial" w:hAnsi="Arial"/>
          <w:sz w:val="16"/>
          <w:szCs w:val="16"/>
          <w:u w:val="single" w:color="auto"/>
          <w:color w:val="auto"/>
        </w:rPr>
        <w:t>Escrow Agreement</w:t>
      </w:r>
      <w:r>
        <w:rPr>
          <w:rFonts w:ascii="Arial" w:cs="Arial" w:eastAsia="Arial" w:hAnsi="Arial"/>
          <w:sz w:val="16"/>
          <w:szCs w:val="16"/>
          <w:color w:val="auto"/>
        </w:rPr>
        <w:t>. The Company has caused the Initial Shareholders to enter into an escrow agreement (the “</w:t>
      </w:r>
      <w:r>
        <w:rPr>
          <w:rFonts w:ascii="Arial" w:cs="Arial" w:eastAsia="Arial" w:hAnsi="Arial"/>
          <w:sz w:val="16"/>
          <w:szCs w:val="16"/>
          <w:b w:val="1"/>
          <w:bCs w:val="1"/>
          <w:color w:val="auto"/>
        </w:rPr>
        <w:t>Escrow</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with CST substantially in the form filed as an exhibit to the Registration Statement, whereby the shares of Common Stock owned by the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best of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 The Escrow Agreement shall not be amended, modified or otherwise changed without the prior written consent of the Company and the Representative.</w:t>
      </w:r>
    </w:p>
    <w:p>
      <w:pPr>
        <w:spacing w:after="0" w:line="16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2.23.4.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2.23.5 </w:t>
      </w:r>
      <w:r>
        <w:rPr>
          <w:rFonts w:ascii="Arial" w:cs="Arial" w:eastAsia="Arial" w:hAnsi="Arial"/>
          <w:sz w:val="16"/>
          <w:szCs w:val="16"/>
          <w:u w:val="single" w:color="auto"/>
          <w:color w:val="auto"/>
        </w:rPr>
        <w:t>Loans</w:t>
      </w:r>
      <w:r>
        <w:rPr>
          <w:rFonts w:ascii="Arial" w:cs="Arial" w:eastAsia="Arial" w:hAnsi="Arial"/>
          <w:sz w:val="16"/>
          <w:szCs w:val="16"/>
          <w:color w:val="auto"/>
        </w:rPr>
        <w:t>. M Spac has made a loan to the Company in the aggregate amount of $131,720 as of June 30, 2016, as described in the Registration Statement (the “</w:t>
      </w:r>
      <w:r>
        <w:rPr>
          <w:rFonts w:ascii="Arial" w:cs="Arial" w:eastAsia="Arial" w:hAnsi="Arial"/>
          <w:sz w:val="16"/>
          <w:szCs w:val="16"/>
          <w:b w:val="1"/>
          <w:bCs w:val="1"/>
          <w:color w:val="auto"/>
        </w:rPr>
        <w:t>Insider Loan</w:t>
      </w:r>
      <w:r>
        <w:rPr>
          <w:rFonts w:ascii="Arial" w:cs="Arial" w:eastAsia="Arial" w:hAnsi="Arial"/>
          <w:sz w:val="16"/>
          <w:szCs w:val="16"/>
          <w:color w:val="auto"/>
        </w:rPr>
        <w:t>”). The Insider Loan does not bear any interest and is repayable by the Company on consummation of the Offering.</w:t>
      </w:r>
    </w:p>
    <w:p>
      <w:pPr>
        <w:spacing w:after="0" w:line="120"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color w:val="auto"/>
        </w:rPr>
        <w:t xml:space="preserve">2.23.6. </w:t>
      </w:r>
      <w:r>
        <w:rPr>
          <w:rFonts w:ascii="Arial" w:cs="Arial" w:eastAsia="Arial" w:hAnsi="Arial"/>
          <w:sz w:val="16"/>
          <w:szCs w:val="16"/>
          <w:u w:val="single" w:color="auto"/>
          <w:color w:val="auto"/>
        </w:rPr>
        <w:t>Administrative Services</w:t>
      </w:r>
      <w:r>
        <w:rPr>
          <w:rFonts w:ascii="Arial" w:cs="Arial" w:eastAsia="Arial" w:hAnsi="Arial"/>
          <w:sz w:val="16"/>
          <w:szCs w:val="16"/>
          <w:color w:val="auto"/>
        </w:rPr>
        <w:t>. The Company has entered into an administrative services agreement (the “</w:t>
      </w:r>
      <w:r>
        <w:rPr>
          <w:rFonts w:ascii="Arial" w:cs="Arial" w:eastAsia="Arial" w:hAnsi="Arial"/>
          <w:sz w:val="16"/>
          <w:szCs w:val="16"/>
          <w:b w:val="1"/>
          <w:bCs w:val="1"/>
          <w:color w:val="auto"/>
        </w:rPr>
        <w:t>Services Agreement</w:t>
      </w:r>
      <w:r>
        <w:rPr>
          <w:rFonts w:ascii="Arial" w:cs="Arial" w:eastAsia="Arial" w:hAnsi="Arial"/>
          <w:sz w:val="16"/>
          <w:szCs w:val="16"/>
          <w:color w:val="auto"/>
        </w:rPr>
        <w:t>”) with Magna Management LLC (“</w:t>
      </w:r>
      <w:r>
        <w:rPr>
          <w:rFonts w:ascii="Arial" w:cs="Arial" w:eastAsia="Arial" w:hAnsi="Arial"/>
          <w:sz w:val="16"/>
          <w:szCs w:val="16"/>
          <w:b w:val="1"/>
          <w:bCs w:val="1"/>
          <w:color w:val="auto"/>
        </w:rPr>
        <w:t>Magna</w:t>
      </w:r>
      <w:r>
        <w:rPr>
          <w:rFonts w:ascii="Arial" w:cs="Arial" w:eastAsia="Arial" w:hAnsi="Arial"/>
          <w:sz w:val="16"/>
          <w:szCs w:val="16"/>
          <w:color w:val="auto"/>
        </w:rPr>
        <w:t>”) in the form filed as an exhibit to the Registration Statement pursuant to which the Magna will make available to the Company general and administrative services including office space, utilities, and secretarial support for the Company’s use for $10,000 per month.</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Unit Private Placement substantially in the form filed as an exhibit to the Registration Statement.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No officer or director or Initial Shareholder of the Company is subject to any non-competition agreement or non-solicitation agreement with any employer or prior employer which could materially affect his, her or its ability to be an Initial Shareholder, employee, officer or director of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Investments</w:t>
      </w:r>
      <w:r>
        <w:rPr>
          <w:rFonts w:ascii="Arial" w:cs="Arial" w:eastAsia="Arial" w:hAnsi="Arial"/>
          <w:sz w:val="18"/>
          <w:szCs w:val="18"/>
          <w:color w:val="auto"/>
        </w:rPr>
        <w:t>. The Company is not required, and upon issuance of the Securities as herein contemplated and the application of the net proceeds therefrom as described in the Prospectus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No Influence</w:t>
      </w:r>
      <w:r>
        <w:rPr>
          <w:rFonts w:ascii="Arial" w:cs="Arial" w:eastAsia="Arial" w:hAnsi="Arial"/>
          <w:sz w:val="16"/>
          <w:szCs w:val="16"/>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xml:space="preserve">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Emerging Growth Status</w:t>
      </w:r>
      <w:r>
        <w:rPr>
          <w:rFonts w:ascii="Arial" w:cs="Arial" w:eastAsia="Arial" w:hAnsi="Arial"/>
          <w:sz w:val="18"/>
          <w:szCs w:val="18"/>
          <w:color w:val="auto"/>
        </w:rPr>
        <w:t>. From the date of the Company’s formation through the date hereof, the Company has been and is an “emerging growth company” as defined in Section 2(a) of the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Testing the Waters Communications</w:t>
      </w:r>
      <w:r>
        <w:rPr>
          <w:rFonts w:ascii="Arial" w:cs="Arial" w:eastAsia="Arial" w:hAnsi="Arial"/>
          <w:sz w:val="18"/>
          <w:szCs w:val="18"/>
          <w:color w:val="auto"/>
        </w:rPr>
        <w:t>. The Company (a) has not engaged in any Testing the Waters Communication and (b) has not authorized anyone to engage in Testing the Waters Communications. “Testing the Waters Communication” means any oral or written communication with potential investors undertaken in reliance on Section 5(d) of the Act.</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Section 3.1 hereof, an appropriate amendment to the Registration Statement or amendment or supplement to the Prospectus (at the expense of the Company) so as to correct such statement or omission or effect such compliance.</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under the provisions of the Exchange Act. The Company will not deregister the Units, Common Stock or Warrants under the Exchange Act without the prior written consent of the Representative.</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Blue Sky Filing</w:t>
      </w:r>
      <w:r>
        <w:rPr>
          <w:rFonts w:ascii="Arial" w:cs="Arial" w:eastAsia="Arial" w:hAnsi="Arial"/>
          <w:sz w:val="17"/>
          <w:szCs w:val="17"/>
          <w:color w:val="auto"/>
        </w:rPr>
        <w:t>.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provided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Section 3.4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u w:val="single" w:color="auto"/>
          <w:color w:val="auto"/>
        </w:rPr>
        <w:t>Business Combinations</w:t>
      </w:r>
      <w:r>
        <w:rPr>
          <w:rFonts w:ascii="Arial" w:cs="Arial" w:eastAsia="Arial" w:hAnsi="Arial"/>
          <w:sz w:val="18"/>
          <w:szCs w:val="18"/>
          <w:color w:val="auto"/>
        </w:rPr>
        <w:t>. The Company will not consummate a Business Combination with any entity which is affiliated with any Initial Shareholder unless the Company obtains an opinion from an independent investment banking firm regulated by FINRA stating the Business Combination is fair to the Company’s shareholders from a financial perspective.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3.7.3.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Except as set forth in this Section 3.7, the Company shall not pay any Initial Shareholder or any of their affiliates any fees or compensation from the Company, for services rendered to the Company prior to, or in connection with, the Offering or the consummation of a Business Combination;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Shareholders shall be entitled to reimbursement from the Company for their out-of-pocket expenses incurred on the Company’s behalf, which includes the Insider Loan and expenses incurred by them in connection with seeking and consummating a Business Combination as described in the Registration Statement.</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Secondary Market Trading</w:t>
      </w:r>
      <w:r>
        <w:rPr>
          <w:rFonts w:ascii="Arial" w:cs="Arial" w:eastAsia="Arial" w:hAnsi="Arial"/>
          <w:sz w:val="17"/>
          <w:szCs w:val="17"/>
          <w:color w:val="auto"/>
        </w:rPr>
        <w:t>. In the event the Public Securities are not listed on the Nasdaq Capital Market or another national securities exchange, the Company will apply to be included in Mergent, Inc. Manual for a period of five (5) years from the consummation of a Business Combination. Promptly after the consummation of the Offering, the Company shall take such steps as may be necessary to obtain a secondary market trading exemption for the Company’s securities in the State of California. The Company shall also take such other action as may be reasonably requested by the Representative to obtain a secondary market trading exemption in such other states as may be requested by the Representative.</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Financial Public Relations Firm</w:t>
      </w:r>
      <w:r>
        <w:rPr>
          <w:rFonts w:ascii="Arial" w:cs="Arial" w:eastAsia="Arial" w:hAnsi="Arial"/>
          <w:sz w:val="16"/>
          <w:szCs w:val="16"/>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Reports to the Representative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u w:val="single" w:color="auto"/>
          <w:color w:val="auto"/>
        </w:rPr>
        <w:t>Periodic Reports, Etc.</w:t>
      </w:r>
      <w:r>
        <w:rPr>
          <w:rFonts w:ascii="Arial" w:cs="Arial" w:eastAsia="Arial" w:hAnsi="Arial"/>
          <w:sz w:val="16"/>
          <w:szCs w:val="16"/>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shall be deemed to have been delivered to the Representative pursuant to this section.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1297"/>
        <w:spacing w:after="0" w:line="297"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u w:val="single" w:color="auto"/>
          <w:color w:val="auto"/>
        </w:rPr>
        <w:t>Transfer Sheets</w:t>
      </w:r>
      <w:r>
        <w:rPr>
          <w:rFonts w:ascii="Arial" w:cs="Arial" w:eastAsia="Arial" w:hAnsi="Arial"/>
          <w:sz w:val="16"/>
          <w:szCs w:val="16"/>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6"/>
          <w:szCs w:val="16"/>
          <w:b w:val="1"/>
          <w:bCs w:val="1"/>
          <w:color w:val="auto"/>
        </w:rPr>
        <w:t>Transfer Agent</w:t>
      </w:r>
      <w:r>
        <w:rPr>
          <w:rFonts w:ascii="Arial" w:cs="Arial" w:eastAsia="Arial" w:hAnsi="Arial"/>
          <w:sz w:val="16"/>
          <w:szCs w:val="16"/>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Inc. is an acceptable Transfer Agent to the Representative.</w:t>
      </w:r>
    </w:p>
    <w:p>
      <w:pPr>
        <w:spacing w:after="0" w:line="15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3.10.3. </w:t>
      </w:r>
      <w:r>
        <w:rPr>
          <w:rFonts w:ascii="Arial" w:cs="Arial" w:eastAsia="Arial" w:hAnsi="Arial"/>
          <w:sz w:val="17"/>
          <w:szCs w:val="17"/>
          <w:u w:val="single" w:color="auto"/>
          <w:color w:val="auto"/>
        </w:rPr>
        <w:t>Trading Reports</w:t>
      </w:r>
      <w:r>
        <w:rPr>
          <w:rFonts w:ascii="Arial" w:cs="Arial" w:eastAsia="Arial" w:hAnsi="Arial"/>
          <w:sz w:val="17"/>
          <w:szCs w:val="17"/>
          <w:color w:val="auto"/>
        </w:rPr>
        <w:t>. If the Public Securities are quoted on the OTC (or any successor trading market), then during such time the Company shall provide to the Representative, at its expense, such reports published by the OTC relating to price trading of the Public Securities, as the Representative shall reasonably request. In addition to the requirements of the preceding sentence, for a period of two (2) years from the Closing Date, the Company, at its expense, shall provide Chardan a subscription to the Company’s weekly Depository Transfer Company Security Position Reports.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Disqualification of Form S-1</w:t>
      </w:r>
      <w:r>
        <w:rPr>
          <w:rFonts w:ascii="Arial" w:cs="Arial" w:eastAsia="Arial" w:hAnsi="Arial"/>
          <w:sz w:val="18"/>
          <w:szCs w:val="18"/>
          <w:color w:val="auto"/>
        </w:rPr>
        <w:t>. For a period equal to seven (7) years from the date hereof, the Company will not take any action or actions which may prevent or disqualify the Company’s use of Form S-1 (or other appropriate form) for the registration of the Warrants and the Underwriters’ Purchase Option and the securities underlying the Underwriters’ Purchase Option under the Act.</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Common Stock and the Warrants included in the Units and the Underwriters’ Purchase Option, including any transfer or other taxes payable thereon; (iv) the qualification of the Public Securities under state or foreign securities or Blue Sky laws specified by Chardan, including the costs of printing and mailing the “Preliminary Blue Sky Memorandum,” and all amendments and supplements thereto, and fees and disbursements for counsel of Chardan’s choice retained for such purpose; (v) filing fees (including SEC filing fees), costs and expenses (including third party expenses and disbursements) incurred in registering the Offering; (vi) fees and expenses incurred in registering the Offering with the FINRA (including fees and expenses of counsel to the Representative and all Public Offering System filing fees); (vii) fees and disbursements of the registrar and transfer and warrant agent; (viii) stock transfer and/or stamp taxes, if any, payable upon the transfer of Securities from the Company to the Representative; (ix) the Company’s expenses associated with “due diligence” meetings arranged by the Representative (none of which will be received or paid on behalf of an “underwriter and related person” as such term is defined in Rule 5110 of FINRA’s Rules); (x) the preparation, binding and delivery of bound volumes in form and style reasonably satisfactory to Chardan and lucite cubes or similar commemorative items in such quantities and a style as reasonably requested by Chardan; (xi) all costs and expenses associated with “road show” marketing and “due diligence” trips for the Company’s management to meet with prospective investors, including without limitation, all travel, food and lodging expenses associated with such trips; (xii) all fees, expenses and disbursements relating to background checks of the Company’s directors, director nominees and executive officers; and (xiii) all other reasonable costs and expenses incident to the performance of its obligations hereunder which are not otherwise specifically provided for in this Section 3.12.1; provided that the Company shall not reimburse the Representative for out-of-pocket accountable expenses in excess of $50,000.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If the Offering is not consummated for any reason whatsoever, except as a result of the Representative’s or any Underwriter’s breach or default with respect to any of its obligations described in this Agreement, then the Company shall reimburse the Representative in full for its out-of-pocket accountable expenses actually incurred by the Representative, including, without limitation, its legal fees (less any amounts previously paid), up to an aggregate amount of $100,000. Additionally, upon any such termination, the Representative shall return to the Company any portion of the Advance previously recieved by the Representative (of which $50,000 has previously been paid (“</w:t>
      </w:r>
      <w:r>
        <w:rPr>
          <w:rFonts w:ascii="Arial" w:cs="Arial" w:eastAsia="Arial" w:hAnsi="Arial"/>
          <w:sz w:val="16"/>
          <w:szCs w:val="16"/>
          <w:b w:val="1"/>
          <w:bCs w:val="1"/>
          <w:color w:val="auto"/>
        </w:rPr>
        <w:t>Advance</w:t>
      </w:r>
      <w:r>
        <w:rPr>
          <w:rFonts w:ascii="Arial" w:cs="Arial" w:eastAsia="Arial" w:hAnsi="Arial"/>
          <w:sz w:val="16"/>
          <w:szCs w:val="16"/>
          <w:color w:val="auto"/>
        </w:rPr>
        <w:t>”)) in excess of the out-of-pocket accountable expenses actually incurred by the Representative, including, without limitation, its legal fees.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1297"/>
        <w:spacing w:after="0" w:line="270" w:lineRule="auto"/>
        <w:rPr>
          <w:sz w:val="20"/>
          <w:szCs w:val="20"/>
          <w:color w:val="auto"/>
        </w:rPr>
      </w:pPr>
      <w:r>
        <w:rPr>
          <w:rFonts w:ascii="Arial" w:cs="Arial" w:eastAsia="Arial" w:hAnsi="Arial"/>
          <w:sz w:val="17"/>
          <w:szCs w:val="17"/>
          <w:color w:val="auto"/>
        </w:rPr>
        <w:t xml:space="preserve">3.12.2. </w:t>
      </w:r>
      <w:r>
        <w:rPr>
          <w:rFonts w:ascii="Arial" w:cs="Arial" w:eastAsia="Arial" w:hAnsi="Arial"/>
          <w:sz w:val="17"/>
          <w:szCs w:val="17"/>
          <w:u w:val="single" w:color="auto"/>
          <w:color w:val="auto"/>
        </w:rPr>
        <w:t>Fee on Termination of Offering</w:t>
      </w:r>
      <w:r>
        <w:rPr>
          <w:rFonts w:ascii="Arial" w:cs="Arial" w:eastAsia="Arial" w:hAnsi="Arial"/>
          <w:sz w:val="17"/>
          <w:szCs w:val="17"/>
          <w:color w:val="auto"/>
        </w:rPr>
        <w:t>. Notwithstanding anything contained herein to the contrary, upon termination of the Offering the Company shall: (A) reimburse the Representative for, or otherwise pay and bear, the expenses and fees to be paid and borne by the Company as provided for in Paragraph 3.12.1 above, as applicable, and (B) reimburse the Representative for the full amount of its accountable out-of-pocket expenses actually incurred to such date (which shall include, but shall not be limited to, all fees and disbursements of the Representative’s counsel, travel, lodging and other “road show” expenses, mailing, printing and reproduction expenses, and any expenses incurred by the Representative in conducting its due diligence, including background checks of the Company’s officers and directors), up to an aggregate amount of $100,000, less the amounts previously paid and any amounts previously paid to the Representative in reimbursement for such expenses. If applicable, and solely in the event of a termination of this Offering, the Representative shall refund to the Company any portion of the amounts advanced towards the Underwriters’ expenses which is in excess of the accountable out-of-pocket expenses actually incurred to such date by the Representative.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5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3.15.1.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the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3.15.2. </w:t>
      </w:r>
      <w:r>
        <w:rPr>
          <w:rFonts w:ascii="Arial" w:cs="Arial" w:eastAsia="Arial" w:hAnsi="Arial"/>
          <w:sz w:val="18"/>
          <w:szCs w:val="18"/>
          <w:u w:val="single" w:color="auto"/>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7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Marcum or other independent public accountants reasonably acceptable to the Representative.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Unit Private Placement, as well as the proceeds from the exercise of the Over-Allotment if such exercise has occurred on the date of the Prospectus. Within three</w:t>
      </w:r>
    </w:p>
    <w:p>
      <w:pPr>
        <w:ind w:firstLine="8"/>
        <w:spacing w:after="0" w:line="261" w:lineRule="auto"/>
        <w:tabs>
          <w:tab w:leader="none" w:pos="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trading days of the Closing Date, the Company will file a Current Report on Form 8-K with the Commission, which Report shall contain the Audited Financial Statements.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shareholder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global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Colorado Trust Filing</w:t>
      </w:r>
      <w:r>
        <w:rPr>
          <w:rFonts w:ascii="Arial" w:cs="Arial" w:eastAsia="Arial" w:hAnsi="Arial"/>
          <w:sz w:val="17"/>
          <w:szCs w:val="17"/>
          <w:color w:val="auto"/>
        </w:rPr>
        <w:t>. In the event the Securities are registered in the State of Colorado, the Company will cause a Colorado Form ES to be filed with the Commissioner of the State of Colorado no less than ten (10) days prior to the distribution of the Trust Account in connection with a Business Combination and will do all things necessary to comply with Section 11-51-302 and Rule 51-3.4 of the Colorado Securities Act.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forty-five (45) days after the Effective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68"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Underwriters’ Purchase Option, Underwriters’ Warrants and the Placement Warrants outstanding from time to time.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3.28. </w:t>
      </w:r>
      <w:r>
        <w:rPr>
          <w:rFonts w:ascii="Arial" w:cs="Arial" w:eastAsia="Arial" w:hAnsi="Arial"/>
          <w:sz w:val="17"/>
          <w:szCs w:val="17"/>
          <w:u w:val="single" w:color="auto"/>
          <w:color w:val="auto"/>
        </w:rPr>
        <w:t>Private Placement Proceeds</w:t>
      </w:r>
      <w:r>
        <w:rPr>
          <w:rFonts w:ascii="Arial" w:cs="Arial" w:eastAsia="Arial" w:hAnsi="Arial"/>
          <w:sz w:val="17"/>
          <w:szCs w:val="17"/>
          <w:color w:val="auto"/>
        </w:rPr>
        <w:t>. Immediately upon establishment of the Trust Account and prior to the Closing, the Company shall deposit all of the proceeds from the Unit Private Placement in the Trust Account and shall provide the Representative with evidence of the same.</w:t>
      </w:r>
    </w:p>
    <w:p>
      <w:pPr>
        <w:spacing w:after="0" w:line="1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covenants and agrees it will not seek to amend or modify Article SIXTH of its Amended and Restated Certificate of Incorporation without the prior approval of its Board of Directors and the affirmative vote of at least 65% of the voting power of the shares of Common Stock that were issued in the Offering.</w:t>
      </w:r>
    </w:p>
    <w:p>
      <w:pPr>
        <w:spacing w:after="0" w:line="181" w:lineRule="exact"/>
        <w:rPr>
          <w:rFonts w:ascii="Arial" w:cs="Arial" w:eastAsia="Arial" w:hAnsi="Arial"/>
          <w:sz w:val="18"/>
          <w:szCs w:val="18"/>
          <w:color w:val="auto"/>
        </w:rPr>
      </w:pPr>
    </w:p>
    <w:p>
      <w:pPr>
        <w:ind w:right="20" w:firstLine="1305"/>
        <w:spacing w:after="0" w:line="277" w:lineRule="auto"/>
        <w:tabs>
          <w:tab w:leader="none" w:pos="20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acknowledges that the purchasers of the Firm Units and Option Units in this Offering shall be deemed to be third party beneficiaries of this Section 3.29.</w:t>
      </w:r>
    </w:p>
    <w:p>
      <w:pPr>
        <w:spacing w:after="0" w:line="170" w:lineRule="exact"/>
        <w:rPr>
          <w:rFonts w:ascii="Arial" w:cs="Arial" w:eastAsia="Arial" w:hAnsi="Arial"/>
          <w:sz w:val="18"/>
          <w:szCs w:val="18"/>
          <w:color w:val="auto"/>
        </w:rPr>
      </w:pPr>
    </w:p>
    <w:p>
      <w:pPr>
        <w:ind w:firstLine="1305"/>
        <w:spacing w:after="0" w:line="277" w:lineRule="auto"/>
        <w:tabs>
          <w:tab w:leader="none" w:pos="19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Representative and the Company specifically agree that this Section 3.29 shall not be modified or amended in any way without the approval of at least 65% of the voting power of the shares of Common Stock that were issued in the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Payment of Deferred Underwriting Commission on Business Combination</w:t>
      </w:r>
      <w:r>
        <w:rPr>
          <w:rFonts w:ascii="Arial" w:cs="Arial" w:eastAsia="Arial" w:hAnsi="Arial"/>
          <w:sz w:val="18"/>
          <w:szCs w:val="18"/>
          <w:color w:val="auto"/>
        </w:rPr>
        <w:t>. Upon the consummation of a Business Combination, the Company agrees that it will cause the Trustee to pay the Deferred Underwriting Commission directly from the Trust Account to Chardan, in accordance with Section 1.3.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88"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Warrant Solicitation Fee</w:t>
      </w:r>
      <w:r>
        <w:rPr>
          <w:rFonts w:ascii="Arial" w:cs="Arial" w:eastAsia="Arial" w:hAnsi="Arial"/>
          <w:sz w:val="16"/>
          <w:szCs w:val="16"/>
          <w:color w:val="auto"/>
        </w:rPr>
        <w:t>. The Company hereby engages Chardan, on a non-exclusive basis, as its agent for the solicitation of the exercise of the Warrants. The Company will (i) assist Chardan with respect to such solicitation, if requested by Chardan, and (ii) at Chardan’s request, provide Chardan, and direct the Company’s transfer and warrant agent to provide to Chardan, at the Company’s cost, lists of the record and, to the extent known, beneficial owners of, the Warrants. Commencing on the later of thirty days after the consummation of a Business Combination and twelve months after the consummation of the Offering, the Company will pay Chardan a commission of five percent (5%) of the exercise price of the each Warrant exercised during the period commencing on the later of thirty days after the consummation of a Business Combination and twelve months after the consummation of the Offering, including Warrants acquired by securityholders in the open market. Notwithstanding the foregoing, Chardan shall only receive a fee specified in this Section 3.33 if permitted under FINRA rules and regulations and only to the extent that an investor who exercises Warrants indicates in writing that Chardan solicited the exercise. Chardan may engage sub-agents in its solicitation efforts. The Company agrees to disclose the arrangement to pay such solicitation fees to Chardan in any prospectus used by the Company in connection with the registration of the shares of Common Stock underlying the Warrants.</w:t>
      </w:r>
    </w:p>
    <w:p>
      <w:pPr>
        <w:spacing w:after="0" w:line="169" w:lineRule="exact"/>
        <w:rPr>
          <w:sz w:val="20"/>
          <w:szCs w:val="20"/>
          <w:color w:val="auto"/>
        </w:rPr>
      </w:pPr>
    </w:p>
    <w:p>
      <w:pPr>
        <w:jc w:val="both"/>
        <w:ind w:firstLine="8"/>
        <w:spacing w:after="0" w:line="259" w:lineRule="auto"/>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to purchase and pay for the Units, as 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McDermott Will &amp; Emery LLP (“</w:t>
      </w:r>
      <w:r>
        <w:rPr>
          <w:rFonts w:ascii="Arial" w:cs="Arial" w:eastAsia="Arial" w:hAnsi="Arial"/>
          <w:sz w:val="17"/>
          <w:szCs w:val="17"/>
          <w:b w:val="1"/>
          <w:bCs w:val="1"/>
          <w:color w:val="auto"/>
        </w:rPr>
        <w:t>McDermott</w:t>
      </w:r>
      <w:r>
        <w:rPr>
          <w:rFonts w:ascii="Arial" w:cs="Arial" w:eastAsia="Arial" w:hAnsi="Arial"/>
          <w:sz w:val="17"/>
          <w:szCs w:val="17"/>
          <w:color w:val="auto"/>
        </w:rPr>
        <w:t>”).</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Representative shall have received clearance from the FINRA as to the amount of compensation allowable or payable to the Underwriters as described in the Registration Statement.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Blue Sky Stop Orders</w:t>
      </w:r>
      <w:r>
        <w:rPr>
          <w:rFonts w:ascii="Arial" w:cs="Arial" w:eastAsia="Arial" w:hAnsi="Arial"/>
          <w:sz w:val="18"/>
          <w:szCs w:val="18"/>
          <w:color w:val="auto"/>
        </w:rPr>
        <w:t>. No order suspending the sale of the Securities in any jurisdiction designated by the Representative pursuant to Section 3.3 hereof shall have been issued on either the Closing Date or the Option Closing Date, and no proceedings for that purpose shall have been instituted or shall be contemplated.</w:t>
      </w:r>
    </w:p>
    <w:p>
      <w:pPr>
        <w:spacing w:after="0" w:line="181"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Opinion of Counsel</w:t>
      </w:r>
      <w:r>
        <w:rPr>
          <w:rFonts w:ascii="Arial" w:cs="Arial" w:eastAsia="Arial" w:hAnsi="Arial"/>
          <w:sz w:val="18"/>
          <w:szCs w:val="18"/>
          <w:color w:val="auto"/>
        </w:rPr>
        <w:t>. On the Closing Date, the Representative shall have received the favorable opinion of Loeb &amp; Loeb LLP (“</w:t>
      </w:r>
      <w:r>
        <w:rPr>
          <w:rFonts w:ascii="Arial" w:cs="Arial" w:eastAsia="Arial" w:hAnsi="Arial"/>
          <w:sz w:val="18"/>
          <w:szCs w:val="18"/>
          <w:b w:val="1"/>
          <w:bCs w:val="1"/>
          <w:color w:val="auto"/>
        </w:rPr>
        <w:t>Loeb</w:t>
      </w:r>
      <w:r>
        <w:rPr>
          <w:rFonts w:ascii="Arial" w:cs="Arial" w:eastAsia="Arial" w:hAnsi="Arial"/>
          <w:sz w:val="18"/>
          <w:szCs w:val="18"/>
          <w:color w:val="auto"/>
        </w:rPr>
        <w:t>”), counsel to the Company, dated the Closing Date, addressed to the Representative and the other Underwriters and in form and substance reasonably satisfactory to the Representative.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1297"/>
        <w:spacing w:after="0" w:line="270" w:lineRule="auto"/>
        <w:rPr>
          <w:sz w:val="20"/>
          <w:szCs w:val="20"/>
          <w:color w:val="auto"/>
        </w:rPr>
      </w:pPr>
      <w:r>
        <w:rPr>
          <w:rFonts w:ascii="Arial" w:cs="Arial" w:eastAsia="Arial" w:hAnsi="Arial"/>
          <w:sz w:val="17"/>
          <w:szCs w:val="17"/>
          <w:color w:val="auto"/>
        </w:rPr>
        <w:t>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Preliminary Prospectus and the Prospectus (except as otherwise set forth in such opinion), no facts have come to the attention of such counsel which lead them to believe that either the Registration Statement,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Preliminary Prospectus or the Prospectus).</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Option Closing Date Opinion of Counsel</w:t>
      </w:r>
      <w:r>
        <w:rPr>
          <w:rFonts w:ascii="Arial" w:cs="Arial" w:eastAsia="Arial" w:hAnsi="Arial"/>
          <w:sz w:val="17"/>
          <w:szCs w:val="17"/>
          <w:color w:val="auto"/>
        </w:rPr>
        <w:t>. On each Option Closing Date, if any, the Representative shall have received the 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w:t>
      </w:r>
    </w:p>
    <w:p>
      <w:pPr>
        <w:spacing w:after="0" w:line="16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Reliance</w:t>
      </w:r>
      <w:r>
        <w:rPr>
          <w:rFonts w:ascii="Arial" w:cs="Arial" w:eastAsia="Arial" w:hAnsi="Arial"/>
          <w:sz w:val="17"/>
          <w:szCs w:val="17"/>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clause (iii) below) to the Representative from Marcum dated, respectively, as of the date of this Agreement and as of the Closing Date and the Option Closing Date, if any:</w:t>
      </w:r>
    </w:p>
    <w:p>
      <w:pPr>
        <w:spacing w:after="0" w:line="187" w:lineRule="exact"/>
        <w:rPr>
          <w:sz w:val="20"/>
          <w:szCs w:val="20"/>
          <w:color w:val="auto"/>
        </w:rPr>
      </w:pPr>
    </w:p>
    <w:p>
      <w:pPr>
        <w:ind w:right="20" w:firstLine="1305"/>
        <w:spacing w:after="0" w:line="277" w:lineRule="auto"/>
        <w:tabs>
          <w:tab w:leader="none" w:pos="19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Confirming that they are an independent registered public accounting firm with respect to the Company within the meaning of the Act and the applicable Regulations;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1" w:lineRule="exact"/>
        <w:rPr>
          <w:rFonts w:ascii="Arial" w:cs="Arial" w:eastAsia="Arial" w:hAnsi="Arial"/>
          <w:sz w:val="18"/>
          <w:szCs w:val="18"/>
          <w:color w:val="auto"/>
        </w:rPr>
      </w:pPr>
    </w:p>
    <w:p>
      <w:pPr>
        <w:jc w:val="both"/>
        <w:ind w:firstLine="1305"/>
        <w:spacing w:after="0" w:line="269" w:lineRule="auto"/>
        <w:tabs>
          <w:tab w:leader="none" w:pos="20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December 31, 2015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2015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April 23, 2015 (inception) to , 2016 included in the Registration Statement and the Prospectus, or, if there was any such decrease, setting forth the amount of such decrease;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1305"/>
        <w:spacing w:after="0" w:line="255" w:lineRule="auto"/>
        <w:tabs>
          <w:tab w:leader="none" w:pos="20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3" w:lineRule="exact"/>
        <w:rPr>
          <w:rFonts w:ascii="Arial" w:cs="Arial" w:eastAsia="Arial" w:hAnsi="Arial"/>
          <w:sz w:val="18"/>
          <w:szCs w:val="18"/>
          <w:color w:val="auto"/>
        </w:rPr>
      </w:pPr>
    </w:p>
    <w:p>
      <w:pPr>
        <w:ind w:left="1920" w:hanging="615"/>
        <w:spacing w:after="0"/>
        <w:tabs>
          <w:tab w:leader="none" w:pos="1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 reasonably request.</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Section 4.5 hereof have been satisfied as of such date and that, as of Closing Date and the Option Closing Date, as the case may be, the representations and warranties of the Company set forth in Section 2 hereof are true and correct. In addition, the Representative will have received such other and further certificates of officers of the Company as the Representative may reasonably request.</w:t>
      </w:r>
    </w:p>
    <w:p>
      <w:pPr>
        <w:spacing w:after="0" w:line="16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and Bylaws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any Company Affiliate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spacing w:after="0"/>
        <w:tabs>
          <w:tab w:leader="none" w:pos="1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Effective Date Deliveries</w:t>
      </w:r>
      <w:r>
        <w:rPr>
          <w:rFonts w:ascii="Arial" w:cs="Arial" w:eastAsia="Arial" w:hAnsi="Arial"/>
          <w:sz w:val="18"/>
          <w:szCs w:val="18"/>
          <w:color w:val="auto"/>
        </w:rPr>
        <w:t>. On the Effective Date, the Company shall have delivered to the Representative executed copies of the Escrow Agreement, the Trust Agreement, the Warrant Agreement, the Services Agreement, all of the Insider Letters, the Private Units Subscription Agreement and the Registration Rights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Closing Date Deliveries</w:t>
      </w:r>
      <w:r>
        <w:rPr>
          <w:rFonts w:ascii="Arial" w:cs="Arial" w:eastAsia="Arial" w:hAnsi="Arial"/>
          <w:sz w:val="18"/>
          <w:szCs w:val="18"/>
          <w:color w:val="auto"/>
        </w:rPr>
        <w:t>. On the Closing Date, the Company shall have delivered to the Representative and their designees executed copies of the Underwriters’ Purchase Option.</w:t>
      </w:r>
    </w:p>
    <w:p>
      <w:pPr>
        <w:spacing w:after="0" w:line="170"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or Selected Dealer (“</w:t>
      </w:r>
      <w:r>
        <w:rPr>
          <w:rFonts w:ascii="Arial" w:cs="Arial" w:eastAsia="Arial" w:hAnsi="Arial"/>
          <w:sz w:val="16"/>
          <w:szCs w:val="16"/>
          <w:b w:val="1"/>
          <w:bCs w:val="1"/>
          <w:color w:val="auto"/>
        </w:rPr>
        <w:t>Controlling Person</w:t>
      </w:r>
      <w:r>
        <w:rPr>
          <w:rFonts w:ascii="Arial" w:cs="Arial" w:eastAsia="Arial" w:hAnsi="Arial"/>
          <w:sz w:val="16"/>
          <w:szCs w:val="16"/>
          <w:color w:val="auto"/>
        </w:rPr>
        <w:t>”)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relating to any securities of the Company described herein; or (iii) any application or other document or written communication (in this Section 5,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Securities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which furnished written information, it is expressly agreed, consists solely of the information described in the last sentence of Section 2.3.1.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Section 3.4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 For purposes of this Section 5, the term Underwriter or Underwriters shall refer to each Underwriter whether acting as an underwriter or as a qualified independent underwriter.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1297"/>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Procedure</w:t>
      </w:r>
      <w:r>
        <w:rPr>
          <w:rFonts w:ascii="Arial" w:cs="Arial" w:eastAsia="Arial" w:hAnsi="Arial"/>
          <w:sz w:val="16"/>
          <w:szCs w:val="16"/>
          <w:color w:val="auto"/>
        </w:rPr>
        <w:t>. If any action is brought against an Underwriter or Controlling Person in respect of which indemnity may be sought against the Company pursuant to Section 5.1.1, such Underwriter shall promptly notify the Company in writing of the institution of such action and the Company shall assume the defense of such action, including the employment and fees of counsel (subject to the reasonable approval of such Underwriter) and payment of actual expenses. Such Underwriter or Controlling Person shall have the right to employ its or their own counsel in any such case, but the fees and expenses of such counsel shall be at the expense of such Underwriter or such Controlling Person unless: (i) the employment of such counsel at the expense of the Company shall have been authorized in writing by the Company in connection with the defense of such action;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and/or Controlling Person shall be borne by the Company. Notwithstanding anything to the contrary contained herein, if the Underwriter or Controlling Person shall assume the defense of such action as provided above, the Company shall have the right to approve the terms of any settlement of such action which approval shall not be unreasonably withheld.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Section 2.3.1.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Contribution Rights</w:t>
      </w:r>
      <w:r>
        <w:rPr>
          <w:rFonts w:ascii="Arial" w:cs="Arial" w:eastAsia="Arial" w:hAnsi="Arial"/>
          <w:sz w:val="16"/>
          <w:szCs w:val="16"/>
          <w:color w:val="auto"/>
        </w:rPr>
        <w:t xml:space="preserve">. In order to provide for just and equitable contribution under the Act in any case in which: (i) any person entitled to indemnification under this Section 5 makes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5 provides for indemnification in such case; or (ii) contribution under the Act, the Exchange Act or otherwise may be required on the part of any such person in circumstances for which indemnification is provided under this Section 5,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that, no person guilty of a fraudulent misrepresentation (within the meaning of Section 11(f) of the Act) shall be entitled to contribution from any person who was not guilty of such fraudulent misrepresentation. Notwithstanding the provisions of this Section 5.3.1,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1297"/>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6"/>
          <w:szCs w:val="16"/>
          <w:b w:val="1"/>
          <w:bCs w:val="1"/>
          <w:color w:val="auto"/>
        </w:rPr>
        <w:t>Contributing Party</w:t>
      </w:r>
      <w:r>
        <w:rPr>
          <w:rFonts w:ascii="Arial" w:cs="Arial" w:eastAsia="Arial" w:hAnsi="Arial"/>
          <w:sz w:val="16"/>
          <w:szCs w:val="16"/>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Section 5.3 are several and not joint.</w:t>
      </w:r>
    </w:p>
    <w:p>
      <w:pPr>
        <w:spacing w:after="0" w:line="169"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Default Exceeding 10% of Firm Units or Option Units</w:t>
      </w:r>
      <w:r>
        <w:rPr>
          <w:rFonts w:ascii="Arial" w:cs="Arial" w:eastAsia="Arial" w:hAnsi="Arial"/>
          <w:sz w:val="16"/>
          <w:szCs w:val="16"/>
          <w:color w:val="auto"/>
        </w:rPr>
        <w:t xml:space="preserve">. In the event that the default addressed in Section 6.1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the Representative does not arrange for the purchase of the Firm Units or Option Units to which a default relates as provided in this Section 6, this Agreement may be terminated by the Company without liability on the part of the Company (except as provided in Sections 3.12 and 5 hereof) or the several Underwriters (except as provided in Section 5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default occurs with respect to the Option Units, this Agreement will not terminate as to the Firm Units;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herein shall relieve a defaulting Underwriter of its liability, if any, to the other several Underwriters and to the Company for damages occasioned by its default hereunder.</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“Underwriter” as used in this Agreement shall include any party substituted under this Section 6 with like effect as if it had originally been a party to this Agreement with respect to such Securities.</w:t>
      </w:r>
    </w:p>
    <w:p>
      <w:pPr>
        <w:spacing w:after="0" w:line="192"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Common Stock, or any shares of Preferred Stock which participate in any manner in the Trust Account or which vote as a class with the Common Stock on a Business Combination.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$51,500,000 for the benefit of the public shareholders as described in the Registration Statement,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its best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$51,500,000 for the benefit of the public shareholders as described in the Registration Statement,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Furthermore, each officer and director of the Company shall execute a waiver letter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Insider Letters</w:t>
      </w:r>
      <w:r>
        <w:rPr>
          <w:rFonts w:ascii="Arial" w:cs="Arial" w:eastAsia="Arial" w:hAnsi="Arial"/>
          <w:sz w:val="17"/>
          <w:szCs w:val="17"/>
          <w:color w:val="auto"/>
        </w:rPr>
        <w:t>. The Company shall not take any action or omit to take any action which would cause a breach of any of the Insider Letters executed between each Initial Shareholder and the Company or the Private Units Subscription Agreement and will not allow any amendments to, or waivers of, such Insider Letters or the Private Units Subscription Agreement without the prior written consent of the Representative.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The Company shall not take any action or omit to take any action that would cause the Company to be in breach or violation of its Amended and Restated Certificate of Incorporation. Except as provided in Section 3.29, prior to the consummation of a Business Combination, the Company will not amend its Amended and Restated Certificate of Incorporation, without the prior written consent of the Representative.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requested by such state.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Acquisition/Liquidation Procedure</w:t>
      </w:r>
      <w:r>
        <w:rPr>
          <w:rFonts w:ascii="Arial" w:cs="Arial" w:eastAsia="Arial" w:hAnsi="Arial"/>
          <w:sz w:val="17"/>
          <w:szCs w:val="17"/>
          <w:color w:val="auto"/>
        </w:rPr>
        <w:t>. The Company agrees that it will comply with Article SIXTH of its Amended and Restated Certificate of Incorporation in connection with the consummation of a Business Combination or the failure to consummate a Business Combination within 18 months from the Effective Date (subject to extension for an additional three month period, as described in the Prospectus).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Presentation of Potential Target Businesses</w:t>
      </w:r>
      <w:r>
        <w:rPr>
          <w:rFonts w:ascii="Arial" w:cs="Arial" w:eastAsia="Arial" w:hAnsi="Arial"/>
          <w:sz w:val="16"/>
          <w:szCs w:val="16"/>
          <w:color w:val="auto"/>
        </w:rPr>
        <w:t>. The Company shall cause each of the Initial Shareholders to agree that, in order to minimize potential conflicts of interest which may arise from multiple affiliations, the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68"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Right of Participation</w:t>
      </w:r>
      <w:r>
        <w:rPr>
          <w:rFonts w:ascii="Arial" w:cs="Arial" w:eastAsia="Arial" w:hAnsi="Arial"/>
          <w:sz w:val="17"/>
          <w:szCs w:val="17"/>
          <w:color w:val="auto"/>
        </w:rPr>
        <w:t>. Provided that the Firm Units are sold in accordance with the terms of this Agreement, Chardan shall have an irrevocable right of first refusal (the “Right of First Refusal”), for a period of thirty six (36) months from the earlier of (i) commencement of sales in the Offering, and (ii) termination of this Agreement, to act as lead investment banker, lead book-runner, and/or lead placement agent with at least 33% of the economics, or in the case of where three investment banks are involved, with at least 25% of the economics, for each and every future public and private equity and debt offering (each, a “Subject Transaction”), during such thirty six (36) month period, of the Company, or any successor to or subsidiary of the Company, on terms and conditions customary to the Representative for such Subject Transactions. For the avoidance of any doubt, the Company shall not retain, engage or solicit any additional investment banker, book-runner, and/or placement agent in a Subject Transaction without the express written consent of Chardan. The Company shall notify Chardan of its intention to pursue a Subject Transaction, including the material terms thereof, by providing written notice thereof by registered mail or overnight courier service addressed to Chardan. If Chardan fails to exercise its Right of First Refusal with respect to any Subject Transaction within ten (10) Business Days after the mailing of such written notice, then Chardan shall have no further claim or right with respect to the Subject Transaction. The Representative may elect, in its sole and absolute discretion, not to exercise its Right of First Refusal with respect to any Subject Transaction; provided that any such election by Chardan shall not adversely affect Chardan’s Right of First Refusal with respect to any other Subject Transaction during the thirty six (36) month period agreed to above. The terms and conditions of any such engagements shall be set forth in separate agreements and may be subject to, among other things, satisfactory completion of due diligence by Chardan, market conditions, the absence of a material adverse change to the Company’s business, financial condition and prospects, approval of Chardan’s internal committee and any other conditions that Chardan may deem appropriate for transactions of such nature.</w:t>
      </w:r>
    </w:p>
    <w:p>
      <w:pPr>
        <w:spacing w:after="0" w:line="181" w:lineRule="exact"/>
        <w:rPr>
          <w:sz w:val="20"/>
          <w:szCs w:val="20"/>
          <w:color w:val="auto"/>
        </w:rPr>
      </w:pPr>
    </w:p>
    <w:p>
      <w:pPr>
        <w:jc w:val="both"/>
        <w:ind w:firstLine="8"/>
        <w:spacing w:after="0" w:line="291" w:lineRule="auto"/>
        <w:tabs>
          <w:tab w:leader="none" w:pos="87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Except as the context otherwise requires, all representations, warranties and 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Section 5 hereof, shall remain operative and in full force and effect regardless of any investigation made by or on behalf of any Underwriter, the Company or any Controlling Person, and shall survive termination of this Agreement or the issuance and delivery of the Securities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7" w:lineRule="exact"/>
        <w:rPr>
          <w:rFonts w:ascii="Arial" w:cs="Arial" w:eastAsia="Arial" w:hAnsi="Arial"/>
          <w:sz w:val="16"/>
          <w:szCs w:val="16"/>
          <w:color w:val="auto"/>
        </w:rPr>
      </w:pPr>
    </w:p>
    <w:p>
      <w:pPr>
        <w:ind w:left="680" w:hanging="6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MKT, the Nasdaq Stock Market or on the OTC (or successor trading market) shall have been suspended, or minimum or maximum prices for trading shall have been fixed, or maximum ranges for prices for securities shall have been fixed, or maximum ranges for prices for securities shall have been required on the OTC or by order of the Commission or any other government authority having jurisdiction; or (iii) if the United States shall have become involved in a war or an initiation or increase in major hostilities, or</w:t>
      </w:r>
    </w:p>
    <w:p>
      <w:pPr>
        <w:spacing w:after="0" w:line="5" w:lineRule="exact"/>
        <w:rPr>
          <w:sz w:val="20"/>
          <w:szCs w:val="20"/>
          <w:color w:val="auto"/>
        </w:rPr>
      </w:pPr>
    </w:p>
    <w:p>
      <w:pPr>
        <w:jc w:val="both"/>
        <w:ind w:firstLine="8"/>
        <w:spacing w:after="0" w:line="268" w:lineRule="auto"/>
        <w:tabs>
          <w:tab w:leader="none" w:pos="3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Section 3.12 hereof.</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effected by such election or termination or failure to carry out the terms of this Agreement or any part hereof.</w:t>
      </w:r>
    </w:p>
    <w:p>
      <w:pPr>
        <w:spacing w:after="0" w:line="181"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and shall be deemed given when so mailed, delivered or faxed (or if mailed, two (2) days after such mailing):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(646) 465-9039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340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10173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Robert H. Cohen,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547-5444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Corp 77 Water St, Fl 8</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Magna Management LLC</w:t>
      </w:r>
    </w:p>
    <w:p>
      <w:pPr>
        <w:ind w:left="1300"/>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407-4000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set forth in Section 3.29(ii), this Agreement shall inure solely to the benefit of and shall be binding upon the Representative, the Underwriters, the Company and the Controlling Persons, directors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8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hereby acknowledges that the Underwriters are acting solely as underwriters in connection with the Offering.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 Offering,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1297"/>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Joshua Sason</w:t>
      </w:r>
    </w:p>
    <w:p>
      <w:pPr>
        <w:spacing w:after="0" w:line="36"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 on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 as Representative of the several Underwriters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George Kaufman</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George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980" w:type="dxa"/>
            <w:vAlign w:val="bottom"/>
            <w:gridSpan w:val="4"/>
          </w:tcPr>
          <w:p>
            <w:pPr>
              <w:jc w:val="center"/>
              <w:ind w:right="3420"/>
              <w:spacing w:after="0"/>
              <w:rPr>
                <w:sz w:val="20"/>
                <w:szCs w:val="20"/>
                <w:color w:val="auto"/>
              </w:rPr>
            </w:pPr>
            <w:r>
              <w:rPr>
                <w:rFonts w:ascii="Arial" w:cs="Arial" w:eastAsia="Arial" w:hAnsi="Arial"/>
                <w:sz w:val="18"/>
                <w:szCs w:val="18"/>
                <w:b w:val="1"/>
                <w:bCs w:val="1"/>
                <w:color w:val="auto"/>
                <w:w w:val="99"/>
              </w:rPr>
              <w:t>SCHEDULE A</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980" w:type="dxa"/>
            <w:vAlign w:val="bottom"/>
            <w:gridSpan w:val="4"/>
          </w:tcPr>
          <w:p>
            <w:pPr>
              <w:jc w:val="center"/>
              <w:ind w:right="3420"/>
              <w:spacing w:after="0"/>
              <w:rPr>
                <w:sz w:val="20"/>
                <w:szCs w:val="20"/>
                <w:color w:val="auto"/>
              </w:rPr>
            </w:pPr>
            <w:r>
              <w:rPr>
                <w:rFonts w:ascii="Arial" w:cs="Arial" w:eastAsia="Arial" w:hAnsi="Arial"/>
                <w:sz w:val="18"/>
                <w:szCs w:val="18"/>
                <w:b w:val="1"/>
                <w:bCs w:val="1"/>
                <w:color w:val="auto"/>
              </w:rPr>
              <w:t>M I ACQUISITIONS, INC.</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980" w:type="dxa"/>
            <w:vAlign w:val="bottom"/>
            <w:gridSpan w:val="4"/>
          </w:tcPr>
          <w:p>
            <w:pPr>
              <w:jc w:val="center"/>
              <w:ind w:right="3440"/>
              <w:spacing w:after="0"/>
              <w:rPr>
                <w:sz w:val="20"/>
                <w:szCs w:val="20"/>
                <w:color w:val="auto"/>
              </w:rPr>
            </w:pPr>
            <w:r>
              <w:rPr>
                <w:rFonts w:ascii="Arial" w:cs="Arial" w:eastAsia="Arial" w:hAnsi="Arial"/>
                <w:sz w:val="18"/>
                <w:szCs w:val="18"/>
                <w:b w:val="1"/>
                <w:bCs w:val="1"/>
                <w:color w:val="auto"/>
                <w:w w:val="90"/>
              </w:rPr>
              <w:t>5,000,000 Units</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 Firm Units</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to be 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6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Maxim Group LLC</w:t>
            </w:r>
          </w:p>
        </w:tc>
        <w:tc>
          <w:tcPr>
            <w:tcW w:w="7980" w:type="dxa"/>
            <w:vAlign w:val="bottom"/>
            <w:gridSpan w:val="4"/>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I-Bankers Securities, Inc.</w:t>
            </w:r>
          </w:p>
        </w:tc>
        <w:tc>
          <w:tcPr>
            <w:tcW w:w="7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EarlyBirdCapital, Inc.</w:t>
            </w:r>
          </w:p>
        </w:tc>
        <w:tc>
          <w:tcPr>
            <w:tcW w:w="7980" w:type="dxa"/>
            <w:vAlign w:val="bottom"/>
            <w:gridSpan w:val="4"/>
          </w:tcPr>
          <w:p>
            <w:pPr>
              <w:jc w:val="right"/>
              <w:ind w:right="10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7980" w:type="dxa"/>
            <w:vAlign w:val="bottom"/>
            <w:gridSpan w:val="4"/>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jc w:val="center"/>
              <w:ind w:right="1408"/>
              <w:spacing w:after="0"/>
              <w:rPr>
                <w:sz w:val="20"/>
                <w:szCs w:val="20"/>
                <w:color w:val="auto"/>
              </w:rPr>
            </w:pPr>
            <w:r>
              <w:rPr>
                <w:rFonts w:ascii="Arial" w:cs="Arial" w:eastAsia="Arial" w:hAnsi="Arial"/>
                <w:sz w:val="22"/>
                <w:szCs w:val="22"/>
                <w:color w:val="auto"/>
                <w:w w:val="89"/>
              </w:rPr>
              <w:t>32</w:t>
            </w: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Target Business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Reference is made to the Final Prospectus of M I Acquisitions, Inc. (the “</w:t>
      </w:r>
      <w:r>
        <w:rPr>
          <w:rFonts w:ascii="Arial" w:cs="Arial" w:eastAsia="Arial" w:hAnsi="Arial"/>
          <w:sz w:val="18"/>
          <w:szCs w:val="18"/>
          <w:b w:val="1"/>
          <w:bCs w:val="1"/>
          <w:color w:val="auto"/>
        </w:rPr>
        <w:t>Company</w:t>
      </w:r>
      <w:r>
        <w:rPr>
          <w:rFonts w:ascii="Arial" w:cs="Arial" w:eastAsia="Arial" w:hAnsi="Arial"/>
          <w:sz w:val="18"/>
          <w:szCs w:val="18"/>
          <w:color w:val="auto"/>
        </w:rPr>
        <w:t>”), dated September 13, 2016 (the “</w:t>
      </w:r>
      <w:r>
        <w:rPr>
          <w:rFonts w:ascii="Arial" w:cs="Arial" w:eastAsia="Arial" w:hAnsi="Arial"/>
          <w:sz w:val="18"/>
          <w:szCs w:val="18"/>
          <w:b w:val="1"/>
          <w:bCs w:val="1"/>
          <w:color w:val="auto"/>
        </w:rPr>
        <w:t>Prospectus</w:t>
      </w:r>
      <w:r>
        <w:rPr>
          <w:rFonts w:ascii="Arial" w:cs="Arial" w:eastAsia="Arial" w:hAnsi="Arial"/>
          <w:sz w:val="18"/>
          <w:szCs w:val="18"/>
          <w:color w:val="auto"/>
        </w:rPr>
        <w:t>”). Capitalized terms used and not otherwise defined herein shall have the meanings assigned to them in the Prospectus.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$51,500,000 for the benefit of the “public shareholders” and the underwriters of the Company’s initial public offering (the “</w:t>
      </w:r>
      <w:r>
        <w:rPr>
          <w:rFonts w:ascii="Arial" w:cs="Arial" w:eastAsia="Arial" w:hAnsi="Arial"/>
          <w:sz w:val="18"/>
          <w:szCs w:val="18"/>
          <w:b w:val="1"/>
          <w:bCs w:val="1"/>
          <w:color w:val="auto"/>
        </w:rPr>
        <w:t>Underwriters</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Vendor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Reference is made to the Final Prospectus of M I Acquisitions, Inc. (the “</w:t>
      </w:r>
      <w:r>
        <w:rPr>
          <w:rFonts w:ascii="Arial" w:cs="Arial" w:eastAsia="Arial" w:hAnsi="Arial"/>
          <w:sz w:val="18"/>
          <w:szCs w:val="18"/>
          <w:b w:val="1"/>
          <w:bCs w:val="1"/>
          <w:color w:val="auto"/>
        </w:rPr>
        <w:t>Company</w:t>
      </w:r>
      <w:r>
        <w:rPr>
          <w:rFonts w:ascii="Arial" w:cs="Arial" w:eastAsia="Arial" w:hAnsi="Arial"/>
          <w:sz w:val="18"/>
          <w:szCs w:val="18"/>
          <w:color w:val="auto"/>
        </w:rPr>
        <w:t>”), dated September 13, 2016 (the “</w:t>
      </w:r>
      <w:r>
        <w:rPr>
          <w:rFonts w:ascii="Arial" w:cs="Arial" w:eastAsia="Arial" w:hAnsi="Arial"/>
          <w:sz w:val="18"/>
          <w:szCs w:val="18"/>
          <w:b w:val="1"/>
          <w:bCs w:val="1"/>
          <w:color w:val="auto"/>
        </w:rPr>
        <w:t>Prospectus</w:t>
      </w:r>
      <w:r>
        <w:rPr>
          <w:rFonts w:ascii="Arial" w:cs="Arial" w:eastAsia="Arial" w:hAnsi="Arial"/>
          <w:sz w:val="18"/>
          <w:szCs w:val="18"/>
          <w:color w:val="auto"/>
        </w:rPr>
        <w:t>”). Capitalized terms used and not otherwise defined herein shall have the meanings assigned to them in the Prospectus.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$51,500,000 for the benefit of the “public shareholders” and the underwriters of the Company’s initial public offering (the “</w:t>
      </w:r>
      <w:r>
        <w:rPr>
          <w:rFonts w:ascii="Arial" w:cs="Arial" w:eastAsia="Arial" w:hAnsi="Arial"/>
          <w:sz w:val="18"/>
          <w:szCs w:val="18"/>
          <w:b w:val="1"/>
          <w:bCs w:val="1"/>
          <w:color w:val="auto"/>
        </w:rPr>
        <w:t>Underwriters</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0" w:lineRule="exact"/>
        <w:rPr>
          <w:sz w:val="20"/>
          <w:szCs w:val="20"/>
          <w:color w:val="auto"/>
        </w:rPr>
      </w:pP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Director/Officer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undersigned officer or director of M I Acquisitions, Inc. (the “</w:t>
      </w:r>
      <w:r>
        <w:rPr>
          <w:rFonts w:ascii="Arial" w:cs="Arial" w:eastAsia="Arial" w:hAnsi="Arial"/>
          <w:sz w:val="16"/>
          <w:szCs w:val="16"/>
          <w:b w:val="1"/>
          <w:bCs w:val="1"/>
          <w:color w:val="auto"/>
        </w:rPr>
        <w:t>Company</w:t>
      </w:r>
      <w:r>
        <w:rPr>
          <w:rFonts w:ascii="Arial" w:cs="Arial" w:eastAsia="Arial" w:hAnsi="Arial"/>
          <w:sz w:val="16"/>
          <w:szCs w:val="16"/>
          <w:color w:val="auto"/>
        </w:rPr>
        <w:t>”) hereby acknowledges that the Company has established the “trust account”, initially in an amount of at least $51,500,000 for the benefit of the “public shareholders” and the underwriters of the Company’s initial public offering (the “</w:t>
      </w:r>
      <w:r>
        <w:rPr>
          <w:rFonts w:ascii="Arial" w:cs="Arial" w:eastAsia="Arial" w:hAnsi="Arial"/>
          <w:sz w:val="16"/>
          <w:szCs w:val="16"/>
          <w:b w:val="1"/>
          <w:bCs w:val="1"/>
          <w:color w:val="auto"/>
        </w:rPr>
        <w:t>Underwriters</w:t>
      </w:r>
      <w:r>
        <w:rPr>
          <w:rFonts w:ascii="Arial" w:cs="Arial" w:eastAsia="Arial" w:hAnsi="Arial"/>
          <w:sz w:val="16"/>
          <w:szCs w:val="16"/>
          <w:color w:val="auto"/>
        </w:rPr>
        <w:t>”) and that, except for (i) interest earned on the trust account that may be released to the Company to pay any taxes it incurs, and</w:t>
      </w:r>
    </w:p>
    <w:p>
      <w:pPr>
        <w:spacing w:after="0" w:line="2" w:lineRule="exact"/>
        <w:rPr>
          <w:sz w:val="20"/>
          <w:szCs w:val="20"/>
          <w:color w:val="auto"/>
        </w:rPr>
      </w:pPr>
    </w:p>
    <w:p>
      <w:pPr>
        <w:jc w:val="both"/>
        <w:ind w:firstLine="8"/>
        <w:spacing w:after="0" w:line="255"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contracts or agreements with the Company and will not seek recourse against the trust account for any reason whatsoever.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such waiver shall not apply to any shares acquired by the undersigned in the public market.</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of Officer/Director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Officer/Director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color w:val="auto"/>
        </w:rPr>
        <w:t>M I Acquisitions, Inc., a corporation existing under the laws of the State of Delaware (the “Corporation”), by its Chief Executive Officer, hereby certifies as follows:</w:t>
      </w:r>
    </w:p>
    <w:p>
      <w:pPr>
        <w:spacing w:after="0" w:line="170" w:lineRule="exact"/>
        <w:rPr>
          <w:sz w:val="20"/>
          <w:szCs w:val="20"/>
          <w:color w:val="auto"/>
        </w:rPr>
      </w:pPr>
    </w:p>
    <w:p>
      <w:pPr>
        <w:ind w:left="587" w:hanging="587"/>
        <w:spacing w:after="0"/>
        <w:tabs>
          <w:tab w:leader="none" w:pos="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(hereinafter called the “Corporation’).</w:t>
      </w:r>
    </w:p>
    <w:p>
      <w:pPr>
        <w:spacing w:after="0" w:line="225" w:lineRule="exact"/>
        <w:rPr>
          <w:rFonts w:ascii="Arial" w:cs="Arial" w:eastAsia="Arial" w:hAnsi="Arial"/>
          <w:sz w:val="18"/>
          <w:szCs w:val="18"/>
          <w:color w:val="auto"/>
        </w:rPr>
      </w:pPr>
    </w:p>
    <w:p>
      <w:pPr>
        <w:ind w:left="587" w:hanging="587"/>
        <w:spacing w:after="0"/>
        <w:tabs>
          <w:tab w:leader="none" w:pos="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April 23, 2015.</w:t>
      </w:r>
    </w:p>
    <w:p>
      <w:pPr>
        <w:spacing w:after="0" w:line="225" w:lineRule="exact"/>
        <w:rPr>
          <w:rFonts w:ascii="Arial" w:cs="Arial" w:eastAsia="Arial" w:hAnsi="Arial"/>
          <w:sz w:val="18"/>
          <w:szCs w:val="18"/>
          <w:color w:val="auto"/>
        </w:rPr>
      </w:pPr>
    </w:p>
    <w:p>
      <w:pPr>
        <w:ind w:left="587" w:hanging="587"/>
        <w:spacing w:after="0"/>
        <w:tabs>
          <w:tab w:leader="none" w:pos="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Amended Restated Certificate of Incorporation restates, integrates and amends the Certificate of Incorporation of the Corporation.</w:t>
      </w:r>
    </w:p>
    <w:p>
      <w:pPr>
        <w:spacing w:after="0" w:line="225" w:lineRule="exact"/>
        <w:rPr>
          <w:rFonts w:ascii="Arial" w:cs="Arial" w:eastAsia="Arial" w:hAnsi="Arial"/>
          <w:sz w:val="18"/>
          <w:szCs w:val="18"/>
          <w:color w:val="auto"/>
        </w:rPr>
      </w:pPr>
    </w:p>
    <w:p>
      <w:pPr>
        <w:ind w:left="7" w:hanging="7"/>
        <w:spacing w:after="0" w:line="342" w:lineRule="auto"/>
        <w:tabs>
          <w:tab w:leader="none" w:pos="5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23" w:lineRule="exact"/>
        <w:rPr>
          <w:rFonts w:ascii="Arial" w:cs="Arial" w:eastAsia="Arial" w:hAnsi="Arial"/>
          <w:sz w:val="16"/>
          <w:szCs w:val="16"/>
          <w:color w:val="auto"/>
        </w:rPr>
      </w:pPr>
    </w:p>
    <w:p>
      <w:pPr>
        <w:ind w:left="587" w:right="2160" w:hanging="587"/>
        <w:spacing w:after="0" w:line="530" w:lineRule="auto"/>
        <w:tabs>
          <w:tab w:leader="none" w:pos="58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text of the Certificate of Incorporation of the Corporation is hereby amended and restated to read in full as follows: FIRST: The name of the corporation is M I Acquisitions, Inc. (hereinafter called the "Corporation").</w:t>
      </w:r>
    </w:p>
    <w:p>
      <w:pPr>
        <w:ind w:left="587"/>
        <w:spacing w:after="0" w:line="277" w:lineRule="auto"/>
        <w:rPr>
          <w:rFonts w:ascii="Arial" w:cs="Arial" w:eastAsia="Arial" w:hAnsi="Arial"/>
          <w:sz w:val="17"/>
          <w:szCs w:val="17"/>
          <w:color w:val="auto"/>
        </w:rPr>
      </w:pPr>
      <w:r>
        <w:rPr>
          <w:rFonts w:ascii="Arial" w:cs="Arial" w:eastAsia="Arial" w:hAnsi="Arial"/>
          <w:sz w:val="18"/>
          <w:szCs w:val="18"/>
          <w:color w:val="auto"/>
        </w:rPr>
        <w:t>SECOND: The registered office of the Corporation is to be located at 28 Old Rudnick Lane, in the City of Dover, in the County of Kent, in the State of Delaware 19901. The name of its registered agent at that address is Corp1, Inc.</w:t>
      </w:r>
    </w:p>
    <w:p>
      <w:pPr>
        <w:spacing w:after="0" w:line="170" w:lineRule="exact"/>
        <w:rPr>
          <w:rFonts w:ascii="Arial" w:cs="Arial" w:eastAsia="Arial" w:hAnsi="Arial"/>
          <w:sz w:val="17"/>
          <w:szCs w:val="17"/>
          <w:color w:val="auto"/>
        </w:rPr>
      </w:pPr>
    </w:p>
    <w:p>
      <w:pPr>
        <w:ind w:left="587"/>
        <w:spacing w:after="0" w:line="277" w:lineRule="auto"/>
        <w:rPr>
          <w:rFonts w:ascii="Arial" w:cs="Arial" w:eastAsia="Arial" w:hAnsi="Arial"/>
          <w:sz w:val="17"/>
          <w:szCs w:val="17"/>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rFonts w:ascii="Arial" w:cs="Arial" w:eastAsia="Arial" w:hAnsi="Arial"/>
          <w:sz w:val="17"/>
          <w:szCs w:val="17"/>
          <w:color w:val="auto"/>
        </w:rPr>
      </w:pPr>
    </w:p>
    <w:p>
      <w:pPr>
        <w:ind w:left="587"/>
        <w:spacing w:after="0"/>
        <w:rPr>
          <w:rFonts w:ascii="Arial" w:cs="Arial" w:eastAsia="Arial" w:hAnsi="Arial"/>
          <w:sz w:val="17"/>
          <w:szCs w:val="17"/>
          <w:color w:val="auto"/>
        </w:rPr>
      </w:pPr>
      <w:r>
        <w:rPr>
          <w:rFonts w:ascii="Arial" w:cs="Arial" w:eastAsia="Arial" w:hAnsi="Arial"/>
          <w:sz w:val="16"/>
          <w:szCs w:val="16"/>
          <w:color w:val="auto"/>
        </w:rPr>
        <w:t>FOURTH: The name and mailing address of the incorporator is: Jaszick Maldonado, c/o Loeb &amp; Loeb LLP, 345 Park Avenue, New York NY 10154.</w:t>
      </w:r>
    </w:p>
    <w:p>
      <w:pPr>
        <w:spacing w:after="0" w:line="248" w:lineRule="exact"/>
        <w:rPr>
          <w:rFonts w:ascii="Arial" w:cs="Arial" w:eastAsia="Arial" w:hAnsi="Arial"/>
          <w:sz w:val="17"/>
          <w:szCs w:val="17"/>
          <w:color w:val="auto"/>
        </w:rPr>
      </w:pPr>
    </w:p>
    <w:p>
      <w:pPr>
        <w:jc w:val="both"/>
        <w:ind w:left="587"/>
        <w:spacing w:after="0" w:line="264" w:lineRule="auto"/>
        <w:rPr>
          <w:rFonts w:ascii="Arial" w:cs="Arial" w:eastAsia="Arial" w:hAnsi="Arial"/>
          <w:sz w:val="17"/>
          <w:szCs w:val="17"/>
          <w:color w:val="auto"/>
        </w:rPr>
      </w:pPr>
      <w:r>
        <w:rPr>
          <w:rFonts w:ascii="Arial" w:cs="Arial" w:eastAsia="Arial" w:hAnsi="Arial"/>
          <w:sz w:val="18"/>
          <w:szCs w:val="18"/>
          <w:color w:val="auto"/>
        </w:rPr>
        <w:t>FIFTH: The total number of shares of all classes of capital stock which the Corporation shall have authority to issue is 31,000,000, of which 30,000,000 shares shall be common stock of the par value $.001 per share (“Common Stock”) and 1,000,000 shares shall be preferred stock of the par value of $.001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415925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7"/>
          </w:cols>
          <w:pgMar w:left="313" w:top="364" w:right="239" w:bottom="1440" w:gutter="0" w:footer="0" w:header="0"/>
        </w:sectPr>
      </w:pPr>
    </w:p>
    <w:bookmarkStart w:id="40" w:name="page41"/>
    <w:bookmarkEnd w:id="40"/>
    <w:p>
      <w:pPr>
        <w:jc w:val="both"/>
        <w:ind w:left="640" w:firstLine="5"/>
        <w:spacing w:after="0" w:line="253" w:lineRule="auto"/>
        <w:tabs>
          <w:tab w:leader="none" w:pos="131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7" w:lineRule="exact"/>
        <w:rPr>
          <w:rFonts w:ascii="Arial" w:cs="Arial" w:eastAsia="Arial" w:hAnsi="Arial"/>
          <w:sz w:val="18"/>
          <w:szCs w:val="18"/>
          <w:color w:val="auto"/>
        </w:rPr>
      </w:pPr>
    </w:p>
    <w:p>
      <w:pPr>
        <w:ind w:left="640" w:firstLine="5"/>
        <w:spacing w:after="0" w:line="308" w:lineRule="auto"/>
        <w:tabs>
          <w:tab w:leader="none" w:pos="135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stock purchase,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deferred underwriting commissions and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w:t>
      </w:r>
    </w:p>
    <w:p>
      <w:pPr>
        <w:spacing w:after="0" w:line="197" w:lineRule="exact"/>
        <w:rPr>
          <w:sz w:val="20"/>
          <w:szCs w:val="20"/>
          <w:color w:val="auto"/>
        </w:rPr>
      </w:pPr>
    </w:p>
    <w:p>
      <w:pPr>
        <w:jc w:val="both"/>
        <w:ind w:left="640" w:firstLine="5"/>
        <w:spacing w:after="0" w:line="259" w:lineRule="auto"/>
        <w:tabs>
          <w:tab w:leader="none" w:pos="14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6" w:lineRule="exact"/>
        <w:rPr>
          <w:rFonts w:ascii="Arial" w:cs="Arial" w:eastAsia="Arial" w:hAnsi="Arial"/>
          <w:sz w:val="18"/>
          <w:szCs w:val="18"/>
          <w:color w:val="auto"/>
        </w:rPr>
      </w:pPr>
    </w:p>
    <w:p>
      <w:pPr>
        <w:jc w:val="both"/>
        <w:ind w:left="640" w:firstLine="5"/>
        <w:spacing w:after="0" w:line="264" w:lineRule="auto"/>
        <w:tabs>
          <w:tab w:leader="none" w:pos="1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415925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41" w:name="page42"/>
    <w:bookmarkEnd w:id="41"/>
    <w:p>
      <w:pPr>
        <w:jc w:val="both"/>
        <w:ind w:left="100" w:firstLine="5"/>
        <w:spacing w:after="0" w:line="283" w:lineRule="auto"/>
        <w:tabs>
          <w:tab w:leader="none" w:pos="7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exchanges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w:t>
      </w:r>
    </w:p>
    <w:p>
      <w:pPr>
        <w:spacing w:after="0" w:line="3" w:lineRule="exact"/>
        <w:rPr>
          <w:rFonts w:ascii="Arial" w:cs="Arial" w:eastAsia="Arial" w:hAnsi="Arial"/>
          <w:sz w:val="16"/>
          <w:szCs w:val="16"/>
          <w:color w:val="auto"/>
        </w:rPr>
      </w:pPr>
    </w:p>
    <w:p>
      <w:pPr>
        <w:jc w:val="both"/>
        <w:ind w:left="100"/>
        <w:spacing w:after="0" w:line="273" w:lineRule="auto"/>
        <w:rPr>
          <w:rFonts w:ascii="Arial" w:cs="Arial" w:eastAsia="Arial" w:hAnsi="Arial"/>
          <w:sz w:val="16"/>
          <w:szCs w:val="16"/>
          <w:color w:val="auto"/>
        </w:rPr>
      </w:pPr>
      <w:r>
        <w:rPr>
          <w:rFonts w:ascii="Arial" w:cs="Arial" w:eastAsia="Arial" w:hAnsi="Arial"/>
          <w:sz w:val="17"/>
          <w:szCs w:val="17"/>
          <w:color w:val="auto"/>
        </w:rPr>
        <w:t>(3)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76" w:lineRule="exact"/>
        <w:rPr>
          <w:rFonts w:ascii="Arial" w:cs="Arial" w:eastAsia="Arial" w:hAnsi="Arial"/>
          <w:sz w:val="16"/>
          <w:szCs w:val="16"/>
          <w:color w:val="auto"/>
        </w:rPr>
      </w:pPr>
    </w:p>
    <w:p>
      <w:pPr>
        <w:ind w:left="100" w:firstLine="5"/>
        <w:spacing w:after="0" w:line="277" w:lineRule="auto"/>
        <w:tabs>
          <w:tab w:leader="none" w:pos="9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will not consummate any Business Combination unless it has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408940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2" w:name="page43"/>
    <w:bookmarkEnd w:id="42"/>
    <w:p>
      <w:pPr>
        <w:jc w:val="both"/>
        <w:ind w:left="100" w:firstLine="5"/>
        <w:spacing w:after="0" w:line="285" w:lineRule="auto"/>
        <w:tabs>
          <w:tab w:leader="none" w:pos="8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event that the Corporation has not consummated an initial Business Combination within 18 months from the date of the closing of the IPO, the Board of Directors may extend the period of time to consummate a Business Combination up to three times (the latest such date, the “Termination Date”), each by an additional one month, for an aggregate of three additional months, provided that (i) for each such extension the Corporation’s insiders (or their designees) must deposit into the Trust Account $125,000 (or up to $143,750 if the underwriters’ over-allotment option is exercised in full) per extension in exchange for a non-interest bearing, unsecured promissory note, for maximum aggregate proceeds to the Corporation of $375,000 (or up to $431,250 if the underwriters’ over-allotment option is exercised in full) if three extensions occur and (ii) the procedures relating to any such extension, as set forth in the Trust Agreement, shall have been complied with. The gross proceeds from the issuance of such promissory notes will be added to the proceeds from the IPO to be held in the Trust Account and shall be used to fund the redemption of the IPO Shares in accordance with paragraph C of Article Sixth. In the event that the Corporation does not consummate a Business Combination by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384" w:lineRule="exact"/>
        <w:rPr>
          <w:rFonts w:ascii="Arial" w:cs="Arial" w:eastAsia="Arial" w:hAnsi="Arial"/>
          <w:sz w:val="16"/>
          <w:szCs w:val="16"/>
          <w:color w:val="auto"/>
        </w:rPr>
      </w:pPr>
    </w:p>
    <w:p>
      <w:pPr>
        <w:jc w:val="both"/>
        <w:ind w:left="100" w:firstLine="5"/>
        <w:spacing w:after="0" w:line="259" w:lineRule="auto"/>
        <w:tabs>
          <w:tab w:leader="none" w:pos="7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86" w:lineRule="exact"/>
        <w:rPr>
          <w:rFonts w:ascii="Arial" w:cs="Arial" w:eastAsia="Arial" w:hAnsi="Arial"/>
          <w:sz w:val="18"/>
          <w:szCs w:val="18"/>
          <w:color w:val="auto"/>
        </w:rPr>
      </w:pPr>
    </w:p>
    <w:p>
      <w:pPr>
        <w:jc w:val="both"/>
        <w:ind w:left="100" w:firstLine="5"/>
        <w:spacing w:after="0" w:line="264" w:lineRule="auto"/>
        <w:tabs>
          <w:tab w:leader="none" w:pos="10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415925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3" w:name="page44"/>
    <w:bookmarkEnd w:id="43"/>
    <w:p>
      <w:pPr>
        <w:jc w:val="both"/>
        <w:ind w:left="640" w:firstLine="5"/>
        <w:spacing w:after="0" w:line="267" w:lineRule="auto"/>
        <w:tabs>
          <w:tab w:leader="none" w:pos="13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1320" w:hanging="675"/>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of the Corporation so provide.</w:t>
      </w:r>
    </w:p>
    <w:p>
      <w:pPr>
        <w:spacing w:after="0" w:line="225" w:lineRule="exact"/>
        <w:rPr>
          <w:rFonts w:ascii="Arial" w:cs="Arial" w:eastAsia="Arial" w:hAnsi="Arial"/>
          <w:sz w:val="18"/>
          <w:szCs w:val="18"/>
          <w:color w:val="auto"/>
        </w:rPr>
      </w:pPr>
    </w:p>
    <w:p>
      <w:pPr>
        <w:ind w:left="640" w:firstLine="5"/>
        <w:spacing w:after="0" w:line="277" w:lineRule="auto"/>
        <w:tabs>
          <w:tab w:leader="none" w:pos="13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 as provided in the by-laws of the Corporation.</w:t>
      </w:r>
    </w:p>
    <w:p>
      <w:pPr>
        <w:spacing w:after="0" w:line="170" w:lineRule="exact"/>
        <w:rPr>
          <w:rFonts w:ascii="Arial" w:cs="Arial" w:eastAsia="Arial" w:hAnsi="Arial"/>
          <w:sz w:val="18"/>
          <w:szCs w:val="18"/>
          <w:color w:val="auto"/>
        </w:rPr>
      </w:pPr>
    </w:p>
    <w:p>
      <w:pPr>
        <w:jc w:val="both"/>
        <w:ind w:left="640" w:firstLine="5"/>
        <w:spacing w:after="0" w:line="255" w:lineRule="auto"/>
        <w:tabs>
          <w:tab w:leader="none" w:pos="16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421005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44" w:name="page45"/>
    <w:bookmarkEnd w:id="44"/>
    <w:p>
      <w:pPr>
        <w:jc w:val="both"/>
        <w:ind w:left="640" w:firstLine="5"/>
        <w:spacing w:after="0" w:line="257" w:lineRule="auto"/>
        <w:tabs>
          <w:tab w:leader="none" w:pos="15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firstLine="5"/>
        <w:spacing w:after="0" w:line="254" w:lineRule="auto"/>
        <w:tabs>
          <w:tab w:leader="none" w:pos="1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2" w:lineRule="exact"/>
        <w:rPr>
          <w:rFonts w:ascii="Arial" w:cs="Arial" w:eastAsia="Arial" w:hAnsi="Arial"/>
          <w:sz w:val="18"/>
          <w:szCs w:val="18"/>
          <w:color w:val="auto"/>
        </w:rPr>
      </w:pPr>
    </w:p>
    <w:p>
      <w:pPr>
        <w:jc w:val="both"/>
        <w:ind w:left="640" w:firstLine="5"/>
        <w:spacing w:after="0" w:line="255" w:lineRule="auto"/>
        <w:tabs>
          <w:tab w:leader="none" w:pos="1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3" w:lineRule="exact"/>
        <w:rPr>
          <w:rFonts w:ascii="Arial" w:cs="Arial" w:eastAsia="Arial" w:hAnsi="Arial"/>
          <w:sz w:val="18"/>
          <w:szCs w:val="18"/>
          <w:color w:val="auto"/>
        </w:rPr>
      </w:pPr>
    </w:p>
    <w:p>
      <w:pPr>
        <w:jc w:val="both"/>
        <w:ind w:left="640" w:firstLine="5"/>
        <w:spacing w:after="0" w:line="279" w:lineRule="auto"/>
        <w:tabs>
          <w:tab w:leader="none" w:pos="13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409575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5" w:name="page46"/>
    <w:bookmarkEnd w:id="45"/>
    <w:p>
      <w:pPr>
        <w:jc w:val="both"/>
        <w:ind w:left="660"/>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Joshua Sason, its Chief Executive Officer, as of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2016.</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Sason,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September 13, 2016, by and between M I Acquisitions,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American Stock Transfer &amp; Trust Company, LLC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5,000,000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(including up to 750,000 additional Units, if the underwriters’ over-allotment option is exercised in full), each Unit consisting of one share of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one warrant (the “</w:t>
      </w:r>
      <w:r>
        <w:rPr>
          <w:rFonts w:ascii="Arial" w:cs="Arial" w:eastAsia="Arial" w:hAnsi="Arial"/>
          <w:sz w:val="18"/>
          <w:szCs w:val="18"/>
          <w:b w:val="1"/>
          <w:bCs w:val="1"/>
          <w:color w:val="auto"/>
        </w:rPr>
        <w:t>Public Warrant</w:t>
      </w:r>
      <w:r>
        <w:rPr>
          <w:rFonts w:ascii="Arial" w:cs="Arial" w:eastAsia="Arial" w:hAnsi="Arial"/>
          <w:sz w:val="18"/>
          <w:szCs w:val="18"/>
          <w:color w:val="auto"/>
        </w:rPr>
        <w:t>” or “</w:t>
      </w:r>
      <w:r>
        <w:rPr>
          <w:rFonts w:ascii="Arial" w:cs="Arial" w:eastAsia="Arial" w:hAnsi="Arial"/>
          <w:sz w:val="18"/>
          <w:szCs w:val="18"/>
          <w:b w:val="1"/>
          <w:bCs w:val="1"/>
          <w:color w:val="auto"/>
        </w:rPr>
        <w:t>Public Warrants)</w:t>
      </w:r>
      <w:r>
        <w:rPr>
          <w:rFonts w:ascii="Arial" w:cs="Arial" w:eastAsia="Arial" w:hAnsi="Arial"/>
          <w:sz w:val="18"/>
          <w:szCs w:val="18"/>
          <w:color w:val="auto"/>
        </w:rPr>
        <w:t xml:space="preserve"> entitling its holder to purchase one share of Common Stock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WHEREAS, the Company has received binding commitments from M SPAC LLC, M SPAC Holdings I LLC and M SPAC Holdings II LLC to purchase up to an aggregate of 402,500 Units (or 447,500 Units, if the underwriters’ over-allotment option is exercised in full) pursuant to a Subscription Agreement dated September 13, 2016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and, in connection therewith, will issue and deliver up to an aggregate of 402,500 warrants (or 447,500 warrants, if the underwriters’ over-allotment option is exercised in full) underlying such units (the “</w:t>
      </w:r>
      <w:r>
        <w:rPr>
          <w:rFonts w:ascii="Arial" w:cs="Arial" w:eastAsia="Arial" w:hAnsi="Arial"/>
          <w:sz w:val="18"/>
          <w:szCs w:val="18"/>
          <w:b w:val="1"/>
          <w:bCs w:val="1"/>
          <w:color w:val="auto"/>
        </w:rPr>
        <w:t>Private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333-212675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 and</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40" w:firstLine="8"/>
        <w:spacing w:after="0" w:line="342" w:lineRule="auto"/>
        <w:tabs>
          <w:tab w:leader="none" w:pos="67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(a) issued in registered form only, (b) in substantially the form of Exhibit A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right="200" w:firstLine="1297"/>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Warrants comprising the Units will begin to trade separately on (i) the first trading day following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our receipt of the gross proceeds of this Public Offering and (ii) issues a press release announcing when such separate trading will begin.</w:t>
      </w:r>
    </w:p>
    <w:p>
      <w:pPr>
        <w:spacing w:after="0" w:line="158"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The Private Warrants will be issued in the same form as the Public Warrants except that (i) they will be exercisable either for cash or on a cashless basis pursuant to Section 3.3 but at the holder’s option and (ii) they will not be redeemable by the Company, in either case as long as the Private Warrants are held by the initial purchasers or any of their permitted transferees (as prescribed in the Subscription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Common Stock may be purchased at the time such Warrant is exercised.</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commencing on the later to occur of (i) 30 days following the completion of the Company’s initial business combination and (ii) 12 months following the closing of the Public Offering, and terminating at 5:00 p.m., New York City time, on the earlier to occur of (i) five years following the date the Warrants became exercisable, and (ii) the date fixed for redemption of the Warrants as provided in Section 6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10 days to Registered Holders of such extension and that such extension shall be identical in duration among all of the then outstanding Warrants.</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 Morgan Chase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9" w:name="page50"/>
    <w:bookmarkEnd w:id="49"/>
    <w:p>
      <w:pPr>
        <w:ind w:left="1300"/>
        <w:spacing w:after="0"/>
        <w:tabs>
          <w:tab w:leader="none" w:pos="21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on there is no effective registration statement</w:t>
      </w:r>
    </w:p>
    <w:p>
      <w:pPr>
        <w:spacing w:after="0" w:line="2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registering the Warrant Shares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completion of the Company’s initial business combination, if the Registered Holder desires to exercise the Warrants, the Registered Holder may only exercise the Warrants in whole or in part in lieu of making a cash payment, by providing notice to the Chief Financial Officer of the Company in a subscription form of its election to utilize cashless exercise, in which event the Company shall issue to the Holder the number of Warrant Shares determined as follows:</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25" w:lineRule="exact"/>
        <w:rPr>
          <w:sz w:val="20"/>
          <w:szCs w:val="20"/>
          <w:color w:val="auto"/>
        </w:rPr>
      </w:pPr>
    </w:p>
    <w:p>
      <w:pPr>
        <w:ind w:left="660" w:hanging="4"/>
        <w:spacing w:after="0" w:line="259" w:lineRule="auto"/>
        <w:tabs>
          <w:tab w:leader="none" w:pos="8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Company’s Common Stock is listed and traded on the New York Stock Exchange, the NYSE MKT, the NASDAQ Global Select Market, the NASDAQ Global Market, the NASDAQ Capital Market or the OTC Bulletin Board (each, a “Trading Market”),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Company’s Common Stock is not listed on a Trading Market, but is traded in the over-the-counter market, the fair market value shall be</w:t>
      </w:r>
    </w:p>
    <w:p>
      <w:pPr>
        <w:spacing w:after="0" w:line="46"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deemed to be the average of the bid price on such Trading Market for the 10 trading day ending on the third trading day immediately prior to the date the subscription form is submitted in connection with the exercise of the Warrant; or</w:t>
      </w:r>
    </w:p>
    <w:p>
      <w:pPr>
        <w:spacing w:after="0" w:line="183" w:lineRule="exact"/>
        <w:rPr>
          <w:rFonts w:ascii="Arial" w:cs="Arial" w:eastAsia="Arial" w:hAnsi="Arial"/>
          <w:sz w:val="16"/>
          <w:szCs w:val="16"/>
          <w:color w:val="auto"/>
        </w:rPr>
      </w:pPr>
    </w:p>
    <w:p>
      <w:pPr>
        <w:ind w:left="660" w:right="220" w:hanging="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firstLine="1297"/>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w:t>
      </w:r>
    </w:p>
    <w:p>
      <w:pPr>
        <w:spacing w:after="0" w:line="3" w:lineRule="exact"/>
        <w:rPr>
          <w:sz w:val="20"/>
          <w:szCs w:val="20"/>
          <w:color w:val="auto"/>
        </w:rPr>
      </w:pPr>
    </w:p>
    <w:p>
      <w:pPr>
        <w:jc w:val="both"/>
        <w:ind w:right="20" w:firstLine="8"/>
        <w:spacing w:after="0" w:line="254"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right="8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right="60"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Sections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16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5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60"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second sentence of this Section 6.1, all (and not less than all) of the outstanding Warrants may be redeemed, in whole and not in part, at the option of the Company, at any time from and after the Warrants become exerciseble, and prior to their expiration, at the office of the Warrant Agent, upon the notice referred to in Section 6.2, at the price of $.01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(i) there is a current registration statement in effect with respect to the shares of Common Stock underlying the Warrants for each day in the 30-Day Trading Period and continuing each day thereafter until the Redemption Date (defined below) or (ii) the cashless exercise is exempt from the registration requirements under the Act.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pursuant to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5" w:name="page56"/>
    <w:bookmarkEnd w:id="55"/>
    <w:p>
      <w:pPr>
        <w:ind w:left="680" w:hanging="67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93"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6" w:name="page57"/>
    <w:bookmarkEnd w:id="56"/>
    <w:p>
      <w:pPr>
        <w:ind w:right="140" w:firstLine="1297"/>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7" w:name="page58"/>
    <w:bookmarkEnd w:id="57"/>
    <w:p>
      <w:pPr>
        <w:ind w:right="100" w:firstLine="1297"/>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ind w:left="260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Sason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9" w:name="page60"/>
    <w:bookmarkEnd w:id="59"/>
    <w:p>
      <w:pPr>
        <w:ind w:firstLine="648"/>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9.2 hereof, the Representative and the underwriters, any right, remedy, or claim under or by reason of this Warrant Agreement or of any covenant, condition, stipulation, promise, or agreement hereof. The Representative, and each of the underwriters, shall be deemed to be a third party beneficiary of this Warrant Agreement with respect to Sections 6.1, 9.2 and 9.8 hereof. All covenants, conditions, stipulations, promises, and agreements contained in this Warrant Agreement shall be for the sole and exclusive benefit of the parties hereto (and the Representative and underwriters with respect to the Sections 9.2 hereof) and their successors and assigns and of the Registered Holders of the Warrants.</w:t>
      </w:r>
    </w:p>
    <w:p>
      <w:pPr>
        <w:spacing w:after="0" w:line="16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Warrant Agreement and any Warrant certificate may be amended by the parties hereto by executing a supplemental warrant agreement (a “</w:t>
      </w:r>
      <w:r>
        <w:rPr>
          <w:rFonts w:ascii="Arial" w:cs="Arial" w:eastAsia="Arial" w:hAnsi="Arial"/>
          <w:sz w:val="17"/>
          <w:szCs w:val="17"/>
          <w:b w:val="1"/>
          <w:bCs w:val="1"/>
          <w:color w:val="auto"/>
        </w:rPr>
        <w:t>Supplemental Agreement</w:t>
      </w:r>
      <w:r>
        <w:rPr>
          <w:rFonts w:ascii="Arial" w:cs="Arial" w:eastAsia="Arial" w:hAnsi="Arial"/>
          <w:sz w:val="17"/>
          <w:szCs w:val="17"/>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3520"/>
        <w:spacing w:after="0"/>
        <w:rPr>
          <w:sz w:val="20"/>
          <w:szCs w:val="20"/>
          <w:color w:val="auto"/>
        </w:rPr>
      </w:pPr>
      <w:r>
        <w:rPr>
          <w:rFonts w:ascii="Arial" w:cs="Arial" w:eastAsia="Arial" w:hAnsi="Arial"/>
          <w:sz w:val="18"/>
          <w:szCs w:val="18"/>
          <w:color w:val="auto"/>
        </w:rPr>
        <w:t>[SIGNATURE PAGE TO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Joshua Sason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Joshua Sason</w:t>
      </w:r>
    </w:p>
    <w:p>
      <w:pPr>
        <w:spacing w:after="0" w:line="9"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AMERICAN STOCK TRANSFER &amp; TRUST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 LLC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Legregin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Legregin</w:t>
      </w:r>
    </w:p>
    <w:p>
      <w:pPr>
        <w:spacing w:after="0" w:line="9"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This Agreement is made as of September 13, 2016 by and between M I Acquisitions, Inc. (the “Company”) and American Stock Transfer &amp; Trust Company, LLC, as trustee (“Trustee”).</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the Company’s registration statement on Form S-1, No. 333-212675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if a Business Combination is not consummated within the initial 18 month period following the closing of the IPO,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insiders may extend such period by three one-month periods, up to a maximum of 21 months in the aggregate, by depositing $125,000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$143,750 if the Underwriters’ over-allotment option is exercised in full) into the Trust Account (as defined below) no later than the 18 month anniversary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IPO, the 19 month anniversary of the IPO, or the 20 month anniversary of the IPO (each, an “Applicable Deadline”) for each one-month extension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“Extension”), in exchange for which they will receive promissory notes; and</w:t>
      </w:r>
    </w:p>
    <w:p>
      <w:pPr>
        <w:spacing w:after="0" w:line="211" w:lineRule="exact"/>
        <w:rPr>
          <w:sz w:val="20"/>
          <w:szCs w:val="20"/>
          <w:color w:val="auto"/>
        </w:rPr>
      </w:pPr>
    </w:p>
    <w:p>
      <w:pPr>
        <w:ind w:right="160" w:firstLine="1297"/>
        <w:spacing w:after="0" w:line="291" w:lineRule="auto"/>
        <w:rPr>
          <w:sz w:val="20"/>
          <w:szCs w:val="20"/>
          <w:color w:val="auto"/>
        </w:rPr>
      </w:pPr>
      <w:r>
        <w:rPr>
          <w:rFonts w:ascii="Arial" w:cs="Arial" w:eastAsia="Arial" w:hAnsi="Arial"/>
          <w:sz w:val="16"/>
          <w:szCs w:val="16"/>
          <w:color w:val="auto"/>
        </w:rPr>
        <w:t>WHEREAS, as described in the Registration Statement, and in accordance with the Company’s Amended and Restated Memorandum and Articles of Association, $51,500,000 of the gross proceeds of the IPO and the net proceeds of a private placement taking place simultaneously therewith ($59,255,000 if the over-allotment option is exercised in full), plus any amount eventually deposited on account of any Extension, will be delivered to the Trustee to be deposited and held in the Trust Account for the benefit of the Company and the holders of the Company’s common stock, par value $.001 per share (“Common Stock”), issued in the IPO as hereinafter provided (the proceeds to be delivered to the Trustee, including the proceeds from any loans in connection with an Extension, if any,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6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600" w:hanging="59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ind w:firstLine="1305"/>
        <w:spacing w:after="0" w:line="264" w:lineRule="auto"/>
        <w:tabs>
          <w:tab w:leader="none" w:pos="19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JP Morgan Chase &amp; Co. in the United States, maintained by Trustee,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2" w:name="page63"/>
    <w:bookmarkEnd w:id="62"/>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40" w:firstLine="1305"/>
        <w:spacing w:after="0" w:line="286" w:lineRule="auto"/>
        <w:tabs>
          <w:tab w:leader="none" w:pos="19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 is used herein;</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Notify the Company and Chardan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720" w:firstLine="1305"/>
        <w:spacing w:after="0" w:line="277" w:lineRule="auto"/>
        <w:tabs>
          <w:tab w:leader="none" w:pos="19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in connection with the Company’s preparation of its tax returns;</w:t>
      </w:r>
    </w:p>
    <w:p>
      <w:pPr>
        <w:spacing w:after="0" w:line="170" w:lineRule="exact"/>
        <w:rPr>
          <w:rFonts w:ascii="Arial" w:cs="Arial" w:eastAsia="Arial" w:hAnsi="Arial"/>
          <w:sz w:val="18"/>
          <w:szCs w:val="18"/>
          <w:color w:val="auto"/>
        </w:rPr>
      </w:pPr>
    </w:p>
    <w:p>
      <w:pPr>
        <w:ind w:right="340" w:firstLine="1305"/>
        <w:spacing w:after="0" w:line="277" w:lineRule="auto"/>
        <w:tabs>
          <w:tab w:leader="none" w:pos="19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1305"/>
        <w:spacing w:after="0" w:line="277" w:lineRule="auto"/>
        <w:tabs>
          <w:tab w:leader="none" w:pos="19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ind w:right="80" w:firstLine="1305"/>
        <w:spacing w:after="0" w:line="253" w:lineRule="auto"/>
        <w:tabs>
          <w:tab w:leader="none" w:pos="19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18-month anniversary of the closing of the IPO (“Closing”) or, in the event that the Company executed a letter of intent or definitive agreement for a Business Combination within 18 months from the closing of the IPO but has not completed the Business Combination within such 18-month period, the 21-month anniversary of the Closing, (“Last Date”), the Trust Account shall be liquidated in accordance with the procedures set forth in the Termination Letter attached as Exhibit B hereto and distributed to the Public Shareholders as of the Last Date.</w:t>
      </w:r>
    </w:p>
    <w:p>
      <w:pPr>
        <w:spacing w:after="0" w:line="194" w:lineRule="exact"/>
        <w:rPr>
          <w:rFonts w:ascii="Arial" w:cs="Arial" w:eastAsia="Arial" w:hAnsi="Arial"/>
          <w:sz w:val="18"/>
          <w:szCs w:val="18"/>
          <w:color w:val="auto"/>
        </w:rPr>
      </w:pPr>
    </w:p>
    <w:p>
      <w:pPr>
        <w:ind w:left="1920" w:hanging="615"/>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3" w:name="page64"/>
    <w:bookmarkEnd w:id="63"/>
    <w:p>
      <w:pPr>
        <w:ind w:left="-8" w:firstLine="1305"/>
        <w:spacing w:after="0" w:line="264" w:lineRule="auto"/>
        <w:tabs>
          <w:tab w:leader="none" w:pos="19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Applicable Deadline, to follow the instructions set forth in the Extension Letter.</w:t>
      </w:r>
    </w:p>
    <w:p>
      <w:pPr>
        <w:spacing w:after="0" w:line="181" w:lineRule="exact"/>
        <w:rPr>
          <w:rFonts w:ascii="Arial" w:cs="Arial" w:eastAsia="Arial" w:hAnsi="Arial"/>
          <w:sz w:val="18"/>
          <w:szCs w:val="18"/>
          <w:color w:val="auto"/>
        </w:rPr>
      </w:pPr>
    </w:p>
    <w:p>
      <w:pPr>
        <w:ind w:left="-8" w:firstLine="1305"/>
        <w:spacing w:after="0" w:line="264" w:lineRule="auto"/>
        <w:tabs>
          <w:tab w:leader="none" w:pos="19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 disburse any amounts from the Trust Account in connection with a Business Combination in the event that the amount per share to be received by the redeeming Public Shareholders is less than $10.30 per share (plus the amount per share deposited in the Trust Account pursuant to any Extension Letter).</w:t>
      </w:r>
    </w:p>
    <w:p>
      <w:pPr>
        <w:spacing w:after="0" w:line="181" w:lineRule="exact"/>
        <w:rPr>
          <w:rFonts w:ascii="Arial" w:cs="Arial" w:eastAsia="Arial" w:hAnsi="Arial"/>
          <w:sz w:val="18"/>
          <w:szCs w:val="18"/>
          <w:color w:val="auto"/>
        </w:rPr>
      </w:pPr>
    </w:p>
    <w:p>
      <w:pPr>
        <w:ind w:left="-8" w:right="40" w:firstLine="1305"/>
        <w:spacing w:after="0" w:line="264"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connection with a Business Combination, before making disbursements to the Depository Trust Company, the Company or any other person, disburse the per share amount to redeeming Public Shareholders (other than shares tendered through the Depository Trust Company) that have tendered their shares directly to the Trustee.</w:t>
      </w:r>
    </w:p>
    <w:p>
      <w:pPr>
        <w:spacing w:after="0" w:line="181" w:lineRule="exact"/>
        <w:rPr>
          <w:rFonts w:ascii="Arial" w:cs="Arial" w:eastAsia="Arial" w:hAnsi="Arial"/>
          <w:sz w:val="18"/>
          <w:szCs w:val="18"/>
          <w:color w:val="auto"/>
        </w:rPr>
      </w:pPr>
    </w:p>
    <w:p>
      <w:pPr>
        <w:ind w:left="-8" w:right="400" w:firstLine="1305"/>
        <w:spacing w:after="0" w:line="277"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Promptly acknowledge and comply with any irrevocable instruction letter delivered in the form of Exhibit E delivered by the Company in connection with the disbursement of funds to a Public Shareholder.</w:t>
      </w:r>
    </w:p>
    <w:p>
      <w:pPr>
        <w:spacing w:after="0" w:line="170" w:lineRule="exact"/>
        <w:rPr>
          <w:rFonts w:ascii="Arial" w:cs="Arial" w:eastAsia="Arial" w:hAnsi="Arial"/>
          <w:sz w:val="18"/>
          <w:szCs w:val="18"/>
          <w:color w:val="auto"/>
        </w:rPr>
      </w:pPr>
    </w:p>
    <w:p>
      <w:pPr>
        <w:ind w:left="-8" w:right="40" w:firstLine="1305"/>
        <w:spacing w:after="0" w:line="257"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Promptly acknowledge, in writing to any redeeming Public Shareholder and the Company, any irrevocable instruction letter in the form of Exhibit F delivered by such redeeming Public Shareholder after the announcement by the Company of a proposed Business Combination and promptly comply with any irrevocable written instruction letter in the form of Exhibit F delivered by such Public Shareholder in connection with the disbursement of funds to such Public Shareholder if the Company has not notified the Trustee in writing during the Objection Period that such irrevocable written instruction letter is a Non-Compliant Instruction Letter (as defined below).</w:t>
      </w:r>
    </w:p>
    <w:p>
      <w:pPr>
        <w:spacing w:after="0" w:line="188" w:lineRule="exact"/>
        <w:rPr>
          <w:rFonts w:ascii="Arial" w:cs="Arial" w:eastAsia="Arial" w:hAnsi="Arial"/>
          <w:sz w:val="18"/>
          <w:szCs w:val="18"/>
          <w:color w:val="auto"/>
        </w:rPr>
      </w:pPr>
    </w:p>
    <w:p>
      <w:pPr>
        <w:ind w:left="592" w:hanging="592"/>
        <w:spacing w:after="0"/>
        <w:tabs>
          <w:tab w:leader="none" w:pos="59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80" w:firstLine="1305"/>
        <w:spacing w:after="0" w:line="264" w:lineRule="auto"/>
        <w:tabs>
          <w:tab w:leader="none" w:pos="19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 w:right="220" w:firstLine="1305"/>
        <w:spacing w:after="0" w:line="308" w:lineRule="auto"/>
        <w:tabs>
          <w:tab w:leader="none" w:pos="1935"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no other distributions from the Trust Account shall be permitted except in accordance with Section 1(i) hereof.</w:t>
      </w:r>
    </w:p>
    <w:p>
      <w:pPr>
        <w:spacing w:after="0" w:line="36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9" w:right="299" w:bottom="1440" w:gutter="0" w:footer="0" w:header="0"/>
        </w:sectPr>
      </w:pPr>
    </w:p>
    <w:bookmarkStart w:id="64" w:name="page65"/>
    <w:bookmarkEnd w:id="64"/>
    <w:p>
      <w:pPr>
        <w:ind w:left="-8" w:right="120" w:firstLine="1305"/>
        <w:spacing w:after="0" w:line="277" w:lineRule="auto"/>
        <w:tabs>
          <w:tab w:leader="none" w:pos="194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8" w:right="100" w:firstLine="1305"/>
        <w:spacing w:after="0" w:line="264" w:lineRule="auto"/>
        <w:tabs>
          <w:tab w:leader="none" w:pos="19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applicable, the Company shall issue a press release at least three days prior to the Applicable Deadline announcing that, at least five days prior to the Applicable Deadline, the Company received notice from the Company’s insiders that the insiders intend to extend the Applicable Deadline;</w:t>
      </w:r>
    </w:p>
    <w:p>
      <w:pPr>
        <w:spacing w:after="0" w:line="181" w:lineRule="exact"/>
        <w:rPr>
          <w:rFonts w:ascii="Arial" w:cs="Arial" w:eastAsia="Arial" w:hAnsi="Arial"/>
          <w:sz w:val="18"/>
          <w:szCs w:val="18"/>
          <w:color w:val="auto"/>
        </w:rPr>
      </w:pPr>
    </w:p>
    <w:p>
      <w:pPr>
        <w:ind w:left="-8" w:right="580" w:firstLine="1305"/>
        <w:spacing w:after="0" w:line="277" w:lineRule="auto"/>
        <w:tabs>
          <w:tab w:leader="none" w:pos="19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Promptly following the Applicable Deadline, disclose whether or not the term the Company has to consummate a Business Combination has been extended;</w:t>
      </w:r>
    </w:p>
    <w:p>
      <w:pPr>
        <w:spacing w:after="0" w:line="170" w:lineRule="exact"/>
        <w:rPr>
          <w:rFonts w:ascii="Arial" w:cs="Arial" w:eastAsia="Arial" w:hAnsi="Arial"/>
          <w:sz w:val="18"/>
          <w:szCs w:val="18"/>
          <w:color w:val="auto"/>
        </w:rPr>
      </w:pPr>
    </w:p>
    <w:p>
      <w:pPr>
        <w:ind w:left="592" w:hanging="592"/>
        <w:spacing w:after="0"/>
        <w:tabs>
          <w:tab w:leader="none" w:pos="5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8" w:firstLine="1305"/>
        <w:spacing w:after="0" w:line="279" w:lineRule="auto"/>
        <w:tabs>
          <w:tab w:leader="none" w:pos="1938" w:val="left"/>
        </w:tabs>
        <w:numPr>
          <w:ilvl w:val="1"/>
          <w:numId w:val="44"/>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or Chief Financial Officer. In addition, except with respect to its duties under paragraphs 1(i), 2(a) and 2(b)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ind w:left="-8" w:right="20" w:firstLine="1305"/>
        <w:spacing w:after="0" w:line="288" w:lineRule="auto"/>
        <w:tabs>
          <w:tab w:leader="none" w:pos="19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9" w:lineRule="exact"/>
        <w:rPr>
          <w:rFonts w:ascii="Arial" w:cs="Arial" w:eastAsia="Arial" w:hAnsi="Arial"/>
          <w:sz w:val="16"/>
          <w:szCs w:val="16"/>
          <w:color w:val="auto"/>
        </w:rPr>
      </w:pPr>
    </w:p>
    <w:p>
      <w:pPr>
        <w:ind w:left="-8" w:firstLine="1305"/>
        <w:spacing w:after="0" w:line="255" w:lineRule="auto"/>
        <w:tabs>
          <w:tab w:leader="none" w:pos="19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Sections 2(a) and 2(b) as set forth on Schedule A hereto, which fees shall be subject to modification by the parties from time to time. It is expressly understood that the Property shall not be used to pay such fees and further agreed that any fees owed to the Trustee shall be deducted by the Trustee from the disbursements made to the Company pursuant to Sections 1(i) solely in connection with the consummation of a Business Combination, or pursuant to Section 2(b). The Company shall pay the Trustee the initial acceptance fee and first year’s fee at the consummation of the IPO and thereafter on the anniversary of the Effective Date;</w:t>
      </w: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9" w:right="279" w:bottom="1440" w:gutter="0" w:footer="0" w:header="0"/>
        </w:sectPr>
      </w:pPr>
    </w:p>
    <w:bookmarkStart w:id="65" w:name="page66"/>
    <w:bookmarkEnd w:id="65"/>
    <w:p>
      <w:pPr>
        <w:ind w:left="-100" w:right="20" w:firstLine="1305"/>
        <w:spacing w:after="0" w:line="264" w:lineRule="auto"/>
        <w:tabs>
          <w:tab w:leader="none" w:pos="18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1" w:lineRule="exact"/>
        <w:rPr>
          <w:rFonts w:ascii="Arial" w:cs="Arial" w:eastAsia="Arial" w:hAnsi="Arial"/>
          <w:sz w:val="18"/>
          <w:szCs w:val="18"/>
          <w:color w:val="auto"/>
        </w:rPr>
      </w:pPr>
    </w:p>
    <w:p>
      <w:pPr>
        <w:ind w:left="-100" w:right="420" w:firstLine="1305"/>
        <w:spacing w:after="0" w:line="308" w:lineRule="auto"/>
        <w:tabs>
          <w:tab w:leader="none" w:pos="18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46" w:lineRule="exact"/>
        <w:rPr>
          <w:rFonts w:ascii="Arial" w:cs="Arial" w:eastAsia="Arial" w:hAnsi="Arial"/>
          <w:sz w:val="17"/>
          <w:szCs w:val="17"/>
          <w:color w:val="auto"/>
        </w:rPr>
      </w:pPr>
    </w:p>
    <w:p>
      <w:pPr>
        <w:ind w:left="-100" w:firstLine="1305"/>
        <w:spacing w:after="0" w:line="270" w:lineRule="auto"/>
        <w:tabs>
          <w:tab w:leader="none" w:pos="1826"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receiving the written request of a Public Shareholder to do so at any time after the date hereof, provide such Public Shareholder with a copy of any instruction provided to the Trustee pursuant to Section 1(i) or Section 1(j) along with any Notification (as defined in Exhibit A), Instruction Letter (as defined in Exhibit A), applicable flow of funds memorandum (or similar document), or any other notice delivered to the Trustee by the Company regarding the disbursement of Property from the Trust Account resulting in the Property left in the Trust Account being less than $51,500,000 (or $59,225,000 if the Underwriters’ over-allotment option is exercised in full) plus any amount eventually deposited on account of any Extension, which, in each case, shall specify to whom the Property shall be disbursed (such written notice, a “Disbursement Notice” and the date such Public Shareholder receives a Disbursement Notice, a “Disbursement Notice Date”). Each Disbursement Notice shall be delivered to such Public Shareholder at least two business days prior to the disbursement of any Property pursuant to Section 1(i) or Section 1(j) and no Property shall be disbursed from the Trust Account prior to the date that is two business days from the applicable Disbursement Notice Date.</w:t>
      </w:r>
    </w:p>
    <w:p>
      <w:pPr>
        <w:spacing w:after="0" w:line="181" w:lineRule="exact"/>
        <w:rPr>
          <w:rFonts w:ascii="Arial" w:cs="Arial" w:eastAsia="Arial" w:hAnsi="Arial"/>
          <w:sz w:val="17"/>
          <w:szCs w:val="17"/>
          <w:color w:val="auto"/>
        </w:rPr>
      </w:pPr>
    </w:p>
    <w:p>
      <w:pPr>
        <w:ind w:left="-100" w:right="80" w:firstLine="1305"/>
        <w:spacing w:after="0" w:line="276" w:lineRule="auto"/>
        <w:tabs>
          <w:tab w:leader="none" w:pos="18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the request of any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concurrently with the delivery of such shares, solely if such shares are certificated. to the Trustee, send an irrevocable written instruction letter in the form of Exhibit E to the Trustee directing the Trustee to disburse no less than $10.30 per share (plus the amount per share deposited in the Trust Account pursuant to any Extension Letter) to such Public Shareholder.</w:t>
      </w:r>
    </w:p>
    <w:p>
      <w:pPr>
        <w:spacing w:after="0" w:line="172" w:lineRule="exact"/>
        <w:rPr>
          <w:rFonts w:ascii="Arial" w:cs="Arial" w:eastAsia="Arial" w:hAnsi="Arial"/>
          <w:sz w:val="17"/>
          <w:szCs w:val="17"/>
          <w:color w:val="auto"/>
        </w:rPr>
      </w:pPr>
    </w:p>
    <w:p>
      <w:pPr>
        <w:ind w:left="-100" w:firstLine="1305"/>
        <w:spacing w:after="0" w:line="289" w:lineRule="auto"/>
        <w:tabs>
          <w:tab w:leader="none" w:pos="18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receipt of a copy of an irrevocable written instruction letter in the form of Exhibit F delivered by a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to the Trustee, review such letter to confirm (i) such letter is in the form of Exhibit F, (ii) a Business Combination has been announced on or prior to the date of such letter and (iii) the number of shares of Common Stock set forth on such letter to be redeemed is not greater than the number of shares of Common Stock held by the applicable Public Shareholder. Solely if the Company cannot confirm the requirements of clauses (i) through (iii) of this Section 3(h), but not for any other reason, then within two days of the Company’s receipt of the applicable copy of the irrevocable written instruction letter in the form of Exhibit F (such time period, the “Objection Period”), the Company will notify the applicable Public Shareholder and the Trustee in writing that such irrevocable written instruction letter is a “Non-Compliant Instruction Letter” and that the Trustee will not be required to comply with such letter.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08" w:right="319" w:bottom="1440" w:gutter="0" w:footer="0" w:header="0"/>
        </w:sectPr>
      </w:pPr>
    </w:p>
    <w:bookmarkStart w:id="66" w:name="page67"/>
    <w:bookmarkEnd w:id="66"/>
    <w:p>
      <w:pPr>
        <w:ind w:left="592" w:hanging="592"/>
        <w:spacing w:after="0"/>
        <w:tabs>
          <w:tab w:leader="none" w:pos="59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8" w:right="340" w:firstLine="1305"/>
        <w:spacing w:after="0" w:line="277" w:lineRule="auto"/>
        <w:tabs>
          <w:tab w:leader="none" w:pos="1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ind w:left="-8" w:right="20" w:firstLine="1305"/>
        <w:spacing w:after="0" w:line="264" w:lineRule="auto"/>
        <w:tabs>
          <w:tab w:leader="none" w:pos="19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8" w:right="80" w:firstLine="1305"/>
        <w:spacing w:after="0" w:line="308" w:lineRule="auto"/>
        <w:tabs>
          <w:tab w:leader="none" w:pos="1928" w:val="left"/>
        </w:tabs>
        <w:numPr>
          <w:ilvl w:val="1"/>
          <w:numId w:val="46"/>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ind w:left="-8" w:firstLine="1305"/>
        <w:spacing w:after="0" w:line="271" w:lineRule="auto"/>
        <w:tabs>
          <w:tab w:leader="none" w:pos="1915"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left="-8" w:right="80" w:firstLine="1305"/>
        <w:spacing w:after="0" w:line="277" w:lineRule="auto"/>
        <w:tabs>
          <w:tab w:leader="none" w:pos="19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38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67" w:name="page68"/>
    <w:bookmarkEnd w:id="67"/>
    <w:p>
      <w:pPr>
        <w:ind w:left="-8" w:right="380" w:firstLine="1305"/>
        <w:spacing w:after="0" w:line="264" w:lineRule="auto"/>
        <w:tabs>
          <w:tab w:leader="none" w:pos="19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81" w:lineRule="exact"/>
        <w:rPr>
          <w:rFonts w:ascii="Arial" w:cs="Arial" w:eastAsia="Arial" w:hAnsi="Arial"/>
          <w:sz w:val="18"/>
          <w:szCs w:val="18"/>
          <w:color w:val="auto"/>
        </w:rPr>
      </w:pPr>
    </w:p>
    <w:p>
      <w:pPr>
        <w:ind w:left="-8" w:right="300" w:firstLine="1305"/>
        <w:spacing w:after="0" w:line="342" w:lineRule="auto"/>
        <w:tabs>
          <w:tab w:leader="none" w:pos="1908" w:val="left"/>
        </w:tabs>
        <w:numPr>
          <w:ilvl w:val="1"/>
          <w:numId w:val="47"/>
        </w:numPr>
        <w:rPr>
          <w:rFonts w:ascii="Arial" w:cs="Arial" w:eastAsia="Arial" w:hAnsi="Arial"/>
          <w:sz w:val="16"/>
          <w:szCs w:val="16"/>
          <w:color w:val="auto"/>
        </w:rPr>
      </w:pPr>
      <w:r>
        <w:rPr>
          <w:rFonts w:ascii="Arial" w:cs="Arial" w:eastAsia="Arial" w:hAnsi="Arial"/>
          <w:sz w:val="16"/>
          <w:szCs w:val="16"/>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23" w:lineRule="exact"/>
        <w:rPr>
          <w:rFonts w:ascii="Arial" w:cs="Arial" w:eastAsia="Arial" w:hAnsi="Arial"/>
          <w:sz w:val="16"/>
          <w:szCs w:val="16"/>
          <w:color w:val="auto"/>
        </w:rPr>
      </w:pPr>
    </w:p>
    <w:p>
      <w:pPr>
        <w:ind w:left="-8" w:right="140" w:firstLine="1305"/>
        <w:spacing w:after="0" w:line="277" w:lineRule="auto"/>
        <w:tabs>
          <w:tab w:leader="none" w:pos="1908" w:val="left"/>
        </w:tabs>
        <w:numPr>
          <w:ilvl w:val="1"/>
          <w:numId w:val="47"/>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Verify calculations, qualify or otherwise approve Company requests for distributions pursuant to Section 1(i), 2(a) or 2(b) above.</w:t>
      </w:r>
    </w:p>
    <w:p>
      <w:pPr>
        <w:spacing w:after="0" w:line="248" w:lineRule="exact"/>
        <w:rPr>
          <w:rFonts w:ascii="Arial" w:cs="Arial" w:eastAsia="Arial" w:hAnsi="Arial"/>
          <w:sz w:val="16"/>
          <w:szCs w:val="16"/>
          <w:color w:val="auto"/>
        </w:rPr>
      </w:pPr>
    </w:p>
    <w:p>
      <w:pPr>
        <w:jc w:val="both"/>
        <w:ind w:left="-8" w:right="100" w:firstLine="8"/>
        <w:spacing w:after="0" w:line="302" w:lineRule="auto"/>
        <w:tabs>
          <w:tab w:leader="none" w:pos="57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54" w:lineRule="exact"/>
        <w:rPr>
          <w:rFonts w:ascii="Arial" w:cs="Arial" w:eastAsia="Arial" w:hAnsi="Arial"/>
          <w:sz w:val="16"/>
          <w:szCs w:val="16"/>
          <w:color w:val="auto"/>
        </w:rPr>
      </w:pPr>
    </w:p>
    <w:p>
      <w:pPr>
        <w:ind w:left="592" w:hanging="592"/>
        <w:spacing w:after="0"/>
        <w:tabs>
          <w:tab w:leader="none" w:pos="59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left="-8" w:firstLine="1305"/>
        <w:spacing w:after="0" w:line="271" w:lineRule="auto"/>
        <w:tabs>
          <w:tab w:leader="none" w:pos="1938"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8" w:right="200" w:firstLine="1305"/>
        <w:spacing w:after="0" w:line="264" w:lineRule="auto"/>
        <w:tabs>
          <w:tab w:leader="none" w:pos="19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39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9" w:right="299" w:bottom="1440" w:gutter="0" w:footer="0" w:header="0"/>
        </w:sectPr>
      </w:pPr>
    </w:p>
    <w:bookmarkStart w:id="68" w:name="page69"/>
    <w:bookmarkEnd w:id="68"/>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3" w:lineRule="auto"/>
        <w:tabs>
          <w:tab w:leader="none" w:pos="1943"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ind w:right="160" w:firstLine="1305"/>
        <w:spacing w:after="0" w:line="286" w:lineRule="auto"/>
        <w:tabs>
          <w:tab w:leader="none" w:pos="19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This Agreement contains the entire agreement and understanding of the parties hereto with respect to the subject matter</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hereof. Except for Sections 1(i), 1(m), 1(n), 1(o), 1(p), 3(g), 3(h) 7(c) and 7(h) (which may only be amended with the approval of the holders of at least 75% of the shares of Common Stock sold in the IPO, provided that all Public Shareholders must be given the right to receive a pro-rata portion of the trust account (no less than $10.30 per share plus the amount per share deposited in the Trust Account pursuant to any Extension Letter) in connection with any such amendment),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93" w:lineRule="exact"/>
        <w:rPr>
          <w:sz w:val="20"/>
          <w:szCs w:val="20"/>
          <w:color w:val="auto"/>
        </w:rPr>
      </w:pPr>
    </w:p>
    <w:p>
      <w:pPr>
        <w:ind w:right="140" w:firstLine="1305"/>
        <w:spacing w:after="0" w:line="277" w:lineRule="auto"/>
        <w:tabs>
          <w:tab w:leader="none" w:pos="19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right="40" w:firstLine="1305"/>
        <w:spacing w:after="0" w:line="342" w:lineRule="auto"/>
        <w:tabs>
          <w:tab w:leader="none" w:pos="19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American Stock Transfer &amp; Trust Company, LLC</w:t>
      </w:r>
    </w:p>
    <w:p>
      <w:pPr>
        <w:ind w:left="196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Relationship Management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9" w:name="page70"/>
    <w:bookmarkEnd w:id="69"/>
    <w:p>
      <w:pPr>
        <w:ind w:left="10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 Magna Management LLC</w:t>
      </w:r>
    </w:p>
    <w:p>
      <w:pPr>
        <w:ind w:left="1720"/>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72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No.: (646) 737-9948</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340 Madison Avenue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10173</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Robert H. Cohen, Esq.</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(212) 547-5444</w:t>
      </w:r>
    </w:p>
    <w:p>
      <w:pPr>
        <w:spacing w:after="0" w:line="211" w:lineRule="exact"/>
        <w:rPr>
          <w:sz w:val="20"/>
          <w:szCs w:val="20"/>
          <w:color w:val="auto"/>
        </w:rPr>
      </w:pPr>
    </w:p>
    <w:p>
      <w:pPr>
        <w:ind w:left="1700" w:hanging="635"/>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left="-240" w:firstLine="1305"/>
        <w:spacing w:after="0" w:line="277" w:lineRule="auto"/>
        <w:tabs>
          <w:tab w:leader="none" w:pos="17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240" w:right="140" w:firstLine="1305"/>
        <w:spacing w:after="0" w:line="277" w:lineRule="auto"/>
        <w:tabs>
          <w:tab w:leader="none" w:pos="17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 and that each Public Shareholder is a third party beneficiary of Sections 1(i), 1(m), 1(n), 1(o), 1(p), 3(g), 3(h), 7(c) and 7(h).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80" w:top="908" w:right="4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LLC, as Trustee</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Legregin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b w:val="1"/>
                <w:bCs w:val="1"/>
                <w:color w:val="auto"/>
              </w:rPr>
              <w:t>SCHEDULE A</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Fee Item</w:t>
            </w:r>
          </w:p>
        </w:tc>
        <w:tc>
          <w:tcPr>
            <w:tcW w:w="4580" w:type="dxa"/>
            <w:vAlign w:val="bottom"/>
          </w:tcPr>
          <w:p>
            <w:pPr>
              <w:spacing w:after="0"/>
              <w:rPr>
                <w:sz w:val="20"/>
                <w:szCs w:val="20"/>
                <w:color w:val="auto"/>
              </w:rPr>
            </w:pPr>
            <w:r>
              <w:rPr>
                <w:rFonts w:ascii="Arial" w:cs="Arial" w:eastAsia="Arial" w:hAnsi="Arial"/>
                <w:sz w:val="18"/>
                <w:szCs w:val="18"/>
                <w:b w:val="1"/>
                <w:bCs w:val="1"/>
                <w:color w:val="auto"/>
              </w:rPr>
              <w:t>Time and method of payment</w:t>
            </w:r>
          </w:p>
        </w:tc>
        <w:tc>
          <w:tcPr>
            <w:tcW w:w="76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2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4"/>
              </w:rPr>
              <w:t>First year, initial closing of IPO by wire transfer; thereafter 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the anniversary of the effective date of the IPO by wire transfer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or check</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2"/>
        </w:trPr>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Transaction processing fee for disbursements to Company under</w:t>
            </w:r>
          </w:p>
        </w:tc>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Deduction by Trustee from accumulated income following</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w:t>
            </w: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disbursement made to Company under Section 2</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Paying Agent services as required pursuant to section 1(i)</w:t>
            </w: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1"/>
              </w:rPr>
              <w:t>Billed to Company upon delivery of service pursuant to section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1(i)</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98"/>
              </w:rPr>
              <w:t>Prevailing rates</w:t>
            </w:r>
          </w:p>
        </w:tc>
      </w:tr>
      <w:tr>
        <w:trPr>
          <w:trHeight w:val="648"/>
        </w:trPr>
        <w:tc>
          <w:tcPr>
            <w:tcW w:w="4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6291 15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American Stock Transfer &amp; Trust Company, LLC (“Trustee”), dated as of September 12, 2016 (“Trust Agreement”), this is to advise you that the Company has entered into an agreement with [__________________] (“Target Business”) to consummate a business combination with Target Business (“Business Combination”)</w:t>
      </w:r>
    </w:p>
    <w:p>
      <w:pPr>
        <w:jc w:val="both"/>
        <w:ind w:right="20"/>
        <w:spacing w:after="0" w:line="323" w:lineRule="auto"/>
        <w:rPr>
          <w:sz w:val="20"/>
          <w:szCs w:val="20"/>
          <w:color w:val="auto"/>
        </w:rPr>
      </w:pPr>
      <w:r>
        <w:rPr>
          <w:rFonts w:ascii="Arial" w:cs="Arial" w:eastAsia="Arial" w:hAnsi="Arial"/>
          <w:sz w:val="16"/>
          <w:szCs w:val="16"/>
          <w:color w:val="auto"/>
        </w:rPr>
        <w:t xml:space="preserve">on or about </w:t>
      </w:r>
      <w:r>
        <w:rPr>
          <w:rFonts w:ascii="Arial" w:cs="Arial" w:eastAsia="Arial" w:hAnsi="Arial"/>
          <w:sz w:val="16"/>
          <w:szCs w:val="16"/>
          <w:b w:val="1"/>
          <w:bCs w:val="1"/>
          <w:color w:val="auto"/>
        </w:rPr>
        <w:t>[insert date]</w:t>
      </w:r>
      <w:r>
        <w:rPr>
          <w:rFonts w:ascii="Arial" w:cs="Arial" w:eastAsia="Arial" w:hAnsi="Arial"/>
          <w:sz w:val="16"/>
          <w:szCs w:val="16"/>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[__________]</w:t>
      </w:r>
    </w:p>
    <w:p>
      <w:pPr>
        <w:spacing w:after="0" w:line="46"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and to transfer the proceeds to the above-referenced account at [</w:t>
      </w:r>
      <w:r>
        <w:rPr>
          <w:sz w:val="20"/>
          <w:szCs w:val="20"/>
          <w:color w:val="auto"/>
        </w:rPr>
        <w:tab/>
      </w:r>
      <w:r>
        <w:rPr>
          <w:rFonts w:ascii="Arial" w:cs="Arial" w:eastAsia="Arial" w:hAnsi="Arial"/>
          <w:sz w:val="16"/>
          <w:szCs w:val="16"/>
          <w:color w:val="auto"/>
        </w:rPr>
        <w:t>] to the effect that, on the Consummation Date, all of funds held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-19050</wp:posOffset>
            </wp:positionV>
            <wp:extent cx="7410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1045" cy="8890"/>
                    </a:xfrm>
                    <a:prstGeom prst="rect">
                      <a:avLst/>
                    </a:prstGeom>
                    <a:noFill/>
                  </pic:spPr>
                </pic:pic>
              </a:graphicData>
            </a:graphic>
          </wp:anchor>
        </w:drawing>
      </w:r>
    </w:p>
    <w:p>
      <w:pPr>
        <w:jc w:val="both"/>
        <w:spacing w:after="0" w:line="323" w:lineRule="auto"/>
        <w:rPr>
          <w:sz w:val="20"/>
          <w:szCs w:val="20"/>
          <w:color w:val="auto"/>
        </w:rPr>
      </w:pPr>
      <w:r>
        <w:rPr>
          <w:rFonts w:ascii="Arial" w:cs="Arial" w:eastAsia="Arial" w:hAnsi="Arial"/>
          <w:sz w:val="16"/>
          <w:szCs w:val="16"/>
          <w:color w:val="auto"/>
        </w:rPr>
        <w:t>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3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 Company’s</w:t>
      </w:r>
    </w:p>
    <w:p>
      <w:pPr>
        <w:jc w:val="both"/>
        <w:spacing w:after="0" w:line="252" w:lineRule="auto"/>
        <w:rPr>
          <w:sz w:val="20"/>
          <w:szCs w:val="20"/>
          <w:color w:val="auto"/>
        </w:rPr>
      </w:pPr>
      <w:r>
        <w:rPr>
          <w:rFonts w:ascii="Arial" w:cs="Arial" w:eastAsia="Arial" w:hAnsi="Arial"/>
          <w:sz w:val="18"/>
          <w:szCs w:val="18"/>
          <w:color w:val="auto"/>
        </w:rPr>
        <w:t>shareholders in connection with the Business Combination if a vote is held and (b) joint written instructions from the Company and Chardan Capital Markets LLC with respect to the transfer of the funds held in the Trust Account, which must provide for the disbursement of no less than $10.30 per share plus the amount per share deposited in the Trust Account per Extension Letter to redeeming Public Shareholders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1297"/>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21697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M I Acquisitions, Inc. (“Company”) and American Stock Transfer &amp; Trust Company, LLC (“Trustee”), dated as of September 12, 2016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ind w:left="1300"/>
              <w:spacing w:after="0"/>
              <w:rPr>
                <w:sz w:val="20"/>
                <w:szCs w:val="20"/>
                <w:color w:val="auto"/>
              </w:rPr>
            </w:pPr>
            <w:r>
              <w:rPr>
                <w:rFonts w:ascii="Arial" w:cs="Arial" w:eastAsia="Arial" w:hAnsi="Arial"/>
                <w:sz w:val="18"/>
                <w:szCs w:val="18"/>
                <w:color w:val="auto"/>
                <w:w w:val="99"/>
              </w:rPr>
              <w:t>In accordance with the terms of the Trust Agreement, we hereby authorize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you to liquidate all the Trust</w:t>
            </w:r>
          </w:p>
        </w:tc>
        <w:tc>
          <w:tcPr>
            <w:tcW w:w="1900" w:type="dxa"/>
            <w:vAlign w:val="bottom"/>
          </w:tcPr>
          <w:p>
            <w:pPr>
              <w:jc w:val="right"/>
              <w:spacing w:after="0"/>
              <w:rPr>
                <w:sz w:val="20"/>
                <w:szCs w:val="20"/>
                <w:color w:val="auto"/>
              </w:rPr>
            </w:pPr>
            <w:r>
              <w:rPr>
                <w:rFonts w:ascii="Arial" w:cs="Arial" w:eastAsia="Arial" w:hAnsi="Arial"/>
                <w:sz w:val="18"/>
                <w:szCs w:val="18"/>
                <w:color w:val="auto"/>
                <w:w w:val="98"/>
              </w:rPr>
              <w:t>Account investments on</w:t>
            </w:r>
          </w:p>
        </w:tc>
      </w:tr>
      <w:tr>
        <w:trPr>
          <w:trHeight w:val="190"/>
        </w:trPr>
        <w:tc>
          <w:tcPr>
            <w:tcW w:w="7200" w:type="dxa"/>
            <w:vAlign w:val="bottom"/>
            <w:gridSpan w:val="2"/>
          </w:tcPr>
          <w:p>
            <w:pPr>
              <w:spacing w:after="0" w:line="190" w:lineRule="exact"/>
              <w:rPr>
                <w:sz w:val="20"/>
                <w:szCs w:val="20"/>
                <w:color w:val="auto"/>
              </w:rPr>
            </w:pPr>
            <w:r>
              <w:rPr>
                <w:rFonts w:ascii="Arial" w:cs="Arial" w:eastAsia="Arial" w:hAnsi="Arial"/>
                <w:sz w:val="18"/>
                <w:szCs w:val="18"/>
                <w:color w:val="auto"/>
              </w:rPr>
              <w:t>[______________] and to transfer the total proceeds to the Trust Checking Account at [</w:t>
            </w:r>
          </w:p>
        </w:tc>
        <w:tc>
          <w:tcPr>
            <w:tcW w:w="200" w:type="dxa"/>
            <w:vAlign w:val="bottom"/>
          </w:tcPr>
          <w:p>
            <w:pPr>
              <w:spacing w:after="0"/>
              <w:rPr>
                <w:sz w:val="16"/>
                <w:szCs w:val="16"/>
                <w:color w:val="auto"/>
              </w:rPr>
            </w:pPr>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w w:val="97"/>
              </w:rPr>
              <w:t>] to await distribution to the</w:t>
            </w: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w w:val="92"/>
              </w:rPr>
              <w:t>Public Shareholders. The</w:t>
            </w:r>
          </w:p>
        </w:tc>
      </w:tr>
      <w:tr>
        <w:trPr>
          <w:trHeight w:val="20"/>
        </w:trPr>
        <w:tc>
          <w:tcPr>
            <w:tcW w:w="6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Company has selected [____________, 20__] as the record date for the purpose of determining the Public Shareholders entitled to receive their share of the</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Pursuant to paragraph 2(a) of the Investment Management Trust Agreement between M I Acquisitions, Inc. (“Company”) and American Stock Transfer &amp; Trust Company, LLC (“Trustee”), dated as of September 12, 2016 (“Trust Agreement”), the Company hereby requests that you deliver to the Company [$_______] of the interest income earned on the Property as of the date hereof. The Company needs such funds to pay for its tax obligations as a result of such interest income. In accordance with the terms of the Trust Agreement, you are hereby directed and authorized to transfer (via wire transfer)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funds promptly upon your receipt of this letter to the Company’s operating account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[______________] Extension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Section 1(l) of the Investment Management Trust Agreement between M I Acquisitions, Inc. (“Company”) and American Stock Transfer &amp; Trust Company, LLC, dated as of September 12, 2016 (“Trust Agreement”), this is to advise you that the Company is extending the time available in order to consummate a Business Combination with the Target Businesses for an additional one (1) month, from _______ to _________ (the “Extension”).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Extension Letter shall serve as the notice required with respect to Extension prior to the Applicable Deadline. Capitalized words used herein and not otherwise defined shall have the meanings ascribed to them in the Trust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terms of the Trust Agreement, we hereby authorize you to deposit [$125,00 (or $143,750 if the underwriters’ over-allotment option was exercised in full)], which will be wired to you, into the Trust Account investments upon receipt.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is the ____ of up to three Extension Letters.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660"/>
              <w:spacing w:after="0"/>
              <w:rPr>
                <w:sz w:val="20"/>
                <w:szCs w:val="20"/>
                <w:color w:val="auto"/>
              </w:rPr>
            </w:pPr>
            <w:r>
              <w:rPr>
                <w:rFonts w:ascii="Arial" w:cs="Arial" w:eastAsia="Arial" w:hAnsi="Arial"/>
                <w:sz w:val="18"/>
                <w:szCs w:val="18"/>
                <w:color w:val="auto"/>
              </w:rPr>
              <w:t>Re:</w:t>
            </w: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[______________] - Irrevocable Instruction in Connection with Business Combination</w:t>
            </w:r>
          </w:p>
        </w:tc>
      </w:tr>
      <w:tr>
        <w:trPr>
          <w:trHeight w:val="453"/>
        </w:trPr>
        <w:tc>
          <w:tcPr>
            <w:tcW w:w="1300" w:type="dxa"/>
            <w:vAlign w:val="bottom"/>
          </w:tcPr>
          <w:p>
            <w:pPr>
              <w:spacing w:after="0"/>
              <w:rPr>
                <w:sz w:val="20"/>
                <w:szCs w:val="20"/>
                <w:color w:val="auto"/>
              </w:rPr>
            </w:pPr>
            <w:r>
              <w:rPr>
                <w:rFonts w:ascii="Arial" w:cs="Arial" w:eastAsia="Arial" w:hAnsi="Arial"/>
                <w:sz w:val="18"/>
                <w:szCs w:val="18"/>
                <w:color w:val="auto"/>
              </w:rPr>
              <w:t>Gentlemen:</w:t>
            </w:r>
          </w:p>
        </w:tc>
        <w:tc>
          <w:tcPr>
            <w:tcW w:w="76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paragraphs 1(o) and 3(g) of the Investment Management Trust Agreement between M I Acquisitions, Inc. (“Company”) and American Stock Transfer &amp; Trust Company, LLC (“Trustee”), dated as of September 12, 2016 (“Trust Agreement”), this constitutes our irrevocable instruction to you to (i) in conjunction with the Business Combination (as defined in the Trust Agreement), disburse a per share amount of $______, which is not less than $10.30 (plus</w:t>
      </w:r>
    </w:p>
    <w:p>
      <w:pPr>
        <w:spacing w:after="0"/>
        <w:rPr>
          <w:sz w:val="20"/>
          <w:szCs w:val="20"/>
          <w:color w:val="auto"/>
        </w:rPr>
      </w:pPr>
      <w:r>
        <w:rPr>
          <w:rFonts w:ascii="Arial" w:cs="Arial" w:eastAsia="Arial" w:hAnsi="Arial"/>
          <w:sz w:val="17"/>
          <w:szCs w:val="17"/>
          <w:color w:val="auto"/>
        </w:rPr>
        <w:t>the amount per share deposited in the Trust Account pursuant to any Extension Letter) per share to ________________ (the “Shareholder”)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 shares of the Company’s common stock delivered to you prior to or concurrently herewith for redemption in connection with the</w:t>
      </w:r>
    </w:p>
    <w:p>
      <w:pPr>
        <w:spacing w:after="0" w:line="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Business Combination, and (ii) deliver to the Shareholder the amounts specified in clause (i) prior to delivering and amounts to the Depository Trust Company, the Company, or any person from whom you have not received an irrevocable instruction substantially similar to this one.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shall indemnify you and your officers, directors, principals, partners, agents and representatives, and hold each of them harmless from and against any and all loss, liability, damage, claim or expense (including the reasonable fees and disbursements of its attorneys) incurred by or asserted against you or any of them arising out of or in connection with the instructions set forth herein, the performance of your duties hereunder and otherwise in respect hereof, including the costs and expenses of defending yourself or themselves against any claim or liability hereunder, except that the Company shall not be liable hereunder as to matters in respect of which it is determined that you have acted with gross negligence or in bad faith. You shall have no liability to the Company in respect to any action taken or any failure to act in respect of this if such action was taken or omitted to be taken in good faith, and you shall be entitled to rely in this regard on the advice of counsel.</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Board of Directors of the Company has approved the foregoing irrevocable instructions and does hereby extend the Company’s irrevocable agreement to indemnify your firm for all loss, liability or expense in carrying out the authority and direction herein contained on the terms herein set forth.</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Shareholder is intended to be and is a third party beneficiary of this letter and the irrevocable instructions set forth herein, and no amendment or modification to the instructions set forth herein may be made without the prior written consent of the Shareholder.</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By signing below, the person executing this letter certifies that they are duly authorized to execute this letter on behalf of the Company and to bind the Company to all of the terms and conditions contained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 I ACQUISITIONS,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LLC, as Trustee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660"/>
              <w:spacing w:after="0"/>
              <w:rPr>
                <w:sz w:val="20"/>
                <w:szCs w:val="20"/>
                <w:color w:val="auto"/>
              </w:rPr>
            </w:pPr>
            <w:r>
              <w:rPr>
                <w:rFonts w:ascii="Arial" w:cs="Arial" w:eastAsia="Arial" w:hAnsi="Arial"/>
                <w:sz w:val="18"/>
                <w:szCs w:val="18"/>
                <w:color w:val="auto"/>
              </w:rPr>
              <w:t>Re:</w:t>
            </w: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[______________] - Irrevocable Instruction in Connection with Business Combination</w:t>
            </w:r>
          </w:p>
        </w:tc>
      </w:tr>
      <w:tr>
        <w:trPr>
          <w:trHeight w:val="453"/>
        </w:trPr>
        <w:tc>
          <w:tcPr>
            <w:tcW w:w="1300" w:type="dxa"/>
            <w:vAlign w:val="bottom"/>
          </w:tcPr>
          <w:p>
            <w:pPr>
              <w:spacing w:after="0"/>
              <w:rPr>
                <w:sz w:val="20"/>
                <w:szCs w:val="20"/>
                <w:color w:val="auto"/>
              </w:rPr>
            </w:pPr>
            <w:r>
              <w:rPr>
                <w:rFonts w:ascii="Arial" w:cs="Arial" w:eastAsia="Arial" w:hAnsi="Arial"/>
                <w:sz w:val="18"/>
                <w:szCs w:val="18"/>
                <w:color w:val="auto"/>
              </w:rPr>
              <w:t>Gentlemen:</w:t>
            </w:r>
          </w:p>
        </w:tc>
        <w:tc>
          <w:tcPr>
            <w:tcW w:w="76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paragraphs 1(p) and 3(h) of the Investment Management Trust Agreement between M I Acquisitions, Inc. (“Company”) and American Stock Transfer &amp; Trust Company, LLC (“Trustee”), dated as of September 12, 2016 (“Trust Agreement”), this constitutes our irrevocable instruction to you to (i) in conjunction with the Business Combination (as defined in the Trust Agreement), disburse a per share amount of $______, which is not less than $10.30 (plus</w:t>
      </w:r>
    </w:p>
    <w:p>
      <w:pPr>
        <w:spacing w:after="0"/>
        <w:rPr>
          <w:sz w:val="20"/>
          <w:szCs w:val="20"/>
          <w:color w:val="auto"/>
        </w:rPr>
      </w:pPr>
      <w:r>
        <w:rPr>
          <w:rFonts w:ascii="Arial" w:cs="Arial" w:eastAsia="Arial" w:hAnsi="Arial"/>
          <w:sz w:val="17"/>
          <w:szCs w:val="17"/>
          <w:color w:val="auto"/>
        </w:rPr>
        <w:t>the amount per share deposited in the Trust Account pursuant to any Extension Letter) per share to ________________ (the “Shareholder”)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 shares of the Company’s common stock delivered to you prior to or concurrently herewith for redemption in connection with the</w:t>
      </w:r>
    </w:p>
    <w:p>
      <w:pPr>
        <w:spacing w:after="0" w:line="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Business Combination, and (ii) deliver to the Shareholder the amounts specified in clause (i) prior to delivering and amounts to the Depository Trust Company, the Company, or any person from whom you have not received an irrevocable instruction substantially similar to this one.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shall indemnify you and your officers, directors, principals, partners, agents and representatives, and hold each of them harmless from and against any and all loss, liability, damage, claim or expense (including the reasonable fees and disbursements of its attorneys) incurred by or asserted against you or any of them arising out of or in connection with the instructions set forth herein, the performance of your duties hereunder and otherwise in respect hereof, including the costs and expenses of defending yourself or themselves against any claim or liability hereunder, except that the Company shall not be liable hereunder as to matters in respect of which it is determined that you have acted with gross negligence or in bad faith. You shall have no liability to the Company in respect to any action taken or any failure to act in respect of this if such action was taken or omitted to be taken in good faith, and you shall be entitled to rely in this regard on the advice of counsel.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of the Company does hereby extend the Company’s irrevocable agreement to indemnify your firm for all loss, liability or expense in carrying out the authority and direction herein contained on the terms herein set forth.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amendment or modification to the instructions set forth herein may be made without the prior written consent of the Shareholder.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signing below, the person executing this letter certifies that they are duly authorized to execute this letter on behalf of the Shareholder and to bind the Shareholder to all of the terms and conditions contained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[SHAREHOLDER]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LLC, as Trustee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Cc:</w:t>
            </w:r>
          </w:p>
        </w:tc>
        <w:tc>
          <w:tcPr>
            <w:tcW w:w="10960" w:type="dxa"/>
            <w:vAlign w:val="bottom"/>
          </w:tcPr>
          <w:p>
            <w:pPr>
              <w:ind w:left="200"/>
              <w:spacing w:after="0"/>
              <w:rPr>
                <w:sz w:val="20"/>
                <w:szCs w:val="20"/>
                <w:color w:val="auto"/>
              </w:rPr>
            </w:pPr>
            <w:r>
              <w:rPr>
                <w:rFonts w:ascii="Arial" w:cs="Arial" w:eastAsia="Arial" w:hAnsi="Arial"/>
                <w:sz w:val="18"/>
                <w:szCs w:val="18"/>
                <w:color w:val="auto"/>
              </w:rPr>
              <w:t>M I Acquisitions, Inc.</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c/o Magna Management LLC</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40 Wall Street, 58th Floor</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New York, NY 10005</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Attn:   Joshua Sason, Chief Executive Officer</w:t>
            </w:r>
          </w:p>
        </w:tc>
      </w:tr>
      <w:tr>
        <w:trPr>
          <w:trHeight w:val="230"/>
        </w:trPr>
        <w:tc>
          <w:tcPr>
            <w:tcW w:w="460" w:type="dxa"/>
            <w:vAlign w:val="bottom"/>
          </w:tcPr>
          <w:p>
            <w:pPr>
              <w:spacing w:after="0"/>
              <w:rPr>
                <w:sz w:val="20"/>
                <w:szCs w:val="20"/>
                <w:color w:val="auto"/>
              </w:rPr>
            </w:pPr>
          </w:p>
        </w:tc>
        <w:tc>
          <w:tcPr>
            <w:tcW w:w="10960" w:type="dxa"/>
            <w:vAlign w:val="bottom"/>
          </w:tcPr>
          <w:p>
            <w:pPr>
              <w:ind w:left="840"/>
              <w:spacing w:after="0"/>
              <w:rPr>
                <w:sz w:val="20"/>
                <w:szCs w:val="20"/>
                <w:color w:val="auto"/>
              </w:rPr>
            </w:pPr>
            <w:r>
              <w:rPr>
                <w:rFonts w:ascii="Arial" w:cs="Arial" w:eastAsia="Arial" w:hAnsi="Arial"/>
                <w:sz w:val="18"/>
                <w:szCs w:val="18"/>
                <w:color w:val="auto"/>
              </w:rPr>
              <w:t>Fax No.: (646) 737-9948</w:t>
            </w:r>
          </w:p>
        </w:tc>
      </w:tr>
      <w:tr>
        <w:trPr>
          <w:trHeight w:val="648"/>
        </w:trPr>
        <w:tc>
          <w:tcPr>
            <w:tcW w:w="46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33" w:lineRule="exact"/>
        <w:rPr>
          <w:sz w:val="20"/>
          <w:szCs w:val="20"/>
          <w:color w:val="auto"/>
        </w:rPr>
      </w:pPr>
    </w:p>
    <w:p>
      <w:pPr>
        <w:ind w:right="460" w:firstLine="648"/>
        <w:spacing w:after="0" w:line="22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2016, by and among M I Acquisitions,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340" w:hanging="684"/>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means the Securities and Exchange Commission, or any other Federal agency then administering the Securities Act or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all of the outstanding shares of Common Stock issued prior to the consummation of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Over-Allotment Units</w:t>
      </w:r>
      <w:r>
        <w:rPr>
          <w:rFonts w:ascii="Arial" w:cs="Arial" w:eastAsia="Arial" w:hAnsi="Arial"/>
          <w:sz w:val="16"/>
          <w:szCs w:val="16"/>
          <w:color w:val="auto"/>
        </w:rPr>
        <w:t>” means the additional number of Private Units the Investors will be required to purchase in the event that the underwriters in the Company’s initial public offering exercise their over-allotment option, as described in the prospectus relating to the Company’s initial public offering.</w:t>
      </w:r>
    </w:p>
    <w:p>
      <w:pPr>
        <w:spacing w:after="0" w:line="11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Units</w:t>
      </w:r>
      <w:r>
        <w:rPr>
          <w:rFonts w:ascii="Arial" w:cs="Arial" w:eastAsia="Arial" w:hAnsi="Arial"/>
          <w:sz w:val="18"/>
          <w:szCs w:val="18"/>
          <w:color w:val="auto"/>
        </w:rPr>
        <w:t>” means the 402,500 Units the Investors are privately purchasing simultaneously with the consummation of the Company’s initial public offering.</w:t>
      </w:r>
    </w:p>
    <w:p>
      <w:pPr>
        <w:spacing w:after="0" w:line="16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(ii) the Private Units (and underlying shares of Common Stock), (iii) the Over-Allotment Units (and underlying shares of Common Stock), if any, and (iv) any shares issuable upon conversion of loans from Investors to the Company for the Company’s payment of its working capital, if any (the “Working Capital Loan Shares”). Registrable Securities include any warrants, shares of capital stock or other securities of the Company issued as a dividend or other distribution with respect to or in exchange for or in replacement of such Initial Shares, Private Units (and underlying shares of Common Stock), Over-Allotment Units (and underlying shares of Common Stock) and Working Capital Loan Shares.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61"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3" w:name="page84"/>
    <w:bookmarkEnd w:id="83"/>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September 13, 2016 by and among the Investors and Continental Stock Transfer &amp; Trust Company.</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shares of Common Stock and one warrant entitling its holder to purchase one share of Common Stock.</w:t>
      </w:r>
    </w:p>
    <w:p>
      <w:pPr>
        <w:spacing w:after="0" w:line="166" w:lineRule="exact"/>
        <w:rPr>
          <w:sz w:val="20"/>
          <w:szCs w:val="20"/>
          <w:color w:val="auto"/>
        </w:rPr>
      </w:pPr>
    </w:p>
    <w:p>
      <w:pPr>
        <w:ind w:left="1340" w:hanging="684"/>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Units (or underlying shares of common stock), Over-Allotment Units (or underlying shares of Common Stock) and Working Capital Loan Shares or (ii) three months prior to the Release Date with respect to all other Registrable Securities, the holders of a majority-in-interest of the Registrable Securities, as the case may be, held by the Investors, officers or directors of the Company or their affiliates, or the transferees of the Investors, may make a written demand, on no more than two occasions, for registration under the Securities Act of all or part of their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two (2) Demand Registrations under this Section 2.1.1 in respect of all Registrable Securities.</w:t>
      </w:r>
    </w:p>
    <w:p>
      <w:pPr>
        <w:spacing w:after="0" w:line="169"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4" w:name="page85"/>
    <w:bookmarkEnd w:id="84"/>
    <w:p>
      <w:pPr>
        <w:ind w:right="40" w:firstLine="1297"/>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6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2"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Withdrawal</w:t>
      </w:r>
      <w:r>
        <w:rPr>
          <w:rFonts w:ascii="Arial" w:cs="Arial" w:eastAsia="Arial" w:hAnsi="Arial"/>
          <w:sz w:val="17"/>
          <w:szCs w:val="17"/>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5" w:name="page86"/>
    <w:bookmarkEnd w:id="85"/>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8"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1960" w:right="20" w:firstLine="641"/>
        <w:spacing w:after="0" w:line="270" w:lineRule="auto"/>
        <w:tabs>
          <w:tab w:leader="none" w:pos="32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1" w:lineRule="exact"/>
        <w:rPr>
          <w:rFonts w:ascii="Arial" w:cs="Arial" w:eastAsia="Arial" w:hAnsi="Arial"/>
          <w:sz w:val="17"/>
          <w:szCs w:val="17"/>
          <w:color w:val="auto"/>
        </w:rPr>
      </w:pPr>
    </w:p>
    <w:p>
      <w:pPr>
        <w:ind w:left="1960" w:firstLine="641"/>
        <w:spacing w:after="0" w:line="269" w:lineRule="auto"/>
        <w:tabs>
          <w:tab w:leader="none" w:pos="32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83"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7" w:name="page88"/>
    <w:bookmarkEnd w:id="87"/>
    <w:p>
      <w:pPr>
        <w:ind w:firstLine="1297"/>
        <w:spacing w:after="0" w:line="269"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7"/>
          <w:szCs w:val="17"/>
          <w:b w:val="1"/>
          <w:bCs w:val="1"/>
          <w:u w:val="single" w:color="auto"/>
          <w:color w:val="auto"/>
        </w:rPr>
        <w:t>Form S-3</w:t>
      </w:r>
      <w:r>
        <w:rPr>
          <w:rFonts w:ascii="Arial" w:cs="Arial" w:eastAsia="Arial" w:hAnsi="Arial"/>
          <w:sz w:val="17"/>
          <w:szCs w:val="17"/>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83" w:lineRule="exact"/>
        <w:rPr>
          <w:sz w:val="20"/>
          <w:szCs w:val="20"/>
          <w:color w:val="auto"/>
        </w:rPr>
      </w:pPr>
    </w:p>
    <w:p>
      <w:pPr>
        <w:ind w:left="1340" w:hanging="684"/>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Chief Executive Officer or Chairman of the Company stating that, in the good faith judgment of the Board of Directors of the Company, it would be materially detrimental to the Company and its shareholders for such Registration Statement to be effected at such time; provided further, however, that the Company shall not have the right to exercise the right set forth in this provision more than once in any 365-day period in respect of a Demand Registration hereunder.</w:t>
      </w:r>
    </w:p>
    <w:p>
      <w:pPr>
        <w:spacing w:after="0" w:line="16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88" w:name="page89"/>
    <w:bookmarkEnd w:id="88"/>
    <w:p>
      <w:pPr>
        <w:ind w:right="120" w:firstLine="1297"/>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9"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firstLine="1297"/>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9"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54" w:lineRule="exact"/>
        <w:rPr>
          <w:sz w:val="20"/>
          <w:szCs w:val="20"/>
          <w:color w:val="auto"/>
        </w:rPr>
      </w:pPr>
    </w:p>
    <w:p>
      <w:pPr>
        <w:ind w:right="240" w:firstLine="1297"/>
        <w:spacing w:after="0" w:line="29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5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0" w:name="page91"/>
    <w:bookmarkEnd w:id="90"/>
    <w:p>
      <w:pPr>
        <w:jc w:val="both"/>
        <w:ind w:right="120" w:firstLine="1297"/>
        <w:spacing w:after="0" w:line="264"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1"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3.1.11 </w:t>
      </w: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4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u w:val="single" w:color="auto"/>
          <w:color w:val="auto"/>
        </w:rPr>
        <w:t>Road Show</w:t>
      </w:r>
      <w:r>
        <w:rPr>
          <w:rFonts w:ascii="Arial" w:cs="Arial" w:eastAsia="Arial" w:hAnsi="Arial"/>
          <w:sz w:val="16"/>
          <w:szCs w:val="16"/>
          <w:color w:val="auto"/>
        </w:rPr>
        <w:t>. If the registration involves the registration of Registrable Securities involving gross proceeds in excess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$25,000,000, the Company shall use its reasonable efforts to make available senior executives of the Company to participate in customary “road show”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presentations that may be reasonably requested by the Underwriter in any underwritten offering.</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9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right="20"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2" w:name="page93"/>
    <w:bookmarkEnd w:id="92"/>
    <w:p>
      <w:pPr>
        <w:ind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3" w:name="page94"/>
    <w:bookmarkEnd w:id="93"/>
    <w:p>
      <w:pPr>
        <w:ind w:left="660"/>
        <w:spacing w:after="0"/>
        <w:tabs>
          <w:tab w:leader="none" w:pos="13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7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1340" w:hanging="684"/>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Rule 144</w:t>
      </w:r>
      <w:r>
        <w:rPr>
          <w:rFonts w:ascii="Arial" w:cs="Arial" w:eastAsia="Arial" w:hAnsi="Arial"/>
          <w:sz w:val="17"/>
          <w:szCs w:val="17"/>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4" w:name="page95"/>
    <w:bookmarkEnd w:id="94"/>
    <w:p>
      <w:pPr>
        <w:ind w:left="1340" w:hanging="684"/>
        <w:spacing w:after="0"/>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333-212675),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6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consents, approvals or other communications (collectively,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Magna Management LLC</w:t>
      </w:r>
    </w:p>
    <w:p>
      <w:pPr>
        <w:ind w:left="660"/>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Joshua Sason,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the Company unless executed in writing by the Company. No amendment, modification or termination of this Agreement shall be binding upon the holders of the Registrable Securities unless executed in writing by the holders of the majority Registrable Securities.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Waivers and Extensions</w:t>
      </w:r>
      <w:r>
        <w:rPr>
          <w:rFonts w:ascii="Arial" w:cs="Arial" w:eastAsia="Arial" w:hAnsi="Arial"/>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SPAC HOLDINGS I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SPAC HOLDINGS II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8" w:right="8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Name and Address of Initial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SPAC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STOCK ESCROW AGREEMENT, dated as of September 13, 2016 (“Agreement”), by and among M I ACQUISITIONS, INC., a Delaware corporation (“Company”), M SPAC LLC, a Delaware Company (“M SPAC”), M SPAC Holdings I LLC, a Delaware Company (“M SPAC I”) and M SPAC Holdings II LLC, a Delaware Company (“M SPAC II”), (M SPAC, M SPAC I and M SPAC II, each an “Initial Shareholder”, collectively “Initial Shareholders”) and AMERICAN STOCK TRANSFER &amp; TRUST COMPANY, LLC, a New York limited liability company (“Escrow Agent”).</w:t>
      </w:r>
    </w:p>
    <w:p>
      <w:pPr>
        <w:spacing w:after="0" w:line="171"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WHEREAS, the Company has entered into an Underwriting Agreement, dated as of September 13, 2016 (“Underwriting Agreement”), with Chardan Capital Markets LLC (“Chardan”) acting as representative of the several underwriters (collectively, the “Underwriters”), pursuant to which, among other matters, the Underwriters have agreed to purchase 5,000,000 units (“Units”) of the Company, plus an additional 750,000 Units if the Underwriters exercise their over-allotment option in full. Each Unit consists of one share of Common Stock of the Company, par value $0.001 per share (the “Common Stock”), one warrant entitling the holder thereof to purchase one share of our Common Stock at an exercise price of $11.50 per share, all as more fully described in the Company’s final Prospectus, dated September 13, 2016 (“Prospectus”), comprising part of the Company’s Registration Statement on Form S-1 (File No. 333-212675) under the Securities Act of 1933, as amended (“Registration Statement”), declared effective on September 13, 2016 (“Effective Date”).</w:t>
      </w:r>
    </w:p>
    <w:p>
      <w:pPr>
        <w:spacing w:after="0" w:line="192"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WHEREAS, the Initial Shareholders have agreed as a condition of the sale of the Units to deposit their Insider Shares (as defined in the Prospectus), as set forth opposite their respective names in Exhibit A attached hereto (collectively “Escrow Shares”), in escrow as hereinafter provided.</w:t>
      </w:r>
    </w:p>
    <w:p>
      <w:pPr>
        <w:spacing w:after="0" w:line="124"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right="40" w:firstLine="656"/>
        <w:spacing w:after="0" w:line="342" w:lineRule="auto"/>
        <w:tabs>
          <w:tab w:leader="none" w:pos="13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Appointment of Escrow Agent</w:t>
      </w:r>
      <w:r>
        <w:rPr>
          <w:rFonts w:ascii="Arial" w:cs="Arial" w:eastAsia="Arial" w:hAnsi="Arial"/>
          <w:sz w:val="16"/>
          <w:szCs w:val="16"/>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23" w:lineRule="exact"/>
        <w:rPr>
          <w:rFonts w:ascii="Arial" w:cs="Arial" w:eastAsia="Arial" w:hAnsi="Arial"/>
          <w:sz w:val="16"/>
          <w:szCs w:val="16"/>
          <w:color w:val="auto"/>
        </w:rPr>
      </w:pPr>
    </w:p>
    <w:p>
      <w:pPr>
        <w:ind w:right="340" w:firstLine="656"/>
        <w:spacing w:after="0" w:line="259" w:lineRule="auto"/>
        <w:tabs>
          <w:tab w:leader="none" w:pos="136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0" w:name="page101"/>
    <w:bookmarkEnd w:id="100"/>
    <w:p>
      <w:pPr>
        <w:ind w:left="1380" w:hanging="724"/>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8" w:lineRule="auto"/>
        <w:rPr>
          <w:sz w:val="20"/>
          <w:szCs w:val="20"/>
          <w:color w:val="auto"/>
        </w:rPr>
      </w:pPr>
      <w:r>
        <w:rPr>
          <w:rFonts w:ascii="Arial" w:cs="Arial" w:eastAsia="Arial" w:hAnsi="Arial"/>
          <w:sz w:val="17"/>
          <w:szCs w:val="17"/>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3.2 Notwithstanding Section 3.1, if the Underwriters do not exercise their over-allotment option to purchase an additional 750,000 Units of the Company in full within 45 days of the date of the Prospectus (as described in the Underwriting Agreement), the Initial Shareholders agree that the Escrow Agent shall return to the Company for cancellation, at no cost, the number of Escrow Shares held by each such holder determined by multiplying (a) the product of (i) 187,500 multiplied by (ii) a fraction, (x) the numerator of which is the number of Escrow Shares held by each such holder, and (y) the denominator of which is the total number of Escrow Shares, by (b) a fraction, (i) the numerator of which is 750,000 minus the number of shares of Common Stock purchased by the Underwriters upon the exercise of their over-allotment option, and (ii) the denominator of which is 750,000.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9" w:lineRule="exact"/>
        <w:rPr>
          <w:sz w:val="20"/>
          <w:szCs w:val="20"/>
          <w:color w:val="auto"/>
        </w:rPr>
      </w:pPr>
    </w:p>
    <w:p>
      <w:pPr>
        <w:ind w:left="1380" w:hanging="724"/>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ind w:right="20" w:firstLine="1297"/>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(i) to the Company’s pre-IPO stockholders, or to the Company’s officers, directors, advisors and employees, (ii) if the Initial Shareholder is an entity, as a distribution to partners, members or shareholders of the Initial Shareholder upon the liquidation and dissolution of the Initial Shareholder, (iii) by bona fide gift to a member of the Initial Shareholder’s immediate family or to a trust, the beneficiary of which is the Initial Shareholder or a member of the Initial Shareholder’s immediate family for estate planning purposes, (iv) by virtue of the laws of descent and distribution upon death of the Initial Shareholder, (v) pursuant to a qualified domestic relations order, (vi) by private sales made in connection with the consummation of a Business Combination at prices no greater than the price at which the Private Units were originally purchased or (vii) to the Company for cancellation in accordance with Section 3.2 above or in connection with the consummation of a Business Combination, in each case, except for clause (vii),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8" w:lineRule="exact"/>
        <w:rPr>
          <w:sz w:val="20"/>
          <w:szCs w:val="20"/>
          <w:color w:val="auto"/>
        </w:rPr>
      </w:pPr>
    </w:p>
    <w:p>
      <w:pPr>
        <w:ind w:right="680" w:firstLine="1297"/>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Insider Letters</w:t>
      </w:r>
      <w:r>
        <w:rPr>
          <w:rFonts w:ascii="Arial" w:cs="Arial" w:eastAsia="Arial" w:hAnsi="Arial"/>
          <w:sz w:val="17"/>
          <w:szCs w:val="17"/>
          <w:color w:val="auto"/>
        </w:rPr>
        <w:t>. Each of the Initial Shareholders has executed a letter agreement with Chardan and the Company, dated as indicated on Exhibit A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166" w:lineRule="exact"/>
        <w:rPr>
          <w:sz w:val="20"/>
          <w:szCs w:val="20"/>
          <w:color w:val="auto"/>
        </w:rPr>
      </w:pPr>
    </w:p>
    <w:p>
      <w:pPr>
        <w:ind w:left="1380" w:hanging="724"/>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Good Faith Reliance</w:t>
      </w:r>
      <w:r>
        <w:rPr>
          <w:rFonts w:ascii="Arial" w:cs="Arial" w:eastAsia="Arial" w:hAnsi="Arial"/>
          <w:sz w:val="17"/>
          <w:szCs w:val="17"/>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 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78"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3" w:name="page104"/>
    <w:bookmarkEnd w:id="103"/>
    <w:p>
      <w:pPr>
        <w:ind w:left="1380" w:hanging="724"/>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beneficiaries of this Agreement and this Agreement may not be modified or changed without the prior written consent of Chardan.</w:t>
      </w:r>
    </w:p>
    <w:p>
      <w:pPr>
        <w:spacing w:after="0" w:line="170"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24"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(646) 737-9948</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Shareholder, to his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American Stock Transfer &amp; Trust Company, LLC</w:t>
      </w:r>
    </w:p>
    <w:p>
      <w:pPr>
        <w:ind w:left="196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Relationship Management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(646) 465-9039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340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10173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Robert H. Cohen,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(212) 547-5444</w:t>
      </w:r>
    </w:p>
    <w:p>
      <w:pPr>
        <w:spacing w:after="0" w:line="21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105" w:name="page106"/>
    <w:bookmarkEnd w:id="105"/>
    <w:p>
      <w:pPr>
        <w:ind w:left="1300"/>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COMPANY:</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 I ACQUISITIONS, INC.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Joshua Sason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Joshua Sason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INITIAL SHAREHOLDERS:</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 SPAC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Joshua Sason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Joshua Sason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 SPAC Holdings I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Joshua Sason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Joshua Sason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 SPAC Holdings II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Joshua Sason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Joshua Sason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432"/>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AMERICAN STOCK TRANSFER &amp; TRUST COMPANY,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Michael Legregin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Legregin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648"/>
        </w:trPr>
        <w:tc>
          <w:tcPr>
            <w:tcW w:w="628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440" w:type="dxa"/>
            <w:vAlign w:val="bottom"/>
            <w:gridSpan w:val="4"/>
          </w:tcPr>
          <w:p>
            <w:pPr>
              <w:jc w:val="right"/>
              <w:ind w:right="2960"/>
              <w:spacing w:after="0"/>
              <w:rPr>
                <w:sz w:val="20"/>
                <w:szCs w:val="20"/>
                <w:color w:val="auto"/>
              </w:rPr>
            </w:pPr>
            <w:r>
              <w:rPr>
                <w:rFonts w:ascii="Arial" w:cs="Arial" w:eastAsia="Arial" w:hAnsi="Arial"/>
                <w:sz w:val="18"/>
                <w:szCs w:val="18"/>
                <w:b w:val="1"/>
                <w:bCs w:val="1"/>
                <w:color w:val="auto"/>
              </w:rPr>
              <w:t>EXHIBIT A</w:t>
            </w:r>
          </w:p>
        </w:tc>
        <w:tc>
          <w:tcPr>
            <w:tcW w:w="2280" w:type="dxa"/>
            <w:vAlign w:val="bottom"/>
          </w:tcPr>
          <w:p>
            <w:pPr>
              <w:spacing w:after="0"/>
              <w:rPr>
                <w:sz w:val="20"/>
                <w:szCs w:val="20"/>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Name and Address of</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Number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Date of</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Initial Shareholder</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right"/>
              <w:ind w:right="800"/>
              <w:spacing w:after="0"/>
              <w:rPr>
                <w:sz w:val="20"/>
                <w:szCs w:val="20"/>
                <w:color w:val="auto"/>
              </w:rPr>
            </w:pPr>
            <w:r>
              <w:rPr>
                <w:rFonts w:ascii="Arial" w:cs="Arial" w:eastAsia="Arial" w:hAnsi="Arial"/>
                <w:sz w:val="18"/>
                <w:szCs w:val="18"/>
                <w:color w:val="auto"/>
              </w:rPr>
              <w:t>of Shares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Insider Letter</w:t>
            </w:r>
          </w:p>
        </w:tc>
      </w:tr>
      <w:tr>
        <w:trPr>
          <w:trHeight w:val="224"/>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 SPAC LLC</w:t>
            </w:r>
          </w:p>
        </w:tc>
        <w:tc>
          <w:tcPr>
            <w:tcW w:w="3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4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 Magna Management LLC</w:t>
            </w:r>
          </w:p>
        </w:tc>
        <w:tc>
          <w:tcPr>
            <w:tcW w:w="3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53"/>
        </w:trPr>
        <w:tc>
          <w:tcPr>
            <w:tcW w:w="37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10005</w:t>
            </w:r>
          </w:p>
        </w:tc>
        <w:tc>
          <w:tcPr>
            <w:tcW w:w="5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943,020</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M SPAC Holdings I LLC</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07"/>
        </w:trPr>
        <w:tc>
          <w:tcPr>
            <w:tcW w:w="3700" w:type="dxa"/>
            <w:vAlign w:val="bottom"/>
          </w:tcPr>
          <w:p>
            <w:pPr>
              <w:spacing w:after="0"/>
              <w:rPr>
                <w:sz w:val="20"/>
                <w:szCs w:val="20"/>
                <w:color w:val="auto"/>
              </w:rPr>
            </w:pPr>
            <w:r>
              <w:rPr>
                <w:rFonts w:ascii="Arial" w:cs="Arial" w:eastAsia="Arial" w:hAnsi="Arial"/>
                <w:sz w:val="18"/>
                <w:szCs w:val="18"/>
                <w:color w:val="auto"/>
              </w:rPr>
              <w:t>c/o Magna Management LLC</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3"/>
        </w:trPr>
        <w:tc>
          <w:tcPr>
            <w:tcW w:w="3700" w:type="dxa"/>
            <w:vAlign w:val="bottom"/>
          </w:tcPr>
          <w:p>
            <w:pPr>
              <w:spacing w:after="0" w:line="253" w:lineRule="exact"/>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New York, NY 10005</w:t>
            </w:r>
          </w:p>
        </w:tc>
        <w:tc>
          <w:tcPr>
            <w:tcW w:w="5440" w:type="dxa"/>
            <w:vAlign w:val="bottom"/>
            <w:gridSpan w:val="4"/>
          </w:tcPr>
          <w:p>
            <w:pPr>
              <w:jc w:val="right"/>
              <w:ind w:right="220"/>
              <w:spacing w:after="0"/>
              <w:rPr>
                <w:sz w:val="20"/>
                <w:szCs w:val="20"/>
                <w:color w:val="auto"/>
              </w:rPr>
            </w:pPr>
            <w:r>
              <w:rPr>
                <w:rFonts w:ascii="Arial" w:cs="Arial" w:eastAsia="Arial" w:hAnsi="Arial"/>
                <w:sz w:val="18"/>
                <w:szCs w:val="18"/>
                <w:color w:val="auto"/>
              </w:rPr>
              <w:t>192,736</w:t>
            </w:r>
          </w:p>
        </w:tc>
        <w:tc>
          <w:tcPr>
            <w:tcW w:w="228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 SPAC Holdings II LLC</w:t>
            </w:r>
          </w:p>
        </w:tc>
        <w:tc>
          <w:tcPr>
            <w:tcW w:w="3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4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 Magna Management LLC</w:t>
            </w:r>
          </w:p>
        </w:tc>
        <w:tc>
          <w:tcPr>
            <w:tcW w:w="3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53"/>
        </w:trPr>
        <w:tc>
          <w:tcPr>
            <w:tcW w:w="37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3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10005</w:t>
            </w:r>
          </w:p>
        </w:tc>
        <w:tc>
          <w:tcPr>
            <w:tcW w:w="5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301,744</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September 13, 2016</w:t>
            </w:r>
          </w:p>
        </w:tc>
      </w:tr>
      <w:tr>
        <w:trPr>
          <w:trHeight w:val="675"/>
        </w:trPr>
        <w:tc>
          <w:tcPr>
            <w:tcW w:w="3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Magna Management LLC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13,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letter will confirm our agreement that commencing on the effective date (the “Effective Date”) of the registration statement (the “Registration Statement”) relating to the initial public offering of the securities of M I Acquisitions, Inc. (the “Company”) and continuing until the consummation by the Company of its initial business combination or the distribution of the trust account to the Company’s then public shareholders (as described in the Registration Statement), Magna Management LLC (the “Firm”) shall make available to the Company certain general and administrative services, including</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use of office space, utilities and secretarial support, as may be required by the Company from time to time, at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10005 (or any successor location). In exchange therefor, the Company shall pay the Firm at the rate of $10,000 per month. Notwithstanding the foregoing, if the Company’s audit committee determines that the Company lacks sufficient funds outside of the trust account to pay its actual or anticipated expenses, all payments hereunder shall be deferred until the consummation of its initial business combination. Any such deferred amount shall accrue without interest and be due and payable no later than the date of the consummation of our initial business combination.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MAGNA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5700" w:type="dxa"/>
            <w:vAlign w:val="bottom"/>
          </w:tcPr>
          <w:p>
            <w:pPr>
              <w:spacing w:after="0"/>
              <w:rPr>
                <w:sz w:val="20"/>
                <w:szCs w:val="20"/>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Joshua Sason</w:t>
            </w:r>
          </w:p>
        </w:tc>
        <w:tc>
          <w:tcPr>
            <w:tcW w:w="570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 Announces Pricing of $50,000,000 Initial Public Offering</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 I Acquisitions, Inc. (NASDAQ: MACQU) (the "Company") today announced the pricing of its initial public offering of 5,000,000 units at an offering price of $10.00 per unit, before underwriting discounts and commissions. Each unit consists of one share of common stock and one warrant. Each warrant entitles its holder to purchase one share of common stock at an exercise price of $11.50 per share. In addition, the Company has granted to the underwriters a 45-day option to purchase up to an additional 750,000 units at the initial public offering price per unit, before underwriting discounts and commission.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units are expected to begin trading tomorrow, September 14, 2016 on the NASDAQ Capital Market under the ticker symbol "MACQU." On or prior to December 13, 2016, the units will separate into each of its components and each such component securities will begin trading separately. The common stock is expected to trade on The NASDAQ Capital Market under the ticker symbol "MACQ," and the warrants are expected to trade under the ticker symbol "MACQW."</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Chardan is acting as the sole book-running manager for this initial public offering. Maxim Group LLC and I-Bankers Securities, Inc. are acting as co-managers.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registration statement on Form S-1 (No. 333-212675) relating to the securities being offered and sold in the initial public offering was declared effective by the Securities and Exchange Commission on September 13, 2016. The initial public offering is being made only by means of a prospectus forming part of the effective registration statement. Copies of the final prospectus for this offering, when available, may be obtained by mail at Chardan, Attention: Prospectus Department, 17 State Street, Suite 1600, New York, NY, or by telephone at 646-465-9000, or by email at Prospectus@chardancm.com. The registration statement and a copy of the final prospectus relating to the initial public offering may also be accessed via the Securities and Exchange Commission's website at http://www.sec.gov.</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a blank check company formed for the purpose of entering into a merger, share exchange, asset acquisition, stock purchase, recapitalization, reorganization or other similar business combination with one or more businesses or entities. The Company's efforts to identify a target business will not be limited to a particular industry or geographic region, although it intends to focus its efforts on seeking a business combination with a company or companies operating in the technology, media and telecommunications industries.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press release includes forward-looking statements that involve risks and uncertainties. Forward looking statements are statements that are not historical facts. Such forward-looking statements, including the successful consummation of the Company's initial public offering, are subject to risks and uncertainties, which could cause actual results to differ from the forward looking statements.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lowerRoman"/>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lowerRoman"/>
      <w:start w:val="1"/>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lowerRoman"/>
      <w:start w:val="1"/>
    </w:lvl>
  </w:abstractNum>
  <w:abstractNum w:abstractNumId="10">
    <w:nsid w:val="77465F01"/>
    <w:multiLevelType w:val="hybridMultilevel"/>
    <w:lvl w:ilvl="0">
      <w:lvlJc w:val="left"/>
      <w:lvlText w:val="(%1)"/>
      <w:numFmt w:val="lowerRoman"/>
      <w:start w:val="4"/>
    </w:lvl>
  </w:abstractNum>
  <w:abstractNum w:abstractNumId="11">
    <w:nsid w:val="7724C67E"/>
    <w:multiLevelType w:val="hybridMultilevel"/>
    <w:lvl w:ilvl="0">
      <w:lvlJc w:val="left"/>
      <w:lvlText w:val="%1."/>
      <w:numFmt w:val="decimal"/>
      <w:start w:val="5"/>
    </w:lvl>
  </w:abstractNum>
  <w:abstractNum w:abstractNumId="12">
    <w:nsid w:val="5C482A97"/>
    <w:multiLevelType w:val="hybridMultilevel"/>
    <w:lvl w:ilvl="0">
      <w:lvlJc w:val="left"/>
      <w:lvlText w:val="%1."/>
      <w:numFmt w:val="decimal"/>
      <w:start w:val="6"/>
    </w:lvl>
  </w:abstractNum>
  <w:abstractNum w:abstractNumId="13">
    <w:nsid w:val="2463B9EA"/>
    <w:multiLevelType w:val="hybridMultilevel"/>
    <w:lvl w:ilvl="0">
      <w:lvlJc w:val="left"/>
      <w:lvlText w:val="%1."/>
      <w:numFmt w:val="decimal"/>
      <w:start w:val="7"/>
    </w:lvl>
  </w:abstractNum>
  <w:abstractNum w:abstractNumId="14">
    <w:nsid w:val="5E884ADC"/>
    <w:multiLevelType w:val="hybridMultilevel"/>
    <w:lvl w:ilvl="0">
      <w:lvlJc w:val="left"/>
      <w:lvlText w:val="%1."/>
      <w:numFmt w:val="decimal"/>
      <w:start w:val="8"/>
    </w:lvl>
  </w:abstractNum>
  <w:abstractNum w:abstractNumId="15">
    <w:nsid w:val="51EAD36B"/>
    <w:multiLevelType w:val="hybridMultilevel"/>
    <w:lvl w:ilvl="0">
      <w:lvlJc w:val="left"/>
      <w:lvlText w:val="(%1)"/>
      <w:numFmt w:val="lowerRoman"/>
      <w:start w:val="4"/>
    </w:lvl>
  </w:abstractNum>
  <w:abstractNum w:abstractNumId="16">
    <w:nsid w:val="2D517796"/>
    <w:multiLevelType w:val="hybridMultilevel"/>
    <w:lvl w:ilvl="0">
      <w:lvlJc w:val="left"/>
      <w:lvlText w:val="%1."/>
      <w:numFmt w:val="decimal"/>
      <w:start w:val="10"/>
    </w:lvl>
  </w:abstractNum>
  <w:abstractNum w:abstractNumId="17">
    <w:nsid w:val="580BD78F"/>
    <w:multiLevelType w:val="hybridMultilevel"/>
    <w:lvl w:ilvl="0">
      <w:lvlJc w:val="left"/>
      <w:lvlText w:val="(%1)"/>
      <w:numFmt w:val="lowerRoman"/>
      <w:start w:val="2"/>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upperLetter"/>
      <w:start w:val="1"/>
    </w:lvl>
  </w:abstractNum>
  <w:abstractNum w:abstractNumId="20">
    <w:nsid w:val="70A64E2A"/>
    <w:multiLevelType w:val="hybridMultilevel"/>
    <w:lvl w:ilvl="0">
      <w:lvlJc w:val="left"/>
      <w:lvlText w:val="%1."/>
      <w:numFmt w:val="upperLetter"/>
      <w:start w:val="1"/>
    </w:lvl>
  </w:abstractNum>
  <w:abstractNum w:abstractNumId="21">
    <w:nsid w:val="6A2342EC"/>
    <w:multiLevelType w:val="hybridMultilevel"/>
    <w:lvl w:ilvl="0">
      <w:lvlJc w:val="left"/>
      <w:lvlText w:val="%1."/>
      <w:numFmt w:val="upperLetter"/>
      <w:start w:val="3"/>
    </w:lvl>
  </w:abstractNum>
  <w:abstractNum w:abstractNumId="22">
    <w:nsid w:val="2A487CB0"/>
    <w:multiLevelType w:val="hybridMultilevel"/>
    <w:lvl w:ilvl="0">
      <w:lvlJc w:val="left"/>
      <w:lvlText w:val="%1."/>
      <w:numFmt w:val="upperLetter"/>
      <w:start w:val="5"/>
    </w:lvl>
  </w:abstractNum>
  <w:abstractNum w:abstractNumId="23">
    <w:nsid w:val="1D4ED43B"/>
    <w:multiLevelType w:val="hybridMultilevel"/>
    <w:lvl w:ilvl="0">
      <w:lvlJc w:val="left"/>
      <w:lvlText w:val="%1."/>
      <w:numFmt w:val="upperLetter"/>
      <w:start w:val="8"/>
    </w:lvl>
  </w:abstractNum>
  <w:abstractNum w:abstractNumId="24">
    <w:nsid w:val="725A06FB"/>
    <w:multiLevelType w:val="hybridMultilevel"/>
    <w:lvl w:ilvl="0">
      <w:lvlJc w:val="left"/>
      <w:lvlText w:val="%1."/>
      <w:numFmt w:val="upperLetter"/>
      <w:start w:val="1"/>
    </w:lvl>
  </w:abstractNum>
  <w:abstractNum w:abstractNumId="25">
    <w:nsid w:val="2CD89A32"/>
    <w:multiLevelType w:val="hybridMultilevel"/>
    <w:lvl w:ilvl="0">
      <w:lvlJc w:val="left"/>
      <w:lvlText w:val="%1."/>
      <w:numFmt w:val="upperLetter"/>
      <w:start w:val="4"/>
    </w:lvl>
  </w:abstractNum>
  <w:abstractNum w:abstractNumId="26">
    <w:nsid w:val="57E4CCAF"/>
    <w:multiLevelType w:val="hybridMultilevel"/>
    <w:lvl w:ilvl="0">
      <w:lvlJc w:val="left"/>
      <w:lvlText w:val="%1."/>
      <w:numFmt w:val="upperLetter"/>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2"/>
    </w:lvl>
  </w:abstractNum>
  <w:abstractNum w:abstractNumId="29">
    <w:nsid w:val="542289EC"/>
    <w:multiLevelType w:val="hybridMultilevel"/>
    <w:lvl w:ilvl="0">
      <w:lvlJc w:val="left"/>
      <w:lvlText w:val="%1."/>
      <w:numFmt w:val="decimal"/>
      <w:start w:val="3"/>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decimal"/>
      <w:start w:val="4"/>
    </w:lvl>
  </w:abstractNum>
  <w:abstractNum w:abstractNumId="32">
    <w:nsid w:val="7644A45C"/>
    <w:multiLevelType w:val="hybridMultilevel"/>
    <w:lvl w:ilvl="0">
      <w:lvlJc w:val="left"/>
      <w:lvlText w:val="(%1)"/>
      <w:numFmt w:val="lowerRoman"/>
      <w:start w:val="2"/>
    </w:lvl>
  </w:abstractNum>
  <w:abstractNum w:abstractNumId="33">
    <w:nsid w:val="32FFF902"/>
    <w:multiLevelType w:val="hybridMultilevel"/>
    <w:lvl w:ilvl="0">
      <w:lvlJc w:val="left"/>
      <w:lvlText w:val="%1."/>
      <w:numFmt w:val="decimal"/>
      <w:start w:val="5"/>
    </w:lvl>
  </w:abstractNum>
  <w:abstractNum w:abstractNumId="34">
    <w:nsid w:val="684A481A"/>
    <w:multiLevelType w:val="hybridMultilevel"/>
    <w:lvl w:ilvl="0">
      <w:lvlJc w:val="left"/>
      <w:lvlText w:val="%1."/>
      <w:numFmt w:val="decimal"/>
      <w:start w:val="6"/>
    </w:lvl>
  </w:abstractNum>
  <w:abstractNum w:abstractNumId="35">
    <w:nsid w:val="579478FE"/>
    <w:multiLevelType w:val="hybridMultilevel"/>
    <w:lvl w:ilvl="0">
      <w:lvlJc w:val="left"/>
      <w:lvlText w:val="%1."/>
      <w:numFmt w:val="decimal"/>
      <w:start w:val="7"/>
    </w:lvl>
  </w:abstractNum>
  <w:abstractNum w:abstractNumId="36">
    <w:nsid w:val="749ABB43"/>
    <w:multiLevelType w:val="hybridMultilevel"/>
    <w:lvl w:ilvl="0">
      <w:lvlJc w:val="left"/>
      <w:lvlText w:val="%1."/>
      <w:numFmt w:val="decimal"/>
      <w:start w:val="8"/>
    </w:lvl>
  </w:abstractNum>
  <w:abstractNum w:abstractNumId="37">
    <w:nsid w:val="3DC240FB"/>
    <w:multiLevelType w:val="hybridMultilevel"/>
    <w:lvl w:ilvl="0">
      <w:lvlJc w:val="left"/>
      <w:lvlText w:val="%1."/>
      <w:numFmt w:val="decimal"/>
      <w:start w:val="9"/>
    </w:lvl>
  </w:abstractNum>
  <w:abstractNum w:abstractNumId="38">
    <w:nsid w:val="1BA026FA"/>
    <w:multiLevelType w:val="hybridMultilevel"/>
    <w:lvl w:ilvl="0">
      <w:lvlJc w:val="left"/>
      <w:lvlText w:val="%1."/>
      <w:numFmt w:val="decimal"/>
      <w:start w:val="1"/>
    </w:lvl>
    <w:lvl w:ilvl="1">
      <w:lvlJc w:val="left"/>
      <w:lvlText w:val="(%2)"/>
      <w:numFmt w:val="lowerLetter"/>
      <w:start w:val="1"/>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decimal"/>
      <w:start w:val="1"/>
    </w:lvl>
    <w:lvl w:ilvl="1">
      <w:lvlJc w:val="left"/>
      <w:lvlText w:val="(%2)"/>
      <w:numFmt w:val="lowerLetter"/>
      <w:start w:val="12"/>
    </w:lvl>
  </w:abstractNum>
  <w:abstractNum w:abstractNumId="41">
    <w:nsid w:val="12E685FB"/>
    <w:multiLevelType w:val="hybridMultilevel"/>
    <w:lvl w:ilvl="0">
      <w:lvlJc w:val="left"/>
      <w:lvlText w:val="%1."/>
      <w:numFmt w:val="decimal"/>
      <w:start w:val="2"/>
    </w:lvl>
    <w:lvl w:ilvl="1">
      <w:lvlJc w:val="left"/>
      <w:lvlText w:val="(%2)"/>
      <w:numFmt w:val="lowerLetter"/>
      <w:start w:val="1"/>
    </w:lvl>
  </w:abstractNum>
  <w:abstractNum w:abstractNumId="42">
    <w:nsid w:val="70C6A529"/>
    <w:multiLevelType w:val="hybridMultilevel"/>
    <w:lvl w:ilvl="0">
      <w:lvlJc w:val="left"/>
      <w:lvlText w:val="%1"/>
      <w:numFmt w:val="decimal"/>
      <w:start w:val="1"/>
    </w:lvl>
    <w:lvl w:ilvl="1">
      <w:lvlJc w:val="left"/>
      <w:lvlText w:val="(%2)"/>
      <w:numFmt w:val="lowerLetter"/>
      <w:start w:val="4"/>
    </w:lvl>
  </w:abstractNum>
  <w:abstractNum w:abstractNumId="43">
    <w:nsid w:val="520EEDD1"/>
    <w:multiLevelType w:val="hybridMultilevel"/>
    <w:lvl w:ilvl="0">
      <w:lvlJc w:val="left"/>
      <w:lvlText w:val="%1."/>
      <w:numFmt w:val="decimal"/>
      <w:start w:val="3"/>
    </w:lvl>
    <w:lvl w:ilvl="1">
      <w:lvlJc w:val="left"/>
      <w:lvlText w:val="(%2)"/>
      <w:numFmt w:val="lowerLetter"/>
      <w:start w:val="1"/>
    </w:lvl>
  </w:abstractNum>
  <w:abstractNum w:abstractNumId="44">
    <w:nsid w:val="374A3FE6"/>
    <w:multiLevelType w:val="hybridMultilevel"/>
    <w:lvl w:ilvl="0">
      <w:lvlJc w:val="left"/>
      <w:lvlText w:val="(%1)"/>
      <w:numFmt w:val="lowerLetter"/>
      <w:start w:val="4"/>
    </w:lvl>
  </w:abstractNum>
  <w:abstractNum w:abstractNumId="45">
    <w:nsid w:val="4F4EF005"/>
    <w:multiLevelType w:val="hybridMultilevel"/>
    <w:lvl w:ilvl="0">
      <w:lvlJc w:val="left"/>
      <w:lvlText w:val="%1."/>
      <w:numFmt w:val="decimal"/>
      <w:start w:val="4"/>
    </w:lvl>
    <w:lvl w:ilvl="1">
      <w:lvlJc w:val="left"/>
      <w:lvlText w:val="(%2)"/>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8"/>
    </w:lvl>
  </w:abstractNum>
  <w:abstractNum w:abstractNumId="47">
    <w:nsid w:val="649BB77C"/>
    <w:multiLevelType w:val="hybridMultilevel"/>
    <w:lvl w:ilvl="0">
      <w:lvlJc w:val="left"/>
      <w:lvlText w:val="%1."/>
      <w:numFmt w:val="decimal"/>
      <w:start w:val="5"/>
    </w:lvl>
    <w:lvl w:ilvl="1">
      <w:lvlJc w:val="left"/>
      <w:lvlText w:val="(%2)"/>
      <w:numFmt w:val="lowerLetter"/>
      <w:start w:val="1"/>
    </w:lvl>
  </w:abstractNum>
  <w:abstractNum w:abstractNumId="48">
    <w:nsid w:val="275AC794"/>
    <w:multiLevelType w:val="hybridMultilevel"/>
    <w:lvl w:ilvl="0">
      <w:lvlJc w:val="left"/>
      <w:lvlText w:val="%1."/>
      <w:numFmt w:val="decimal"/>
      <w:start w:val="7"/>
    </w:lvl>
    <w:lvl w:ilvl="1">
      <w:lvlJc w:val="left"/>
      <w:lvlText w:val="(%2)"/>
      <w:numFmt w:val="lowerLetter"/>
      <w:start w:val="1"/>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1)"/>
      <w:numFmt w:val="lowerLetter"/>
      <w:start w:val="6"/>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2"/>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1."/>
      <w:numFmt w:val="decimal"/>
      <w:start w:val="4"/>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6"/>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3"/>
    </w:lvl>
  </w:abstractNum>
  <w:abstractNum w:abstractNumId="60">
    <w:nsid w:val="61574095"/>
    <w:multiLevelType w:val="hybridMultilevel"/>
    <w:lvl w:ilvl="0">
      <w:lvlJc w:val="left"/>
      <w:lvlText w:val="%1."/>
      <w:numFmt w:val="decimal"/>
      <w:start w:val="4"/>
    </w:lvl>
  </w:abstractNum>
  <w:abstractNum w:abstractNumId="61">
    <w:nsid w:val="7E0C57B1"/>
    <w:multiLevelType w:val="hybridMultilevel"/>
    <w:lvl w:ilvl="0">
      <w:lvlJc w:val="left"/>
      <w:lvlText w:val="%1."/>
      <w:numFmt w:val="decimal"/>
      <w:start w:val="5"/>
    </w:lvl>
  </w:abstractNum>
  <w:abstractNum w:abstractNumId="62">
    <w:nsid w:val="77AE35E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2020-01-21T11:15:01Z</dcterms:created>
  <dcterms:modified xsi:type="dcterms:W3CDTF">2020-01-21T11:15:01Z</dcterms:modified>
</cp:coreProperties>
</file>