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40" w:lineRule="exact"/>
        <w:rPr>
          <w:sz w:val="24"/>
          <w:szCs w:val="24"/>
          <w:color w:val="auto"/>
        </w:rPr>
      </w:pPr>
    </w:p>
    <w:p>
      <w:pPr>
        <w:jc w:val="center"/>
        <w:ind w:left="4080" w:right="1280" w:hanging="2676"/>
        <w:spacing w:after="0" w:line="294" w:lineRule="auto"/>
        <w:tabs>
          <w:tab w:leader="none" w:pos="16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2019</w:t>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080"/>
        <w:spacing w:after="0"/>
        <w:tabs>
          <w:tab w:leader="none" w:pos="69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001-37872</w:t>
      </w:r>
    </w:p>
    <w:p>
      <w:pPr>
        <w:spacing w:after="0" w:line="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Priority Technology Holdings, Inc.</w:t>
      </w:r>
    </w:p>
    <w:p>
      <w:pPr>
        <w:spacing w:after="0" w:line="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00" w:type="dxa"/>
        <w:tblCellMar>
          <w:top w:w="0" w:type="dxa"/>
          <w:left w:w="0" w:type="dxa"/>
          <w:bottom w:w="0" w:type="dxa"/>
          <w:right w:w="0" w:type="dxa"/>
        </w:tblCellMar>
      </w:tblPr>
      <w:tr>
        <w:trPr>
          <w:trHeight w:val="238"/>
        </w:trPr>
        <w:tc>
          <w:tcPr>
            <w:tcW w:w="4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0" w:type="dxa"/>
            <w:vAlign w:val="bottom"/>
          </w:tcPr>
          <w:p>
            <w:pPr>
              <w:jc w:val="right"/>
              <w:ind w:right="1393"/>
              <w:spacing w:after="0"/>
              <w:rPr>
                <w:sz w:val="20"/>
                <w:szCs w:val="20"/>
                <w:color w:val="auto"/>
              </w:rPr>
            </w:pPr>
            <w:r>
              <w:rPr>
                <w:rFonts w:ascii="Times New Roman" w:cs="Times New Roman" w:eastAsia="Times New Roman" w:hAnsi="Times New Roman"/>
                <w:sz w:val="18"/>
                <w:szCs w:val="18"/>
                <w:b w:val="1"/>
                <w:bCs w:val="1"/>
                <w:color w:val="auto"/>
              </w:rPr>
              <w:t>47-4257046</w:t>
            </w:r>
          </w:p>
        </w:tc>
      </w:tr>
      <w:tr>
        <w:trPr>
          <w:trHeight w:val="27"/>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17"/>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681"/>
        </w:trPr>
        <w:tc>
          <w:tcPr>
            <w:tcW w:w="8660" w:type="dxa"/>
            <w:vAlign w:val="bottom"/>
            <w:gridSpan w:val="3"/>
          </w:tcPr>
          <w:p>
            <w:pPr>
              <w:jc w:val="right"/>
              <w:ind w:right="3353"/>
              <w:spacing w:after="0"/>
              <w:rPr>
                <w:sz w:val="20"/>
                <w:szCs w:val="20"/>
                <w:color w:val="auto"/>
              </w:rPr>
            </w:pPr>
            <w:r>
              <w:rPr>
                <w:rFonts w:ascii="Times New Roman" w:cs="Times New Roman" w:eastAsia="Times New Roman" w:hAnsi="Times New Roman"/>
                <w:sz w:val="18"/>
                <w:szCs w:val="18"/>
                <w:b w:val="1"/>
                <w:bCs w:val="1"/>
                <w:color w:val="auto"/>
              </w:rPr>
              <w:t>2001 Westside Parkway</w:t>
            </w:r>
          </w:p>
        </w:tc>
      </w:tr>
      <w:tr>
        <w:trPr>
          <w:trHeight w:val="270"/>
        </w:trPr>
        <w:tc>
          <w:tcPr>
            <w:tcW w:w="4860" w:type="dxa"/>
            <w:vAlign w:val="bottom"/>
            <w:gridSpan w:val="2"/>
          </w:tcPr>
          <w:p>
            <w:pPr>
              <w:ind w:left="4040"/>
              <w:spacing w:after="0"/>
              <w:rPr>
                <w:sz w:val="20"/>
                <w:szCs w:val="20"/>
                <w:color w:val="auto"/>
              </w:rPr>
            </w:pPr>
            <w:r>
              <w:rPr>
                <w:rFonts w:ascii="Times New Roman" w:cs="Times New Roman" w:eastAsia="Times New Roman" w:hAnsi="Times New Roman"/>
                <w:sz w:val="18"/>
                <w:szCs w:val="18"/>
                <w:b w:val="1"/>
                <w:bCs w:val="1"/>
                <w:color w:val="auto"/>
              </w:rPr>
              <w:t>Suite 155</w:t>
            </w:r>
          </w:p>
        </w:tc>
        <w:tc>
          <w:tcPr>
            <w:tcW w:w="3800" w:type="dxa"/>
            <w:vAlign w:val="bottom"/>
          </w:tcPr>
          <w:p>
            <w:pPr>
              <w:spacing w:after="0"/>
              <w:rPr>
                <w:sz w:val="23"/>
                <w:szCs w:val="23"/>
                <w:color w:val="auto"/>
              </w:rPr>
            </w:pPr>
          </w:p>
        </w:tc>
      </w:tr>
      <w:tr>
        <w:trPr>
          <w:trHeight w:val="270"/>
        </w:trPr>
        <w:tc>
          <w:tcPr>
            <w:tcW w:w="486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Alpharetta, GA</w:t>
            </w:r>
          </w:p>
        </w:tc>
        <w:tc>
          <w:tcPr>
            <w:tcW w:w="3800" w:type="dxa"/>
            <w:vAlign w:val="bottom"/>
          </w:tcPr>
          <w:p>
            <w:pPr>
              <w:jc w:val="right"/>
              <w:ind w:right="3253"/>
              <w:spacing w:after="0"/>
              <w:rPr>
                <w:sz w:val="20"/>
                <w:szCs w:val="20"/>
                <w:color w:val="auto"/>
              </w:rPr>
            </w:pPr>
            <w:r>
              <w:rPr>
                <w:rFonts w:ascii="Times New Roman" w:cs="Times New Roman" w:eastAsia="Times New Roman" w:hAnsi="Times New Roman"/>
                <w:sz w:val="18"/>
                <w:szCs w:val="18"/>
                <w:b w:val="1"/>
                <w:bCs w:val="1"/>
                <w:color w:val="auto"/>
                <w:w w:val="97"/>
              </w:rPr>
              <w:t>30004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17145</wp:posOffset>
            </wp:positionV>
            <wp:extent cx="5503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p>
      <w:pPr>
        <w:spacing w:after="0" w:line="350" w:lineRule="exact"/>
        <w:rPr>
          <w:sz w:val="24"/>
          <w:szCs w:val="24"/>
          <w:color w:val="auto"/>
        </w:rPr>
      </w:pPr>
    </w:p>
    <w:p>
      <w:pPr>
        <w:ind w:left="6180" w:hanging="1488"/>
        <w:spacing w:after="0"/>
        <w:tabs>
          <w:tab w:leader="none" w:pos="6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935-5964</w:t>
      </w:r>
    </w:p>
    <w:p>
      <w:pPr>
        <w:spacing w:after="0" w:line="83" w:lineRule="exact"/>
        <w:rPr>
          <w:rFonts w:ascii="Times New Roman" w:cs="Times New Roman" w:eastAsia="Times New Roman" w:hAnsi="Times New Roman"/>
          <w:sz w:val="18"/>
          <w:szCs w:val="18"/>
          <w:b w:val="1"/>
          <w:bCs w:val="1"/>
          <w:color w:val="auto"/>
        </w:rPr>
      </w:pPr>
    </w:p>
    <w:p>
      <w:pPr>
        <w:ind w:left="3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b w:val="1"/>
          <w:bCs w:val="1"/>
          <w:color w:val="auto"/>
        </w:rPr>
        <w:t>(Registrant's 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-132080</wp:posOffset>
            </wp:positionV>
            <wp:extent cx="5503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34290</wp:posOffset>
            </wp:positionV>
            <wp:extent cx="55035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890" w:type="dxa"/>
        <w:tblCellMar>
          <w:top w:w="0" w:type="dxa"/>
          <w:left w:w="0" w:type="dxa"/>
          <w:bottom w:w="0" w:type="dxa"/>
          <w:right w:w="0" w:type="dxa"/>
        </w:tblCellMar>
      </w:tblPr>
      <w:tr>
        <w:trPr>
          <w:trHeight w:val="257"/>
        </w:trPr>
        <w:tc>
          <w:tcPr>
            <w:tcW w:w="3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Borders>
              <w:top w:val="single" w:sz="8" w:color="auto"/>
              <w:right w:val="single" w:sz="8" w:color="auto"/>
            </w:tcBorders>
          </w:tcPr>
          <w:p>
            <w:pPr>
              <w:spacing w:after="0"/>
              <w:rPr>
                <w:sz w:val="22"/>
                <w:szCs w:val="22"/>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40" w:type="dxa"/>
            <w:vAlign w:val="bottom"/>
            <w:tcBorders>
              <w:top w:val="single" w:sz="8" w:color="auto"/>
              <w:right w:val="single" w:sz="8" w:color="auto"/>
            </w:tcBorders>
          </w:tcPr>
          <w:p>
            <w:pPr>
              <w:spacing w:after="0"/>
              <w:rPr>
                <w:sz w:val="22"/>
                <w:szCs w:val="22"/>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2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14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7"/>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9"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120"/>
          </w:cols>
          <w:pgMar w:left="320" w:top="360" w:right="459" w:bottom="1440" w:gutter="0" w:footer="0" w:header="0"/>
        </w:sect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9, 2019, 67,007,172 shares of common stock, par value $0.001 per share, were outstanding.</w:t>
      </w:r>
    </w:p>
    <w:p>
      <w:pPr>
        <w:sectPr>
          <w:pgSz w:w="11900" w:h="16838" w:orient="portrait"/>
          <w:cols w:equalWidth="0" w:num="1">
            <w:col w:w="11120"/>
          </w:cols>
          <w:pgMar w:left="320" w:top="360"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4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tc>
        <w:tc>
          <w:tcPr>
            <w:tcW w:w="3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4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380" w:type="dxa"/>
            <w:vAlign w:val="bottom"/>
          </w:tcPr>
          <w:p>
            <w:pPr>
              <w:spacing w:after="0"/>
              <w:rPr>
                <w:sz w:val="18"/>
                <w:szCs w:val="18"/>
                <w:color w:val="auto"/>
              </w:rPr>
            </w:pPr>
          </w:p>
        </w:tc>
      </w:tr>
      <w:tr>
        <w:trPr>
          <w:trHeight w:val="238"/>
        </w:trPr>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4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June 30, 2019</w:t>
            </w:r>
          </w:p>
        </w:tc>
        <w:tc>
          <w:tcPr>
            <w:tcW w:w="380" w:type="dxa"/>
            <w:vAlign w:val="bottom"/>
          </w:tcPr>
          <w:p>
            <w:pPr>
              <w:spacing w:after="0"/>
              <w:rPr>
                <w:sz w:val="20"/>
                <w:szCs w:val="20"/>
                <w:color w:val="auto"/>
              </w:rPr>
            </w:pPr>
          </w:p>
        </w:tc>
      </w:tr>
      <w:tr>
        <w:trPr>
          <w:trHeight w:val="553"/>
        </w:trPr>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560"/>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w:t>
              </w:r>
            </w:hyperlink>
          </w:p>
        </w:tc>
        <w:tc>
          <w:tcPr>
            <w:tcW w:w="9780" w:type="dxa"/>
            <w:vAlign w:val="bottom"/>
            <w:gridSpan w:val="6"/>
          </w:tcPr>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1</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1</w:t>
              </w:r>
            </w:hyperlink>
          </w:p>
        </w:tc>
      </w:tr>
      <w:tr>
        <w:trPr>
          <w:trHeight w:val="270"/>
        </w:trPr>
        <w:tc>
          <w:tcPr>
            <w:tcW w:w="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Condensed Consolidated Balance Sheets as of June 30, 2019 and December 31, 2018</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1</w:t>
              </w:r>
            </w:hyperlink>
          </w:p>
        </w:tc>
      </w:tr>
      <w:tr>
        <w:trPr>
          <w:trHeight w:val="230"/>
        </w:trPr>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3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Condensed Consolidated Statements of Operations for the Quarters and Six Months Ended June 30, 2019</w:t>
              </w:r>
            </w:hyperlink>
          </w:p>
        </w:tc>
        <w:tc>
          <w:tcPr>
            <w:tcW w:w="380" w:type="dxa"/>
            <w:vAlign w:val="bottom"/>
            <w:gridSpan w:val="2"/>
          </w:tcPr>
          <w:p>
            <w:pPr>
              <w:spacing w:after="0"/>
              <w:rPr>
                <w:sz w:val="19"/>
                <w:szCs w:val="19"/>
                <w:color w:val="auto"/>
              </w:rPr>
            </w:pPr>
          </w:p>
        </w:tc>
        <w:tc>
          <w:tcPr>
            <w:tcW w:w="380" w:type="dxa"/>
            <w:vAlign w:val="bottom"/>
          </w:tcPr>
          <w:p>
            <w:pPr>
              <w:jc w:val="cente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2</w:t>
              </w:r>
            </w:hyperlink>
          </w:p>
        </w:tc>
      </w:tr>
      <w:tr>
        <w:trPr>
          <w:trHeight w:val="196"/>
        </w:trPr>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and June 30, 2018</w:t>
              </w:r>
            </w:hyperlink>
          </w:p>
        </w:tc>
        <w:tc>
          <w:tcPr>
            <w:tcW w:w="74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250"/>
        </w:trPr>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760" w:type="dxa"/>
            <w:vAlign w:val="bottom"/>
            <w:gridSpan w:val="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Cash Flows for the Six Months Ended June 30, 2019 and June 30,</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3</w:t>
              </w:r>
            </w:hyperlink>
          </w:p>
        </w:tc>
      </w:tr>
      <w:tr>
        <w:trPr>
          <w:trHeight w:val="196"/>
        </w:trPr>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2018</w:t>
              </w:r>
            </w:hyperlink>
          </w:p>
        </w:tc>
        <w:tc>
          <w:tcPr>
            <w:tcW w:w="960" w:type="dxa"/>
            <w:vAlign w:val="bottom"/>
            <w:tcBorders>
              <w:top w:val="single" w:sz="8" w:color="0000EE"/>
            </w:tcBorders>
          </w:tcPr>
          <w:p>
            <w:pPr>
              <w:spacing w:after="0"/>
              <w:rPr>
                <w:sz w:val="17"/>
                <w:szCs w:val="17"/>
                <w:color w:val="auto"/>
              </w:rPr>
            </w:pPr>
          </w:p>
        </w:tc>
        <w:tc>
          <w:tcPr>
            <w:tcW w:w="70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91"/>
        </w:trPr>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Unaudited Condensed Consolidated Financial Statements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5</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2.</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0">
              <w:r>
                <w:rPr>
                  <w:rFonts w:ascii="Times New Roman" w:cs="Times New Roman" w:eastAsia="Times New Roman" w:hAnsi="Times New Roman"/>
                  <w:sz w:val="18"/>
                  <w:szCs w:val="18"/>
                  <w:u w:val="single" w:color="auto"/>
                  <w:color w:val="0000EE"/>
                  <w:w w:val="99"/>
                </w:rPr>
                <w:t>28</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Item 3.</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Quantitative and Qualitative Disclosures about Market Risk</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6">
              <w:r>
                <w:rPr>
                  <w:rFonts w:ascii="Times New Roman" w:cs="Times New Roman" w:eastAsia="Times New Roman" w:hAnsi="Times New Roman"/>
                  <w:sz w:val="18"/>
                  <w:szCs w:val="18"/>
                  <w:u w:val="single" w:color="auto"/>
                  <w:color w:val="0000EE"/>
                  <w:w w:val="99"/>
                </w:rPr>
                <w:t>44</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Item 4.</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Controls and Procedures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7">
              <w:r>
                <w:rPr>
                  <w:rFonts w:ascii="Times New Roman" w:cs="Times New Roman" w:eastAsia="Times New Roman" w:hAnsi="Times New Roman"/>
                  <w:sz w:val="18"/>
                  <w:szCs w:val="18"/>
                  <w:u w:val="single" w:color="auto"/>
                  <w:color w:val="0000EE"/>
                  <w:w w:val="99"/>
                </w:rPr>
                <w:t>45</w:t>
              </w:r>
            </w:hyperlink>
          </w:p>
        </w:tc>
      </w:tr>
      <w:tr>
        <w:trPr>
          <w:trHeight w:val="567"/>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Part II.</w:t>
              </w:r>
            </w:hyperlink>
          </w:p>
        </w:tc>
        <w:tc>
          <w:tcPr>
            <w:tcW w:w="9780" w:type="dxa"/>
            <w:vAlign w:val="bottom"/>
            <w:gridSpan w:val="6"/>
          </w:tcPr>
          <w:p>
            <w:pPr>
              <w:ind w:left="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Other Information</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8">
              <w:r>
                <w:rPr>
                  <w:rFonts w:ascii="Times New Roman" w:cs="Times New Roman" w:eastAsia="Times New Roman" w:hAnsi="Times New Roman"/>
                  <w:sz w:val="18"/>
                  <w:szCs w:val="18"/>
                  <w:u w:val="single" w:color="auto"/>
                  <w:color w:val="0000EE"/>
                  <w:w w:val="99"/>
                </w:rPr>
                <w:t>46</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Item 1.</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Legal Proceedings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8">
              <w:r>
                <w:rPr>
                  <w:rFonts w:ascii="Times New Roman" w:cs="Times New Roman" w:eastAsia="Times New Roman" w:hAnsi="Times New Roman"/>
                  <w:sz w:val="18"/>
                  <w:szCs w:val="18"/>
                  <w:u w:val="single" w:color="auto"/>
                  <w:color w:val="0000EE"/>
                  <w:w w:val="99"/>
                </w:rPr>
                <w:t>46</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Risk Factors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8">
              <w:r>
                <w:rPr>
                  <w:rFonts w:ascii="Times New Roman" w:cs="Times New Roman" w:eastAsia="Times New Roman" w:hAnsi="Times New Roman"/>
                  <w:sz w:val="18"/>
                  <w:szCs w:val="18"/>
                  <w:u w:val="single" w:color="auto"/>
                  <w:color w:val="0000EE"/>
                  <w:w w:val="99"/>
                </w:rPr>
                <w:t>46</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Item 2.</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Unregistered Sales of Equity Securities and Use of Proceeds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8">
              <w:r>
                <w:rPr>
                  <w:rFonts w:ascii="Times New Roman" w:cs="Times New Roman" w:eastAsia="Times New Roman" w:hAnsi="Times New Roman"/>
                  <w:sz w:val="18"/>
                  <w:szCs w:val="18"/>
                  <w:u w:val="single" w:color="auto"/>
                  <w:color w:val="0000EE"/>
                  <w:w w:val="99"/>
                </w:rPr>
                <w:t>46</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Item 3.</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Defaults Upon Senior Securities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8">
              <w:r>
                <w:rPr>
                  <w:rFonts w:ascii="Times New Roman" w:cs="Times New Roman" w:eastAsia="Times New Roman" w:hAnsi="Times New Roman"/>
                  <w:sz w:val="18"/>
                  <w:szCs w:val="18"/>
                  <w:u w:val="single" w:color="auto"/>
                  <w:color w:val="0000EE"/>
                  <w:w w:val="99"/>
                </w:rPr>
                <w:t>46</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4.</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Mine Safety Disclosures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9">
              <w:r>
                <w:rPr>
                  <w:rFonts w:ascii="Times New Roman" w:cs="Times New Roman" w:eastAsia="Times New Roman" w:hAnsi="Times New Roman"/>
                  <w:sz w:val="18"/>
                  <w:szCs w:val="18"/>
                  <w:u w:val="single" w:color="auto"/>
                  <w:color w:val="0000EE"/>
                  <w:w w:val="99"/>
                </w:rPr>
                <w:t>47</w:t>
              </w:r>
            </w:hyperlink>
          </w:p>
        </w:tc>
      </w:tr>
      <w:tr>
        <w:trPr>
          <w:trHeight w:val="270"/>
        </w:trPr>
        <w:tc>
          <w:tcPr>
            <w:tcW w:w="780" w:type="dxa"/>
            <w:vAlign w:val="bottom"/>
          </w:tcPr>
          <w:p>
            <w:pPr>
              <w:spacing w:after="0"/>
              <w:rPr>
                <w:sz w:val="23"/>
                <w:szCs w:val="23"/>
                <w:color w:val="auto"/>
              </w:rPr>
            </w:pPr>
          </w:p>
        </w:tc>
        <w:tc>
          <w:tcPr>
            <w:tcW w:w="1020" w:type="dxa"/>
            <w:vAlign w:val="bottom"/>
          </w:tcPr>
          <w:p>
            <w:pPr>
              <w:ind w:left="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5.</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Other Information</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9">
              <w:r>
                <w:rPr>
                  <w:rFonts w:ascii="Times New Roman" w:cs="Times New Roman" w:eastAsia="Times New Roman" w:hAnsi="Times New Roman"/>
                  <w:sz w:val="18"/>
                  <w:szCs w:val="18"/>
                  <w:u w:val="single" w:color="auto"/>
                  <w:color w:val="0000EE"/>
                  <w:w w:val="99"/>
                </w:rPr>
                <w:t>47</w:t>
              </w:r>
            </w:hyperlink>
          </w:p>
        </w:tc>
      </w:tr>
      <w:tr>
        <w:trPr>
          <w:trHeight w:val="594"/>
        </w:trPr>
        <w:tc>
          <w:tcPr>
            <w:tcW w:w="780" w:type="dxa"/>
            <w:vAlign w:val="bottom"/>
          </w:tcPr>
          <w:p>
            <w:pPr>
              <w:spacing w:after="0"/>
              <w:rPr>
                <w:sz w:val="24"/>
                <w:szCs w:val="24"/>
                <w:color w:val="auto"/>
              </w:rPr>
            </w:pPr>
          </w:p>
        </w:tc>
        <w:tc>
          <w:tcPr>
            <w:tcW w:w="1020" w:type="dxa"/>
            <w:vAlign w:val="bottom"/>
          </w:tcPr>
          <w:p>
            <w:pPr>
              <w:ind w:left="2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Item 6.</w:t>
              </w:r>
            </w:hyperlink>
          </w:p>
        </w:tc>
        <w:tc>
          <w:tcPr>
            <w:tcW w:w="8760" w:type="dxa"/>
            <w:vAlign w:val="bottom"/>
            <w:gridSpan w:val="5"/>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Exhibits</w:t>
              </w:r>
            </w:hyperlink>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50">
              <w:r>
                <w:rPr>
                  <w:rFonts w:ascii="Times New Roman" w:cs="Times New Roman" w:eastAsia="Times New Roman" w:hAnsi="Times New Roman"/>
                  <w:sz w:val="18"/>
                  <w:szCs w:val="18"/>
                  <w:u w:val="single" w:color="auto"/>
                  <w:color w:val="0000EE"/>
                  <w:w w:val="99"/>
                </w:rPr>
                <w:t>48</w:t>
              </w:r>
            </w:hyperlink>
          </w:p>
        </w:tc>
      </w:tr>
      <w:tr>
        <w:trPr>
          <w:trHeight w:val="567"/>
        </w:trPr>
        <w:tc>
          <w:tcPr>
            <w:tcW w:w="780" w:type="dxa"/>
            <w:vAlign w:val="bottom"/>
          </w:tcPr>
          <w:p>
            <w:pPr>
              <w:spacing w:after="0"/>
              <w:rPr>
                <w:rFonts w:ascii="Times New Roman" w:cs="Times New Roman" w:eastAsia="Times New Roman" w:hAnsi="Times New Roman"/>
                <w:sz w:val="18"/>
                <w:szCs w:val="18"/>
                <w:u w:val="single" w:color="auto"/>
                <w:color w:val="0000EE"/>
                <w:w w:val="99"/>
              </w:rPr>
            </w:pPr>
            <w:hyperlink w:anchor="page51">
              <w:r>
                <w:rPr>
                  <w:rFonts w:ascii="Times New Roman" w:cs="Times New Roman" w:eastAsia="Times New Roman" w:hAnsi="Times New Roman"/>
                  <w:sz w:val="18"/>
                  <w:szCs w:val="18"/>
                  <w:u w:val="single" w:color="auto"/>
                  <w:color w:val="0000EE"/>
                  <w:w w:val="99"/>
                </w:rPr>
                <w:t>Signatures</w:t>
              </w:r>
            </w:hyperlink>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51">
              <w:r>
                <w:rPr>
                  <w:rFonts w:ascii="Times New Roman" w:cs="Times New Roman" w:eastAsia="Times New Roman" w:hAnsi="Times New Roman"/>
                  <w:sz w:val="18"/>
                  <w:szCs w:val="18"/>
                  <w:u w:val="single" w:color="auto"/>
                  <w:color w:val="0000EE"/>
                  <w:w w:val="99"/>
                </w:rPr>
                <w:t>49</w:t>
              </w:r>
            </w:hyperlink>
          </w:p>
        </w:tc>
      </w:tr>
    </w:tbl>
    <w:p>
      <w:pPr>
        <w:sectPr>
          <w:pgSz w:w="11900" w:h="16838" w:orient="portrait"/>
          <w:cols w:equalWidth="0" w:num="1">
            <w:col w:w="10940"/>
          </w:cols>
          <w:pgMar w:left="360" w:top="360" w:right="59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37"/>
        </w:trPr>
        <w:tc>
          <w:tcPr>
            <w:tcW w:w="7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15,631</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18,200</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$520 and $511</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45,651</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3,642</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979</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w:t>
            </w:r>
          </w:p>
        </w:tc>
      </w:tr>
      <w:tr>
        <w:trPr>
          <w:trHeight w:val="237"/>
        </w:trPr>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82,882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85,145</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0"/>
        </w:trPr>
        <w:tc>
          <w:tcPr>
            <w:tcW w:w="7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43"/>
        </w:trPr>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17,482</w:t>
            </w:r>
          </w:p>
        </w:tc>
      </w:tr>
      <w:tr>
        <w:trPr>
          <w:trHeight w:val="243"/>
        </w:trPr>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109,515</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124,637</w:t>
            </w:r>
          </w:p>
        </w:tc>
      </w:tr>
      <w:tr>
        <w:trPr>
          <w:trHeight w:val="243"/>
        </w:trPr>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49,692</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w:t>
            </w:r>
          </w:p>
        </w:tc>
      </w:tr>
      <w:tr>
        <w:trPr>
          <w:trHeight w:val="297"/>
        </w:trPr>
        <w:tc>
          <w:tcPr>
            <w:tcW w:w="73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460,314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388,618</w:t>
            </w:r>
          </w:p>
        </w:tc>
      </w:tr>
      <w:tr>
        <w:trPr>
          <w:trHeight w:val="230"/>
        </w:trPr>
        <w:tc>
          <w:tcPr>
            <w:tcW w:w="7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43"/>
        </w:trPr>
        <w:tc>
          <w:tcPr>
            <w:tcW w:w="7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27,638</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18,715</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3,282</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outstanding under 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3,293</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11,132</w:t>
            </w:r>
          </w:p>
        </w:tc>
      </w:tr>
      <w:tr>
        <w:trPr>
          <w:trHeight w:val="237"/>
        </w:trPr>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80,381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64,060</w:t>
            </w:r>
          </w:p>
        </w:tc>
      </w:tr>
      <w:tr>
        <w:trPr>
          <w:trHeight w:val="27"/>
        </w:trPr>
        <w:tc>
          <w:tcPr>
            <w:tcW w:w="7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43"/>
        </w:trPr>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 discounts and debt issuance costs</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402,095</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7,936</w:t>
            </w:r>
          </w:p>
        </w:tc>
      </w:tr>
      <w:tr>
        <w:trPr>
          <w:trHeight w:val="237"/>
        </w:trPr>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480,533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410,031</w:t>
            </w:r>
          </w:p>
        </w:tc>
      </w:tr>
      <w:tr>
        <w:trPr>
          <w:trHeight w:val="27"/>
        </w:trPr>
        <w:tc>
          <w:tcPr>
            <w:tcW w:w="7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55"/>
        </w:trPr>
        <w:tc>
          <w:tcPr>
            <w:tcW w:w="7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243"/>
        </w:trPr>
        <w:tc>
          <w:tcPr>
            <w:tcW w:w="73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560,914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474,091</w:t>
            </w:r>
          </w:p>
        </w:tc>
      </w:tr>
      <w:tr>
        <w:trPr>
          <w:trHeight w:val="27"/>
        </w:trPr>
        <w:tc>
          <w:tcPr>
            <w:tcW w:w="7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55"/>
        </w:trPr>
        <w:tc>
          <w:tcPr>
            <w:tcW w:w="7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r>
      <w:tr>
        <w:trPr>
          <w:trHeight w:val="243"/>
        </w:trPr>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(Notes 9 and 10)</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89"/>
        </w:trPr>
        <w:tc>
          <w:tcPr>
            <w:tcW w:w="7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r>
      <w:tr>
        <w:trPr>
          <w:trHeight w:val="243"/>
        </w:trPr>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(85,540)</w:t>
            </w:r>
          </w:p>
        </w:tc>
      </w:tr>
      <w:tr>
        <w:trPr>
          <w:trHeight w:val="27"/>
        </w:trPr>
        <w:tc>
          <w:tcPr>
            <w:tcW w:w="7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Priority Technology Holdings, Inc. stockholders'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(85,473)</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3"/>
        </w:trPr>
        <w:tc>
          <w:tcPr>
            <w:tcW w:w="7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(85,473)</w:t>
            </w:r>
          </w:p>
        </w:tc>
      </w:tr>
      <w:tr>
        <w:trPr>
          <w:trHeight w:val="169"/>
        </w:trPr>
        <w:tc>
          <w:tcPr>
            <w:tcW w:w="7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r>
      <w:tr>
        <w:trPr>
          <w:trHeight w:val="264"/>
        </w:trPr>
        <w:tc>
          <w:tcPr>
            <w:tcW w:w="7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460,314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388,618</w:t>
            </w:r>
          </w:p>
        </w:tc>
      </w:tr>
      <w:tr>
        <w:trPr>
          <w:trHeight w:val="20"/>
        </w:trPr>
        <w:tc>
          <w:tcPr>
            <w:tcW w:w="73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527"/>
        </w:trPr>
        <w:tc>
          <w:tcPr>
            <w:tcW w:w="9100" w:type="dxa"/>
            <w:vAlign w:val="bottom"/>
            <w:gridSpan w:val="4"/>
          </w:tcPr>
          <w:p>
            <w:pPr>
              <w:ind w:left="308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00"/>
          </w:cols>
          <w:pgMar w:left="320" w:top="121" w:right="479" w:bottom="972" w:gutter="0" w:footer="0" w:header="0"/>
        </w:sectPr>
      </w:pP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- 1 -</w:t>
      </w:r>
    </w:p>
    <w:p>
      <w:pPr>
        <w:sectPr>
          <w:pgSz w:w="11900" w:h="16838" w:orient="portrait"/>
          <w:cols w:equalWidth="0" w:num="1">
            <w:col w:w="11100"/>
          </w:cols>
          <w:pgMar w:left="320" w:top="121" w:right="479" w:bottom="972"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00" w:type="dxa"/>
            <w:vAlign w:val="bottom"/>
            <w:shd w:val="clear" w:color="auto" w:fill="CCEEFF"/>
          </w:tcPr>
          <w:p>
            <w:pPr>
              <w:spacing w:after="0"/>
              <w:rPr>
                <w:sz w:val="19"/>
                <w:szCs w:val="19"/>
                <w:color w:val="auto"/>
              </w:rPr>
            </w:pPr>
          </w:p>
        </w:tc>
        <w:tc>
          <w:tcPr>
            <w:tcW w:w="2460" w:type="dxa"/>
            <w:vAlign w:val="bottom"/>
            <w:gridSpan w:val="4"/>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65"/>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CCEEFF"/>
            </w:tcBorders>
            <w:shd w:val="clear" w:color="auto" w:fill="CCEEFF"/>
          </w:tcPr>
          <w:p>
            <w:pPr>
              <w:spacing w:after="0"/>
              <w:rPr>
                <w:sz w:val="23"/>
                <w:szCs w:val="23"/>
                <w:color w:val="auto"/>
              </w:rPr>
            </w:pPr>
          </w:p>
        </w:tc>
      </w:tr>
      <w:tr>
        <w:trPr>
          <w:trHeight w:val="237"/>
        </w:trPr>
        <w:tc>
          <w:tcPr>
            <w:tcW w:w="5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Merchant card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99,145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190,974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204,746</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Outsourced services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15,612</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107,425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104,762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207,402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220,358</w:t>
            </w: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merchant card fees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75,587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158,400</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of outsourced services and other</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9,043</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18,414</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7,780</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15,638</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104,989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204,000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209,275</w:t>
            </w: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56"/>
        </w:trPr>
        <w:tc>
          <w:tcPr>
            <w:tcW w:w="5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11,083</w:t>
            </w: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27"/>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w:t>
            </w:r>
          </w:p>
        </w:tc>
      </w:tr>
      <w:tr>
        <w:trPr>
          <w:trHeight w:val="169"/>
        </w:trPr>
        <w:tc>
          <w:tcPr>
            <w:tcW w:w="53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r>
      <w:tr>
        <w:trPr>
          <w:trHeight w:val="175"/>
        </w:trPr>
        <w:tc>
          <w:tcPr>
            <w:tcW w:w="5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5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5"/>
        </w:trPr>
        <w:tc>
          <w:tcPr>
            <w:tcW w:w="5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57,556</w:t>
            </w:r>
          </w:p>
        </w:tc>
      </w:tr>
      <w:tr>
        <w:trPr>
          <w:trHeight w:val="270"/>
        </w:trPr>
        <w:tc>
          <w:tcPr>
            <w:tcW w:w="5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 FORMA (C-corporation basis)</w:t>
            </w: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income tax benefit</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r>
      <w:tr>
        <w:trPr>
          <w:trHeight w:val="175"/>
        </w:trPr>
        <w:tc>
          <w:tcPr>
            <w:tcW w:w="5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loss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bl>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320" w:top="121" w:right="5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64"/>
        </w:trPr>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shd w:val="clear" w:color="auto" w:fill="CCEEFF"/>
          </w:tcPr>
          <w:p>
            <w:pPr>
              <w:spacing w:after="0"/>
              <w:rPr>
                <w:sz w:val="22"/>
                <w:szCs w:val="22"/>
                <w:color w:val="auto"/>
              </w:rPr>
            </w:pPr>
          </w:p>
        </w:tc>
        <w:tc>
          <w:tcPr>
            <w:tcW w:w="2620" w:type="dxa"/>
            <w:vAlign w:val="bottom"/>
            <w:tcBorders>
              <w:bottom w:val="single" w:sz="8" w:color="auto"/>
            </w:tcBorders>
            <w:gridSpan w:val="4"/>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2"/>
        </w:trPr>
        <w:tc>
          <w:tcPr>
            <w:tcW w:w="7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 to reconcile net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of assets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7,780</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r>
      <w:tr>
        <w:trPr>
          <w:trHeight w:val="243"/>
        </w:trPr>
        <w:tc>
          <w:tcPr>
            <w:tcW w:w="7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in loss and impairment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r>
      <w:tr>
        <w:trPr>
          <w:trHeight w:val="243"/>
        </w:trPr>
        <w:tc>
          <w:tcPr>
            <w:tcW w:w="7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deferred income tax</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3,530</w:t>
            </w:r>
          </w:p>
        </w:tc>
      </w:tr>
      <w:tr>
        <w:trPr>
          <w:trHeight w:val="243"/>
        </w:trPr>
        <w:tc>
          <w:tcPr>
            <w:tcW w:w="7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Payment-in-kind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w:t>
            </w:r>
          </w:p>
        </w:tc>
      </w:tr>
      <w:tr>
        <w:trPr>
          <w:trHeight w:val="243"/>
        </w:trPr>
        <w:tc>
          <w:tcPr>
            <w:tcW w:w="7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non-cash</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operating assets and liabilities, net of business combination: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7,287</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Settlement assets and obligations,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2,583</w:t>
            </w:r>
          </w:p>
        </w:tc>
      </w:tr>
      <w:tr>
        <w:trPr>
          <w:trHeight w:val="243"/>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r>
      <w:tr>
        <w:trPr>
          <w:trHeight w:val="243"/>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43"/>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7"/>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7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14,920</w:t>
            </w:r>
          </w:p>
        </w:tc>
      </w:tr>
      <w:tr>
        <w:trPr>
          <w:trHeight w:val="169"/>
        </w:trPr>
        <w:tc>
          <w:tcPr>
            <w:tcW w:w="78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for business acquisitions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to property, equipment and software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43"/>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of merchant portfolios and assets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receivable loan funding</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(89,776)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(14,258)</w:t>
            </w:r>
          </w:p>
        </w:tc>
      </w:tr>
      <w:tr>
        <w:trPr>
          <w:trHeight w:val="27"/>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9"/>
        </w:trPr>
        <w:tc>
          <w:tcPr>
            <w:tcW w:w="7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43"/>
        </w:trPr>
        <w:tc>
          <w:tcPr>
            <w:tcW w:w="7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long-term debt, net of issue discount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67,113</w:t>
            </w:r>
          </w:p>
        </w:tc>
      </w:tr>
      <w:tr>
        <w:trPr>
          <w:trHeight w:val="243"/>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members prior to July 25, 2018 recapitalization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r>
      <w:tr>
        <w:trPr>
          <w:trHeight w:val="243"/>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Redemptions of membership interests prior to July 25, 2018 recapitalization</w:t>
            </w: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(74,093)</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(14,980)</w:t>
            </w:r>
          </w:p>
        </w:tc>
      </w:tr>
      <w:tr>
        <w:trPr>
          <w:trHeight w:val="27"/>
        </w:trPr>
        <w:tc>
          <w:tcPr>
            <w:tcW w:w="7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6"/>
        </w:trPr>
        <w:tc>
          <w:tcPr>
            <w:tcW w:w="7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43"/>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(14,318)</w:t>
            </w:r>
          </w:p>
        </w:tc>
      </w:tr>
      <w:tr>
        <w:trPr>
          <w:trHeight w:val="27"/>
        </w:trPr>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restricted cash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44,159</w:t>
            </w:r>
          </w:p>
        </w:tc>
      </w:tr>
      <w:tr>
        <w:trPr>
          <w:trHeight w:val="257"/>
        </w:trPr>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restricted cash at June 30</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29,841</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20" w:top="121" w:right="5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- 3 -</w:t>
      </w:r>
    </w:p>
    <w:p>
      <w:pPr>
        <w:sectPr>
          <w:pgSz w:w="11900" w:h="16838" w:orient="portrait"/>
          <w:cols w:equalWidth="0" w:num="1">
            <w:col w:w="10980"/>
          </w:cols>
          <w:pgMar w:left="320" w:top="121" w:right="59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67208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171450"/>
                    </a:xfrm>
                    <a:prstGeom prst="rect">
                      <a:avLst/>
                    </a:prstGeom>
                    <a:noFill/>
                  </pic:spPr>
                </pic:pic>
              </a:graphicData>
            </a:graphic>
          </wp:anchor>
        </w:drawing>
      </w:r>
    </w:p>
    <w:p>
      <w:pPr>
        <w:spacing w:after="0" w:line="3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 net of payment-in-kind interest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16,595</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11,926</w:t>
            </w:r>
          </w:p>
        </w:tc>
      </w:tr>
      <w:tr>
        <w:trPr>
          <w:trHeight w:val="27"/>
        </w:trPr>
        <w:tc>
          <w:tcPr>
            <w:tcW w:w="7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9"/>
        </w:trPr>
        <w:tc>
          <w:tcPr>
            <w:tcW w:w="7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equipment and software through accounts payable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r>
      <w:tr>
        <w:trPr>
          <w:trHeight w:val="243"/>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acquired by issuing non-controlling interest in a subsidiary</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7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12,652</w:t>
            </w:r>
          </w:p>
        </w:tc>
      </w:tr>
      <w:tr>
        <w:trPr>
          <w:trHeight w:val="24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17,189</w:t>
            </w:r>
          </w:p>
        </w:tc>
      </w:tr>
      <w:tr>
        <w:trPr>
          <w:trHeight w:val="27"/>
        </w:trPr>
        <w:tc>
          <w:tcPr>
            <w:tcW w:w="7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7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29,841</w:t>
            </w:r>
          </w:p>
        </w:tc>
      </w:tr>
      <w:tr>
        <w:trPr>
          <w:trHeight w:val="20"/>
        </w:trPr>
        <w:tc>
          <w:tcPr>
            <w:tcW w:w="7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20"/>
          </w:cols>
          <w:pgMar w:left="320" w:top="121" w:right="6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Quarters and Six Months Ended June 30, 2019 and 2018 and as of June 30, 2019 and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BASIS OF PRESENTATION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Priority Technology Holdings, Inc. and its subsidiaries (the "Company") are a leading fintech enterprise with strong core payments technology. The Company is headquartered in Alpharetta, Georgia and operates other facilities in Texas, Tennessee, Arizona, and New York. Operations began in 2005 with a mission to build a merchant-inspired payments platform that would advance the goals of its customers and partners. Today, the Company is a leading provider of merchant acquiring and commercial payment solutions, offering unique product capabilities to small and medium size businesses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payments processing solutions for business-to-consumer ("B2C") transactions through independent sales organizations ("ISOs"), financial institutions, independent software vendors ("ISVs"), and other referral partners. The Company's proprietary MX platform for B2C payments provides merchants a fully customizable suite of business management solutions.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payments solutions such as automated vendor payments and professionally curated managed services to industry leading financial institutions and networks. The Company's proprietary business-to-business ("B2B") Commercial Payment Exchange (CPX) platform was developed to be a best-in-class solution for buyer/supplier payment enablement.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services (also known as Managed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partner solutions for ISVs and other third-parties that allow them to leverage the Company's core payments engine via robust application program interfaces resources and high-utility embeddable code.</w:t>
      </w:r>
    </w:p>
    <w:p>
      <w:pPr>
        <w:ind w:left="660" w:right="2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development solutions focused on the increasing demand for integrated payments solutions for transitioning to the digital economy.</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provides its services through three reportable segments: (1) Consumer Payments, (2) Commercial Payments (which includes institutional and managed services described above), and (3) Integrated Partners. For additional information about our reportable segments, see Note 15,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Matters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25, 2018, MI Acquisitions, Inc. ("MI Acquisitions"), which was formed under the laws of the State of Delaware on April 23, 2015, acquired all of the outstanding member equity interests of Priority Holdings, LLC ("Holdings") in exchange for the issuance of MI Acquisitions' common stock. As a result, Holdings which was previously a privately-owned company, became a wholly-owned subsidiary of MI Acquisitions (the "Business Combination"). Simultaneously, MI Acquisitions changed its name to Priority Technology Holdings, Inc. For financial accounting and reporting purposes under generally accepted accounting principles in the United States ("GAAP"), the acquisition was accounted for as a "reverse merger." Under this method of accounting, MI Acquisitions is treated as the acquired entity whereby Holdings was deemed to have issued common stock for the net assets and equity of MI Acquisitions accompanied by a simultaneous equity recapitalization (the "Recapitalization") of Holdings. Net assets of the Company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Holdings. Prior to July 25, 2018, the results of operations, cash flows, and financial position are those of Holdings. The units and corresponding capital amounts and earnings per unit of Holdings prior to July 25, 2018 have been retroactively restated as shares reflecting the exchange ratio established in the Recapitalization.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common stock is traded on The Nasdaq Global Market under the symbol "PRTH." Certain shares of the Company's common stock are restricted shares, meaning that there are certain regulatory restrictions on the holders' abilities to sell, transfer, pledge or otherwise dispose of shares. Common shares of the Company issued to certain non-affiliates may become unrestricted common shares in the future due to the lapse of certain regulatory restrictions on the holders' ability to sell, transfer, pledge, or dispose of the unregistered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Chairman and Chief Executive Officer controls a majority of the voting power of the Company's outstanding common stock. As a result, the Company is a "controlled company" within the meaning of corporate governance standards of the Nasdaq Stock Market LLC ("Nasdaq") .</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those of the Company and its consolidated subsidiaries. All material inter-company accounts and transactions have been eliminated in consolidation. The Company operates on a calendar year ending each December 31 and on four calendar quarters ending on March 31, June 30, September 30, and December 31 of each year.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GAAP for interim financial information and the rules and regulations of the SEC.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unaudited; however, in the opinion of management they include all normal and recurring adjustments necessary for a fair presentation of the Company's unaudited condensed consolidated financial statements for the periods presented. The accompanying unaudited condensed consolidated balance sheet and related footnote disclosures as of December 31, 2018 were derived from the Company's audited consolidated financial statements and accompanying footnotes as of and for the year ended December 31, 2018. Results of operations reported for interim periods are not necessarily indicative of results for the entire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reported period. Actual results could differ materially from those estimates.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July 25, 2018, substantially all of the Company's operations were conducted through pass-through entities for income tax purposes, and as such the Company had no material income tax accounting reflected in its financial statements for financial reporting purposes since substantially all taxable income and deductions were "passed through" to unconsolidated owners. Effective July 25, 2018, the Company is a "C Corp" and reports its income and deductions for income tax purposes. Accordingly, effective July 25, 2018 the consolidated financial statements of the Company now account for income taxes in accordance with Accounting Standards Codification ("ASC") 740, Income Taxes ("ASC 740").</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The Company may remain an EGC until December 31, 2021. However, if the Company's non-convertible debt issued within a rolling three-year period exceeds $1.0 billion, the Company would cease to be an EGC immediately, or if its revenue for any fiscal year exceed $1.07 billion,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of 2002. Additionally, the Company as an EGC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Comprehensive income (loss) represents the sum of net income (loss) and other amounts that are not included in the unaudited condensed consolidated statement of operations as the amounts have not been realized. For the quarters and six months ended June 30, 2019 and June 30, 2018, there were no differences between the Company's net loss and comprehensive loss. Therefore, no separate Statement of Comprehensive Income (Loss) is included in the consolidated financial statements for the reporting periods.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includes cash held at financial institutions that is owned by the Company. Restricted cash is held by the Company in financial institutions for the purpose of in-process customer settlements or reserves held per contact terms.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Notes receivable are comprised of a $3.0 million loan to another entity (see Note 10, </w:t>
      </w:r>
      <w:r>
        <w:rPr>
          <w:rFonts w:ascii="Times New Roman" w:cs="Times New Roman" w:eastAsia="Times New Roman" w:hAnsi="Times New Roman"/>
          <w:sz w:val="18"/>
          <w:szCs w:val="18"/>
          <w:i w:val="1"/>
          <w:iCs w:val="1"/>
          <w:color w:val="auto"/>
        </w:rPr>
        <w:t>Related Party and Other Transactions</w:t>
      </w:r>
      <w:r>
        <w:rPr>
          <w:rFonts w:ascii="Times New Roman" w:cs="Times New Roman" w:eastAsia="Times New Roman" w:hAnsi="Times New Roman"/>
          <w:sz w:val="18"/>
          <w:szCs w:val="18"/>
          <w:color w:val="auto"/>
        </w:rPr>
        <w:t>) and advances to ISOs. Substantially all of the notes receivable bear interest and are secured. ISO advances are generally repaid via reductions in future commissions paid to the ISO, thus cash flows from these activities are reported as cash flows from operations.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these unaudited condensed consolidated financial statements have been reclassified to conform to the current period presentation, with no net effect on the Company's stockholders' deficit or net loss for any period.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Company's accounting policies from December 31, 2018 through June 30, 2019, except for the addition of an accounting policy for repurchased stock. Also, see Note 2, </w:t>
      </w:r>
      <w:r>
        <w:rPr>
          <w:rFonts w:ascii="Times New Roman" w:cs="Times New Roman" w:eastAsia="Times New Roman" w:hAnsi="Times New Roman"/>
          <w:sz w:val="18"/>
          <w:szCs w:val="18"/>
          <w:i w:val="1"/>
          <w:iCs w:val="1"/>
          <w:color w:val="auto"/>
        </w:rPr>
        <w:t>Acquisitions and Contributions of Assets</w:t>
      </w:r>
      <w:r>
        <w:rPr>
          <w:rFonts w:ascii="Times New Roman" w:cs="Times New Roman" w:eastAsia="Times New Roman" w:hAnsi="Times New Roman"/>
          <w:sz w:val="18"/>
          <w:szCs w:val="18"/>
          <w:color w:val="auto"/>
        </w:rPr>
        <w:t>, for information on the non-controlling interest issued in connection with certain net assets acquired from YapStone, Inc. ("YapStone").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Revenues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Merchant card fees revenue consists mainly of fees for processing electronic payments, including credit, debit and electronic benefit transaction card processing.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our Consumer Payments segment.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Outsourced services and other revenue consist mainly of cost-plus fees related to B2B services, merchant financing and buyer-initiated payment programs sold on behalf of certain enterprise customers, originated through our in-house sales force, including incentives for meeting sales targets. Outsourced services revenue is attributable primarily to our Commercial Payments reportable segment. Other revenue include revenue from the sales of equipment (primarily point of sale terminals) and processing of automated clearing house ("ACH") transactions.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Services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of Merchant Card Fees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merchant card fees primarily consist of residual payments to agents and ISOs and other third-party costs directly attributable to payment processing. The residual payments represent commissions paid to agents and ISOs based upon a percentage of the net revenue generated from merchant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of Outsourced Services and Other Revenue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outsourced services and other revenue consist of salaries directly related to outsourced services revenue, the cost of equipment (point of sale terminals) sold, and third-party fees and commissions related to the Company's ACH processing activities.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SG&amp;A expenses include mainly professional services, advertising, rent, </w:t>
      </w:r>
      <w:r>
        <w:rPr>
          <w:rFonts w:ascii="Times New Roman" w:cs="Times New Roman" w:eastAsia="Times New Roman" w:hAnsi="Times New Roman"/>
          <w:sz w:val="18"/>
          <w:szCs w:val="18"/>
          <w:color w:val="1A1A1A"/>
        </w:rPr>
        <w:t>office supplies, software licenses, utilities, state and local franchise and sales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A1A1A"/>
        </w:rPr>
        <w:t xml:space="preserve">litigation settlements, executive travel, insurance, </w:t>
      </w:r>
      <w:r>
        <w:rPr>
          <w:rFonts w:ascii="Times New Roman" w:cs="Times New Roman" w:eastAsia="Times New Roman" w:hAnsi="Times New Roman"/>
          <w:sz w:val="18"/>
          <w:szCs w:val="18"/>
          <w:color w:val="000000"/>
        </w:rPr>
        <w:t>and expenses related to the Business Combination.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on outstanding debt and amortization of deferred financing costs and original issue discounts.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net is composed of interest income, debt modification and extinguishment expenses, changes in fair value of warrant liabilities, and equity in losses and impairment of unconsolidated entities. Interest income consists mainly of interest received pursuant to notes receivable from independent sales agents. Debt modification and extinguishment expenses includes write-offs of unamortized deferred financing costs and original issue discount relating to the extinguished debt. Equity in loss and impairment of unconsolidated entities consists of the Company's share of the income or loss of its equity method investment as well as any impairment charges related to such investments.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Adopted</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did not adopt any new accounting standards during the quarter or six months ended June 30, 2019, except for ASU 2016-01, </w:t>
      </w:r>
      <w:r>
        <w:rPr>
          <w:rFonts w:ascii="Times New Roman" w:cs="Times New Roman" w:eastAsia="Times New Roman" w:hAnsi="Times New Roman"/>
          <w:sz w:val="18"/>
          <w:szCs w:val="18"/>
          <w:i w:val="1"/>
          <w:iCs w:val="1"/>
          <w:color w:val="auto"/>
        </w:rPr>
        <w:t>Recognition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Measurement of Financial Assets and Financial Liabilities-Subtopic 825-10</w:t>
      </w:r>
      <w:r>
        <w:rPr>
          <w:rFonts w:ascii="Times New Roman" w:cs="Times New Roman" w:eastAsia="Times New Roman" w:hAnsi="Times New Roman"/>
          <w:sz w:val="18"/>
          <w:szCs w:val="18"/>
          <w:color w:val="auto"/>
        </w:rPr>
        <w:t>, and the policy for repurchased common stock based on existing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ASU 2016-01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ASU 2018-09</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ASU 2016-01, </w:t>
      </w:r>
      <w:r>
        <w:rPr>
          <w:rFonts w:ascii="Times New Roman" w:cs="Times New Roman" w:eastAsia="Times New Roman" w:hAnsi="Times New Roman"/>
          <w:sz w:val="18"/>
          <w:szCs w:val="18"/>
          <w:i w:val="1"/>
          <w:iCs w:val="1"/>
          <w:color w:val="auto"/>
        </w:rPr>
        <w:t>Recognition and Measurement of Financial Assets and Financial Liabilities</w:t>
      </w:r>
      <w:r>
        <w:rPr>
          <w:rFonts w:ascii="Times New Roman" w:cs="Times New Roman" w:eastAsia="Times New Roman" w:hAnsi="Times New Roman"/>
          <w:sz w:val="18"/>
          <w:szCs w:val="18"/>
          <w:color w:val="auto"/>
        </w:rPr>
        <w:t>, entities have to measure equity investments (except those accounted for under the equity method, those that result in consolidation of the investee and certain other investments) at fair value and recognize any changes in fair value in net income. However, for equity investments that do not have readily determinable fair values and do not qualify for the existing practical expedient in ASC 820 to estimate fair value using the net asset value per share (or its equivalent) of the investment, the guidance provides a new measurement alternative.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Entities may choose to measure those investments at cost, less any impairment, plus or minus changes resulting from observable price changes in orderly transactions for the identical or a similar investment of the same issuer. The Company early adopted the provisions of ASU 2016-01 on April 1, 2019 and applied them to an acquired warrant to purchase equity of another entity, the same entity that borrowed $3.0 million from the Company during the second quarter of 2019 under a loan and loan commitment agreement. The carrying value, at cost, and fair value of the warrant were not material. See Note 10, </w:t>
      </w:r>
      <w:r>
        <w:rPr>
          <w:rFonts w:ascii="Times New Roman" w:cs="Times New Roman" w:eastAsia="Times New Roman" w:hAnsi="Times New Roman"/>
          <w:sz w:val="18"/>
          <w:szCs w:val="18"/>
          <w:i w:val="1"/>
          <w:iCs w:val="1"/>
          <w:color w:val="auto"/>
        </w:rPr>
        <w:t>Related Party and Other Transactions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was also required to adopt ASU 2018-09,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at the same time it adopted ASU 2016-01. The adoption of ASU 2018-09 had no material effect on the Company's financial position, operations, or cash flows.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Repurchased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ASC 505-30, </w:t>
      </w: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xml:space="preserve">, the Company has elected to apply the cost method when accounting for treasury stock resulting from the repurchase of its common stock. Under the cost method, the gross cost of the shares reacquired is charged to a contra equity account labeled Treasury Stock. The equity accounts that were originally credited for the original shares issuance, common stock and additional paid-in capital, remain intact. See Note 12,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treasury shares are ever reissued in the future, proceeds in excess of repurchased cost will be credited to additional paid-in capital. Any deficiency will be charged to retained earnings (accumulated deficit), unless additional paid-in capital from previous treasury stock transactions exists, in which case the deficiency will be charged to that account, with any excess charged to retained earnings (accumulated deficit). If treasury stock is reissued in the future, a cost flow assumption (e.g., FIFO, LIFO, or specific identification) will be adopted to compute excesses and deficiencies upon subsequent share reissuances.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Standards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July 25, 2018, the Company was defined as a non-public entity for purposes of applying transition guidance related to new or revised accounting standards under GAAP, and as such was typically required to adopt new or revised accounting standards subsequent to the required adoption dates that applied to public companies. Subsequent to July 25, 2018, the Company retains EGC status until no later than December 31, 2021. The Company will maintain the election available to an EGC to use any extended transition period applicable to non-public companies when complying with a new or revised accounting standards. Therefore, as long as the Company retains EGC status, before December 31, 2021 the Company can continue to elect to adopt any new or revised accounting standards on the adoption date (including early adoption) required for a private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(ASC 606, ASU 2014-09)</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since has been codified and amended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supplemented with other ASUs.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As an EGC, the standard is effective for the Company's 2019 annual reporting period and for interim periods after 2019. The standard permits the use of either the retrospective or modified retrospective transition method. The Company has not yet selected a transition method and is currently evaluating the effect that the standard may have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(ASC 842)</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new lease accounting guidance in ASU No. 2016-02, </w:t>
      </w:r>
      <w:r>
        <w:rPr>
          <w:rFonts w:ascii="Times New Roman" w:cs="Times New Roman" w:eastAsia="Times New Roman" w:hAnsi="Times New Roman"/>
          <w:sz w:val="18"/>
          <w:szCs w:val="18"/>
          <w:i w:val="1"/>
          <w:iCs w:val="1"/>
          <w:color w:val="auto"/>
        </w:rPr>
        <w:t>Leases-Topic 842</w:t>
      </w:r>
      <w:r>
        <w:rPr>
          <w:rFonts w:ascii="Times New Roman" w:cs="Times New Roman" w:eastAsia="Times New Roman" w:hAnsi="Times New Roman"/>
          <w:sz w:val="18"/>
          <w:szCs w:val="18"/>
          <w:color w:val="auto"/>
        </w:rPr>
        <w:t xml:space="preserve">, which has been codified in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reporting period beginning in 2020 and interim reporting periods beginning first quarter of 2021, unless the FASB's recent proposal to delay by a year the required adoption date becomes effective. The adoption of ASC 842 will require the Company to recognize non-current assets and liabilities for right-of-use assets and operating lease liabilities on its consolidated balance sheet, but it is not expected to have a material effect on the Company's results of operations or cash flows. ASC 842 will also require additional footnote disclosures to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(ASU 2016-13)</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later codified as ASC 326</w:t>
      </w:r>
      <w:r>
        <w:rPr>
          <w:rFonts w:ascii="Times New Roman" w:cs="Times New Roman" w:eastAsia="Times New Roman" w:hAnsi="Times New Roman"/>
          <w:sz w:val="18"/>
          <w:szCs w:val="18"/>
          <w:i w:val="1"/>
          <w:iCs w:val="1"/>
          <w:color w:val="auto"/>
        </w:rPr>
        <w:t>, Financial Instruments-Credit Losses</w:t>
      </w:r>
      <w:r>
        <w:rPr>
          <w:rFonts w:ascii="Times New Roman" w:cs="Times New Roman" w:eastAsia="Times New Roman" w:hAnsi="Times New Roman"/>
          <w:sz w:val="18"/>
          <w:szCs w:val="18"/>
          <w:color w:val="auto"/>
        </w:rPr>
        <w:t>. This new guidance will change how entities account for credit impairment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ASU 2018-19, </w:t>
      </w:r>
      <w:r>
        <w:rPr>
          <w:rFonts w:ascii="Times New Roman" w:cs="Times New Roman" w:eastAsia="Times New Roman" w:hAnsi="Times New Roman"/>
          <w:sz w:val="18"/>
          <w:szCs w:val="18"/>
          <w:i w:val="1"/>
          <w:iCs w:val="1"/>
          <w:color w:val="auto"/>
        </w:rPr>
        <w:t>Codification Improvements to Topic 326, Financial Instruments – Credit Losses</w:t>
      </w:r>
      <w:r>
        <w:rPr>
          <w:rFonts w:ascii="Times New Roman" w:cs="Times New Roman" w:eastAsia="Times New Roman" w:hAnsi="Times New Roman"/>
          <w:sz w:val="18"/>
          <w:szCs w:val="18"/>
          <w:color w:val="auto"/>
        </w:rPr>
        <w:t>, was issued in November 2018 and excludes operating leases from the new guidance.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As an EGC, the ASU is effective for annual periods beginning in 2021 and interim periods within annual periods beginning in 2022, unless the FASB's recent proposal to delay the required adoption date becomes effective.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 (ASU 2016-15)</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is effective for the Company for years beginning in 2019 and interim periods within years beginning in 2020. The Company is evaluating the effect this ASU will have on its consolidated statement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Testing (ASU 2017-04)</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ASU 2017-04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in 2022. The impact that ASU 2017-04 may have on the Company's financial condition or results of operations will depend on the circumstances of any goodwill impairment event that may occur after adoption.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Payments to Non-Employees (ASU 2018-07)</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Share-based Payments to Non-Employees</w:t>
      </w:r>
      <w:r>
        <w:rPr>
          <w:rFonts w:ascii="Times New Roman" w:cs="Times New Roman" w:eastAsia="Times New Roman" w:hAnsi="Times New Roman"/>
          <w:sz w:val="18"/>
          <w:szCs w:val="18"/>
          <w:color w:val="auto"/>
        </w:rPr>
        <w:t xml:space="preserve">,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in the first quarter of 2021, but not before the Company adopts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The Company is evaluating the impact this ASU will have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Disclosures for Fair Value Measurements (ASU 2018-13)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 Changes to the Disclosure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Fair Value Measurement</w:t>
      </w:r>
      <w:r>
        <w:rPr>
          <w:rFonts w:ascii="Times New Roman" w:cs="Times New Roman" w:eastAsia="Times New Roman" w:hAnsi="Times New Roman"/>
          <w:sz w:val="18"/>
          <w:szCs w:val="18"/>
          <w:color w:val="auto"/>
        </w:rPr>
        <w:t>. This ASU eliminates, adds and modifies certain disclosure requirements for fair value measurements as part of the FASB's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framework project. For all entities, this ASU is effective for annual and interim reporting periods beginning in 2020. Certain amendments must be applied prospectively while others are to be applied on a retrospective basis to all periods presented. As disclosure guidance, the adoption of this ASU will not have an effect on the Company's financial position,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Costs Incurred in Cloud Computing Arrangements (ASU 2018-15)</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Implementation Costs Incurred in Cloud Computing Arrangements</w:t>
      </w:r>
      <w:r>
        <w:rPr>
          <w:rFonts w:ascii="Times New Roman" w:cs="Times New Roman" w:eastAsia="Times New Roman" w:hAnsi="Times New Roman"/>
          <w:sz w:val="18"/>
          <w:szCs w:val="18"/>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in 2021, and interim periods within annual periods beginning in 2022. The amendments should be applied either retrospectively or prospectively to all implementation costs incurred after the date of adoption. The Company is evaluating the impact this ASU will have on its consolidated financial statements.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 and receivables are attributable to merchant customer transactions, which are processed by third-party payment processors.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one merchant customer accounted for 10% or more of the Company's consolidated revenue for any period presented.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ACQUISITIONS AND CONTRIBUTIONS OF ASSETS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YapStone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2019, the Company, through one of its subsidiaries, Priority Real Estate Technology, LLC ("PRET"), acquired certain assets and assumed certain related liabilities (the "YapStone net assets") from YapStone under an asset purchase and contribution agreement. The purchase price for the YapStone net assets was $65.0 million in cash plus a non-controlling interest in PRET.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fair value of the non-controlling interest was estimated to be approximately $5.7 million. The total purchase price was assigned to customer relationships, except for $1.0 million and $1.2 million which were assigned to a software license agreement and a services agreement, respectively. The $65.0 million of cash was funded from a draw down of the credit facilities (the "Senior Credit Facility") under a senior credit agreement with a syndicate of lenders (the "Senior Credit Agreement") on a delayed basis as provided for and pursuant to the third amendment thereto executed in December 2018.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and six months ended June 30, 2019, no earnings of PRET were allocated to the non-controlling interest pursuant to the profit-sharing agreement between the Company and the non-controlling interest.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eTab and Cumulus (Related Party)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2019, a subsidiary of the Company, Priority Hospitality Technology, LLC ("PHOT"), received a contribution of substantially all of the operating assets of eTab, LLC ("eTab") and CUMULUS POS, LLC ("Cumulus") under asset contribution agreements. No material liabilities were assumed by PHOT. These contributed assets were composed substantially of technology-related assets. Prior to these transactions, eTab was 80% owned by the Company's Chairman and Chief Executive Officer. No cash consideration was paid to the contributors of the eTab or Cumulus assets on the date of the transactions. As consideration for these contributed assets, the contributors were issued redeemable preferred equity interests in PHOT. Under these redeemable preferred equity interests, the contributors are eligible to receive up to $4.5 million of profits earned by PHOT, plus a preferred yield (6% per annum) on any of the $4.5 million amount that has not been distributed to them. The Company's Chairman and Chief Executive Officer owns 83.3% of the redeemable preferred equity interests in PHOT. Once a total of $4.5 million plus the preferred yield has been distributed to the holders of the redeemable preferred equity interests, the redeemable preferred equity interests will cease to exist. The Company determined that the contributor's carrying value of the eTab net assets (as a common control transaction under GAAP) was not material. Under the guidance for a common control transaction, the contribution of the eTab net assets did not result in a change of entity or the receipt of a business, therefore the Company's financial statements for prior periods have not been adjusted to reflect the historical results attributable to the eTab net assets. Additionally, no material amount was estimated for the fair value of the contributed Cumulus net assets.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plans are to leverage and synergize its existing technology, expertise, and business relationships to enable the contributed assets of eTab and Cumulus to become more meaningful in the future.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limited liability company agreement of PHOT, any material future earnings generated by the eTab and Cumulus assets that are attributable to the holders of the preferred equity interests will be reported by the Company as a form of non-controlling interests ("NCI") classified as mezzanine equity on the Company's consolidated balance sheet until $4.5 million and the preferred yield have been distributed to the holders of the preferred equity interests. Subsequent changes, if material, in the value of the NCI will be reported as an equity transaction between the Company's consolidated retained earnings (accumulated deficit) and any carrying value of the NCI in mezzanine equity. Such amounts were not material to the Company's results of operations, financial position, or cash flows for the period covering February 1, 2019 (date the assets were contributed to the Company) and June 30, 2019, and therefore no recognition of the NCI has been reflected in the Company's unaudited condensed consolidated financial statements and accompanying footnotes.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Residual Portfolio Acquisition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March 15, 2019, a subsidiary of the Company paid $15.2 million cash to acquire certain residual portfolio rights. Of the $15.2 million, $5.0 million was funded from a delayed draw down of the Senior Credit Facility as provided for and pursuant to the third amendment thereto executed in December 2018.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Additionally, a $10.0 million draw was made against the revolving credit facility under the Senior Credit Facility and cash on hand was used to fund the remaining amount. The purchase price may be subject to an increase of up to $6.4 million in accordance with the terms of the agreement between the Company and the sellers. Any additional purchase price, if any, will be accounted for when payment to the seller becomes probable and it will be added to the carrying value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SETTLEMENT ASSETS AND OBLIGATIONS</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standards of the card networks restrict non-members, such as the Company, from performing funds settlement or accessing merchant settlement funds. Instead, these funds must be in the possession of the member bank until the merchant is funded. The Company has relationships with member banks to facilitate payment transactions. These agreements allow the Company to route transactions under a member bank's control to process and clear transactions through card networks. Amounts for payment card settlements included in settlement assets and obligations on the Company's consolidated balance sheets represent intermediary balances arising in the settlement process.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Held For ACH Customers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ACH business component that conducts business as ACH.com, the Company earns revenue by processing ACH transactions for financial institutions and other business customers. Certain customers establish and maintain reserves with the Company to cover potential losses in processing ACH transactions. These reserves are held in bank accounts controlled by the Company. As such, the Company recognizes the cash balances within restricted cash and settlement obligations on its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Reserves and Estimated Shortfalls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agreements between the Company and merchants, merchants assume liability for obligations such as chargebacks, customer disputes, and unfilled orders. However, under its risk-based underwriting policy, the Company may require certain merchants to establish and maintain reserves designed to protect the Company from anticipated obligations such as chargebacks, customer disputes, and unfilled orders. A merchant reserve account is funded by the merchant and held by a sponsor bank during the term of the merchant agreement. Unused merchant reserves are returned to the merchant after termination of the merchant agreement or in certain instances upon a reassessment of risks during the term of the merchant agreement. Sponsor banks held merchant reserves of approximately $99.9 million and $186.2 million at June 30, 2019 and December 31, 2018, respectively. Since these merchant reserves held at sponsor banks are not assets of the Company and the associated risks are not liabilities of the Company, neither is recognized on the Company's consolidated balance sheets.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the amount in a merchant reserve is insufficient to cover expected or incurred losses, the Company may be liable to cover the shortfall. The Company recognized a liability for estimated shortfalls of approximately $2.0 million and $2.0 million at June 30, 2019 and December 31, 2018, respectively. The liabilities are included in the Company's consolidated balance sheet as contra balances against settlement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settlement assets and obligations at June 30, 2019 and December 31, 2018 were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0" w:type="dxa"/>
            <w:vAlign w:val="bottom"/>
            <w:tcBorders>
              <w:bottom w:val="single" w:sz="8" w:color="auto"/>
            </w:tcBorders>
            <w:shd w:val="clear" w:color="auto" w:fill="CCEEFF"/>
          </w:tcPr>
          <w:p>
            <w:pPr>
              <w:spacing w:after="0"/>
              <w:rPr>
                <w:sz w:val="23"/>
                <w:szCs w:val="23"/>
                <w:color w:val="auto"/>
              </w:rPr>
            </w:pPr>
          </w:p>
        </w:tc>
      </w:tr>
      <w:tr>
        <w:trPr>
          <w:trHeight w:val="237"/>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Settlement Assets:</w:t>
            </w: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2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 settlements due from merchants, net of estimated losses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r>
      <w:tr>
        <w:trPr>
          <w:trHeight w:val="243"/>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Card settlements due from processors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6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settlement assets (1)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w:t>
            </w: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71"/>
        </w:trPr>
        <w:tc>
          <w:tcPr>
            <w:tcW w:w="6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Settlement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Card settlements due to merchants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r>
      <w:tr>
        <w:trPr>
          <w:trHeight w:val="27"/>
        </w:trPr>
        <w:tc>
          <w:tcPr>
            <w:tcW w:w="6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ACH payees (2)</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10,355</w:t>
            </w:r>
          </w:p>
        </w:tc>
      </w:tr>
      <w:tr>
        <w:trPr>
          <w:trHeight w:val="257"/>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Settlement Obligations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11,132</w:t>
            </w: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within prepaid expenses and other current assets on the Company's consolidated balance sheet.</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ACH payees are held by the Company in restricted cash.</w:t>
      </w:r>
    </w:p>
    <w:p>
      <w:pPr>
        <w:spacing w:after="0" w:line="23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goodwill when an acquisition is made and the purchase price is greater than the fair value assigned to the underlying tangible and intangible assets acquired and the liabilities assumed. The Company's goodwill was allocated to reportable segments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42"/>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 Payments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106,832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106,832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Payments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Integrated Partners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2,683</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109,515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carrying amount of goodwill for the quarter and six months ended June 30, 2019.</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intangible assets primarily include merchant portfolios and other intangible assets such as non-compete agreements, trade names, acquired technology (developed internally by acquired companies prior to acquisition by the Company) and customer relationships. As of June 30, 2019 and December 31, 2018, intangible assets consisted of the following:</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Merchant portfolios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137,576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Non-compete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3,390</w:t>
            </w: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Acquired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14,390</w:t>
            </w: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55,940</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gross carrying value</w:t>
            </w: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301,060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214,166</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Merchant portfolios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(48,492)</w:t>
            </w: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Non-compete agreements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43"/>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Acquired technology</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(26,408)</w:t>
            </w:r>
          </w:p>
        </w:tc>
      </w:tr>
      <w:tr>
        <w:trPr>
          <w:trHeight w:val="237"/>
        </w:trPr>
        <w:tc>
          <w:tcPr>
            <w:tcW w:w="7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(105,176)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(89,529)</w:t>
            </w: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55"/>
        </w:trPr>
        <w:tc>
          <w:tcPr>
            <w:tcW w:w="7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64"/>
        </w:trPr>
        <w:tc>
          <w:tcPr>
            <w:tcW w:w="708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Net carrying value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124,637</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Acquisitions and Contributions of Assets</w:t>
      </w:r>
      <w:r>
        <w:rPr>
          <w:rFonts w:ascii="Times New Roman" w:cs="Times New Roman" w:eastAsia="Times New Roman" w:hAnsi="Times New Roman"/>
          <w:sz w:val="18"/>
          <w:szCs w:val="18"/>
          <w:color w:val="auto"/>
        </w:rPr>
        <w:t>, for information about additions made during the first six months of 2019.</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approximately $8.2 million and $15.6 million for the quarter and six months ended June 30, 2019, respectively, and $2.8 million and $5.5 million for the quarter and six months ended June 30, 2018, respectively. Amortization expense for future periods could differ due to new intangible asset acquisitions, changes in useful lives of existing intangible assets, and other relevant events or circumstances.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tests goodwill for impairment for each of its reporting units on an annual basis, or when events occur or circumstances indicate the fair value of a reporting unit is below its carrying value. The Company expects to perform its next annual goodwill impairment test as of November 30, 2019 using market data and discounted cash flow analysis. The Company concluded there were no indicators of impairment as of June 30, 2019 or December 31, 2018. As such, there was no accumulated impairment loss as of June 30, 2019 and December 31, 2018.</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EQUIPMENT AND SOFTWARE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equipment, and software as of June 30, 2019 and December 31, 2018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 years</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8,164</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 years</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software</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27,804</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 years</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44,157</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(26,675)</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17,482</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expense for property, equipment, and software expense totaled $1.6 million and $1.2 million for the quarter ended June 30, 2019 and June 30, 2018, respectively, and $3.0 million and $2.3 million for the six months ended June 30, 2019 and June 30, 2018, respectively.</w:t>
      </w:r>
    </w:p>
    <w:p>
      <w:pPr>
        <w:spacing w:after="0" w:line="3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PAYABLE AND ACCRUED EXPENSES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accrues for certain expenses that have been incurred and not paid, which are classified within accounts payable and accrued expenses in the accompanying consolidated balance sheets.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components of accounts payable and accrued expenses that exceeded five percent of total current liabilities at either June 30, 2019 or December 31, 2018 consisted of the following: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6,193</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network fees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6,971</w:t>
            </w:r>
          </w:p>
        </w:tc>
      </w:tr>
      <w:tr>
        <w:trPr>
          <w:trHeight w:val="27"/>
        </w:trPr>
        <w:tc>
          <w:tcPr>
            <w:tcW w:w="7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Long-term debt, excluding amounts outstanding on the revolving credit facility, as of June 30, 2019 and December 31, 2018 consisted of the following: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621"/>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5"/>
        </w:trPr>
        <w:tc>
          <w:tcPr>
            <w:tcW w:w="708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Term Loan - Senior, matures January 3, 2023 and bears interest at LIBOR plus 5.0% at June 30,</w:t>
            </w: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41"/>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and December 31, 2018 (rate of 7.41% at June 30, 2019 and 7.53% at December 31, 2018)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390,840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322,666</w:t>
            </w:r>
          </w:p>
        </w:tc>
      </w:tr>
      <w:tr>
        <w:trPr>
          <w:trHeight w:val="225"/>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 - Subordinated, matures July 3, 2023 and bears interest at 5.0% plus payment-in-kind</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4"/>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of 10.5% at June 30, 2019 and December 31, 2018)</w:t>
            </w:r>
          </w:p>
        </w:tc>
        <w:tc>
          <w:tcPr>
            <w:tcW w:w="30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90,016</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483,335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412,682</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unamortized debt discounts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472,503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402,095</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assets are pledged as collateral under the Senior Credit Agreement and under a credit and guaranty agreement with Goldman Sachs Specialty Lending Group, L.P. (the "GS Credit Agreement"). However, the Company, as the parent entity, is neither a borrower nor a guarantor of this aforementioned debt. The Company's subsidiaries that are borrowers or guarantors are referred to as the "Borrowers."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December 2018 modification of the Senior Credit Agreement and the GS Credit Agreement (collectively, the "Third Amendment") included a delayed draw basis amount of $70.0 million. Until the additional $70.0 million, net of a $350,000 discount, was drawn in March 2019, the Borrowers were assessed a fee on the undrawn amounts. This fee amounted to $0.4 million in the first quarter of 2019.</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2019, the Senior Credit Agreement has a maximum borrowing amount of $422.5 million consisting of a $397.5 million term loan and a $25.0 million revolving credit facility. The allowed borrowings amount under the GS Credit Agreement is $80.0 million, excluding payment-in-kind interest.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mature on January 3, 2023, with the exception of the revolving credit facility which expires on January 2, 2022. Any amounts outstanding under the revolving credit facility must be paid in full before the maturity date of January 2, 2022. The GS Credit Agreement matures on July 3,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2019, there was $14.0 million outstanding on the revolving credit facility; no amount was outstanding as of December 31, 2018. The variable interest rate on the revolving credit facility was 7.4% at June 30, 2019. Undrawn commitment for a letter of credit under the revolving credit facility was approximately $0.1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Third Amendment, borrowings under the Senior Credit Agreement are subject to an applicable margin, or percentage per annum, equal to: (i) with respect to Initial Term Loans, (a) for LIBOR Rate Loans, 5.00% per annum and (b) for Base Rate Loans, 4.00% per annum; and (ii) with respect to Revolving Loans (a) for LIBOR Rate Loans and Letter of Credit fees, 5.00% per annum, (b) for Base Rate Loans, 4.00% per annum, and (c) for unused commitment fees, 0.50% per annum.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Senior Credit Agreement, the Borrowers are required to make quarterly principal payments of approximately $1.0 million. Additionally, the Borrowers may be obligated to make certain additional mandatory prepayments based on excess cash flow, as defined in the Senior Credit Agreement. No such prepayment was due for the year ended December 31, 2018.</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Contractual principal payments for long-term debt, excluding amounts outstanding on the revolving credit agreement, due after June 30, 2019 are as follows: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257175</wp:posOffset>
            </wp:positionV>
            <wp:extent cx="345440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4400" cy="171450"/>
                    </a:xfrm>
                    <a:prstGeom prst="rect">
                      <a:avLst/>
                    </a:prstGeom>
                    <a:noFill/>
                  </pic:spPr>
                </pic:pic>
              </a:graphicData>
            </a:graphic>
          </wp:anchor>
        </w:drawing>
      </w:r>
    </w:p>
    <w:p>
      <w:pPr>
        <w:spacing w:after="0" w:line="39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1" w:lineRule="exact"/>
        <w:rPr>
          <w:sz w:val="20"/>
          <w:szCs w:val="20"/>
          <w:color w:val="auto"/>
        </w:rPr>
      </w:pPr>
    </w:p>
    <w:tbl>
      <w:tblPr>
        <w:tblLayout w:type="fixed"/>
        <w:tblInd w:w="2920" w:type="dxa"/>
        <w:tblCellMar>
          <w:top w:w="0" w:type="dxa"/>
          <w:left w:w="0" w:type="dxa"/>
          <w:bottom w:w="0" w:type="dxa"/>
          <w:right w:w="0" w:type="dxa"/>
        </w:tblCellMar>
      </w:tblPr>
      <w:tr>
        <w:trPr>
          <w:trHeight w:val="23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Twelve-month period ending June 30,</w:t>
            </w: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Principal Due</w:t>
            </w:r>
          </w:p>
        </w:tc>
      </w:tr>
      <w:tr>
        <w:trPr>
          <w:trHeight w:val="27"/>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3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7"/>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7"/>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378,819</w:t>
            </w:r>
          </w:p>
        </w:tc>
      </w:tr>
      <w:tr>
        <w:trPr>
          <w:trHeight w:val="24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92,495</w:t>
            </w:r>
          </w:p>
        </w:tc>
      </w:tr>
      <w:tr>
        <w:trPr>
          <w:trHeight w:val="27"/>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483,335</w:t>
            </w: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2019 and June 30, 2018, payment-in-kind (PIK) interest under the GS Credit Agreement added $2.5 million and $2.4 million, respectively, to the principal amount of the subordinated debt.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quarters ended June 30, 2019 and June 30, 2018, interest expense, including amortization of deferred financing costs and debt discounts, was $10.8 million and $7.6 million, respectively, and these amounts for the six month ended June 30, 2019 and June 30, 2018, were $20.1 million and $14.6 million, respectively. Deferred financing costs and debt discounts are being amortized using the effective interest method over the remaining term of the respective debt and are recorded as a component of interest expense. Interest expense related to amortization of deferred finance costs and debt discounts was approximately $0.4 million and $0.3 million for the quarters ended June 30, 2019 and 2018, respectively, and $0.8 million and $0.7 for the six months ended June 30, 2019 and June 30, 2018,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Senior Credit Agreement and the GS Credit Agreement, as amended,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Company's subsidiaries to the Company, merge or consolidate, dispose of assets, incur additional indebtedness, make certain investments or acquisitions, enter into certain transactions (including with affiliates), and to enter into certain leases. Substantially all of the Borrowers' assets are pledged as collateral under the Senior Credit Agreement and GS Credit Agreement. The Borrowers are also required to comply with certain restrictions on their Total Net Leverage Ratio (as defined in the Senior Credit Agreement and GS Credit Agreement). As of June 30, 2019 and December 31, 2018, the Borrowers were in compliance with the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July 25, 2018, substantially all of the Company's operations were conducted through pass-through entities for income tax purposes, and as such the Company had no material income tax accounting reflected in its financial statements for financial reporting purposes since substantially all taxable income and deductions were "passed through" to unconsolidated owners. Effective July 25, 2018, the Company is a "C Corp" and reports its income and deductions for income tax purposes. Accordingly, effective July 25, 2018, the consolidated financial statements of the Company reflect the accounting for income taxes in accordance with ASC 740, Income Taxes. The Company's unaudited condensed consolidated financial statements for the quarter and six months ended June 30, 2018 reflect unaudited pro-forma income tax disclosure amounts to illustrate the income tax effects had the Company been subject to federal and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 for Deferred Income Tax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the Company is required to provide a valuation allowance against deferred tax assets when it is “more likely than not” that some portion or all of the deferred tax assets will not be realized.</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Among other provisions, the Tax Cuts and Jobs Act of 2017 amended Internal Revenue Code Section 163(j) to create limitations on the deductibility of business interest expense. Section 163(j) limits the business 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With respect to recording a deferred tax benefit for the carryforward of business interest, the Company is required to apply the “more likely than not” threshold for assessing recoverability. Based on management’s assessment, the Company recorded a valuation allowance in the second quarter of 2019 of </w:t>
      </w:r>
      <w:r>
        <w:rPr>
          <w:rFonts w:ascii="Times New Roman" w:cs="Times New Roman" w:eastAsia="Times New Roman" w:hAnsi="Times New Roman"/>
          <w:sz w:val="18"/>
          <w:szCs w:val="18"/>
          <w:color w:val="222222"/>
        </w:rPr>
        <w:t xml:space="preserve">$7.9 million </w:t>
      </w:r>
      <w:r>
        <w:rPr>
          <w:rFonts w:ascii="Times New Roman" w:cs="Times New Roman" w:eastAsia="Times New Roman" w:hAnsi="Times New Roman"/>
          <w:sz w:val="18"/>
          <w:szCs w:val="18"/>
          <w:color w:val="000000"/>
        </w:rPr>
        <w:t>for the business interest carryover comprised of (i) a discrete provision of</w:t>
      </w:r>
      <w:r>
        <w:rPr>
          <w:rFonts w:ascii="Times New Roman" w:cs="Times New Roman" w:eastAsia="Times New Roman" w:hAnsi="Times New Roman"/>
          <w:sz w:val="18"/>
          <w:szCs w:val="18"/>
          <w:color w:val="222222"/>
        </w:rPr>
        <w:t xml:space="preserve"> $2.7 million </w:t>
      </w:r>
      <w:r>
        <w:rPr>
          <w:rFonts w:ascii="Times New Roman" w:cs="Times New Roman" w:eastAsia="Times New Roman" w:hAnsi="Times New Roman"/>
          <w:sz w:val="18"/>
          <w:szCs w:val="18"/>
          <w:color w:val="000000"/>
        </w:rPr>
        <w:t>associated with the 2018 business interest deferred tax</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asset and (ii) a provision of </w:t>
      </w:r>
      <w:r>
        <w:rPr>
          <w:rFonts w:ascii="Times New Roman" w:cs="Times New Roman" w:eastAsia="Times New Roman" w:hAnsi="Times New Roman"/>
          <w:sz w:val="18"/>
          <w:szCs w:val="18"/>
          <w:color w:val="222222"/>
        </w:rPr>
        <w:t>$5.2 million</w:t>
      </w:r>
      <w:r>
        <w:rPr>
          <w:rFonts w:ascii="Times New Roman" w:cs="Times New Roman" w:eastAsia="Times New Roman" w:hAnsi="Times New Roman"/>
          <w:sz w:val="18"/>
          <w:szCs w:val="18"/>
          <w:color w:val="000000"/>
        </w:rPr>
        <w:t xml:space="preserve"> associated with the 2019 excess business interest. This </w:t>
      </w:r>
      <w:r>
        <w:rPr>
          <w:rFonts w:ascii="Times New Roman" w:cs="Times New Roman" w:eastAsia="Times New Roman" w:hAnsi="Times New Roman"/>
          <w:sz w:val="18"/>
          <w:szCs w:val="18"/>
          <w:color w:val="222222"/>
        </w:rPr>
        <w:t>$7.9 million</w:t>
      </w:r>
      <w:r>
        <w:rPr>
          <w:rFonts w:ascii="Times New Roman" w:cs="Times New Roman" w:eastAsia="Times New Roman" w:hAnsi="Times New Roman"/>
          <w:sz w:val="18"/>
          <w:szCs w:val="18"/>
          <w:color w:val="000000"/>
        </w:rPr>
        <w:t xml:space="preserve"> provision is included in income tax expense in the Company’s unaudited condensed consolidated statements of operations for the quarter and six months ended June 30, 2019.</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continue to evaluate the realizability of the deferred tax assets on a quarterly basis and, as a result, the valuation allowance may change in future periods.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As of June 30 2019, the net amount of our unrecognized tax benefits was not material.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and income tax in multiple state jurisdictions. Tax periods for 2015 and all years thereafter remain open to examination by the federal and state taxing jurisdictions and tax periods for 2014 and all years thereafter remain open for certain state taxing jurisdictions to which the Company is subject.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for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recognized contingent consideration related to prior business acquisitions, see Note 14,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GAAP that applies to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 For the Company's acquisition of certain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merchant portfolio assets from Direct Connect Merchant Services, LLC in December 2018, the purchase price includes cash contingent consideration of up to approximately $7.3 million, determinable over a period that ends on December 31, 2019. For a separate asset acquisition from another entity that occurred in March 2019 for certain merchant portfolio residual rights (Note 2, </w:t>
      </w:r>
      <w:r>
        <w:rPr>
          <w:rFonts w:ascii="Times New Roman" w:cs="Times New Roman" w:eastAsia="Times New Roman" w:hAnsi="Times New Roman"/>
          <w:sz w:val="18"/>
          <w:szCs w:val="18"/>
          <w:i w:val="1"/>
          <w:iCs w:val="1"/>
          <w:color w:val="auto"/>
        </w:rPr>
        <w:t>Acquisitions and Contributions of Assets)</w:t>
      </w:r>
      <w:r>
        <w:rPr>
          <w:rFonts w:ascii="Times New Roman" w:cs="Times New Roman" w:eastAsia="Times New Roman" w:hAnsi="Times New Roman"/>
          <w:sz w:val="18"/>
          <w:szCs w:val="18"/>
          <w:color w:val="auto"/>
        </w:rPr>
        <w:t>, the purchase price includes cash contingent consideration of up to $6.4 million covering a period of time that extends three years from the date of acquisition. Any additional purchase price, if any, will be accounted for when payment to the seller becomes probable and it will be added to the carrying value of the asset.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Lend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Related Party and Other Transactions</w:t>
      </w:r>
      <w:r>
        <w:rPr>
          <w:rFonts w:ascii="Times New Roman" w:cs="Times New Roman" w:eastAsia="Times New Roman" w:hAnsi="Times New Roman"/>
          <w:sz w:val="18"/>
          <w:szCs w:val="18"/>
          <w:color w:val="auto"/>
        </w:rPr>
        <w:t>, for information on a loan commitment extended by the Company to another entity.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 PARTY AND OTHER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Acquisitions and Contributions of Assets</w:t>
      </w:r>
      <w:r>
        <w:rPr>
          <w:rFonts w:ascii="Times New Roman" w:cs="Times New Roman" w:eastAsia="Times New Roman" w:hAnsi="Times New Roman"/>
          <w:sz w:val="18"/>
          <w:szCs w:val="18"/>
          <w:color w:val="auto"/>
        </w:rPr>
        <w:t>, for information about the acquisitions of certain assets and liabilities of eTab and Cumulus.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22, 2019, the Company, through one of its wholly-owned subsidiaries, executed an interest-bearing loan and commitment agreement with another entity. The Company loaned the entity $3.0 million, with a commitment to loan up to $10.0 million based on certain growth metrics of the entity and continued compliance by the entity with the terms and covenants of the agreement. The Company's commitment to make additional advances under the loan agreement is dependent upon such advances not conflicting with covenants or restrictions under any of the Company's debt or other applicable agreements. Amounts loaned to this entity by the Company are secured by substantially all of the assets of the entity and by a personal guarantee. The note receivable has an interest rate of 12.0% per annum and is repayable in full in May 2024. The Company also received a warrant to purchase a non-controlling interest in this entity's equity at a fixed amount. The loan agreement also gives the Company certain rights to purchase some or all of this entity's equity in the future, at the entity's then-current fair value. The fair values of the warrant, loan commitment, and purchase right were not material at inception or at June 30,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STOCKHOLDERS' EQUITY (DEFICIT) AND NON-CONTROLLING INTEREST</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the beginning and ending carrying amounts of equity (deficit) attributable to stockholders of the Company, and equity attributable to non-controlling interest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200025</wp:posOffset>
            </wp:positionV>
            <wp:extent cx="6694805" cy="857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94805" cy="857250"/>
                    </a:xfrm>
                    <a:prstGeom prst="rect">
                      <a:avLst/>
                    </a:prstGeom>
                    <a:noFill/>
                  </pic:spPr>
                </pic:pic>
              </a:graphicData>
            </a:graphic>
          </wp:anchor>
        </w:drawing>
      </w:r>
    </w:p>
    <w:p>
      <w:pPr>
        <w:spacing w:after="0" w:line="29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Total Priority</w:t>
      </w:r>
    </w:p>
    <w:tbl>
      <w:tblPr>
        <w:tblLayout w:type="fixed"/>
        <w:tblInd w:w="360" w:type="dxa"/>
        <w:tblCellMar>
          <w:top w:w="0" w:type="dxa"/>
          <w:left w:w="0" w:type="dxa"/>
          <w:bottom w:w="0" w:type="dxa"/>
          <w:right w:w="0" w:type="dxa"/>
        </w:tblCellMar>
      </w:tblPr>
      <w:tr>
        <w:trPr>
          <w:trHeight w:val="225"/>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Technology</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5"/>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w:t>
            </w:r>
          </w:p>
        </w:tc>
        <w:tc>
          <w:tcPr>
            <w:tcW w:w="1600" w:type="dxa"/>
            <w:vAlign w:val="bottom"/>
            <w:gridSpan w:val="4"/>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9"/>
                <w:szCs w:val="19"/>
                <w:color w:val="auto"/>
              </w:rPr>
            </w:pPr>
          </w:p>
        </w:tc>
        <w:tc>
          <w:tcPr>
            <w:tcW w:w="14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Holdings,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5"/>
            <w:vMerge w:val="continue"/>
            <w:shd w:val="clear" w:color="auto" w:fill="CCEEFF"/>
          </w:tcPr>
          <w:p>
            <w:pPr>
              <w:spacing w:after="0"/>
              <w:rPr>
                <w:sz w:val="19"/>
                <w:szCs w:val="19"/>
                <w:color w:val="auto"/>
              </w:rPr>
            </w:pPr>
          </w:p>
        </w:tc>
        <w:tc>
          <w:tcPr>
            <w:tcW w:w="1600" w:type="dxa"/>
            <w:vAlign w:val="bottom"/>
            <w:gridSpan w:val="4"/>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5"/>
            <w:vMerge w:val="continue"/>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Inc.</w:t>
            </w:r>
          </w:p>
        </w:tc>
        <w:tc>
          <w:tcPr>
            <w:tcW w:w="14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Non-</w:t>
            </w: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Paid-In</w:t>
            </w:r>
          </w:p>
        </w:tc>
        <w:tc>
          <w:tcPr>
            <w:tcW w:w="114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1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Stockholders'</w:t>
            </w:r>
          </w:p>
        </w:tc>
        <w:tc>
          <w:tcPr>
            <w:tcW w:w="8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Controlling</w:t>
            </w:r>
          </w:p>
        </w:tc>
        <w:tc>
          <w:tcPr>
            <w:tcW w:w="0" w:type="dxa"/>
            <w:vAlign w:val="bottom"/>
          </w:tcPr>
          <w:p>
            <w:pPr>
              <w:spacing w:after="0"/>
              <w:rPr>
                <w:sz w:val="1"/>
                <w:szCs w:val="1"/>
                <w:color w:val="auto"/>
              </w:rPr>
            </w:pPr>
          </w:p>
        </w:tc>
      </w:tr>
      <w:tr>
        <w:trPr>
          <w:trHeight w:val="261"/>
        </w:trPr>
        <w:tc>
          <w:tcPr>
            <w:tcW w:w="1480" w:type="dxa"/>
            <w:vAlign w:val="bottom"/>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9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2"/>
                <w:szCs w:val="22"/>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(Deficit)</w:t>
            </w:r>
          </w:p>
        </w:tc>
        <w:tc>
          <w:tcPr>
            <w:tcW w:w="120" w:type="dxa"/>
            <w:vAlign w:val="bottom"/>
          </w:tcPr>
          <w:p>
            <w:pPr>
              <w:spacing w:after="0"/>
              <w:rPr>
                <w:sz w:val="22"/>
                <w:szCs w:val="2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(Deficit)</w:t>
            </w:r>
          </w:p>
        </w:tc>
        <w:tc>
          <w:tcPr>
            <w:tcW w:w="140" w:type="dxa"/>
            <w:vAlign w:val="bottom"/>
          </w:tcPr>
          <w:p>
            <w:pPr>
              <w:spacing w:after="0"/>
              <w:rPr>
                <w:sz w:val="22"/>
                <w:szCs w:val="22"/>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Interest</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73,110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 to</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members (a)</w:t>
            </w:r>
          </w:p>
        </w:tc>
        <w:tc>
          <w:tcPr>
            <w:tcW w:w="100" w:type="dxa"/>
            <w:vAlign w:val="bottom"/>
          </w:tcPr>
          <w:p>
            <w:pPr>
              <w:spacing w:after="0"/>
              <w:rPr>
                <w:sz w:val="20"/>
                <w:szCs w:val="20"/>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Member</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(a)</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Pro-rata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 for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(a)</w:t>
            </w:r>
          </w:p>
        </w:tc>
        <w:tc>
          <w:tcPr>
            <w:tcW w:w="100" w:type="dxa"/>
            <w:vAlign w:val="bottom"/>
          </w:tcPr>
          <w:p>
            <w:pPr>
              <w:spacing w:after="0"/>
              <w:rPr>
                <w:sz w:val="20"/>
                <w:szCs w:val="20"/>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1"/>
                <w:szCs w:val="21"/>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2018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59,821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14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Distribution to</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members (a)</w:t>
            </w:r>
          </w:p>
        </w:tc>
        <w:tc>
          <w:tcPr>
            <w:tcW w:w="100" w:type="dxa"/>
            <w:vAlign w:val="bottom"/>
          </w:tcPr>
          <w:p>
            <w:pPr>
              <w:spacing w:after="0"/>
              <w:rPr>
                <w:sz w:val="20"/>
                <w:szCs w:val="20"/>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1"/>
                <w:szCs w:val="21"/>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60,071</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67,038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Equity-based</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redemptions</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1"/>
                <w:szCs w:val="21"/>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non-</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controlling</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2019</w:t>
            </w:r>
          </w:p>
        </w:tc>
        <w:tc>
          <w:tcPr>
            <w:tcW w:w="100" w:type="dxa"/>
            <w:vAlign w:val="bottom"/>
          </w:tcPr>
          <w:p>
            <w:pPr>
              <w:spacing w:after="0"/>
              <w:rPr>
                <w:sz w:val="20"/>
                <w:szCs w:val="20"/>
                <w:color w:val="auto"/>
              </w:rPr>
            </w:pPr>
          </w:p>
        </w:tc>
        <w:tc>
          <w:tcPr>
            <w:tcW w:w="5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67,458</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(91,986)</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Equity-based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Repurchases of</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20"/>
                <w:szCs w:val="20"/>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2019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67,007</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(2,388)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21" w:right="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Before reverse acquisition and recapitalization on July 25, 2018. See "Corporate Matters" in Note 1, </w:t>
      </w:r>
      <w:r>
        <w:rPr>
          <w:rFonts w:ascii="Times New Roman" w:cs="Times New Roman" w:eastAsia="Times New Roman" w:hAnsi="Times New Roman"/>
          <w:sz w:val="16"/>
          <w:szCs w:val="16"/>
          <w:i w:val="1"/>
          <w:iCs w:val="1"/>
          <w:color w:val="auto"/>
        </w:rPr>
        <w:t>Nature of Business and Basis of Presentation</w:t>
      </w:r>
      <w:r>
        <w:rPr>
          <w:rFonts w:ascii="Times New Roman" w:cs="Times New Roman" w:eastAsia="Times New Roman" w:hAnsi="Times New Roman"/>
          <w:sz w:val="16"/>
          <w:szCs w:val="16"/>
          <w:color w:val="auto"/>
        </w:rPr>
        <w:t>.</w:t>
      </w:r>
    </w:p>
    <w:p>
      <w:pPr>
        <w:spacing w:after="0" w:line="2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 value of the common shares issued in connection with the warrant exchange rounds to less than one thousand dollars (see Note 12, </w:t>
      </w:r>
      <w:r>
        <w:rPr>
          <w:rFonts w:ascii="Times New Roman" w:cs="Times New Roman" w:eastAsia="Times New Roman" w:hAnsi="Times New Roman"/>
          <w:sz w:val="16"/>
          <w:szCs w:val="16"/>
          <w:i w:val="1"/>
          <w:iCs w:val="1"/>
          <w:color w:val="auto"/>
        </w:rPr>
        <w:t>Equity</w:t>
      </w:r>
      <w:r>
        <w:rPr>
          <w:rFonts w:ascii="Times New Roman" w:cs="Times New Roman" w:eastAsia="Times New Roman" w:hAnsi="Times New Roman"/>
          <w:sz w:val="16"/>
          <w:szCs w:val="16"/>
          <w:color w:val="auto"/>
        </w:rPr>
        <w:t>).</w:t>
      </w:r>
    </w:p>
    <w:p>
      <w:pPr>
        <w:spacing w:after="0" w:line="3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2222"/>
        </w:rPr>
        <w:t>The Company is authorized to issue 100,000,000 shares of preferred stock with such designations, voting and other rights and preferences as may be determined from time to time by the board of directors. As of June 30, 2019 and December 31, 2018, the Company has not issued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Repurchases of the Company's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2222"/>
        </w:rPr>
        <w:t>During the second quarter of 2019, the Company repurchased a total of 451,224 shares of its common stock at an average price of $5.29 per share. Total cash paid by the Company was approximately $2.4 million. The repurchases were authorized under a December 2018 resolution by the Company's board of directors, which expired during the second quarter of 2019.</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Warrants for the Company's Common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In August 2018, the Company was informed by Nasdaq that it intended to delist the Company's outstanding warrants and units due to an insufficient number of round lot holders for the public warrants. The Company subsequently filed a Registration Statement on Form S-4 with the SEC for the purpose of offering holders of the Company's outstanding 5,310,109 public warrants and 421,107 private warrants the opportunity to exchange each warrant for 0.192 shares of the Company's common stock. The exchange offer expired in February 2019 resulting in a portion of the warrants being tendered in exchange for approximately 420,000 shares of the Company's common stock plus cash in lieu of fractional shares. Nasdaq proceeded to delist the remaining outstanding warrants and units, which were comprised of one share of common stock and one warrant, from The Nasdaq Global Market at the open of business on March 6, 2019. The delisting of the remaining outstanding warrants and units had no impact on the Company's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Earn-Out Consideration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22222"/>
        </w:rPr>
        <w:t xml:space="preserve">An additional 9.8 million common shares may be issued under the Company's Earn-Out Incentive Plan. For the first earn-out of up to 4.9 million common shares, consolidated adjusted EBITDA (as defined in the Earn-Out Incentive Plan) of the Company must have been no less than $82.5 million for the year ended December 31, 2018 and the Company's stock price must trade in excess of $12.00 for any 20 trading days within any consecutive 30-day trading period at any time on or before December 31, 2019. For the second earn-out of up to 4.9 million common shares, consolidated adjusted EBITDA of the Company must be no less than $91.5 million for the year ending December 31, 2019 and the Company's stock price must trade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As of June 30, 2019 and December 31 2018, none of the 9.8 million shares have been earned. Any unvested shares issued to management or directors under compensation plans will be expensed under the provisions of ASC 718, </w:t>
      </w:r>
      <w:r>
        <w:rPr>
          <w:rFonts w:ascii="Times New Roman" w:cs="Times New Roman" w:eastAsia="Times New Roman" w:hAnsi="Times New Roman"/>
          <w:sz w:val="18"/>
          <w:szCs w:val="18"/>
          <w:i w:val="1"/>
          <w:iCs w:val="1"/>
          <w:color w:val="222222"/>
        </w:rPr>
        <w:t>Stock Compensation</w:t>
      </w:r>
      <w:r>
        <w:rPr>
          <w:rFonts w:ascii="Times New Roman" w:cs="Times New Roman" w:eastAsia="Times New Roman" w:hAnsi="Times New Roman"/>
          <w:sz w:val="18"/>
          <w:szCs w:val="18"/>
          <w:color w:val="22222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EQUITY-BASED COMPENSATION PLANS</w:t>
      </w:r>
    </w:p>
    <w:p>
      <w:pPr>
        <w:spacing w:after="0" w:line="200" w:lineRule="exact"/>
        <w:rPr>
          <w:sz w:val="20"/>
          <w:szCs w:val="20"/>
          <w:color w:val="auto"/>
        </w:rPr>
      </w:pPr>
    </w:p>
    <w:p>
      <w:pPr>
        <w:spacing w:after="0" w:line="2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has three equity-based compensation plans: 2018 Equity Incentive Plan; Earnout Incentive Plan; and 2014 Management Incentive Plan. Total equity-based compensation expense for the quarters ended June 30, 2019 and June 30, 2018 was approximately $1.0 million and $0.6 million, respectively, and was $2.2 million and $0.8 million for the six months ended June 30, 2019 and June 30, 2018, respectively. This expense is included in Salary and employee benefits in the accompanying unaudited condensed consolidated statements of operations. Expense recognized by plan was as follows: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64"/>
        </w:trPr>
        <w:tc>
          <w:tcPr>
            <w:tcW w:w="3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380" w:type="dxa"/>
            <w:vAlign w:val="bottom"/>
            <w:tcBorders>
              <w:bottom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2"/>
        </w:trPr>
        <w:tc>
          <w:tcPr>
            <w:tcW w:w="4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4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43"/>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2018</w:t>
            </w: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2014</w:t>
            </w:r>
          </w:p>
        </w:tc>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Incentive Plan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4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Earnout Incentive Plan</w:t>
            </w:r>
          </w:p>
        </w:tc>
        <w:tc>
          <w:tcPr>
            <w:tcW w:w="2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6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0"/>
        </w:trPr>
        <w:tc>
          <w:tcPr>
            <w:tcW w:w="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Grants under the 2018 Equity Incentive Plan began to vest in July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in 2018, the Company elected to recognize the effects of forfeitures on compensation expense as the forfeitures occur for all plans.</w:t>
      </w:r>
    </w:p>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methodology used for the warrants issued to Goldman Sachs Specialty Lending Group, L.P. ("GS") and contingent consideration issued in business combinations, which were recorded and remeasured at fair value at the end of each reporting period.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GS Credit Agreement, warrants issued by Holdings to GS for the purchase of Holdings' Class A common units (each, a "GS Warrant" and collectively, the "GS Warrants") were issued, canceled, and replaced at various times in 2018 and prior years. During the first quarter of 2018, a GS Warrant for the purchase of 1.8% of Holdings' outstanding Class A common units was replaced by a GS Warrant to purchase of 2.2% of Holdings' Class A common units. This new GS Warrant had a term of 7 years, an exercise price of $0, and could be exercised at any time prior to expiration date. Since the obligation was based solely on the fact that the 2.2% interest in the equity of Holdings was fixed and known at inception as well as the fact that GS could exercise the GS Warrant with a settlement in cash any time prior to the expiration date of December 31, 2023, the outstanding GS Warrant was required to be recorded as a liability. At June 30, 2018, the outstanding GS Warrant had a fair value of $12.8 million. A $3.5 million increase in the fair value of the GS Warrant for the quarter and six months ended June 30, 2018, respectively, is included in Other, net in the accompanying unaudited condensed consolidated statements of operations. The GS Warrant was redeemed in full on July 25, 2018.</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GS Warrants were classified as level 3 in the fair value hierarchy. The fair value of the GS warrants was estimated based on the fair value of Holdings using a weighted-average of values derived from generally accepted valuation techniques, including market approaches, which consider the guideline public company method, the guideline transaction method, the recent funding method, and an income approach, which considered discounted cash flows.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Issued in 2018 Business Combinations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fair values of contingent consideration related to the Priority Payment Systems Tech Partners and Priority Payment Systems Northeast business acquisitions are based on a weighted payout probability at the measurement date, which falls within Level 3 on the fair value hierarchy. Both of these acquisitions occurred during the third quarter of 2018. At June 30, 2019 and December 31, 2018, the total fair value of the contingent consideration for both acquisitions was approximately $1.0 million, which was not materially different than the fair values on their original measurement dates.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liabilities measured at fair value on a recurring basis using significant unobservable inputs that were classified as Level 3 in the fair value hierarchy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200025</wp:posOffset>
            </wp:positionV>
            <wp:extent cx="594931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9315" cy="171450"/>
                    </a:xfrm>
                    <a:prstGeom prst="rect">
                      <a:avLst/>
                    </a:prstGeom>
                    <a:noFill/>
                  </pic:spPr>
                </pic:pic>
              </a:graphicData>
            </a:graphic>
          </wp:anchor>
        </w:drawing>
      </w:r>
    </w:p>
    <w:p>
      <w:pPr>
        <w:spacing w:after="0" w:line="30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260" w:type="dxa"/>
            <w:vAlign w:val="bottom"/>
          </w:tcPr>
          <w:p>
            <w:pPr>
              <w:spacing w:after="0"/>
              <w:rPr>
                <w:sz w:val="20"/>
                <w:szCs w:val="20"/>
                <w:color w:val="auto"/>
              </w:rPr>
            </w:pPr>
          </w:p>
        </w:tc>
        <w:tc>
          <w:tcPr>
            <w:tcW w:w="1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Warrant Liability</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4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Extinguishment of GS 1.8%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r>
      <w:tr>
        <w:trPr>
          <w:trHeight w:val="24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GS 2.2% warrant liability</w:t>
            </w:r>
          </w:p>
        </w:tc>
        <w:tc>
          <w:tcPr>
            <w:tcW w:w="220" w:type="dxa"/>
            <w:vAlign w:val="bottom"/>
          </w:tcPr>
          <w:p>
            <w:pPr>
              <w:spacing w:after="0"/>
              <w:rPr>
                <w:sz w:val="21"/>
                <w:szCs w:val="21"/>
                <w:color w:val="auto"/>
              </w:rPr>
            </w:pPr>
          </w:p>
        </w:tc>
        <w:tc>
          <w:tcPr>
            <w:tcW w:w="2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2018</w:t>
            </w:r>
          </w:p>
        </w:tc>
        <w:tc>
          <w:tcPr>
            <w:tcW w:w="2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r>
      <w:tr>
        <w:trPr>
          <w:trHeight w:val="318"/>
        </w:trPr>
        <w:tc>
          <w:tcPr>
            <w:tcW w:w="44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 included in earnings</w:t>
            </w:r>
          </w:p>
        </w:tc>
        <w:tc>
          <w:tcPr>
            <w:tcW w:w="22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2018</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12,773</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318"/>
        </w:trPr>
        <w:tc>
          <w:tcPr>
            <w:tcW w:w="4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324"/>
        </w:trPr>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adjustments</w:t>
            </w:r>
          </w:p>
        </w:tc>
        <w:tc>
          <w:tcPr>
            <w:tcW w:w="220" w:type="dxa"/>
            <w:vAlign w:val="bottom"/>
          </w:tcPr>
          <w:p>
            <w:pPr>
              <w:spacing w:after="0"/>
              <w:rPr>
                <w:sz w:val="21"/>
                <w:szCs w:val="21"/>
                <w:color w:val="auto"/>
              </w:rPr>
            </w:pPr>
          </w:p>
        </w:tc>
        <w:tc>
          <w:tcPr>
            <w:tcW w:w="2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2019</w:t>
            </w:r>
          </w:p>
        </w:tc>
        <w:tc>
          <w:tcPr>
            <w:tcW w:w="2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adjustments</w:t>
            </w:r>
          </w:p>
        </w:tc>
        <w:tc>
          <w:tcPr>
            <w:tcW w:w="22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among the fair value levels during the quarters or six months ended June 30, 2019 and June 30,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Fair Value Disclosures </w:t>
      </w:r>
      <w:r>
        <w:rPr>
          <w:rFonts w:ascii="Times New Roman" w:cs="Times New Roman" w:eastAsia="Times New Roman" w:hAnsi="Times New Roman"/>
          <w:sz w:val="18"/>
          <w:szCs w:val="18"/>
          <w:i w:val="1"/>
          <w:iCs w:val="1"/>
          <w:color w:val="auto"/>
        </w:rPr>
        <w:t>(Level 3 in the fair value hierarchy)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receivable are carried at amortized cost. Substantially all of the Company's notes receivable are secured, and the Company believes that all of its notes receivable are collectible. The fair value of the Company's notes receivable at June 30, 2019 and December 31, 2018 was approximately $4.9 million and $1.8 million, respectively.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Borrower's outstanding debt obligations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are reflected in the Company's consolidated balance sheets at carrying value since the Company did not elect to remeasure debt obligations to fair value at the end of each reporting period. The carrying values of the long-term debt approximate fair value due to mechanisms in the credit agreements that adjust the applicable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three reportable segments that are reviewed by the Company's chief operating decision maker ("CODM"), who is the Company's Chief Executive Officer and Chairman. The Consumer Payments operating segment and the Integrated Partners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segments are each reported as separate reportable segments. The Commercial Payments and Institutional Services (sometimes referred to as Managed Services) operating segments are aggregated into one reportable segment, Commercial Payments.</w:t>
      </w:r>
    </w:p>
    <w:p>
      <w:pPr>
        <w:spacing w:after="0" w:line="160" w:lineRule="exact"/>
        <w:rPr>
          <w:sz w:val="20"/>
          <w:szCs w:val="20"/>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Consumer Payments – </w:t>
      </w:r>
      <w:r>
        <w:rPr>
          <w:rFonts w:ascii="Times New Roman" w:cs="Times New Roman" w:eastAsia="Times New Roman" w:hAnsi="Times New Roman"/>
          <w:sz w:val="18"/>
          <w:szCs w:val="18"/>
          <w:color w:val="auto"/>
        </w:rPr>
        <w:t>represents consumer-related services and offerings including merchant acquiring and transaction processing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82"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Commercial Payments – </w:t>
      </w:r>
      <w:r>
        <w:rPr>
          <w:rFonts w:ascii="Times New Roman" w:cs="Times New Roman" w:eastAsia="Times New Roman" w:hAnsi="Times New Roman"/>
          <w:sz w:val="18"/>
          <w:szCs w:val="18"/>
          <w:color w:val="auto"/>
        </w:rPr>
        <w:t>represents services provided to certain enterprise customers, including outsourced sales force to those customers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payable automation services to commercial customers.</w:t>
      </w:r>
    </w:p>
    <w:p>
      <w:pPr>
        <w:spacing w:after="0" w:line="158"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Partners – </w:t>
      </w:r>
      <w:r>
        <w:rPr>
          <w:rFonts w:ascii="Times New Roman" w:cs="Times New Roman" w:eastAsia="Times New Roman" w:hAnsi="Times New Roman"/>
          <w:sz w:val="18"/>
          <w:szCs w:val="18"/>
          <w:color w:val="auto"/>
        </w:rPr>
        <w:t>represents payment adjacent services that are provided primarily to the health care and residential real estate industries.</w:t>
      </w:r>
    </w:p>
    <w:p>
      <w:pPr>
        <w:spacing w:after="0" w:line="200" w:lineRule="exact"/>
        <w:rPr>
          <w:sz w:val="20"/>
          <w:szCs w:val="20"/>
          <w:color w:val="auto"/>
        </w:rPr>
      </w:pP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includes costs of corporate functions and shared services not allocated to our reportable segments. During the fourth quarter of 2018, the Company adjusted its methodology of allocating certain corporate overhead costs to its reportable segments. All prior periods presented have been adjusted to reflect the current allocation methodology.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second quarter of 2019, the Integrated Partners operating segment was aggregated with the Commercial Payments and Institutional Services operating segments and reported as one aggregated reportable segment. In the second quarter of 2019, the Integrated Partners operating segment is no longer aggregated with the Commercial Payments and Institutional Services operating segments. All comparative periods have been adjusted to reflect the current three reportable segments.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on reportable segments and reconciliations to consolidated revenue, consolidated income from operations, and consolidated depreciation and amortization are as follows for the periods presented: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2820" w:type="dxa"/>
            <w:vAlign w:val="bottom"/>
            <w:tcBorders>
              <w:bottom w:val="single" w:sz="8" w:color="auto"/>
            </w:tcBorders>
            <w:gridSpan w:val="5"/>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300" w:type="dxa"/>
            <w:vAlign w:val="bottom"/>
            <w:tcBorders>
              <w:bottom w:val="single" w:sz="8" w:color="auto"/>
            </w:tcBorders>
            <w:shd w:val="clear" w:color="auto" w:fill="CCEEFF"/>
          </w:tcPr>
          <w:p>
            <w:pPr>
              <w:spacing w:after="0"/>
              <w:rPr>
                <w:sz w:val="23"/>
                <w:szCs w:val="23"/>
                <w:color w:val="auto"/>
              </w:rPr>
            </w:pPr>
          </w:p>
        </w:tc>
        <w:tc>
          <w:tcPr>
            <w:tcW w:w="2720" w:type="dxa"/>
            <w:vAlign w:val="bottom"/>
            <w:tcBorders>
              <w:bottom w:val="single" w:sz="8" w:color="auto"/>
            </w:tcBorders>
            <w:gridSpan w:val="4"/>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 Payments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97,732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182,071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206,713</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13,498</w:t>
            </w: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Integrated Partners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104,762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207,402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220,358</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1"/>
        </w:trPr>
        <w:tc>
          <w:tcPr>
            <w:tcW w:w="5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 Payments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25,561</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Integrated Partners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w:t>
            </w:r>
          </w:p>
        </w:tc>
      </w:tr>
      <w:tr>
        <w:trPr>
          <w:trHeight w:val="297"/>
        </w:trPr>
        <w:tc>
          <w:tcPr>
            <w:tcW w:w="50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Consolidated income from operations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11,083</w:t>
            </w:r>
          </w:p>
        </w:tc>
      </w:tr>
      <w:tr>
        <w:trPr>
          <w:trHeight w:val="271"/>
        </w:trPr>
        <w:tc>
          <w:tcPr>
            <w:tcW w:w="5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Payments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7,082</w:t>
            </w: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Payments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Integrated Partners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depreciation and amortization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7,780</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total income from operations of reportable segments to the Company's net loss is provided in the following table:</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shd w:val="clear" w:color="auto" w:fill="CCEEFF"/>
          </w:tcPr>
          <w:p>
            <w:pPr>
              <w:spacing w:after="0"/>
              <w:rPr>
                <w:sz w:val="22"/>
                <w:szCs w:val="22"/>
                <w:color w:val="auto"/>
              </w:rPr>
            </w:pPr>
          </w:p>
        </w:tc>
        <w:tc>
          <w:tcPr>
            <w:tcW w:w="246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260" w:type="dxa"/>
            <w:vAlign w:val="bottom"/>
            <w:shd w:val="clear" w:color="auto" w:fill="CCEEFF"/>
          </w:tcPr>
          <w:p>
            <w:pPr>
              <w:spacing w:after="0"/>
              <w:rPr>
                <w:sz w:val="22"/>
                <w:szCs w:val="22"/>
                <w:color w:val="auto"/>
              </w:rPr>
            </w:pPr>
          </w:p>
        </w:tc>
        <w:tc>
          <w:tcPr>
            <w:tcW w:w="2560" w:type="dxa"/>
            <w:vAlign w:val="bottom"/>
            <w:gridSpan w:val="4"/>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2"/>
        </w:trPr>
        <w:tc>
          <w:tcPr>
            <w:tcW w:w="48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4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from operations of reportable segments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24,655</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(13,572)</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(less) other, net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was not significantly reliant upon any single customer for the quarter and six months ended June 30, 2019 and June 30, 2018. Substantially all revenue is generated in the United States.</w:t>
      </w:r>
    </w:p>
    <w:p>
      <w:pPr>
        <w:spacing w:after="0" w:line="374"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the Company's loss per share: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5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240" w:type="dxa"/>
            <w:vAlign w:val="bottom"/>
            <w:shd w:val="clear" w:color="auto" w:fill="CCEEFF"/>
          </w:tcPr>
          <w:p>
            <w:pPr>
              <w:spacing w:after="0"/>
              <w:rPr>
                <w:sz w:val="23"/>
                <w:szCs w:val="23"/>
                <w:color w:val="auto"/>
              </w:rPr>
            </w:pPr>
          </w:p>
        </w:tc>
        <w:tc>
          <w:tcPr>
            <w:tcW w:w="2520" w:type="dxa"/>
            <w:vAlign w:val="bottom"/>
            <w:gridSpan w:val="4"/>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Distributions to participating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57,556</w:t>
            </w:r>
          </w:p>
        </w:tc>
      </w:t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r>
      <w:tr>
        <w:trPr>
          <w:trHeight w:val="27"/>
        </w:trPr>
        <w:tc>
          <w:tcPr>
            <w:tcW w:w="5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 equivalents at the end of the period were excluded from diluted loss per share since the Company had a net loss for the periods indicated: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92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278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2"/>
        </w:trPr>
        <w:tc>
          <w:tcPr>
            <w:tcW w:w="5500" w:type="dxa"/>
            <w:vAlign w:val="bottom"/>
          </w:tcPr>
          <w:p>
            <w:pPr>
              <w:spacing w:after="0"/>
              <w:rPr>
                <w:sz w:val="21"/>
                <w:szCs w:val="21"/>
                <w:color w:val="auto"/>
              </w:rPr>
            </w:pPr>
          </w:p>
        </w:tc>
        <w:tc>
          <w:tcPr>
            <w:tcW w:w="13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on Class A Common Units</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1,244</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units issued under the 2014 Management Incentive Plan</w:t>
            </w:r>
          </w:p>
        </w:tc>
        <w:tc>
          <w:tcPr>
            <w:tcW w:w="14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1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5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incentive awards</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8"/>
        <w:spacing w:after="0" w:line="266"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2019, a total of 3,046,611 shares of issued and outstanding common stock of the Company are held in beneficial ownership for eligible participants of the 2014 Management Incentive Plan. These shares are included in basic and diluted loss per share calculations for the quarter and six months ended June 30, 2019.</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for the years ended December 31, 2018, 2017 and 2016 and the section entitled "Management's Discussion and Analysis of Financial Condition and Results of Operations," included in the Company's Annual Report on Form 10-K filed with the U.S. Securities and Exchange Commission on March 29, 2019 (the "Annual Report").</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payment processing industry;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distribution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disclosures of merchant or cardholder data, whether through breach of our computer systems, computer viruses, or otherwise;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breakdowns in our processing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regulation of consumer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card association and debit network fees or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the rules established by payment networks or standards established by third-party processor;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proposed acquisitions or any risks associated with completed acquisitions;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"Item 1A - Risk Factors" included in the Annual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Used in this Quarterly Report on Form 10-Q</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 the terms "Company,"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includes a summary of our results of operations for the periods presented followed by a detailed discussion of our results for the quarter ended June 30, 2019 (or second quarter of 2019) compared to the quarter ended June 30, 2018 (or second quarter of 2018), and the six-month period ended June 30, 2019 (or first half of 2019) compared to the six-month period ended June 30, 2018 (or first half of 2018). We have derived this data, except key indicators for merchant bankcard processing dollar values and transaction volumes, from our unaudited condensed consolidated financial statements included elsewhere in this Quarterly Report on Form 10-Q and our audited consolidated financial statements included in the Annual Report.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 for the quarter and six months ended June 30, 2019 has been negatively affected by the closure of high-margin accounts with certain subscription-billing e-commerce merchants. The closure of merchants in this channel was due to industry-wide changes for enhanced card association compliance. This revenue, which is entirely within our Consumer Payments reportable segment, was $1.7 million and $14.4 million for the quarters ended June 30, 2019 and June 30, 2018, respectively, and $5.6 million and $46.0 million for the first six months of 2019 and 2018, respectively. Our income from operations associated with these merchants was $0.7 million and $4.2 million for the quarters ended June 30, 2019 and June 30, 2018, respectively, and $2.3 million and $14.2 million for the first six months of 2019 and 2018,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impact of the closures of certain merchants described above, our income from operations for the quarter and six months ended June 30, 2019 has been negatively affected by certain expenses largely associated with our July 25, 2018 business combination (the "Business Combination"), conversion to a public company, certain legal matters, and in the second quarter of 2019, expenses associated with temporary transition services from YapStone related to the March 2019 asset acquisition. These expenses were approximately $1.6 million and $3.4 million for the quarters ended June 30, 2019 and June 30, 2018, respectively, and $2.8 million and $6.8 million for the first six months of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2019 compared to Quarter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0548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3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Quarter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36830</wp:posOffset>
            </wp:positionV>
            <wp:extent cx="2160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4"/>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Merchant card fees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Outsourced services and other</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107,425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183"/>
        </w:trPr>
        <w:tc>
          <w:tcPr>
            <w:tcW w:w="47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60" w:type="dxa"/>
            <w:vAlign w:val="bottom"/>
          </w:tcPr>
          <w:p>
            <w:pPr>
              <w:spacing w:after="0"/>
              <w:rPr>
                <w:sz w:val="15"/>
                <w:szCs w:val="15"/>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of merchant card fees</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72,609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outsourced services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143.2 %</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104,989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169"/>
        </w:trPr>
        <w:tc>
          <w:tcPr>
            <w:tcW w:w="47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60" w:type="dxa"/>
            <w:vAlign w:val="bottom"/>
          </w:tcPr>
          <w:p>
            <w:pPr>
              <w:spacing w:after="0"/>
              <w:rPr>
                <w:sz w:val="14"/>
                <w:szCs w:val="14"/>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63"/>
        </w:trPr>
        <w:tc>
          <w:tcPr>
            <w:tcW w:w="47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169"/>
        </w:trPr>
        <w:tc>
          <w:tcPr>
            <w:tcW w:w="4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5"/>
        </w:trPr>
        <w:tc>
          <w:tcPr>
            <w:tcW w:w="4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5,928</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57"/>
        </w:trPr>
        <w:tc>
          <w:tcPr>
            <w:tcW w:w="47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151.1 %</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121" w:right="45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2019 compared to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294005</wp:posOffset>
            </wp:positionV>
            <wp:extent cx="70548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36830</wp:posOffset>
            </wp:positionV>
            <wp:extent cx="2160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4"/>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Merchant card fees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190,974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204,746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Outsourced services and other</w:t>
            </w: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207,402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220,358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18"/>
        </w:trPr>
        <w:tc>
          <w:tcPr>
            <w:tcW w:w="47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of merchant card fees</w:t>
            </w: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140,480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Costs of outsourced services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140.2 %</w:t>
            </w:r>
          </w:p>
        </w:tc>
      </w:tr>
      <w:tr>
        <w:trPr>
          <w:trHeight w:val="243"/>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209,275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4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60" w:type="dxa"/>
            <w:vAlign w:val="bottom"/>
          </w:tcPr>
          <w:p>
            <w:pPr>
              <w:spacing w:after="0"/>
              <w:rPr>
                <w:sz w:val="18"/>
                <w:szCs w:val="18"/>
                <w:color w:val="auto"/>
              </w:rPr>
            </w:pPr>
          </w:p>
        </w:tc>
      </w:tr>
      <w:tr>
        <w:trPr>
          <w:trHeight w:val="270"/>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318"/>
        </w:trPr>
        <w:tc>
          <w:tcPr>
            <w:tcW w:w="47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38.3 %</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5,694</w:t>
            </w:r>
          </w:p>
        </w:tc>
        <w:tc>
          <w:tcPr>
            <w:tcW w:w="14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10"/>
        </w:trPr>
        <w:tc>
          <w:tcPr>
            <w:tcW w:w="4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85.9 %</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4,204</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5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133.7 %</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80"/>
          </w:cols>
          <w:pgMar w:left="320" w:top="121" w:right="39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shows our reportable segments' financial performance data and selected performance measures for the second quarter of 2019 compared to the second quarter of 2018:</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shd w:val="clear" w:color="auto" w:fill="CCEEFF"/>
          </w:tcPr>
          <w:p>
            <w:pPr>
              <w:spacing w:after="0"/>
              <w:rPr>
                <w:sz w:val="23"/>
                <w:szCs w:val="23"/>
                <w:color w:val="auto"/>
              </w:rPr>
            </w:pPr>
          </w:p>
        </w:tc>
        <w:tc>
          <w:tcPr>
            <w:tcW w:w="3140" w:type="dxa"/>
            <w:vAlign w:val="bottom"/>
            <w:gridSpan w:val="5"/>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45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454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Consumer Payments: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92,249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97,732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84,886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87,386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10,346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8,105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122.3 %</w:t>
            </w:r>
          </w:p>
        </w:tc>
      </w:tr>
      <w:tr>
        <w:trPr>
          <w:trHeight w:val="189"/>
        </w:trPr>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10,774,149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9,820,496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953,653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130,146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83"/>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Payments: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7,099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6,883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97"/>
        </w:trPr>
        <w:tc>
          <w:tcPr>
            <w:tcW w:w="4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7"/>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62"/>
        </w:trPr>
        <w:tc>
          <w:tcPr>
            <w:tcW w:w="4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Key Indicators: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74,528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12,661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43"/>
        </w:trPr>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4"/>
        </w:trPr>
        <w:tc>
          <w:tcPr>
            <w:tcW w:w="4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Integrated Partners: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7,156</w:t>
            </w:r>
          </w:p>
        </w:tc>
        <w:tc>
          <w:tcPr>
            <w:tcW w:w="12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106,162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106,162</w:t>
            </w:r>
          </w:p>
        </w:tc>
        <w:tc>
          <w:tcPr>
            <w:tcW w:w="12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83"/>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 of reportable segments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9,767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Corporate expenses</w:t>
            </w:r>
          </w:p>
        </w:tc>
        <w:tc>
          <w:tcPr>
            <w:tcW w:w="3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7"/>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income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23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114.8 %</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3"/>
        </w:trPr>
        <w:tc>
          <w:tcPr>
            <w:tcW w:w="4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Key indicators: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10,954,839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9,882,363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1,072,476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130,538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120,050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r>
    </w:tbl>
    <w:p>
      <w:pPr>
        <w:spacing w:after="0" w:line="200" w:lineRule="exact"/>
        <w:rPr>
          <w:sz w:val="20"/>
          <w:szCs w:val="20"/>
          <w:color w:val="auto"/>
        </w:rPr>
      </w:pPr>
    </w:p>
    <w:p>
      <w:pPr>
        <w:sectPr>
          <w:pgSz w:w="11900" w:h="16838" w:orient="portrait"/>
          <w:cols w:equalWidth="0" w:num="1">
            <w:col w:w="10900"/>
          </w:cols>
          <w:pgMar w:left="320" w:top="121" w:right="67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00"/>
          </w:cols>
          <w:pgMar w:left="320" w:top="121" w:right="67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our reportable segments' financial performance data and selected performance measures for the first half of 2019 compared to the first half of 2018:</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shd w:val="clear" w:color="auto" w:fill="CCEEFF"/>
          </w:tcPr>
          <w:p>
            <w:pPr>
              <w:spacing w:after="0"/>
              <w:rPr>
                <w:sz w:val="23"/>
                <w:szCs w:val="23"/>
                <w:color w:val="auto"/>
              </w:rPr>
            </w:pPr>
          </w:p>
        </w:tc>
        <w:tc>
          <w:tcPr>
            <w:tcW w:w="31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7"/>
        </w:trPr>
        <w:tc>
          <w:tcPr>
            <w:tcW w:w="45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Consumer Payments: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182,071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206,713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166,989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181,152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15,082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25,561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15,913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124.7 %</w:t>
            </w:r>
          </w:p>
        </w:tc>
      </w:tr>
      <w:tr>
        <w:trPr>
          <w:trHeight w:val="270"/>
        </w:trPr>
        <w:tc>
          <w:tcPr>
            <w:tcW w:w="4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20,984,904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18,904,723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2,080,181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251,030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230,425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20,605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70"/>
        </w:trPr>
        <w:tc>
          <w:tcPr>
            <w:tcW w:w="4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Payments: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14,075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13,498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14,808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97"/>
        </w:trPr>
        <w:tc>
          <w:tcPr>
            <w:tcW w:w="4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7"/>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4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Key Indicators: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144,426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117,403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27,023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43"/>
        </w:trPr>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4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Integrated Partners: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10,917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10,568</w:t>
            </w:r>
          </w:p>
        </w:tc>
        <w:tc>
          <w:tcPr>
            <w:tcW w:w="12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140,147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140,147</w:t>
            </w:r>
          </w:p>
        </w:tc>
        <w:tc>
          <w:tcPr>
            <w:tcW w:w="12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84"/>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 of reportable segments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14,688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24,655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Corporate expenses</w:t>
            </w:r>
          </w:p>
        </w:tc>
        <w:tc>
          <w:tcPr>
            <w:tcW w:w="3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income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94.9 %</w:t>
            </w: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45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Key indicators: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21,269,477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19,022,126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2,247,351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43"/>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Merchant bankcard transaction volume</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251,580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230,481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21,099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486"/>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020"/>
          </w:cols>
          <w:pgMar w:left="320" w:top="121" w:right="5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2019 compared to Second Quarter of 2018</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second quarter of 2019, our consolidated revenue increased by $2.7 million, or 2.5%, from the second quarter of 2018 to $107.4 million. This increase was driven by a $7.9 million increase in revenue from our Integrated Partners segment, driven by the YapStone, Inc. ("YapStone") asset acquisition that occurred in March 2019. This increase in revenue for Integrated Partners was partially offset by a $5.5 million decrease, or 5.6%, in revenue in our Consumer Payments segment. Revenue in our Commercial Payments segment increased by $0.2 million, or 3.1%. Consolidated merchant bankcard processing dollar value and merchant bankcard transactions increased 10.9% and 8.7%, respectively.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second quarter of 2019 revenue in our Consumer Payments segment was due to a decrease of $12.7 million from certain subscription-billing e-commerce merchants. Excluding this impact, revenue grew $7.2 million, or 8.7%, driven by growth in bankcard processing dollar value and merchant bankcard transactions of 9.7% and 8.4%, respectively. The higher merchant bankcard processing dollar value and transaction volume for the second quarter of 2019 were mainly due to the continuation of strong consumer spending trends in 2019 and positive net onboarding of new merchants. Additionally, the average dollar amount per bankcard transaction (calculated by dividing bankcard processing volume by the associated number of transactions processed) of $82.79 increased 1.2% for the second quarter of 2019 from $81.82 for the second quarter of 2018.</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Payments revenue for the second quarter of 2019 increased by $0.2 million, or 3.1%. Revenue from CPX accounts payable automated solutions of $1.8 million in the second quarter of 2019 increased 58.5% compared to the 2018 second quarter. Revenue from curated managed services programs of $5.3 million in the second quarter of 2019 declined by $0.5 million compared with the 2018 second quarter. The managed services decline was largely driven by lower incentive revenue in the second quarter of 2019.</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 our Integrated Partners reportable segment, previously aggregated with our Commercial Payments reportable segment, was $8.1 million for the second quarter of 2019. A substantial portion of this segment's activities started after second quarter of 2018 through several business and asset acquisitions. Priority Real Estate Technology ("PRET") comprised $7.6 million of this reportable segment’s revenue in the second quarter of 2019. PRET is comprised primarily of the assets acquired from YapStone in March 2019 and the net assets acquired from RadPad Holdings, Inc. in July 2018. Revenue from Priority PayRight Health Solutions and Priority Hospitality Technology, which commenced operations in April 2018 and February 2019, respectively, comprised the remainder of this reportable segment’s revenue.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Half of 2019 compared to First Half of 2018</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half of 2019, our consolidated revenue declined by $13.0 million, or 5.9%, from $220.4 million to $207.4 million. This decline reflects a decrease of $24.6 million in our Consumer Payments segment, partially offset by increases in our Integrated Partners segment and Commercial Payments segment of $11.1 million and $0.6 million, respectively. Consolidated merchant bankcard processing dollar value and merchant bankcard transactions increased 11.8% and 9.2%,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the first half of 2019 revenue in our Consumer Payments segment was due to a decrease of $40.5 million from certain subscription-billing e-commerce merchants. Excluding this impact, revenue grew by $15.8 million, or 9.8%, driven by growth in bankcard processing dollar value and merchant bankcard transactions of 11.0% and 8.9%, respectively. The higher merchant bankcard processing dollar value and transaction volume for the first half of 2019 were mainly due to the continuation of strong consumer spending trends in 2019 and positive net onboarding of new merchants. Additionally, the average dollar amount per bankcard transaction (calculated by dividing bankcard processing volume by the associated number of transactions processed) of $83.60 increased 1.9% for the first half of 2019 from $82.04 for the first half of 2018.</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Payments segment revenue for the first half of 2019 increased by $0.6 million, or 4.3%, compared to the first half of 2018. This growth was driven by our CPX accounts payable automated solutions services, which grew $1.2 million, or 57.2%. Revenue from our curated managed services programs declined by $0.6 million compared to the first half of 2018, driven by lower incentive revenue in the first half of 2019.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 our Integrated Partners reportable segment, previously aggregated with our Commercial Payments reportable segment, was $11.3 million for the first half of 2019. A substantial portion of this segment's activities started after the second quarter of 2018 through several business and asset acquisitions. Priority Real Estate Technology comprised $10.3 million of this reportable segment’s revenue in the first half of 2019. PRET is comprised primarily of the assets acquired from YapStone in March 2019 and the net assets acquired from RadPad Holdings, Inc. in July 2018. Revenue from Priority PayRight Health Solutions and Priority Hospitality Technology, which commenced operations in April 2018 and February 2019, respectively, comprised the remainder of this reportable segment’s revenue.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2019 compared to Second Quarter of 2018</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operating expenses increased $3.4 million, or 3.4%, from $101.6 million for the second quarter of 2018 to $105.0 million for the second quarter of 2019. This overall increase was driven by a $5.7 million increase in depreciation and amortization expense related primarily to acquired merchant portfolios and intangible assets related to business combinations and asset acquisitions made after the second quarter of 2018, and internally developed software related to the MX Connect and CPX platforms. This increase was partially offset by a $3.0 million, or 3.9%, decrease in the cost of merchant fees. This decrease in cost of merchant fees was related to the corresponding decrease in revenue from our Consumer Payments segment and by lower costs attributable to the acquisitions of residual portfolio commission rights, partially offset by growth in processing volume. Costs of merchant card fees, as a percentage of merchant card fee revenue, dropped by 490 basis points for second quarter of 2019 compared to the second quarter of 2018.</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selling, general, and administrative ("SG&amp;A") expenses decreased overall by $0.3 million, or 3.3%, for the second quarter of 2019 compared to the second quarter of 2018, driven by a $2.6 million decrease in certain expenses in Corporate largely associated with our 2018 Business Combination, conversion to a public company, and certain legal matters. This decrease was partially offset by $0.7 million of expenses for temporary transition services related to integration of the March 2019 acquisition of the YapStone assets.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salary and employee benefits increased $0.9 million, or 9.7%, for the second quarter of 2019 compared to the second quarter of 2018. This increase was related to additional headcount in corporate and operations functions and from business acquisitions made after the second quarter of 2018, plus an increase of $0.4 million in non-cash equity-based compensation for the second quarter of 2019.</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Half of 2019 compared to First Half of 2018</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operating expenses decreased $5.3 million, or 2.5%, from $209.3 million for the first half of 2018 to $204.0 million for the first half of 2019. This overall decrease was primarily the result of a $17.9 million, 11.3%, decrease in the cost of merchant fees related to the corresponding decrease in merchant card fees revenue and by lower costs attributable to the acquisitions of residual portfolio commission rights. Costs of merchant card fees, as a percentage of merchant card fee revenue, dropped by 380 basis points for first half of 2019 compared to the first half of 2018. This overall decrease for the first half of 2019 was partially offset by a $10.9 million increase in depreciation and amortization expense for acquired merchant portfolios and intangible assets related to business combinations and asset acquisitions made after the first half of 2018, and by internally developed software related to the MX Connect and CPX platforms.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SG&amp;A expenses decreased by $1.3 million, or 8.3%, for the first half of 2019 compared to the first half of 2018, driven by a $4.7 million decrease in certain expenses in Corporate largely associated with our 2018 Business Combination, conversion to a public company, and certain legal matters. This decrease was partially offset by $0.7 million of expenses for temporary transition services related to integration of the March 2019 acquisition of the YapStone assets.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salary and employee benefits increased by $2.8 million, or 15.4%, for the first half of 2019 compared to the first half of 2018. This increase was related to additional headcount in corporate and operations functions and from business acquisitions made after the first half of 2018, plus an increase of $1.4 million in non-cash equity-based compensation for the first half of 2019.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2019 compared to Second Quarter of 2018</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income from operations decreased $0.8 million, or 24.0%, for the second quarter of 2019 compared to the second quarter of 2018. Our consolidated operating margin for the second quarter of 2019 was 2.3% compared to 3.1% for the second quarter of 2018. This margin decrease was driven by the loss of certain subscription-billing e-commerce merchants and the increases in operating expenses as previously discussed.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Consumer Payments reportable segment contributed $7.4 million in income from operations for the second quarter of 2019, a decrease of $3.0 million, or 28.8%, from $10.3 million for the second quarter of 2018. This decrease largely reflected the loss of certain subscription-billing e-commerce merchants, which contributed $0.7 million and $4.2 million of income from operations in second quarters of 2019 and 2018, respectively, partially offset by income resulting from the growth in merchant bankcard processing dollar value and transaction volume. The decrease in this segment's income from operations was also impacted by an increase of $4.5 million in depreciation and amortization expense for merchant portfolios acquired primarily after the second quarter of 2018.</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Commercial Payments reportable segment incurred a $0.3 million loss from operations for the second quarter of 2019, similar to the $0.4 million loss from operations for the second quarter of 2018.</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Integrated Partners reportable segment, previously aggregated with our Commercial Payments reportable segment, contributed $0.6 million in income from operations for the second quarter of 2019 compared to a loss from operations of $0.2 million in the second quarter of 2018. The growth in 2019 is largely attributable to the YapStone assets acquired in late first quarter of 2019. Operating results for second quarter included depreciation and amortization expense of $1.1 million primarily related to the YapStone assets acquired. Other operating expenses in the second quarter of 2019 included $0.7 million for transition services related to the acquired YapStone assets.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expenses were 5.2 million for the second quarter of 2019, a decrease of $1.3 million from expenses of $6.6 million for the second quarter of 2018. Included in these amounts are certain expenses largely related to the Business Combination, conversion to a public company, and certain legal matters of $0.8 million and $3.4 million for the second quarters of 2019 and 2018, respectively. This decrease was partially offset by increases in accounting and tax services and other SG&amp;A expenses.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Half of 2019 compared to First Half of 2018</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income from operations decreased by $7.7 million, or 69.3%, from $11.1 million for the first half of 2018 to $3.4 million for the first half of 2019. Our consolidated operating margin for the first half of 2019 was 1.6% compared to 5.0% for the first half of 2018. This overall margin decrease was driven by the loss of certain subscription-billing e-commerce merchant, partially offset by the overall decrease in consolidated operating expenses, as previously discussed.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Consumer Payments reportable segment contributed $15.1 million in income from operations for the first half of 2019, a decrease of $10.5 million, or 41.0%, from the $25.6 million for the first half of 2018. This decrease largely reflected the loss of certain subscription-billing e-commerce merchants, which contributed $2.3 million and $14.2 of income from operations in first half of 2019 and 2018, respectively, partially offset by income resulting from the growth in merchant bankcard processing dollar value and transaction volume. The decrease in this segment's income from operations was also impacted by an increase of $8.8 million in depreciation and amortization expense for merchant portfolios acquired primarily after the first half of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Payments reportable segment incurred a loss from operations of approximately $0.7 million for both the first half of 2019 and 2018.</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Integrated Partners reportable segment, previously aggregated with our Commercial Payments reportable segment, contributed $0.3 million in income from operations for the first half of 2019 compared to a loss of $0.2 million in the first half of 2018. The growth in 2019 is largely attributable to the YapStone assets acquired in late first quarter of 2019. Operating results for first half of 2019 included depreciation and amortization expense of $1.8 million primarily related to the YapStone assets acquired. Other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 the second quarter of 2019 included $0.7 million for transition services related to the acquired YapStone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expenses were $11.3 million for the first half of 2019, a decrease of $2.3 million from expenses of $13.6 million for the first half of 2018. Included in these amounts are certain expenses largely related to the Business Combination, conversion to a public company, and certain legal matters of $2.0 million and $6.8 million for the first half of 2019 and 2018, respectively. This decrease was partially offset by increases in accounting and tax services and other SG&amp;A expenses.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which includes the amortization of deferred debt issuance costs and discount, increased by $3.1 million, or 41.2%, to $10.8 million in the second quarter of 2019 from $7.6 million in the second quarter of 2018. For the first of half of 2019, interest expense increase by $5.6 million, or 38.3%, to $20.1 million from $14.6 million from the first half of 2018. These increases in 2019 were primarily due to higher outstanding borrowings in 2019 driven by acquisition financing.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net resulted in income of $0.1 million in the second quarter of 2019 compared to an expense of $1.2 million for the second quarter of 2018. Second quarter of 2018 included a $0.8 charge related to the Company's share of losses in a former equity-method investee and a $0.6 million of expense primarily related to write off of loan costs related to extinguished debt.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net resulted in income of $0.4 million in the first half of 2019 compared to an expense of $5.3 million for the first half of 2018. The first half of 2018 included a charge of $3.5 related to the change in fair value of the former Goldman Sachs warrant, a $0.9 charge related to the Company's share of loss and impairment in a former equity-method investee, and a $0.5 million expense to write off loan costs related to extinguished debt.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22222"/>
        </w:rPr>
        <w:t xml:space="preserve">We assess all available positive and negative evidence to estimate whether sufficient taxable income will be generated in the future to permit use of the existing deferred tax assets. ASC 740, </w:t>
      </w:r>
      <w:r>
        <w:rPr>
          <w:rFonts w:ascii="Times New Roman" w:cs="Times New Roman" w:eastAsia="Times New Roman" w:hAnsi="Times New Roman"/>
          <w:sz w:val="18"/>
          <w:szCs w:val="18"/>
          <w:i w:val="1"/>
          <w:iCs w:val="1"/>
          <w:color w:val="222222"/>
        </w:rPr>
        <w:t>Income Taxes</w:t>
      </w:r>
      <w:r>
        <w:rPr>
          <w:rFonts w:ascii="Times New Roman" w:cs="Times New Roman" w:eastAsia="Times New Roman" w:hAnsi="Times New Roman"/>
          <w:sz w:val="18"/>
          <w:szCs w:val="18"/>
          <w:color w:val="222222"/>
        </w:rPr>
        <w:t xml:space="preserve"> ("ASC 740"), requires that all sources of future taxable income be considered in making this determination. The Tax Cuts and Jobs Act of 2017 amended section 163(j) of the Internal Revenue Code </w:t>
      </w:r>
      <w:r>
        <w:rPr>
          <w:rFonts w:ascii="Times New Roman" w:cs="Times New Roman" w:eastAsia="Times New Roman" w:hAnsi="Times New Roman"/>
          <w:sz w:val="18"/>
          <w:szCs w:val="18"/>
          <w:color w:val="000000"/>
        </w:rPr>
        <w:t>Section 163(j), as amended, limits the business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With respect to recording a deferred tax benefit for the carryforward of business interest, GAAP applies a "more likely than not" threshold for assessing recoverability. </w:t>
      </w:r>
      <w:r>
        <w:rPr>
          <w:rFonts w:ascii="Times New Roman" w:cs="Times New Roman" w:eastAsia="Times New Roman" w:hAnsi="Times New Roman"/>
          <w:sz w:val="18"/>
          <w:szCs w:val="18"/>
          <w:color w:val="222222"/>
        </w:rPr>
        <w:t>On the basis of our assessment, as of June 30, 2019, we increased our valuation allowance by $7.9 million</w:t>
      </w:r>
      <w:r>
        <w:rPr>
          <w:rFonts w:ascii="Times New Roman" w:cs="Times New Roman" w:eastAsia="Times New Roman" w:hAnsi="Times New Roman"/>
          <w:sz w:val="18"/>
          <w:szCs w:val="18"/>
          <w:color w:val="auto"/>
        </w:rPr>
        <w:t xml:space="preserve"> for our business interest carryover comprised of (i) a discrete provision of $2.7 million associated with our 2018 business interest deferred tax asset and (ii) a provision of $5.2 million associated with our 2019 excess business interest, which is reflected in the 2019 effective tax rate. </w:t>
      </w:r>
      <w:r>
        <w:rPr>
          <w:rFonts w:ascii="Times New Roman" w:cs="Times New Roman" w:eastAsia="Times New Roman" w:hAnsi="Times New Roman"/>
          <w:sz w:val="18"/>
          <w:szCs w:val="18"/>
          <w:color w:val="222222"/>
        </w:rPr>
        <w:t>This $7.9 million provision is included in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expense on our unaudited condensed consolidated statements of operations for the quarter and six months ended June 30, 2019.</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We will continue to evaluate the realizability of the net deferred tax asset on a quarterly basis and, as a result, the valuation allowance may change in future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our interim period income tax expense (benefit) by using a forecasted estimated annual effective tax rate ("EAETR") and adjust for any discrete items arising during the interim period. The EAETR for 2019 of 9.4% includes income tax benefit on pre-tax losses, offset by a tax provision related to establishment of a valuation allowance for deferred income tax on the 2019 portion of the Section 163(j) limitation.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July 25, 2018, substantially all of our operations were conducted through pass-through entities for income tax purposes, and as such we had no material income tax accounting reflected in our financial statements for financial reporting purposes since substantially all taxable income and deductions were "passed through" to our unconsolidated owners. Effective July 25, 2018, we became a "C Corp" in connection with our Business Combination and recapitalization events. Accordingly, effective July 25, 2018, our financial statements reflect the accounting for income taxes. Our financial statements for the quarter and six months ended June 30, 2018 reflect unaudited pro-forma income tax disclosure amounts to illustrate the income tax effects had we been subject to federal and state income taxes then.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periodically review the following key non-GAAP measures to evaluate our business and trends, measure our performance, prepare financial projections and make strategic decisions.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EBITDA, which represents consolidated earnings (loss) before interest, income tax, and depreciation and amortization, is reconciled to net loss calculated under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Adjusted EBITDA starts with Consolidated EBITDA and further adjusts for certain non-cash, non-recurring or non-core expenses including:</w:t>
      </w:r>
    </w:p>
    <w:p>
      <w:pPr>
        <w:spacing w:after="0" w:line="27" w:lineRule="exact"/>
        <w:rPr>
          <w:sz w:val="20"/>
          <w:szCs w:val="20"/>
          <w:color w:val="auto"/>
        </w:rPr>
      </w:pPr>
    </w:p>
    <w:p>
      <w:pPr>
        <w:ind w:firstLine="8"/>
        <w:spacing w:after="0" w:line="260" w:lineRule="auto"/>
        <w:tabs>
          <w:tab w:leader="none" w:pos="1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equity-based compensation; 2) debt modification and extinguishment costs and warrant fair value changes; 3) certain legal expenses; 4) certain professional, accounting and consulting fees; and 5) temporary transition services related to acquisitions.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financial covenants under the debt agreements of the Company's subsidiaries (the "Borrowers") and our Earnout Incentive Plan pursuant to the Business Combination are based on a non-GAAP measure referred to as Consolidated Earnout Adjusted EBITDA. The calculation of Consolidated Earnout Adjusted EBITDA starts with Consolidated Adjusted EBITDA and further adjusts for the pro-forma impact of acquisitions and residual streams and run rate adjustments for certain contracted savings on an annualized basis, other consulting and professional fees, and other tax expenses and other adjustments, which are not included as adjustments to Consolidated Adjusted EBITDA.</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Consolidated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Consolidated Adjusted EBITDA may differ from the methods used by other companies to calculate their non-GAAP measures.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non-GAAP reconciliations of Consolidated EBITDA, Consolidated Adjusted EBITDA, and Consolidated Earnout Adjusted EBITDA to consolidated net loss, the most directly comparable financial measures calculated and presented in accordance with GAAP, are shown in the table below: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shd w:val="clear" w:color="auto" w:fill="CCEEFF"/>
          </w:tcPr>
          <w:p>
            <w:pPr>
              <w:spacing w:after="0"/>
              <w:rPr>
                <w:sz w:val="22"/>
                <w:szCs w:val="22"/>
                <w:color w:val="auto"/>
              </w:rPr>
            </w:pPr>
          </w:p>
        </w:tc>
        <w:tc>
          <w:tcPr>
            <w:tcW w:w="24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Quarter Ended June 30,</w:t>
            </w:r>
          </w:p>
        </w:tc>
        <w:tc>
          <w:tcPr>
            <w:tcW w:w="240" w:type="dxa"/>
            <w:vAlign w:val="bottom"/>
            <w:shd w:val="clear" w:color="auto" w:fill="CCEEFF"/>
          </w:tcPr>
          <w:p>
            <w:pPr>
              <w:spacing w:after="0"/>
              <w:rPr>
                <w:sz w:val="22"/>
                <w:szCs w:val="22"/>
                <w:color w:val="auto"/>
              </w:rPr>
            </w:pPr>
          </w:p>
        </w:tc>
        <w:tc>
          <w:tcPr>
            <w:tcW w:w="256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2"/>
        </w:trPr>
        <w:tc>
          <w:tcPr>
            <w:tcW w:w="57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net loss (GAAP)</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14,559</w:t>
            </w: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7,780</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EBITDA (non-GAAP)</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12,335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22,453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13,534</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Further adjusted by:</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 Non-cash equity-based compensation</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5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 Debt modification/extinguishment costs and warrant fair value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5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4,853</w:t>
            </w:r>
          </w:p>
        </w:tc>
      </w:tr>
      <w:tr>
        <w:trPr>
          <w:trHeight w:val="243"/>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 Certain legal expenses (2)</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3,182</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 Professional, accounting and consulting fees (3)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3,581</w:t>
            </w:r>
          </w:p>
        </w:tc>
      </w:tr>
      <w:tr>
        <w:trPr>
          <w:trHeight w:val="243"/>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 Transition services for acquisition (4)</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Adjusted EBITDA (non-GAAP)</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27,398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25,945</w:t>
            </w: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adjusted by:</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 Pro-forma impact of acquisitions (5)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4,353</w:t>
            </w:r>
          </w:p>
        </w:tc>
      </w:tr>
      <w:tr>
        <w:trPr>
          <w:trHeight w:val="243"/>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 Other professional and consulting fees</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r>
      <w:tr>
        <w:trPr>
          <w:trHeight w:val="27"/>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 Contracted revenue and savings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w:t>
            </w:r>
          </w:p>
        </w:tc>
      </w:tr>
      <w:tr>
        <w:trPr>
          <w:trHeight w:val="243"/>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 Other tax expenses and other adjustments</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w:t>
            </w:r>
          </w:p>
        </w:tc>
      </w:tr>
      <w:tr>
        <w:trPr>
          <w:trHeight w:val="27"/>
        </w:trPr>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Earnout Adjusted EBITDA (non-GAAP) (6)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31,161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32,849</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includes amortization of debt issuance costs and issue discounts.</w:t>
      </w:r>
    </w:p>
    <w:p>
      <w:pPr>
        <w:spacing w:after="0" w:line="194"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business and asset acquisition activity and settlement negotiation and other litigation expenses, as well as legal settlements.</w:t>
      </w:r>
    </w:p>
    <w:p>
      <w:pPr>
        <w:spacing w:after="0" w:line="194"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transaction-related, capital markets and accounting advisory services.</w:t>
      </w:r>
    </w:p>
    <w:p>
      <w:pPr>
        <w:spacing w:after="0" w:line="194"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Temporary transition services from YapStone related to the integration of the March 2019 asset acquisition.</w:t>
      </w:r>
    </w:p>
    <w:p>
      <w:pPr>
        <w:spacing w:after="0" w:line="194" w:lineRule="exact"/>
        <w:rPr>
          <w:rFonts w:ascii="Times New Roman" w:cs="Times New Roman" w:eastAsia="Times New Roman" w:hAnsi="Times New Roman"/>
          <w:sz w:val="16"/>
          <w:szCs w:val="16"/>
          <w:color w:val="auto"/>
        </w:rPr>
      </w:pPr>
    </w:p>
    <w:p>
      <w:pPr>
        <w:ind w:firstLine="8"/>
        <w:spacing w:after="0" w:line="280" w:lineRule="auto"/>
        <w:tabs>
          <w:tab w:leader="none" w:pos="2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reporting period's year-to-date amounts are updated to reflect the pro forma impact of acquisitions as though they had taken place on January 1 of the year in which the acquisition occurred.</w:t>
      </w:r>
    </w:p>
    <w:p>
      <w:pPr>
        <w:spacing w:after="0" w:line="137" w:lineRule="exact"/>
        <w:rPr>
          <w:rFonts w:ascii="Times New Roman" w:cs="Times New Roman" w:eastAsia="Times New Roman" w:hAnsi="Times New Roman"/>
          <w:sz w:val="16"/>
          <w:szCs w:val="16"/>
          <w:color w:val="auto"/>
        </w:rPr>
      </w:pPr>
    </w:p>
    <w:p>
      <w:pPr>
        <w:jc w:val="both"/>
        <w:ind w:firstLine="8"/>
        <w:spacing w:after="0" w:line="258" w:lineRule="auto"/>
        <w:tabs>
          <w:tab w:leader="none" w:pos="23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definition in debt agreements entered into in connection with the January 2017 debt financing. Subsequent to the Business Combination, the Earnout Adjusted EBITDA of the Borrowers under the credit agreements excludes expenses of the Company's consolidated parent entity, which is neither a borrower nor a guarantor under the credit agreements. Earnout Adjusted EBITDA of the Borrowers was approximately $18.9 million and $38.4 million for the quarter and six months ended June 30, 2019, respectively.</w:t>
      </w:r>
    </w:p>
    <w:p>
      <w:pPr>
        <w:spacing w:after="0" w:line="200" w:lineRule="exact"/>
        <w:rPr>
          <w:rFonts w:ascii="Times New Roman" w:cs="Times New Roman" w:eastAsia="Times New Roman" w:hAnsi="Times New Roman"/>
          <w:sz w:val="16"/>
          <w:szCs w:val="16"/>
          <w:color w:val="auto"/>
        </w:rPr>
      </w:pPr>
    </w:p>
    <w:p>
      <w:pPr>
        <w:spacing w:after="0" w:line="381"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our consolidated balance sheet as of December 31, 2018, the following key changes have occurred as of June 30, 2019.</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Cash decreased by $10.1 million. For an explanation of the key drivers of this change, see the subsequent section,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increased during the first half of 2019 by $71.2 million due to asset acquisitions, partially offset by amortization. For additional information, see Note 2, </w:t>
      </w:r>
      <w:r>
        <w:rPr>
          <w:rFonts w:ascii="Times New Roman" w:cs="Times New Roman" w:eastAsia="Times New Roman" w:hAnsi="Times New Roman"/>
          <w:sz w:val="18"/>
          <w:szCs w:val="18"/>
          <w:i w:val="1"/>
          <w:iCs w:val="1"/>
          <w:color w:val="auto"/>
        </w:rPr>
        <w:t>Acquisitions and Contributions of Assets</w:t>
      </w:r>
      <w:r>
        <w:rPr>
          <w:rFonts w:ascii="Times New Roman" w:cs="Times New Roman" w:eastAsia="Times New Roman" w:hAnsi="Times New Roman"/>
          <w:sz w:val="18"/>
          <w:szCs w:val="18"/>
          <w:color w:val="auto"/>
        </w:rPr>
        <w:t>, to the unaudited condensed consolidated financial statements in Part I, Item 1 of this Quarterly Report on Form 10-Q.</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Long-term debt, excluding amounts outstanding under the revolving credit facility, increased by a net $70.7 million during the first half of 2019. This increase was driven by borrowings to acquire certain intangible assets.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unaudited condensed consolidated financial statements in Part I, Item 1 of this Quarterly Report on Form 10-Q for information on credit facilities, available credit, and covenants.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Deficit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deficit equity position attributable to the stockholders of the Company increased by $20.8 million, from a deficit of $85.5 million at December 31, 2018 to a deficit of $106.3 million at June 30, 2019. The primary driver of this change was the net loss of $20.6 million for the first half of 2019 and repurchased common stock at cost of $2.4 million, partially offset by a $2.2 million credit to additional paid-in capital for equity-based compensation. See Note 11, </w:t>
      </w:r>
      <w:r>
        <w:rPr>
          <w:rFonts w:ascii="Times New Roman" w:cs="Times New Roman" w:eastAsia="Times New Roman" w:hAnsi="Times New Roman"/>
          <w:sz w:val="18"/>
          <w:szCs w:val="18"/>
          <w:i w:val="1"/>
          <w:iCs w:val="1"/>
          <w:color w:val="auto"/>
        </w:rPr>
        <w:t>Equity Reconciliation</w:t>
      </w:r>
      <w:r>
        <w:rPr>
          <w:rFonts w:ascii="Times New Roman" w:cs="Times New Roman" w:eastAsia="Times New Roman" w:hAnsi="Times New Roman"/>
          <w:sz w:val="18"/>
          <w:szCs w:val="18"/>
          <w:color w:val="auto"/>
        </w:rPr>
        <w:t>, to the unaudited condensed consolidated financial statements in Part I, Item 1 of this Quarterly Report on Form 10-Q.</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uses of cash are to fund business operations, administrative costs, and debt service.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working capital, defined as current assets less current liabilities, was $2.5 million at June 30, 2019 and $21.1 million at December 31, 2018. As of June 30, 2019, we had cash totaling $5.5 million compared to $15.6 million at December 31, 2018. These balances do not include restricted cash, which reflects cash accounts holding customer settlement funds of $21.7 million at June 30, 2019 and $18.2 million at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2019, we had availability of approximately $11.0 million under our revolving credit facility.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and narrative reflect our changes in cash flows for the comparative quarterly periods.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Pr>
          <w:p>
            <w:pPr>
              <w:spacing w:after="0"/>
              <w:rPr>
                <w:sz w:val="20"/>
                <w:szCs w:val="20"/>
                <w:color w:val="auto"/>
              </w:rPr>
            </w:pPr>
          </w:p>
        </w:tc>
        <w:tc>
          <w:tcPr>
            <w:tcW w:w="25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63"/>
        </w:trPr>
        <w:tc>
          <w:tcPr>
            <w:tcW w:w="57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14,920</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w:t>
            </w: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 the first half of 2019 was $3.7 million compared to net cash provided of $14.9 million for the first half of 2018. The $11.2 million decrease for the first half of 2019 was principally the result of changes in working capital related to accounts receivable and account payable during 2019 and an increase in cash interest payments of $4.7 million.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$89.8 million and $14.3 million for the first half of 2019 and 2018, respectively. Cash used in investing activities for the first half of 2019 included $17.4 million used to acquire merchant portfolios and $63.8 million used to acquire certain assets from YapStone. Cash used to acquire property, equipment, and software amounted to $5.4 million and $5.7 million for the first half of 2019 and 2018, respectively.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Financing Activities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$79.4 million for the first half of 2019 compared to net cash used in financing activities of $15.0 million in the first half of 2018. The amount for the first half of 2019 included a $69.7 million, net of issue discount, delayed draw under the credit facility under the senior credit agreement with a syndicate of lenders (the "Senior Credit Agreement") that was used to acquire certain assets from YapStone. Additionally, a $14.0 million draw under the revolving credit feature of our Senior Credit Agreement was used to partially fund a portfolio acquisition. Cash flow used in financing activities for the first half of 2018 was primarily driven by equity redemptions and distributions totaling $80.4 million, partially offset by proceeds from the issuance of long-term debt of $67.1 million. The equity redemptions and distributions involved Priority Holdings, LLC before the Company's recapitalization on July 25,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0" w:lineRule="exact"/>
        <w:rPr>
          <w:sz w:val="20"/>
          <w:szCs w:val="20"/>
          <w:color w:val="auto"/>
        </w:rPr>
      </w:pPr>
    </w:p>
    <w:p>
      <w:pPr>
        <w:spacing w:after="0" w:line="243"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unaudited condensed consolidated financial statements in Part I, Item 1 of this Quarterly Report on Form 10-Q for information about contingent consideration related to asset acquisitions.</w:t>
      </w:r>
    </w:p>
    <w:p>
      <w:pPr>
        <w:spacing w:after="0" w:line="15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Related Party and Other Transactions</w:t>
      </w:r>
      <w:r>
        <w:rPr>
          <w:rFonts w:ascii="Times New Roman" w:cs="Times New Roman" w:eastAsia="Times New Roman" w:hAnsi="Times New Roman"/>
          <w:sz w:val="18"/>
          <w:szCs w:val="18"/>
          <w:color w:val="auto"/>
        </w:rPr>
        <w:t>, to our unaudited condensed consolidated financial statements in Part I, Item 1 of this Quarterly Report on Form 10-Q for information on a loan commitment made by us to another entity.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entered into any other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There have been no significant changes to our contractual obligations and commitments compared to those disclosed in "Management's Discussion and Analysis of Financial Condition and Results of Operations of Priority" included in the Annual Report, except for additional borrowings under our existing Senior Credit Agreement consisting of $70.0 million of term debt and $14.0 million under our revolving credit facility. For an updated schedule of debt repayments,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unaudited condensed consolidated financial statements contained in Part 1,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Acquisitions and Contributions of Assets</w:t>
      </w:r>
      <w:r>
        <w:rPr>
          <w:rFonts w:ascii="Times New Roman" w:cs="Times New Roman" w:eastAsia="Times New Roman" w:hAnsi="Times New Roman"/>
          <w:sz w:val="18"/>
          <w:szCs w:val="18"/>
          <w:color w:val="auto"/>
        </w:rPr>
        <w:t>, to the unaudited condensed consolidated financial statements contained in Part I, Item 1 of this Quarterly Report on Form 10-Q.</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the Annual Report. There have been no material changes to these critical accounting policies and estimates as of June 30, 2019.</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or other standards setting bodies that may affect our current and/or future financial statements. See Note 1, </w:t>
      </w:r>
      <w:r>
        <w:rPr>
          <w:rFonts w:ascii="Times New Roman" w:cs="Times New Roman" w:eastAsia="Times New Roman" w:hAnsi="Times New Roman"/>
          <w:sz w:val="18"/>
          <w:szCs w:val="18"/>
          <w:i w:val="1"/>
          <w:iCs w:val="1"/>
          <w:color w:val="auto"/>
        </w:rPr>
        <w:t>Nature of Business and Basis of Presentation</w:t>
      </w:r>
      <w:r>
        <w:rPr>
          <w:rFonts w:ascii="Times New Roman" w:cs="Times New Roman" w:eastAsia="Times New Roman" w:hAnsi="Times New Roman"/>
          <w:sz w:val="18"/>
          <w:szCs w:val="18"/>
          <w:color w:val="auto"/>
        </w:rPr>
        <w:t>, to our unaudited condensed consolidated financial statements included in Part 1, Item 1 of this Quarterly Report on Form 10-Q for a discussion of recently issued accounting pronouncements not yet adopted.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under the Senior Credit Agreement bears interest at a rate based on LIBOR plus a fixed margin that changes periodically. As of June 30, 2019, the Company's subsidiaries that are borrowers or guarantors had $390.8 million in outstanding borrowings under the senior credit facility. The applicable LIBOR rate stood at 2.41% at June 30, 2019 and the fixed margin stood at 5%, for an interest rate of 7.41%.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hypothetical 1.0% increase or decrease in the applicable LIBOR rate on the outstanding indebtedness under the senior secured credit facility for the first half of 2019 would have increased or decreased interest expense by approximately $1.9 million. Per annum, a 1% hypothetical increase or decrease in the applicable LIBOR on this debt rate would increase annual interest expense by approximately $3.9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do not hedge against interest rate risk.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"disclosure controls and procedures" is defined in Rules 13a-15(e) and 15d-15(e) of the Securities Exchange Act of 1934, as amended (the "Exchange Act"). 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Our management, including our Chief Executive Officer and Chief Financial Officer, has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not effective at a reasonable assurance level because of the material weaknesses in internal control over financial reporting described below, which are in the process of being remediated.</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necessarily applies its judgment in assessing the costs and benefits of such controls and procedures, which, by their nature, can provide only reasonable assurance regarding management's control objectives. The Company's management, including the Chief Executive Officer and Chief Financial Officer, does not expect that our disclosure controls and procedures can prevent all possible errors or fraud. A control system, no matter how well conceived and operated, can provide only reasonable, not absolute, assurance that the objectives of the control system are met. There are inherent limitations in all control systems, including the realities that judgments in decision-making can be faulty, and that breakdowns can occur because of simple errors or mistakes. Additionally, controls can be circumvented by the individual acts of one or more persons. The design of any system of controls is based in part upon certain assumptions about the likelihood of future events, and, while our disclosure controls and procedures are designed to be effective under circumstances where they should reasonably be expected to operate effectively, there can be no assurance that any design will succeed in achieving its stated goals under all potential future conditions. Because of the inherent limitations in any control system, misstatements due to possible errors or fraud may occur and not be detected.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disclosed in Item 9A in the Annual Report, we previously identified material weaknesses in internal control over financial reporting related to (1) lack of sufficient accounting and financial reporting resources and (2) deficiencies in certain aspects of our financial statement review and close processes. In order to continue to remediate the material weaknesses described above, during the quarter ended June 30, 2019, we undertook or were engaged in the following measures or activities to address the material weaknesses in internal control over financial reporting:</w:t>
      </w:r>
    </w:p>
    <w:p>
      <w:pPr>
        <w:spacing w:after="0" w:line="9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hiring additional qualified financial reporting personnel;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outside consultants to assist us with certain financial accounting and reporting matters; and</w:t>
      </w:r>
    </w:p>
    <w:p>
      <w:pPr>
        <w:spacing w:after="0" w:line="9" w:lineRule="exact"/>
        <w:rPr>
          <w:rFonts w:ascii="Times New Roman" w:cs="Times New Roman" w:eastAsia="Times New Roman" w:hAnsi="Times New Roman"/>
          <w:sz w:val="18"/>
          <w:szCs w:val="18"/>
          <w:color w:val="auto"/>
        </w:rPr>
      </w:pPr>
    </w:p>
    <w:p>
      <w:pPr>
        <w:ind w:left="660" w:right="520" w:hanging="328"/>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policies and procedures to enhance internal control and provide timely reconciliation and review of the Company's accounting policies and procedures.</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continue to evaluate and improve our internal control over financial reporting, additional measures to remediate the material weaknesses or modifications to certain of the remediation procedures described above may be necessary.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committed to improving our internal control processes and meets with the Audit Committee on a regular basis to monitor the status of remediation activities. Management believes that the measures described above should remediate the material weakness identified and strengthen our internal control over financial reporting.</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set forth above, we have identified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involved in certain legal proceedings and claims which occur in the normal course of our business. We are not currently a party to any legal proceedings that we believe would have a material adverse effect on our financial position, results of operations, or cash flows.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there have been no material changes to the risk factors previously disclosed in the Annual Report.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5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No equity securities of the Company were sold during the period covered by this Quarterly Report on Form 10-Q that were not registered under the Securities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by the Company for the three months ended June 30, 2019:</w:t>
      </w:r>
    </w:p>
    <w:p>
      <w:pPr>
        <w:spacing w:after="0" w:line="378" w:lineRule="exact"/>
        <w:rPr>
          <w:sz w:val="20"/>
          <w:szCs w:val="20"/>
          <w:color w:val="auto"/>
        </w:rPr>
      </w:pPr>
    </w:p>
    <w:tbl>
      <w:tblPr>
        <w:tblLayout w:type="fixed"/>
        <w:tblInd w:w="1200" w:type="dxa"/>
        <w:tblCellMar>
          <w:top w:w="0" w:type="dxa"/>
          <w:left w:w="0" w:type="dxa"/>
          <w:bottom w:w="0" w:type="dxa"/>
          <w:right w:w="0" w:type="dxa"/>
        </w:tblCellMar>
      </w:tblPr>
      <w:tr>
        <w:trPr>
          <w:trHeight w:val="270"/>
        </w:trPr>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43"/>
        </w:trPr>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(or</w:t>
            </w:r>
          </w:p>
        </w:tc>
      </w:tr>
      <w:tr>
        <w:trPr>
          <w:trHeight w:val="27"/>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43"/>
        </w:trPr>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dollar value)</w:t>
            </w:r>
          </w:p>
        </w:tc>
      </w:tr>
      <w:tr>
        <w:trPr>
          <w:trHeight w:val="27"/>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that</w:t>
            </w:r>
          </w:p>
        </w:tc>
      </w:tr>
      <w:tr>
        <w:trPr>
          <w:trHeight w:val="243"/>
        </w:trPr>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Publicly</w:t>
            </w:r>
          </w:p>
        </w:tc>
        <w:tc>
          <w:tcPr>
            <w:tcW w:w="12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7"/>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r>
      <w:tr>
        <w:trPr>
          <w:trHeight w:val="243"/>
        </w:trPr>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 (a)</w:t>
            </w:r>
          </w:p>
        </w:tc>
        <w:tc>
          <w:tcPr>
            <w:tcW w:w="12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Such Program</w:t>
            </w:r>
          </w:p>
        </w:tc>
      </w:tr>
      <w:tr>
        <w:trPr>
          <w:trHeight w:val="27"/>
        </w:trPr>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4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April 2019</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429,601</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429,601</w:t>
            </w:r>
          </w:p>
        </w:tc>
        <w:tc>
          <w:tcPr>
            <w:tcW w:w="120" w:type="dxa"/>
            <w:vAlign w:val="bottom"/>
          </w:tcPr>
          <w:p>
            <w:pPr>
              <w:spacing w:after="0"/>
              <w:rPr>
                <w:sz w:val="21"/>
                <w:szCs w:val="21"/>
                <w:color w:val="auto"/>
              </w:rPr>
            </w:pPr>
          </w:p>
        </w:tc>
        <w:tc>
          <w:tcPr>
            <w:tcW w:w="17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May 2019</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15,697</w:t>
            </w:r>
          </w:p>
        </w:tc>
        <w:tc>
          <w:tcPr>
            <w:tcW w:w="17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2019</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5,926</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20" w:type="dxa"/>
            <w:vAlign w:val="bottom"/>
          </w:tcPr>
          <w:p>
            <w:pPr>
              <w:spacing w:after="0"/>
              <w:rPr>
                <w:sz w:val="21"/>
                <w:szCs w:val="21"/>
                <w:color w:val="auto"/>
              </w:rPr>
            </w:pPr>
          </w:p>
        </w:tc>
        <w:tc>
          <w:tcPr>
            <w:tcW w:w="17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7"/>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451,224</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451,224</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720" w:hanging="4"/>
        <w:spacing w:after="0" w:line="269" w:lineRule="auto"/>
        <w:tabs>
          <w:tab w:leader="none" w:pos="90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19, 2018, the Company announced that the Board of Directors approved a stock repurchase program authorizing the repurchase of up to $5.0 million of the Company's common stock, which expired June 30, 2019. Repurchases were permitted to commence or be suspended at any time without notice. The program did not obligate the Company to purchase a specified number of shares of common stock during the period or at all and was subject to modification or suspension at any time at the Company's discretion.</w:t>
      </w:r>
    </w:p>
    <w:p>
      <w:pPr>
        <w:spacing w:after="0" w:line="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 additional repurchases of our common stock were made prior to the expiration of the program.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139"/>
          </w:cols>
          <w:pgMar w:left="320" w:top="121"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2720" w:type="dxa"/>
            <w:vAlign w:val="bottom"/>
            <w:gridSpan w:val="2"/>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3"/>
        </w:trPr>
        <w:tc>
          <w:tcPr>
            <w:tcW w:w="214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8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760" w:type="dxa"/>
            <w:vAlign w:val="bottom"/>
            <w:gridSpan w:val="13"/>
          </w:tcPr>
          <w:p>
            <w:pPr>
              <w:spacing w:after="0"/>
              <w:rPr>
                <w:sz w:val="24"/>
                <w:szCs w:val="24"/>
                <w:color w:val="auto"/>
              </w:rPr>
            </w:pPr>
          </w:p>
        </w:tc>
      </w:tr>
      <w:tr>
        <w:trPr>
          <w:trHeight w:val="493"/>
        </w:trPr>
        <w:tc>
          <w:tcPr>
            <w:tcW w:w="2140" w:type="dxa"/>
            <w:vAlign w:val="bottom"/>
          </w:tcPr>
          <w:p>
            <w:pPr>
              <w:ind w:left="138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10.1</w:t>
              </w:r>
            </w:hyperlink>
          </w:p>
        </w:tc>
        <w:tc>
          <w:tcPr>
            <w:tcW w:w="58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gridSpan w:val="15"/>
          </w:tcPr>
          <w:p>
            <w:pPr>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Fourth Amendment to the Credit and Guaranty Agreement, among Priority</w:t>
              </w:r>
            </w:hyperlink>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8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w:anchor="page52">
              <w:r>
                <w:rPr>
                  <w:rFonts w:ascii="Times New Roman" w:cs="Times New Roman" w:eastAsia="Times New Roman" w:hAnsi="Times New Roman"/>
                  <w:sz w:val="18"/>
                  <w:szCs w:val="18"/>
                  <w:color w:val="0000FF"/>
                  <w:w w:val="99"/>
                </w:rPr>
                <w:t>Payment Systems Holdings LLC, as the Borrower Representative, and</w:t>
              </w:r>
            </w:hyperlink>
          </w:p>
        </w:tc>
        <w:tc>
          <w:tcPr>
            <w:tcW w:w="320" w:type="dxa"/>
            <w:vAlign w:val="bottom"/>
            <w:tcBorders>
              <w:top w:val="single" w:sz="8" w:color="0000FF"/>
            </w:tcBorders>
            <w:gridSpan w:val="5"/>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w:anchor="page52">
              <w:r>
                <w:rPr>
                  <w:rFonts w:ascii="Times New Roman" w:cs="Times New Roman" w:eastAsia="Times New Roman" w:hAnsi="Times New Roman"/>
                  <w:sz w:val="18"/>
                  <w:szCs w:val="18"/>
                  <w:color w:val="0000FF"/>
                  <w:w w:val="99"/>
                </w:rPr>
                <w:t>SunTrust Bank as administrative.</w:t>
              </w:r>
            </w:hyperlink>
          </w:p>
        </w:tc>
        <w:tc>
          <w:tcPr>
            <w:tcW w:w="3260" w:type="dxa"/>
            <w:vAlign w:val="bottom"/>
            <w:gridSpan w:val="11"/>
          </w:tcPr>
          <w:p>
            <w:pPr>
              <w:spacing w:after="0"/>
              <w:rPr>
                <w:sz w:val="17"/>
                <w:szCs w:val="17"/>
                <w:color w:val="auto"/>
              </w:rPr>
            </w:pPr>
          </w:p>
        </w:tc>
      </w:tr>
      <w:tr>
        <w:trPr>
          <w:trHeight w:val="250"/>
        </w:trPr>
        <w:tc>
          <w:tcPr>
            <w:tcW w:w="2140" w:type="dxa"/>
            <w:vAlign w:val="bottom"/>
          </w:tcPr>
          <w:p>
            <w:pPr>
              <w:ind w:left="138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10.2</w:t>
              </w:r>
            </w:hyperlink>
          </w:p>
        </w:tc>
        <w:tc>
          <w:tcPr>
            <w:tcW w:w="58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3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58">
              <w:r>
                <w:rPr>
                  <w:rFonts w:ascii="Times New Roman" w:cs="Times New Roman" w:eastAsia="Times New Roman" w:hAnsi="Times New Roman"/>
                  <w:sz w:val="18"/>
                  <w:szCs w:val="18"/>
                  <w:color w:val="0000FF"/>
                  <w:w w:val="99"/>
                </w:rPr>
                <w:t>Fourth Amendment to the Credit and Guaranty Agreement, by and among</w:t>
              </w:r>
            </w:hyperlink>
          </w:p>
        </w:tc>
        <w:tc>
          <w:tcPr>
            <w:tcW w:w="320" w:type="dxa"/>
            <w:vAlign w:val="bottom"/>
            <w:gridSpan w:val="3"/>
          </w:tcPr>
          <w:p>
            <w:pPr>
              <w:spacing w:after="0"/>
              <w:rPr>
                <w:sz w:val="21"/>
                <w:szCs w:val="21"/>
                <w:color w:val="auto"/>
              </w:rPr>
            </w:pPr>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60" w:type="dxa"/>
            <w:vAlign w:val="bottom"/>
            <w:gridSpan w:val="15"/>
          </w:tcPr>
          <w:p>
            <w:pPr>
              <w:spacing w:after="0" w:line="196" w:lineRule="exact"/>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Priority Holdings LLC, the Guarantors, the Lenders, and Goldman Sachs</w:t>
              </w:r>
            </w:hyperlink>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w:anchor="page58">
              <w:r>
                <w:rPr>
                  <w:rFonts w:ascii="Times New Roman" w:cs="Times New Roman" w:eastAsia="Times New Roman" w:hAnsi="Times New Roman"/>
                  <w:sz w:val="18"/>
                  <w:szCs w:val="18"/>
                  <w:color w:val="0000FF"/>
                  <w:w w:val="98"/>
                </w:rPr>
                <w:t>Specialty Group, L.P. as administrative agent.</w:t>
              </w:r>
            </w:hyperlink>
          </w:p>
        </w:tc>
        <w:tc>
          <w:tcPr>
            <w:tcW w:w="1960" w:type="dxa"/>
            <w:vAlign w:val="bottom"/>
            <w:tcBorders>
              <w:top w:val="single" w:sz="8" w:color="0000FF"/>
            </w:tcBorders>
            <w:gridSpan w:val="5"/>
          </w:tcPr>
          <w:p>
            <w:pPr>
              <w:spacing w:after="0"/>
              <w:rPr>
                <w:sz w:val="17"/>
                <w:szCs w:val="17"/>
                <w:color w:val="auto"/>
              </w:rPr>
            </w:pPr>
          </w:p>
        </w:tc>
        <w:tc>
          <w:tcPr>
            <w:tcW w:w="400" w:type="dxa"/>
            <w:vAlign w:val="bottom"/>
            <w:gridSpan w:val="5"/>
          </w:tcPr>
          <w:p>
            <w:pPr>
              <w:spacing w:after="0"/>
              <w:rPr>
                <w:sz w:val="17"/>
                <w:szCs w:val="17"/>
                <w:color w:val="auto"/>
              </w:rPr>
            </w:pPr>
          </w:p>
        </w:tc>
      </w:tr>
      <w:tr>
        <w:trPr>
          <w:trHeight w:val="250"/>
        </w:trPr>
        <w:tc>
          <w:tcPr>
            <w:tcW w:w="2140" w:type="dxa"/>
            <w:vAlign w:val="bottom"/>
          </w:tcPr>
          <w:p>
            <w:pPr>
              <w:ind w:left="1380"/>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10.3</w:t>
              </w:r>
            </w:hyperlink>
          </w:p>
        </w:tc>
        <w:tc>
          <w:tcPr>
            <w:tcW w:w="58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67">
              <w:r>
                <w:rPr>
                  <w:rFonts w:ascii="Times New Roman" w:cs="Times New Roman" w:eastAsia="Times New Roman" w:hAnsi="Times New Roman"/>
                  <w:sz w:val="18"/>
                  <w:szCs w:val="18"/>
                  <w:color w:val="0000FF"/>
                  <w:w w:val="99"/>
                </w:rPr>
                <w:t>Fifth Amendment to the Credit and Guaranty Agreement, among Pipeline</w:t>
              </w:r>
            </w:hyperlink>
          </w:p>
        </w:tc>
        <w:tc>
          <w:tcPr>
            <w:tcW w:w="340" w:type="dxa"/>
            <w:vAlign w:val="bottom"/>
            <w:gridSpan w:val="4"/>
          </w:tcPr>
          <w:p>
            <w:pPr>
              <w:spacing w:after="0"/>
              <w:rPr>
                <w:sz w:val="21"/>
                <w:szCs w:val="21"/>
                <w:color w:val="auto"/>
              </w:rPr>
            </w:pPr>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60" w:type="dxa"/>
            <w:vAlign w:val="bottom"/>
            <w:gridSpan w:val="15"/>
          </w:tcPr>
          <w:p>
            <w:pPr>
              <w:spacing w:after="0" w:line="196" w:lineRule="exact"/>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Cynergy Holdings, LLC, Priority Institutional Partner Services, LLC, Priority</w:t>
              </w:r>
            </w:hyperlink>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Payment Systems Holdings LLC, Priority Holdings, LLC, the other</w:t>
              </w:r>
            </w:hyperlink>
          </w:p>
        </w:tc>
        <w:tc>
          <w:tcPr>
            <w:tcW w:w="60" w:type="dxa"/>
            <w:vAlign w:val="bottom"/>
          </w:tcPr>
          <w:p>
            <w:pPr>
              <w:spacing w:after="0"/>
              <w:rPr>
                <w:sz w:val="17"/>
                <w:szCs w:val="17"/>
                <w:color w:val="auto"/>
              </w:rPr>
            </w:pPr>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6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Guarantors, and SunTrust Bank as administrative agent.</w:t>
              </w:r>
            </w:hyperlink>
          </w:p>
        </w:tc>
        <w:tc>
          <w:tcPr>
            <w:tcW w:w="800" w:type="dxa"/>
            <w:vAlign w:val="bottom"/>
            <w:gridSpan w:val="8"/>
          </w:tcPr>
          <w:p>
            <w:pPr>
              <w:spacing w:after="0"/>
              <w:rPr>
                <w:sz w:val="17"/>
                <w:szCs w:val="17"/>
                <w:color w:val="auto"/>
              </w:rPr>
            </w:pPr>
          </w:p>
        </w:tc>
      </w:tr>
      <w:tr>
        <w:trPr>
          <w:trHeight w:val="20"/>
        </w:trPr>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250"/>
        </w:trPr>
        <w:tc>
          <w:tcPr>
            <w:tcW w:w="2140" w:type="dxa"/>
            <w:vAlign w:val="bottom"/>
          </w:tcPr>
          <w:p>
            <w:pPr>
              <w:ind w:left="1380"/>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10.4</w:t>
              </w:r>
            </w:hyperlink>
          </w:p>
        </w:tc>
        <w:tc>
          <w:tcPr>
            <w:tcW w:w="58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gridSpan w:val="15"/>
          </w:tcPr>
          <w:p>
            <w:pPr>
              <w:spacing w:after="0"/>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Fifth Amendment to the Credit and Guaranty Agreement, by and among</w:t>
              </w:r>
            </w:hyperlink>
          </w:p>
        </w:tc>
      </w:tr>
      <w:tr>
        <w:trPr>
          <w:trHeight w:val="20"/>
        </w:trPr>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60" w:type="dxa"/>
            <w:vAlign w:val="bottom"/>
            <w:gridSpan w:val="15"/>
          </w:tcPr>
          <w:p>
            <w:pPr>
              <w:spacing w:after="0" w:line="196" w:lineRule="exact"/>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Priority Holdings LLC, the Guarantors, the Lenders, and Goldman Sachs</w:t>
              </w:r>
            </w:hyperlink>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w:anchor="page97">
              <w:r>
                <w:rPr>
                  <w:rFonts w:ascii="Times New Roman" w:cs="Times New Roman" w:eastAsia="Times New Roman" w:hAnsi="Times New Roman"/>
                  <w:sz w:val="18"/>
                  <w:szCs w:val="18"/>
                  <w:color w:val="0000FF"/>
                  <w:w w:val="98"/>
                </w:rPr>
                <w:t>Specialty Group, L.P. as administrative agent.</w:t>
              </w:r>
            </w:hyperlink>
          </w:p>
        </w:tc>
        <w:tc>
          <w:tcPr>
            <w:tcW w:w="1960" w:type="dxa"/>
            <w:vAlign w:val="bottom"/>
            <w:tcBorders>
              <w:top w:val="single" w:sz="8" w:color="0000FF"/>
            </w:tcBorders>
            <w:gridSpan w:val="5"/>
          </w:tcPr>
          <w:p>
            <w:pPr>
              <w:spacing w:after="0"/>
              <w:rPr>
                <w:sz w:val="17"/>
                <w:szCs w:val="17"/>
                <w:color w:val="auto"/>
              </w:rPr>
            </w:pPr>
          </w:p>
        </w:tc>
        <w:tc>
          <w:tcPr>
            <w:tcW w:w="400" w:type="dxa"/>
            <w:vAlign w:val="bottom"/>
            <w:gridSpan w:val="5"/>
          </w:tcPr>
          <w:p>
            <w:pPr>
              <w:spacing w:after="0"/>
              <w:rPr>
                <w:sz w:val="17"/>
                <w:szCs w:val="17"/>
                <w:color w:val="auto"/>
              </w:rPr>
            </w:pPr>
          </w:p>
        </w:tc>
      </w:tr>
      <w:tr>
        <w:trPr>
          <w:trHeight w:val="250"/>
        </w:trPr>
        <w:tc>
          <w:tcPr>
            <w:tcW w:w="2140" w:type="dxa"/>
            <w:vAlign w:val="bottom"/>
          </w:tcPr>
          <w:p>
            <w:pPr>
              <w:ind w:left="138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31.1</w:t>
              </w:r>
            </w:hyperlink>
          </w:p>
        </w:tc>
        <w:tc>
          <w:tcPr>
            <w:tcW w:w="58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Certification of Chief Executive Officer pursuant to Rule 13a-14 and Rule</w:t>
              </w:r>
            </w:hyperlink>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15d-14(a), promulgated under the Securities and Exchange Act of 1934, as</w:t>
              </w:r>
            </w:hyperlink>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60" w:type="dxa"/>
            <w:vAlign w:val="bottom"/>
            <w:gridSpan w:val="15"/>
          </w:tcPr>
          <w:p>
            <w:pPr>
              <w:spacing w:after="0" w:line="196"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amended.</w:t>
              </w:r>
            </w:hyperlink>
          </w:p>
        </w:tc>
      </w:tr>
      <w:tr>
        <w:trPr>
          <w:trHeight w:val="20"/>
        </w:trPr>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560" w:type="dxa"/>
            <w:vAlign w:val="bottom"/>
            <w:gridSpan w:val="12"/>
          </w:tcPr>
          <w:p>
            <w:pPr>
              <w:spacing w:after="0" w:line="20" w:lineRule="exact"/>
              <w:rPr>
                <w:sz w:val="1"/>
                <w:szCs w:val="1"/>
                <w:color w:val="auto"/>
              </w:rPr>
            </w:pPr>
          </w:p>
        </w:tc>
      </w:tr>
      <w:tr>
        <w:trPr>
          <w:trHeight w:val="250"/>
        </w:trPr>
        <w:tc>
          <w:tcPr>
            <w:tcW w:w="2140" w:type="dxa"/>
            <w:vAlign w:val="bottom"/>
          </w:tcPr>
          <w:p>
            <w:pPr>
              <w:ind w:left="138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31.2</w:t>
              </w:r>
            </w:hyperlink>
          </w:p>
        </w:tc>
        <w:tc>
          <w:tcPr>
            <w:tcW w:w="58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Certification of Chief Financial Officer pursuant to Rule 13a-14 and Rule</w:t>
              </w:r>
            </w:hyperlink>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15d-14(a), promulgated under the Securities and Exchange Act of 1934, as</w:t>
              </w:r>
            </w:hyperlink>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60" w:type="dxa"/>
            <w:vAlign w:val="bottom"/>
            <w:gridSpan w:val="15"/>
          </w:tcPr>
          <w:p>
            <w:pPr>
              <w:spacing w:after="0" w:line="196" w:lineRule="exact"/>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amended.</w:t>
              </w:r>
            </w:hyperlink>
          </w:p>
        </w:tc>
      </w:tr>
      <w:tr>
        <w:trPr>
          <w:trHeight w:val="20"/>
        </w:trPr>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560" w:type="dxa"/>
            <w:vAlign w:val="bottom"/>
            <w:gridSpan w:val="12"/>
          </w:tcPr>
          <w:p>
            <w:pPr>
              <w:spacing w:after="0" w:line="20" w:lineRule="exact"/>
              <w:rPr>
                <w:sz w:val="1"/>
                <w:szCs w:val="1"/>
                <w:color w:val="auto"/>
              </w:rPr>
            </w:pPr>
          </w:p>
        </w:tc>
      </w:tr>
      <w:tr>
        <w:trPr>
          <w:trHeight w:val="250"/>
        </w:trPr>
        <w:tc>
          <w:tcPr>
            <w:tcW w:w="2140" w:type="dxa"/>
            <w:vAlign w:val="bottom"/>
          </w:tcPr>
          <w:p>
            <w:pPr>
              <w:ind w:left="1380"/>
              <w:spacing w:after="0"/>
              <w:rPr>
                <w:rFonts w:ascii="Times New Roman" w:cs="Times New Roman" w:eastAsia="Times New Roman" w:hAnsi="Times New Roman"/>
                <w:sz w:val="18"/>
                <w:szCs w:val="18"/>
                <w:u w:val="single" w:color="auto"/>
                <w:color w:val="0000FF"/>
              </w:rPr>
            </w:pPr>
            <w:hyperlink w:anchor="page108">
              <w:r>
                <w:rPr>
                  <w:rFonts w:ascii="Times New Roman" w:cs="Times New Roman" w:eastAsia="Times New Roman" w:hAnsi="Times New Roman"/>
                  <w:sz w:val="18"/>
                  <w:szCs w:val="18"/>
                  <w:u w:val="single" w:color="auto"/>
                  <w:color w:val="0000FF"/>
                </w:rPr>
                <w:t>32</w:t>
              </w:r>
            </w:hyperlink>
          </w:p>
        </w:tc>
        <w:tc>
          <w:tcPr>
            <w:tcW w:w="58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Certification of Chief Executive Officer and Chief Financial Officer pursuant</w:t>
              </w:r>
            </w:hyperlink>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to 18 U.S.C. Section 1350, as adopted pursuant to Section 906 of the</w:t>
              </w:r>
            </w:hyperlink>
          </w:p>
        </w:tc>
      </w:tr>
      <w:tr>
        <w:trPr>
          <w:trHeight w:val="196"/>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60" w:type="dxa"/>
            <w:vAlign w:val="bottom"/>
            <w:gridSpan w:val="15"/>
          </w:tcPr>
          <w:p>
            <w:pPr>
              <w:spacing w:after="0" w:line="196" w:lineRule="exact"/>
              <w:rPr>
                <w:rFonts w:ascii="Times New Roman" w:cs="Times New Roman" w:eastAsia="Times New Roman" w:hAnsi="Times New Roman"/>
                <w:sz w:val="18"/>
                <w:szCs w:val="18"/>
                <w:color w:val="0000FF"/>
              </w:rPr>
            </w:pPr>
            <w:hyperlink w:anchor="page108">
              <w:r>
                <w:rPr>
                  <w:rFonts w:ascii="Times New Roman" w:cs="Times New Roman" w:eastAsia="Times New Roman" w:hAnsi="Times New Roman"/>
                  <w:sz w:val="18"/>
                  <w:szCs w:val="18"/>
                  <w:color w:val="0000FF"/>
                </w:rPr>
                <w:t>Sarbanes-Oxley Act of 2002.</w:t>
              </w:r>
            </w:hyperlink>
          </w:p>
        </w:tc>
      </w:tr>
      <w:tr>
        <w:trPr>
          <w:trHeight w:val="20"/>
        </w:trPr>
        <w:tc>
          <w:tcPr>
            <w:tcW w:w="27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560" w:type="dxa"/>
            <w:vAlign w:val="bottom"/>
            <w:gridSpan w:val="12"/>
          </w:tcPr>
          <w:p>
            <w:pPr>
              <w:spacing w:after="0" w:line="20" w:lineRule="exact"/>
              <w:rPr>
                <w:sz w:val="1"/>
                <w:szCs w:val="1"/>
                <w:color w:val="auto"/>
              </w:rPr>
            </w:pPr>
          </w:p>
        </w:tc>
      </w:tr>
      <w:tr>
        <w:trPr>
          <w:trHeight w:val="272"/>
        </w:trPr>
        <w:tc>
          <w:tcPr>
            <w:tcW w:w="2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101.INS</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r>
      <w:tr>
        <w:trPr>
          <w:trHeight w:val="216"/>
        </w:trPr>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r>
      <w:tr>
        <w:trPr>
          <w:trHeight w:val="234"/>
        </w:trPr>
        <w:tc>
          <w:tcPr>
            <w:tcW w:w="2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270"/>
        </w:trPr>
        <w:tc>
          <w:tcPr>
            <w:tcW w:w="2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101.SCH</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2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101.CAL</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2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101.DEF</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2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101.LAB</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2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101.PRE</w:t>
            </w: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52"/>
        </w:trPr>
        <w:tc>
          <w:tcPr>
            <w:tcW w:w="21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1"/>
                <w:szCs w:val="21"/>
                <w:color w:val="auto"/>
              </w:rPr>
            </w:pP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r>
      <w:tr>
        <w:trPr>
          <w:trHeight w:val="234"/>
        </w:trPr>
        <w:tc>
          <w:tcPr>
            <w:tcW w:w="2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Exhibit 101)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3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139"/>
          </w:cols>
          <w:pgMar w:left="320" w:top="121" w:right="1440"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3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PRIORITY TECHNOLOGY HOLDINGS, INC.</w:t>
            </w:r>
          </w:p>
        </w:tc>
      </w:tr>
      <w:tr>
        <w:trPr>
          <w:trHeight w:val="55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August 14, 2019</w:t>
            </w: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Thomas C. Priore</w:t>
            </w:r>
          </w:p>
        </w:tc>
      </w:tr>
      <w:tr>
        <w:trPr>
          <w:trHeight w:val="216"/>
        </w:trPr>
        <w:tc>
          <w:tcPr>
            <w:tcW w:w="584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Thomas C. Priore</w:t>
            </w:r>
          </w:p>
        </w:tc>
        <w:tc>
          <w:tcPr>
            <w:tcW w:w="2280" w:type="dxa"/>
            <w:vAlign w:val="bottom"/>
            <w:gridSpan w:val="2"/>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tc>
      </w:tr>
      <w:tr>
        <w:trPr>
          <w:trHeight w:val="236"/>
        </w:trPr>
        <w:tc>
          <w:tcPr>
            <w:tcW w:w="58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8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August 14, 2019</w:t>
            </w: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Michael Vollkommer</w:t>
            </w:r>
          </w:p>
        </w:tc>
      </w:tr>
      <w:tr>
        <w:trPr>
          <w:trHeight w:val="216"/>
        </w:trPr>
        <w:tc>
          <w:tcPr>
            <w:tcW w:w="5840" w:type="dxa"/>
            <w:vAlign w:val="bottom"/>
          </w:tcPr>
          <w:p>
            <w:pPr>
              <w:spacing w:after="0"/>
              <w:rPr>
                <w:sz w:val="18"/>
                <w:szCs w:val="18"/>
                <w:color w:val="auto"/>
              </w:rPr>
            </w:pPr>
          </w:p>
        </w:tc>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Michael Vollkommer</w:t>
            </w:r>
          </w:p>
        </w:tc>
        <w:tc>
          <w:tcPr>
            <w:tcW w:w="202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8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ectPr>
          <w:pgSz w:w="11900" w:h="16838" w:orient="portrait"/>
          <w:cols w:equalWidth="0" w:num="1">
            <w:col w:w="10500"/>
          </w:cols>
          <w:pgMar w:left="320" w:top="121" w:right="10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FOURTH AMENDMENT TO THE CREDIT AND GUARANTY AGREEMENT</w:t>
      </w:r>
    </w:p>
    <w:p>
      <w:pPr>
        <w:spacing w:after="0" w:line="22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0"/>
          <w:szCs w:val="20"/>
          <w:color w:val="auto"/>
        </w:rPr>
        <w:t>FOURTH AMENDMENT TO THE CREDIT AND GUARANTY AGREEMENT, dated as of February 15, 2019 (this “</w:t>
      </w:r>
      <w:r>
        <w:rPr>
          <w:rFonts w:ascii="Times New Roman" w:cs="Times New Roman" w:eastAsia="Times New Roman" w:hAnsi="Times New Roman"/>
          <w:sz w:val="20"/>
          <w:szCs w:val="20"/>
          <w:b w:val="1"/>
          <w:bCs w:val="1"/>
          <w:i w:val="1"/>
          <w:iCs w:val="1"/>
          <w:color w:val="auto"/>
        </w:rPr>
        <w:t>Fourth Amendment</w:t>
      </w:r>
      <w:r>
        <w:rPr>
          <w:rFonts w:ascii="Times New Roman" w:cs="Times New Roman" w:eastAsia="Times New Roman" w:hAnsi="Times New Roman"/>
          <w:sz w:val="20"/>
          <w:szCs w:val="20"/>
          <w:color w:val="auto"/>
        </w:rPr>
        <w:t>”), among PRIORITY PAYMENT SYSTEMS HOLDINGS LLC, a Georgia limited liability company (“</w:t>
      </w:r>
      <w:r>
        <w:rPr>
          <w:rFonts w:ascii="Times New Roman" w:cs="Times New Roman" w:eastAsia="Times New Roman" w:hAnsi="Times New Roman"/>
          <w:sz w:val="20"/>
          <w:szCs w:val="20"/>
          <w:b w:val="1"/>
          <w:bCs w:val="1"/>
          <w:i w:val="1"/>
          <w:iCs w:val="1"/>
          <w:color w:val="auto"/>
        </w:rPr>
        <w:t>PPSH</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i w:val="1"/>
          <w:iCs w:val="1"/>
          <w:color w:val="auto"/>
        </w:rPr>
        <w:t>Borrower Representative</w:t>
      </w:r>
      <w:r>
        <w:rPr>
          <w:rFonts w:ascii="Times New Roman" w:cs="Times New Roman" w:eastAsia="Times New Roman" w:hAnsi="Times New Roman"/>
          <w:sz w:val="20"/>
          <w:szCs w:val="20"/>
          <w:color w:val="auto"/>
        </w:rPr>
        <w:t>”) and SUNTRUST BANK, as administrative agent under the Credit Agreement referred to below (in such capacity, including any of its permitted successors and assigns,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All capitalized terms used herein (including in this preamble) and not otherwise defined herein shall have the respective meanings provided such terms in the Credit Agreement referred to below.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PRELIMINARY STATEMENTS</w:t>
      </w:r>
    </w:p>
    <w:p>
      <w:pPr>
        <w:spacing w:after="0" w:line="21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WHEREAS, the Borrowers have entered into that certain Credit and Guaranty Agreement, dated as of January 3, 2017, among the Borrowers, Holdings, the other Guarantors party thereto from time to time, the lenders party thereto from time to time (collectively, the “</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i w:val="1"/>
          <w:iCs w:val="1"/>
          <w:color w:val="auto"/>
        </w:rPr>
        <w:t>Lender</w:t>
      </w:r>
      <w:r>
        <w:rPr>
          <w:rFonts w:ascii="Times New Roman" w:cs="Times New Roman" w:eastAsia="Times New Roman" w:hAnsi="Times New Roman"/>
          <w:sz w:val="20"/>
          <w:szCs w:val="20"/>
          <w:color w:val="auto"/>
        </w:rPr>
        <w:t>”), and SunTrust Bank, as Administrative Agent, an Issuing Bank, Swing Line Lender and Collateral Agent (as amended, restated, amended and restated, supplemented and/or otherwise modified from time to time to, but not including, the date hereof, the “</w:t>
      </w:r>
      <w:r>
        <w:rPr>
          <w:rFonts w:ascii="Times New Roman" w:cs="Times New Roman" w:eastAsia="Times New Roman" w:hAnsi="Times New Roman"/>
          <w:sz w:val="20"/>
          <w:szCs w:val="20"/>
          <w:b w:val="1"/>
          <w:bCs w:val="1"/>
          <w:i w:val="1"/>
          <w:iCs w:val="1"/>
          <w:color w:val="auto"/>
        </w:rPr>
        <w:t>Credit Agreement</w:t>
      </w:r>
      <w:r>
        <w:rPr>
          <w:rFonts w:ascii="Times New Roman" w:cs="Times New Roman" w:eastAsia="Times New Roman" w:hAnsi="Times New Roman"/>
          <w:sz w:val="20"/>
          <w:szCs w:val="20"/>
          <w:color w:val="auto"/>
        </w:rPr>
        <w:t>”); and</w:t>
      </w:r>
    </w:p>
    <w:p>
      <w:pPr>
        <w:spacing w:after="0" w:line="18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WHEREAS, the Administrative Agent and the Borrower Representative have jointly identified a defect of an immaterial nature in the Credit Agreement and, as a consequence thereof, the Administrative Agent and the Borrower Representative wish to amend the Credit Agreement as provided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hereof and without any further action or consent of any other party to the Credit Agreement, as permitted by Section 10.05(e) of the Credit Agreement.</w:t>
      </w:r>
    </w:p>
    <w:p>
      <w:pPr>
        <w:spacing w:after="0" w:line="18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adequacy of which is acknowledged by each party hereto, it is agreed that:</w:t>
      </w:r>
    </w:p>
    <w:p>
      <w:pPr>
        <w:spacing w:after="0" w:line="173"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Rules of Construction</w:t>
      </w:r>
      <w:r>
        <w:rPr>
          <w:rFonts w:ascii="Times New Roman" w:cs="Times New Roman" w:eastAsia="Times New Roman" w:hAnsi="Times New Roman"/>
          <w:sz w:val="20"/>
          <w:szCs w:val="20"/>
          <w:color w:val="auto"/>
        </w:rPr>
        <w:t>. The rules of construction specified in Section 1.03 of the Credit Agreement shall apply to this Fourth Amendment, including the terms defined in the preamble and recitals hereto.</w:t>
      </w:r>
    </w:p>
    <w:p>
      <w:pPr>
        <w:spacing w:after="0" w:line="146"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Technical Amendment to the Credit Agreement</w:t>
      </w:r>
      <w:r>
        <w:rPr>
          <w:rFonts w:ascii="Times New Roman" w:cs="Times New Roman" w:eastAsia="Times New Roman" w:hAnsi="Times New Roman"/>
          <w:sz w:val="20"/>
          <w:szCs w:val="20"/>
          <w:color w:val="auto"/>
        </w:rPr>
        <w:t>. Section 5.01 of the Credit Agreement is hereby amended by inserting the following new paragraph immediately after clause (o) thereof:</w:t>
      </w:r>
    </w:p>
    <w:p>
      <w:pPr>
        <w:spacing w:after="0" w:line="159" w:lineRule="exact"/>
        <w:rPr>
          <w:sz w:val="20"/>
          <w:szCs w:val="20"/>
          <w:color w:val="auto"/>
        </w:rPr>
      </w:pPr>
    </w:p>
    <w:p>
      <w:pPr>
        <w:jc w:val="both"/>
        <w:ind w:left="1300" w:firstLine="1296"/>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may be satisfied with respect to financial information of Holdings and its Subsidiaries by furnishing (I) the applicable financial statement of Holdings (or any direct or indirect parent of Holdings) or (II) Holdings’ (or any direct or indirect parent thereof), as applicable, Form 10-K or 10-Q, as applicable, filed with the SEC;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(i) to the extent such information relates to a parent of Holdings, such information is accompanied by consolidating information (which may be set forth in footnotes to the financial information) that explains in reasonable detail the differences between the information relating to such parent and its Subsidiaries, on the one hand, and the information relating to Holdings and its Subsidiaries on a standalone basis, on the other hand and (ii) to the extent such information is in lieu of information required to be provided under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such materials are accompanied by a report and opinion of RSM US LLP or any other independent certified public accounting firm of nationally recognized standing</w:t>
      </w:r>
    </w:p>
    <w:p>
      <w:pPr>
        <w:sectPr>
          <w:pgSz w:w="11900" w:h="16838" w:orient="portrait"/>
          <w:cols w:equalWidth="0" w:num="1">
            <w:col w:w="11240"/>
          </w:cols>
          <w:pgMar w:left="320" w:top="585" w:right="339" w:bottom="1440" w:gutter="0" w:footer="0" w:header="0"/>
        </w:sectPr>
      </w:pPr>
    </w:p>
    <w:bookmarkStart w:id="52" w:name="page53"/>
    <w:bookmarkEnd w:id="52"/>
    <w:p>
      <w:pPr>
        <w:jc w:val="both"/>
        <w:ind w:left="1300"/>
        <w:spacing w:after="0" w:line="243" w:lineRule="auto"/>
        <w:rPr>
          <w:sz w:val="20"/>
          <w:szCs w:val="20"/>
          <w:color w:val="auto"/>
        </w:rPr>
      </w:pPr>
      <w:r>
        <w:rPr>
          <w:rFonts w:ascii="Times New Roman" w:cs="Times New Roman" w:eastAsia="Times New Roman" w:hAnsi="Times New Roman"/>
          <w:sz w:val="20"/>
          <w:szCs w:val="20"/>
          <w:color w:val="auto"/>
        </w:rPr>
        <w:t>reasonably satisfactory to the Administrative Agent (such consent not to be unreasonably withheld, delayed or conditioned), which report shall be unqualified as to “going concern” and scope of audit (other than any qualification or exception that is solely with respect to, or resulting solely from, (A) an upcoming maturity date of any of the Obligations or (B) any potential inability to satisfy a financial maintenance covenant on a future date or in a future period), and shall state that such consolidated financial statements fairly present, in all material respects, the consolidated financial position of Holdings (or such parent entity)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have been made in accordance with generally accepted auditing standards).”</w:t>
      </w:r>
    </w:p>
    <w:p>
      <w:pPr>
        <w:spacing w:after="0" w:line="18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Condition of Effectiveness of this Fourth Amendment</w:t>
      </w:r>
      <w:r>
        <w:rPr>
          <w:rFonts w:ascii="Times New Roman" w:cs="Times New Roman" w:eastAsia="Times New Roman" w:hAnsi="Times New Roman"/>
          <w:sz w:val="20"/>
          <w:szCs w:val="20"/>
          <w:color w:val="auto"/>
        </w:rPr>
        <w:t>. After the execution of this Fourth Amendment by the parties hereto, this Fourth Amendment shall become effective without any further action or consent of any other party to any Credit Document if the same is not objected to in writing by the Requisite Lenders within five (5) Business Days following receipt of notice hereof (such date, the “</w:t>
      </w:r>
      <w:r>
        <w:rPr>
          <w:rFonts w:ascii="Times New Roman" w:cs="Times New Roman" w:eastAsia="Times New Roman" w:hAnsi="Times New Roman"/>
          <w:sz w:val="20"/>
          <w:szCs w:val="20"/>
          <w:b w:val="1"/>
          <w:bCs w:val="1"/>
          <w:i w:val="1"/>
          <w:iCs w:val="1"/>
          <w:color w:val="auto"/>
        </w:rPr>
        <w:t>Fourth Amendment Effective Date</w:t>
      </w:r>
      <w:r>
        <w:rPr>
          <w:rFonts w:ascii="Times New Roman" w:cs="Times New Roman" w:eastAsia="Times New Roman" w:hAnsi="Times New Roman"/>
          <w:sz w:val="20"/>
          <w:szCs w:val="20"/>
          <w:color w:val="auto"/>
        </w:rPr>
        <w:t>”), subject to the following conditions:</w:t>
      </w:r>
    </w:p>
    <w:p>
      <w:pPr>
        <w:spacing w:after="0" w:line="180" w:lineRule="exact"/>
        <w:rPr>
          <w:sz w:val="20"/>
          <w:szCs w:val="20"/>
          <w:color w:val="auto"/>
        </w:rPr>
      </w:pPr>
    </w:p>
    <w:p>
      <w:pPr>
        <w:jc w:val="both"/>
        <w:ind w:firstLine="1304"/>
        <w:spacing w:after="0" w:line="254" w:lineRule="auto"/>
        <w:tabs>
          <w:tab w:leader="none" w:pos="179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fully executed copy of the fourth amendment to the Subordinated Credit Agreement (the “</w:t>
      </w:r>
      <w:r>
        <w:rPr>
          <w:rFonts w:ascii="Times New Roman" w:cs="Times New Roman" w:eastAsia="Times New Roman" w:hAnsi="Times New Roman"/>
          <w:sz w:val="20"/>
          <w:szCs w:val="20"/>
          <w:b w:val="1"/>
          <w:bCs w:val="1"/>
          <w:i w:val="1"/>
          <w:iCs w:val="1"/>
          <w:color w:val="auto"/>
        </w:rPr>
        <w:t>Subordinated Credit Agreement Amendment</w:t>
      </w:r>
      <w:r>
        <w:rPr>
          <w:rFonts w:ascii="Times New Roman" w:cs="Times New Roman" w:eastAsia="Times New Roman" w:hAnsi="Times New Roman"/>
          <w:sz w:val="20"/>
          <w:szCs w:val="20"/>
          <w:color w:val="auto"/>
        </w:rPr>
        <w:t>“), in form and substance reasonably satisfactory to the Administrative Agent.</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the Subordinated Credit Agreement Amendment shall have occurred or shall occur concurrently with the effectiveness of this Amendment.</w:t>
      </w:r>
    </w:p>
    <w:p>
      <w:pPr>
        <w:spacing w:after="0" w:line="159"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In order to induce the Administrative Agent to enter into this Fourth Amendment, each Credit Party represents and warrants to the Administrative Agent on and as of the date hereof, that:</w:t>
      </w:r>
    </w:p>
    <w:p>
      <w:pPr>
        <w:spacing w:after="0" w:line="159" w:lineRule="exact"/>
        <w:rPr>
          <w:sz w:val="20"/>
          <w:szCs w:val="20"/>
          <w:color w:val="auto"/>
        </w:rPr>
      </w:pPr>
    </w:p>
    <w:p>
      <w:pPr>
        <w:ind w:firstLine="1304"/>
        <w:spacing w:after="0" w:line="269" w:lineRule="auto"/>
        <w:tabs>
          <w:tab w:leader="none" w:pos="172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hereto has all requisite power and authority to execute, deliver and perform its obligations under this Fourth Amendment and the Credit Agreement, in each case, to which it is a party to and to carry out the transactions contemplated hereby;</w:t>
      </w:r>
    </w:p>
    <w:p>
      <w:pPr>
        <w:spacing w:after="0" w:line="159" w:lineRule="exact"/>
        <w:rPr>
          <w:rFonts w:ascii="Times New Roman" w:cs="Times New Roman" w:eastAsia="Times New Roman" w:hAnsi="Times New Roman"/>
          <w:sz w:val="20"/>
          <w:szCs w:val="20"/>
          <w:color w:val="auto"/>
        </w:rPr>
      </w:pPr>
    </w:p>
    <w:p>
      <w:pPr>
        <w:ind w:right="20" w:firstLine="1304"/>
        <w:spacing w:after="0" w:line="269" w:lineRule="auto"/>
        <w:tabs>
          <w:tab w:leader="none" w:pos="173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Fourth Amendment have been duly authorized by all necessary action on the part of each Credit Party that is a party hereto; and</w:t>
      </w:r>
    </w:p>
    <w:p>
      <w:pPr>
        <w:spacing w:after="0" w:line="15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77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Fourth Amendment has been duly executed and delivered by each Credit Party that is a party 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80" w:lineRule="exact"/>
        <w:rPr>
          <w:sz w:val="20"/>
          <w:szCs w:val="20"/>
          <w:color w:val="auto"/>
        </w:rPr>
      </w:pPr>
    </w:p>
    <w:p>
      <w:pPr>
        <w:ind w:left="1300"/>
        <w:spacing w:after="0"/>
        <w:tabs>
          <w:tab w:leader="none" w:pos="254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u w:val="single" w:color="auto"/>
          <w:color w:val="auto"/>
        </w:rPr>
        <w:t>Reference to and Effect on the Credit Agreement and the other Credit Documents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49" w:lineRule="auto"/>
        <w:tabs>
          <w:tab w:leader="none" w:pos="173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Fourth Amendment Effective Date, (a) each reference in the Credit Agreement to “this Agreement,” “hereunder,” “hereof” or words of like import referring to the Credit Agreement shall mean and be a reference to the Credit Agreement, as amended by this Fourth Amendment and (b) all references in each of the Credit Documents referring to the Credit Agreement shall be deemed to be a reference to the Credit Agreement, as amended by this Fourth Amendment.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360" w:right="339" w:bottom="1440" w:gutter="0" w:footer="0" w:header="0"/>
        </w:sectPr>
      </w:pPr>
    </w:p>
    <w:bookmarkStart w:id="53" w:name="page54"/>
    <w:bookmarkEnd w:id="53"/>
    <w:p>
      <w:pPr>
        <w:jc w:val="both"/>
        <w:ind w:firstLine="1304"/>
        <w:spacing w:after="0" w:line="249" w:lineRule="auto"/>
        <w:tabs>
          <w:tab w:leader="none" w:pos="170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Agreement and each of the other Credit Documents, as specifically amended by this Fourth Amendment,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Credit Parties, as amended by this Fourth Amendment.</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7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Fourth Amendment shall not, except as expressly provided herein, operate as a waiver of any right, power or remedy of any Lender or the Administrative Agent under any of the Credit Documents, nor constitute a waiver of any provision of any of the Credit Documents.</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70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effectiveness of this Fourth Amendment, this Fourth Amendment shall constitute a “Credit Document” for all purposes of the Credit Agreement and the other Credit Documents.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SECTION 5.</w:t>
      </w:r>
      <w:r>
        <w:rPr>
          <w:rFonts w:ascii="Times New Roman" w:cs="Times New Roman" w:eastAsia="Times New Roman" w:hAnsi="Times New Roman"/>
          <w:sz w:val="20"/>
          <w:szCs w:val="20"/>
          <w:u w:val="single" w:color="auto"/>
          <w:color w:val="auto"/>
        </w:rPr>
        <w:t>Miscellaneous Provisions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304"/>
        <w:spacing w:after="0" w:line="275" w:lineRule="auto"/>
        <w:tabs>
          <w:tab w:leader="none" w:pos="208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This Fourth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76" w:lineRule="exact"/>
        <w:rPr>
          <w:rFonts w:ascii="Times New Roman" w:cs="Times New Roman" w:eastAsia="Times New Roman" w:hAnsi="Times New Roman"/>
          <w:sz w:val="20"/>
          <w:szCs w:val="20"/>
          <w:color w:val="auto"/>
        </w:rPr>
      </w:pPr>
    </w:p>
    <w:p>
      <w:pPr>
        <w:jc w:val="both"/>
        <w:ind w:firstLine="1304"/>
        <w:spacing w:after="0" w:line="305" w:lineRule="auto"/>
        <w:tabs>
          <w:tab w:leader="none" w:pos="2092"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Submission to Jurisdiction, Waiver of Jury Trial, Etc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FOURTH AMENDMENT SHALL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BE GOVERNED BY, AND CONSTRUED IN ACCORDANCE WITH, THE LAW OF THE STATE OF NEW YORK. </w:t>
      </w:r>
      <w:r>
        <w:rPr>
          <w:rFonts w:ascii="Times New Roman" w:cs="Times New Roman" w:eastAsia="Times New Roman" w:hAnsi="Times New Roman"/>
          <w:sz w:val="19"/>
          <w:szCs w:val="19"/>
          <w:color w:val="auto"/>
        </w:rPr>
        <w:t>Sections 10.15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10.16 of the Credit Agreement are incorporated by reference herein as if such Sections appeared herein,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2080" w:hanging="776"/>
        <w:spacing w:after="0"/>
        <w:tabs>
          <w:tab w:leader="none" w:pos="208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Section 10.11 of the Credit Agreement is incorporated by reference herein as if such Section appeared</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240" w:lineRule="exact"/>
        <w:rPr>
          <w:rFonts w:ascii="Times New Roman" w:cs="Times New Roman" w:eastAsia="Times New Roman" w:hAnsi="Times New Roman"/>
          <w:sz w:val="19"/>
          <w:szCs w:val="19"/>
          <w:color w:val="auto"/>
        </w:rPr>
      </w:pPr>
    </w:p>
    <w:p>
      <w:pPr>
        <w:jc w:val="both"/>
        <w:ind w:firstLine="1304"/>
        <w:spacing w:after="0" w:line="282" w:lineRule="auto"/>
        <w:tabs>
          <w:tab w:leader="none" w:pos="2092"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 Headings</w:t>
      </w:r>
      <w:r>
        <w:rPr>
          <w:rFonts w:ascii="Times New Roman" w:cs="Times New Roman" w:eastAsia="Times New Roman" w:hAnsi="Times New Roman"/>
          <w:sz w:val="19"/>
          <w:szCs w:val="19"/>
          <w:color w:val="auto"/>
        </w:rPr>
        <w:t>. This Fourth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Fourth Amendment shall be effective as delivery of an original executed counterpart of this Fourth Amendment. The Administrative Agent may also require that signatures delivered by telecopier,</w:t>
      </w:r>
    </w:p>
    <w:p>
      <w:pPr>
        <w:spacing w:after="0" w:line="1" w:lineRule="exact"/>
        <w:rPr>
          <w:rFonts w:ascii="Times New Roman" w:cs="Times New Roman" w:eastAsia="Times New Roman" w:hAnsi="Times New Roman"/>
          <w:sz w:val="19"/>
          <w:szCs w:val="19"/>
          <w:color w:val="auto"/>
        </w:rPr>
      </w:pPr>
    </w:p>
    <w:p>
      <w:pPr>
        <w:jc w:val="both"/>
        <w:spacing w:after="0" w:line="30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.pdf or other electronic imaging means be confirmed by a manually signed original thereof; provided that the failure to request or deliver the same shall not limit the effectiveness of this Fourth Amendment or signature delivered by telecopier, .pdf or other electronic imaging means. Section headings herein are included for convenience of reference only and shall not affect the interpretation of this Fourth Amendment.</w:t>
      </w:r>
    </w:p>
    <w:p>
      <w:pPr>
        <w:spacing w:after="0" w:line="158" w:lineRule="exact"/>
        <w:rPr>
          <w:rFonts w:ascii="Times New Roman" w:cs="Times New Roman" w:eastAsia="Times New Roman" w:hAnsi="Times New Roman"/>
          <w:sz w:val="19"/>
          <w:szCs w:val="19"/>
          <w:color w:val="auto"/>
        </w:rPr>
      </w:pPr>
    </w:p>
    <w:p>
      <w:pPr>
        <w:jc w:val="both"/>
        <w:ind w:firstLine="1304"/>
        <w:spacing w:after="0" w:line="296" w:lineRule="auto"/>
        <w:tabs>
          <w:tab w:leader="none" w:pos="2081"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Borrowers hereby agree to pay and reimburse the Administrative Agent and the Lead Arranger for their respective reasonable and documented out-of-pocket expenses in connection with the negotiation, preparation, syndication and execution and delivery of this Fourth Amendment, including without limitation, the reasonable fees, charges and disbursements of one counsel for the Administrative Agent and the Lead Arranger, all in accordance with Section 10.02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36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9"/>
          <w:szCs w:val="19"/>
          <w:color w:val="auto"/>
        </w:rPr>
        <w:t>[Remainder of page intentionally blank]</w:t>
      </w:r>
    </w:p>
    <w:p>
      <w:pPr>
        <w:sectPr>
          <w:pgSz w:w="11900" w:h="16838" w:orient="portrait"/>
          <w:cols w:equalWidth="0" w:num="1">
            <w:col w:w="9019"/>
          </w:cols>
          <w:pgMar w:left="1440" w:top="3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019"/>
          </w:cols>
          <w:pgMar w:left="1440" w:top="360" w:right="1440"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9"/>
          <w:szCs w:val="19"/>
          <w:color w:val="auto"/>
        </w:rPr>
        <w:t>IN WITNESS WHEREOF, the parties hereto have executed and delivered this Fourth Amendment as of the date first above written.</w:t>
      </w:r>
    </w:p>
    <w:p>
      <w:pPr>
        <w:sectPr>
          <w:pgSz w:w="11900" w:h="16838" w:orient="portrait"/>
          <w:cols w:equalWidth="0" w:num="1">
            <w:col w:w="10440"/>
          </w:cols>
          <w:pgMar w:left="980" w:top="112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PRIORITY PAYMENT SYSTEMS</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 xml:space="preserve">HOLDINGS LLC, </w:t>
      </w:r>
      <w:r>
        <w:rPr>
          <w:rFonts w:ascii="Times New Roman" w:cs="Times New Roman" w:eastAsia="Times New Roman" w:hAnsi="Times New Roman"/>
          <w:sz w:val="20"/>
          <w:szCs w:val="20"/>
          <w:color w:val="auto"/>
        </w:rPr>
        <w:t>as the Borrower Representative</w:t>
      </w:r>
    </w:p>
    <w:p>
      <w:pPr>
        <w:spacing w:after="0" w:line="26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Thomas C. Priore</w:t>
      </w:r>
    </w:p>
    <w:p>
      <w:pPr>
        <w:ind w:left="372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i w:val="1"/>
          <w:iCs w:val="1"/>
          <w:color w:val="auto"/>
        </w:rPr>
        <w:t>[Signature Page to Priority Payments – Fourth Amendment to Credit Agreement]</w:t>
      </w:r>
    </w:p>
    <w:p>
      <w:pPr>
        <w:sectPr>
          <w:pgSz w:w="11900" w:h="16838" w:orient="portrait"/>
          <w:cols w:equalWidth="0" w:num="1">
            <w:col w:w="10440"/>
          </w:cols>
          <w:pgMar w:left="980" w:top="1129" w:right="479" w:bottom="1440" w:gutter="0" w:footer="0" w:header="0"/>
          <w:type w:val="continuous"/>
        </w:sectPr>
      </w:pPr>
    </w:p>
    <w:bookmarkStart w:id="56" w:name="page57"/>
    <w:bookmarkEnd w:id="56"/>
    <w:p>
      <w:pPr>
        <w:jc w:val="right"/>
        <w:ind w:right="1539"/>
        <w:spacing w:after="0"/>
        <w:rPr>
          <w:sz w:val="20"/>
          <w:szCs w:val="20"/>
          <w:color w:val="auto"/>
        </w:rPr>
      </w:pPr>
      <w:r>
        <w:rPr>
          <w:rFonts w:ascii="Times New Roman" w:cs="Times New Roman" w:eastAsia="Times New Roman" w:hAnsi="Times New Roman"/>
          <w:sz w:val="22"/>
          <w:szCs w:val="22"/>
          <w:b w:val="1"/>
          <w:bCs w:val="1"/>
          <w:color w:val="auto"/>
        </w:rPr>
        <w:t xml:space="preserve">SUNTRUST BANK, </w:t>
      </w: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LOCKSLEY RANDLE</w:t>
      </w:r>
    </w:p>
    <w:p>
      <w:pPr>
        <w:spacing w:after="0" w:line="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 Locksley Randle</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Priority Payments – Fourth Amendment to Credit Agreement]</w:t>
      </w:r>
    </w:p>
    <w:p>
      <w:pPr>
        <w:sectPr>
          <w:pgSz w:w="11900" w:h="16838" w:orient="portrait"/>
          <w:cols w:equalWidth="0" w:num="1">
            <w:col w:w="9019"/>
          </w:cols>
          <w:pgMar w:left="1440" w:top="581"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FOURTH AMENDMENT TO</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CREDIT AND GUARANTY AGREEMENT</w:t>
      </w:r>
    </w:p>
    <w:p>
      <w:pPr>
        <w:spacing w:after="0" w:line="25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This FOURTH AMENDMENT TO CREDIT AND GUARANTY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February 15, 2019 is made by and among PRIORITY HOLDINGS LLC, a Delaware limited liability company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Credit Parties party hereto as Guarantors, the Lenders party hereto and GOLDMAN SACHS SPECIALTY LENDING GROUP, L.P., as administrative agent under the Credit Agreement referred to below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All capitalized terms used herein (including in this preamble) and not otherwise defined herein shall have the respective meanings provided to such terms in the Credit Agreement referred to below.</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PRELIMINARY STATEMENTS</w:t>
      </w:r>
    </w:p>
    <w:p>
      <w:pPr>
        <w:spacing w:after="0" w:line="25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0"/>
          <w:szCs w:val="20"/>
          <w:color w:val="auto"/>
        </w:rPr>
        <w:t>WHEREAS, Borrower has entered into that certain Credit and Guaranty Agreement, dated as of January 3, 2017, among Borrower, the other Credit Parties party thereto from time to time as Guarantors, the Lenders party thereto from time to time and Goldman Sachs Specialty Lending Group, L.P., as Administrative Agent and Lead Arranger (as the same has been and may be further amended, restated, amended and restated, supplemented and/or otherwise modified from time to time, and and as amended hereby,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WHEREAS, Borrower has requested that the Administrative Agent and Requisite Lenders agree to certain amendments to the Credit Agreement, as more fully set forth herein;</w:t>
      </w:r>
    </w:p>
    <w:p>
      <w:pPr>
        <w:spacing w:after="0" w:line="160"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WHEREAS, the Administrative Agent and Requisite Lenders are willing to agree to such amendments, subject to and in accordance with the terms and conditions set forth herein; and</w:t>
      </w:r>
    </w:p>
    <w:p>
      <w:pPr>
        <w:spacing w:after="0" w:line="160" w:lineRule="exact"/>
        <w:rPr>
          <w:sz w:val="20"/>
          <w:szCs w:val="20"/>
          <w:color w:val="auto"/>
        </w:rPr>
      </w:pPr>
    </w:p>
    <w:p>
      <w:pPr>
        <w:jc w:val="both"/>
        <w:ind w:right="20" w:firstLine="648"/>
        <w:spacing w:after="0" w:line="311"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adequacy of which is acknowledged by each party hereto, it is agreed that:</w:t>
      </w:r>
    </w:p>
    <w:p>
      <w:pPr>
        <w:spacing w:after="0" w:line="173" w:lineRule="exact"/>
        <w:rPr>
          <w:sz w:val="20"/>
          <w:szCs w:val="20"/>
          <w:color w:val="auto"/>
        </w:rPr>
      </w:pPr>
    </w:p>
    <w:p>
      <w:pPr>
        <w:jc w:val="both"/>
        <w:ind w:firstLine="324"/>
        <w:spacing w:after="0" w:line="339"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RULES OF CONSTRUCTION</w:t>
      </w:r>
      <w:r>
        <w:rPr>
          <w:rFonts w:ascii="Times New Roman" w:cs="Times New Roman" w:eastAsia="Times New Roman" w:hAnsi="Times New Roman"/>
          <w:sz w:val="20"/>
          <w:szCs w:val="20"/>
          <w:color w:val="auto"/>
        </w:rPr>
        <w:t xml:space="preserve">. The rules of construction specified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of the Credit Agreement shall apply to this Amendment, including the terms defined in the preamble and Preliminary Statements hereto.</w:t>
      </w:r>
    </w:p>
    <w:p>
      <w:pPr>
        <w:spacing w:after="0" w:line="147" w:lineRule="exact"/>
        <w:rPr>
          <w:sz w:val="20"/>
          <w:szCs w:val="20"/>
          <w:color w:val="auto"/>
        </w:rPr>
      </w:pPr>
    </w:p>
    <w:p>
      <w:pPr>
        <w:jc w:val="both"/>
        <w:ind w:firstLine="324"/>
        <w:spacing w:after="0" w:line="296"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 TO CREDIT AGREEMENT</w:t>
      </w:r>
      <w:r>
        <w:rPr>
          <w:rFonts w:ascii="Times New Roman" w:cs="Times New Roman" w:eastAsia="Times New Roman" w:hAnsi="Times New Roman"/>
          <w:sz w:val="20"/>
          <w:szCs w:val="20"/>
          <w:color w:val="auto"/>
        </w:rPr>
        <w:t xml:space="preserve">. Subject to the satisfaction (or waiver in writing by Requisite Lenders and the Administrative Agent) of the conditions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and in reliance on the representations, warranties, covenants and agreements contained in this Amendment,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of the Credit Agreement is hereby amended by inserting the following new paragraph immediately after </w:t>
      </w:r>
      <w:r>
        <w:rPr>
          <w:rFonts w:ascii="Times New Roman" w:cs="Times New Roman" w:eastAsia="Times New Roman" w:hAnsi="Times New Roman"/>
          <w:sz w:val="20"/>
          <w:szCs w:val="20"/>
          <w:u w:val="single" w:color="auto"/>
          <w:color w:val="auto"/>
        </w:rPr>
        <w:t>clause (l)</w:t>
      </w:r>
      <w:r>
        <w:rPr>
          <w:rFonts w:ascii="Times New Roman" w:cs="Times New Roman" w:eastAsia="Times New Roman" w:hAnsi="Times New Roman"/>
          <w:sz w:val="20"/>
          <w:szCs w:val="20"/>
          <w:color w:val="auto"/>
        </w:rPr>
        <w:t xml:space="preserve"> thereof:</w:t>
      </w:r>
    </w:p>
    <w:p>
      <w:pPr>
        <w:spacing w:after="0" w:line="14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may be satisfied with respect to financial information of Borrower and its Subsidiaries by furnishing (I) the applicable financial statement of Borrower (or any direct or indirect parent of Borrower) or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616" w:right="339" w:bottom="1440" w:gutter="0" w:footer="0" w:header="0"/>
        </w:sectPr>
      </w:pPr>
    </w:p>
    <w:bookmarkStart w:id="58" w:name="page59"/>
    <w:bookmarkEnd w:id="58"/>
    <w:p>
      <w:pPr>
        <w:jc w:val="both"/>
        <w:ind w:left="660" w:hanging="4"/>
        <w:spacing w:after="0" w:line="241" w:lineRule="auto"/>
        <w:tabs>
          <w:tab w:leader="none" w:pos="98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(or any direct or indirect parent thereof), as applicable, Form 10-K or 10-Q, as applicable, filed with the Securities and Exchange Commission;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(i) to the extent such information relates to a parent of Borrower, such information is accompanied by consolidating information (which may be set forth in footnotes to the financial information) that explains in reasonable detail the differences between the information relating to such parent and its Subsidiaries, on the one hand, and the information relating to Borrower and its Subsidiaries on a standalone basis, on the other hand and (ii) to the extent such information is in lieu of information required to be provided under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such materials are accompanied by a report and opinion of RSM US LLP or any other independent certified public accounting firm of nationally recognized standing reasonably satisfactory to the Administrative Agent, which report shall be unqualified as to “going concern” and scope of audit (other than any qualification or exception that is solely with respect to, or resulting solely from, (A) an upcoming maturity date of any of the Obligations or (B) any potential inability to satisfy a financial maintenance covenant on a future date or in a future period), and shall state that such consolidated financial statements fairly present, in all material respects, the consolidated financial position of Borrower (or such parent entity)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have been made in accordance with generally accepted auditing standards.</w:t>
      </w:r>
    </w:p>
    <w:p>
      <w:pPr>
        <w:spacing w:after="0" w:line="235" w:lineRule="exact"/>
        <w:rPr>
          <w:sz w:val="20"/>
          <w:szCs w:val="20"/>
          <w:color w:val="auto"/>
        </w:rPr>
      </w:pPr>
    </w:p>
    <w:p>
      <w:pPr>
        <w:jc w:val="both"/>
        <w:ind w:firstLine="324"/>
        <w:spacing w:after="0" w:line="296"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REFERENCE TO AND EFFECT ON THE CREDIT AGREEMENT</w:t>
      </w:r>
      <w:r>
        <w:rPr>
          <w:rFonts w:ascii="Times New Roman" w:cs="Times New Roman" w:eastAsia="Times New Roman" w:hAnsi="Times New Roman"/>
          <w:sz w:val="20"/>
          <w:szCs w:val="20"/>
          <w:color w:val="auto"/>
        </w:rPr>
        <w:t>. On and after the date hereof, each reference in the Credit Agreement to “this Agreement,” “hereunder,” “hereof” or text of like import referring to the Credit Agreement shall mean and be a reference to the Credit Agreement as amended by this Amendment. On and after the effectiveness of this Amendment, this Amendment shall for all purposes constitute a “Credit Document” under and as defined in the Credit Agreement and the other Credit Documents.</w:t>
      </w:r>
    </w:p>
    <w:p>
      <w:pPr>
        <w:spacing w:after="0" w:line="175" w:lineRule="exact"/>
        <w:rPr>
          <w:sz w:val="20"/>
          <w:szCs w:val="20"/>
          <w:color w:val="auto"/>
        </w:rPr>
      </w:pPr>
    </w:p>
    <w:p>
      <w:pPr>
        <w:jc w:val="both"/>
        <w:ind w:right="20" w:firstLine="324"/>
        <w:spacing w:after="0" w:line="325"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REPRESENTATIONS &amp; WARRANTIES; ACKNOWLEDGEMENTS</w:t>
      </w:r>
      <w:r>
        <w:rPr>
          <w:rFonts w:ascii="Times New Roman" w:cs="Times New Roman" w:eastAsia="Times New Roman" w:hAnsi="Times New Roman"/>
          <w:sz w:val="20"/>
          <w:szCs w:val="20"/>
          <w:color w:val="auto"/>
        </w:rPr>
        <w:t>. In order to induce each Lender party hereto and the Administrative Agent to enter into this Amendment, each Credit Party:</w:t>
      </w:r>
    </w:p>
    <w:p>
      <w:pPr>
        <w:spacing w:after="0" w:line="147" w:lineRule="exact"/>
        <w:rPr>
          <w:sz w:val="20"/>
          <w:szCs w:val="20"/>
          <w:color w:val="auto"/>
        </w:rPr>
      </w:pPr>
    </w:p>
    <w:p>
      <w:pPr>
        <w:ind w:left="1700" w:hanging="396"/>
        <w:spacing w:after="0"/>
        <w:tabs>
          <w:tab w:leader="none" w:pos="17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and warrants to each Lender and the Administrative Agent on and as of the date hereof, that:</w:t>
      </w:r>
    </w:p>
    <w:p>
      <w:pPr>
        <w:spacing w:after="0" w:line="269" w:lineRule="exact"/>
        <w:rPr>
          <w:rFonts w:ascii="Times New Roman" w:cs="Times New Roman" w:eastAsia="Times New Roman" w:hAnsi="Times New Roman"/>
          <w:sz w:val="20"/>
          <w:szCs w:val="20"/>
          <w:color w:val="auto"/>
        </w:rPr>
      </w:pPr>
    </w:p>
    <w:p>
      <w:pPr>
        <w:jc w:val="both"/>
        <w:ind w:left="1300" w:firstLine="652"/>
        <w:spacing w:after="0" w:line="303" w:lineRule="auto"/>
        <w:tabs>
          <w:tab w:leader="none" w:pos="238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hereto has all requisite power and authority to execute, deliver and perform its obligations under this Amendment and the Credit Agreement, in each case, to which it is a party and to carry out the transactions contemplated thereby.</w:t>
      </w:r>
    </w:p>
    <w:p>
      <w:pPr>
        <w:spacing w:after="0" w:line="168" w:lineRule="exact"/>
        <w:rPr>
          <w:rFonts w:ascii="Times New Roman" w:cs="Times New Roman" w:eastAsia="Times New Roman" w:hAnsi="Times New Roman"/>
          <w:sz w:val="20"/>
          <w:szCs w:val="20"/>
          <w:color w:val="auto"/>
        </w:rPr>
      </w:pPr>
    </w:p>
    <w:p>
      <w:pPr>
        <w:ind w:left="1300" w:firstLine="652"/>
        <w:spacing w:after="0" w:line="325" w:lineRule="auto"/>
        <w:tabs>
          <w:tab w:leader="none" w:pos="2369"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Amendment have been duly authorized by all necessary action on the part of each Credit Party that is a party thereto.</w:t>
      </w:r>
    </w:p>
    <w:p>
      <w:pPr>
        <w:spacing w:after="0" w:line="146" w:lineRule="exact"/>
        <w:rPr>
          <w:rFonts w:ascii="Times New Roman" w:cs="Times New Roman" w:eastAsia="Times New Roman" w:hAnsi="Times New Roman"/>
          <w:sz w:val="20"/>
          <w:szCs w:val="20"/>
          <w:color w:val="auto"/>
        </w:rPr>
      </w:pPr>
    </w:p>
    <w:p>
      <w:pPr>
        <w:ind w:left="1300" w:firstLine="652"/>
        <w:spacing w:after="0" w:line="325" w:lineRule="auto"/>
        <w:tabs>
          <w:tab w:leader="none" w:pos="2465"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each Credit Party that is a party hereto and is the legally valid and binding obligation of such Credit Party,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589" w:right="339" w:bottom="1440" w:gutter="0" w:footer="0" w:header="0"/>
        </w:sectPr>
      </w:pPr>
    </w:p>
    <w:bookmarkStart w:id="59" w:name="page60"/>
    <w:bookmarkEnd w:id="59"/>
    <w:p>
      <w:pPr>
        <w:jc w:val="both"/>
        <w:ind w:left="1300"/>
        <w:spacing w:after="0" w:line="296" w:lineRule="auto"/>
        <w:rPr>
          <w:sz w:val="20"/>
          <w:szCs w:val="20"/>
          <w:color w:val="auto"/>
        </w:rPr>
      </w:pPr>
      <w:r>
        <w:rPr>
          <w:rFonts w:ascii="Times New Roman" w:cs="Times New Roman" w:eastAsia="Times New Roman" w:hAnsi="Times New Roman"/>
          <w:sz w:val="20"/>
          <w:szCs w:val="20"/>
          <w:color w:val="auto"/>
        </w:rPr>
        <w:t>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75" w:lineRule="exact"/>
        <w:rPr>
          <w:sz w:val="20"/>
          <w:szCs w:val="20"/>
          <w:color w:val="auto"/>
        </w:rPr>
      </w:pPr>
    </w:p>
    <w:p>
      <w:pPr>
        <w:jc w:val="both"/>
        <w:ind w:left="1300" w:firstLine="652"/>
        <w:spacing w:after="0" w:line="290" w:lineRule="auto"/>
        <w:tabs>
          <w:tab w:leader="none" w:pos="241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set forth in the Credit Agreement and in the other Credit Documents is true and correct in all material respects on and as of the date hereof with the same effect as though made on and as of such date, except to the extent such representations and warranties expressly relate to an earlier date, in which case they shall be true and correct in all material respects as of such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acknowledges and agrees for the benefit of each Lender and the Administrative Agent on and as of the date hereof, that:</w:t>
      </w:r>
    </w:p>
    <w:p>
      <w:pPr>
        <w:spacing w:after="0" w:line="281" w:lineRule="exact"/>
        <w:rPr>
          <w:rFonts w:ascii="Times New Roman" w:cs="Times New Roman" w:eastAsia="Times New Roman" w:hAnsi="Times New Roman"/>
          <w:sz w:val="19"/>
          <w:szCs w:val="19"/>
          <w:color w:val="auto"/>
        </w:rPr>
      </w:pPr>
    </w:p>
    <w:p>
      <w:pPr>
        <w:jc w:val="both"/>
        <w:ind w:left="1300" w:firstLine="652"/>
        <w:spacing w:after="0" w:line="296" w:lineRule="auto"/>
        <w:tabs>
          <w:tab w:leader="none" w:pos="2328"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right of offset, recoupment, defense, counterclaim, claim, cause of action or objection exists in favor of such Credit Party against Administrative Agent or any Lender arising out of or with respect to (x) the Obligations, this Amendment or the other Credit Documents, (y) any other documents now or heretofore evidencing, securing or in any way relating to the foregoing, or (z) the administration or funding of the Loans;</w:t>
      </w:r>
    </w:p>
    <w:p>
      <w:pPr>
        <w:spacing w:after="0" w:line="174" w:lineRule="exact"/>
        <w:rPr>
          <w:rFonts w:ascii="Times New Roman" w:cs="Times New Roman" w:eastAsia="Times New Roman" w:hAnsi="Times New Roman"/>
          <w:sz w:val="20"/>
          <w:szCs w:val="20"/>
          <w:color w:val="auto"/>
        </w:rPr>
      </w:pPr>
    </w:p>
    <w:p>
      <w:pPr>
        <w:jc w:val="both"/>
        <w:ind w:left="1300" w:firstLine="652"/>
        <w:spacing w:after="0" w:line="289" w:lineRule="auto"/>
        <w:tabs>
          <w:tab w:leader="none" w:pos="245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Administrative Agent’s and Requisite Lenders’ agreement to agree to the amendments contained herein does not and shall not create (nor shall any Credit Party rely upon the existence of or claim or assert that there exists) any obligation of Administrative Agent or any Lender to consider or agree to any further waiver, consent or amendment with respect to any Credit Document, and (y) in the event that Administrative Agent or any Lender subsequently agrees to consider any further waiver, consent or amendment with respect to any Credit Document, neither this Amendment nor any other conduct of Administrative Agent or any Lender shall be of any force and effect on Administrative Agent’s or any Lender’s consideration or decision with respect thereto.</w:t>
      </w:r>
    </w:p>
    <w:p>
      <w:pPr>
        <w:spacing w:after="0" w:line="181" w:lineRule="exact"/>
        <w:rPr>
          <w:sz w:val="20"/>
          <w:szCs w:val="20"/>
          <w:color w:val="auto"/>
        </w:rPr>
      </w:pPr>
    </w:p>
    <w:p>
      <w:pPr>
        <w:ind w:left="340"/>
        <w:spacing w:after="0"/>
        <w:tabs>
          <w:tab w:leader="none" w:pos="15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u w:val="single" w:color="auto"/>
          <w:color w:val="auto"/>
        </w:rPr>
        <w:t>CONDITIONS PRECEDENT</w:t>
      </w:r>
      <w:r>
        <w:rPr>
          <w:rFonts w:ascii="Times New Roman" w:cs="Times New Roman" w:eastAsia="Times New Roman" w:hAnsi="Times New Roman"/>
          <w:sz w:val="19"/>
          <w:szCs w:val="19"/>
          <w:color w:val="auto"/>
        </w:rPr>
        <w:t>. The effectiveness of this Amendment is subject to the following conditions:</w:t>
      </w:r>
    </w:p>
    <w:p>
      <w:pPr>
        <w:spacing w:after="0" w:line="270" w:lineRule="exact"/>
        <w:rPr>
          <w:sz w:val="20"/>
          <w:szCs w:val="20"/>
          <w:color w:val="auto"/>
        </w:rPr>
      </w:pPr>
    </w:p>
    <w:p>
      <w:pPr>
        <w:jc w:val="both"/>
        <w:ind w:firstLine="1304"/>
        <w:spacing w:after="0" w:line="303" w:lineRule="auto"/>
        <w:tabs>
          <w:tab w:leader="none" w:pos="175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duly authorized, executed and delivered counterpart of the signature page to this Amendment (whether the same or different counterparts) from each Credit Party named on the signature pages hereto, the Administrative Agent and the Requisite Lenders.</w:t>
      </w:r>
    </w:p>
    <w:p>
      <w:pPr>
        <w:spacing w:after="0" w:line="168" w:lineRule="exact"/>
        <w:rPr>
          <w:rFonts w:ascii="Times New Roman" w:cs="Times New Roman" w:eastAsia="Times New Roman" w:hAnsi="Times New Roman"/>
          <w:sz w:val="20"/>
          <w:szCs w:val="20"/>
          <w:color w:val="auto"/>
        </w:rPr>
      </w:pPr>
    </w:p>
    <w:p>
      <w:pPr>
        <w:ind w:firstLine="1304"/>
        <w:spacing w:after="0" w:line="325" w:lineRule="auto"/>
        <w:tabs>
          <w:tab w:leader="none" w:pos="180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fully-executed copy of the fourth amendment to the Senior Credit Agreement (the “</w:t>
      </w:r>
      <w:r>
        <w:rPr>
          <w:rFonts w:ascii="Times New Roman" w:cs="Times New Roman" w:eastAsia="Times New Roman" w:hAnsi="Times New Roman"/>
          <w:sz w:val="20"/>
          <w:szCs w:val="20"/>
          <w:u w:val="single" w:color="auto"/>
          <w:color w:val="auto"/>
        </w:rPr>
        <w:t>Senior Credit Agreement Amendment</w:t>
      </w:r>
      <w:r>
        <w:rPr>
          <w:rFonts w:ascii="Times New Roman" w:cs="Times New Roman" w:eastAsia="Times New Roman" w:hAnsi="Times New Roman"/>
          <w:sz w:val="20"/>
          <w:szCs w:val="20"/>
          <w:color w:val="auto"/>
        </w:rPr>
        <w:t>”), in form and substance reasonably satisfactory to the Administrative Agent.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616" w:right="339" w:bottom="1440" w:gutter="0" w:footer="0" w:header="0"/>
        </w:sectPr>
      </w:pPr>
    </w:p>
    <w:bookmarkStart w:id="60" w:name="page61"/>
    <w:bookmarkEnd w:id="60"/>
    <w:p>
      <w:pPr>
        <w:ind w:firstLine="1304"/>
        <w:spacing w:after="0" w:line="325" w:lineRule="auto"/>
        <w:tabs>
          <w:tab w:leader="none" w:pos="170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the Senior Credit Agreement Amendment shall have occurred or shall occur concurrently with the effectiveness of this Amendment.</w:t>
      </w:r>
    </w:p>
    <w:p>
      <w:pPr>
        <w:spacing w:after="0" w:line="115" w:lineRule="exact"/>
        <w:rPr>
          <w:rFonts w:ascii="Times New Roman" w:cs="Times New Roman" w:eastAsia="Times New Roman" w:hAnsi="Times New Roman"/>
          <w:sz w:val="20"/>
          <w:szCs w:val="20"/>
          <w:color w:val="auto"/>
        </w:rPr>
      </w:pPr>
    </w:p>
    <w:p>
      <w:pPr>
        <w:jc w:val="both"/>
        <w:ind w:firstLine="1304"/>
        <w:spacing w:after="0" w:line="278" w:lineRule="exact"/>
        <w:tabs>
          <w:tab w:leader="none" w:pos="170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reasonable and documented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pocket fees and expenses (including the reasonable and documented legal fees and expenses of Hunton Andrews Kurth LLP, counsel to Administrative Agent) required to be paid or reimbursed by Borrower under this Amendment and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 invoice for all such fees and expenses shall be received by Borrower at least one (1) Business Day prior to the date hereof</w:t>
      </w:r>
    </w:p>
    <w:p>
      <w:pPr>
        <w:spacing w:after="0" w:line="229" w:lineRule="exact"/>
        <w:rPr>
          <w:rFonts w:ascii="Times New Roman" w:cs="Times New Roman" w:eastAsia="Times New Roman" w:hAnsi="Times New Roman"/>
          <w:sz w:val="20"/>
          <w:szCs w:val="20"/>
          <w:color w:val="auto"/>
        </w:rPr>
      </w:pPr>
    </w:p>
    <w:p>
      <w:pPr>
        <w:jc w:val="both"/>
        <w:ind w:firstLine="1304"/>
        <w:spacing w:after="0" w:line="303" w:lineRule="auto"/>
        <w:tabs>
          <w:tab w:leader="none" w:pos="179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Both immediately before and after giving effect to this Amendment, (i) no Default or Event of Default shall have occurred or be continuing or result therefrom and (ii) the representations and warranties contained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Amendment shall be true and correct.</w:t>
      </w:r>
    </w:p>
    <w:p>
      <w:pPr>
        <w:spacing w:after="0" w:line="168"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To induce the Lenders party hereto and Administrative Agent to enter into this Amendment, each of the Credit Parties hereby acknowledges and reaffirms its obligations under each Credit Document to which it is a party, in each case, as amended, restated, supplemented or otherwise modified prior to or as of the date hereof. Each Credit Party acknowledges and agrees that (a) each of the Credit Documents to which it is a party or otherwise bound shall continue in full force and effect, that all of its obligations thereunder shall be valid and enforceable and shall not be impaired or limited by the execution or effectiveness of this Amendment and (b) there are no rights of set-off or counterclaim, nor any defenses of any kind, whether legal, equitable or otherwise, that would enable such Credit Party to avoid or delay timely performance of its obligations under the Credit Documents.</w:t>
      </w:r>
    </w:p>
    <w:p>
      <w:pPr>
        <w:spacing w:after="0" w:line="181" w:lineRule="exact"/>
        <w:rPr>
          <w:sz w:val="20"/>
          <w:szCs w:val="20"/>
          <w:color w:val="auto"/>
        </w:rPr>
      </w:pPr>
    </w:p>
    <w:p>
      <w:pPr>
        <w:ind w:left="340"/>
        <w:spacing w:after="0"/>
        <w:tabs>
          <w:tab w:leader="none" w:pos="152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jc w:val="both"/>
        <w:ind w:firstLine="1304"/>
        <w:spacing w:after="0" w:line="292" w:lineRule="auto"/>
        <w:tabs>
          <w:tab w:leader="none" w:pos="185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This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80" w:lineRule="exact"/>
        <w:rPr>
          <w:rFonts w:ascii="Times New Roman" w:cs="Times New Roman" w:eastAsia="Times New Roman" w:hAnsi="Times New Roman"/>
          <w:sz w:val="20"/>
          <w:szCs w:val="20"/>
          <w:color w:val="auto"/>
        </w:rPr>
      </w:pPr>
    </w:p>
    <w:p>
      <w:pPr>
        <w:ind w:firstLine="1304"/>
        <w:spacing w:after="0" w:line="325" w:lineRule="auto"/>
        <w:tabs>
          <w:tab w:leader="none" w:pos="186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Submission to Jurisdiction, Etc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10.14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10.16</w:t>
      </w:r>
      <w:r>
        <w:rPr>
          <w:rFonts w:ascii="Times New Roman" w:cs="Times New Roman" w:eastAsia="Times New Roman" w:hAnsi="Times New Roman"/>
          <w:sz w:val="20"/>
          <w:szCs w:val="20"/>
          <w:color w:val="auto"/>
        </w:rPr>
        <w:t xml:space="preserve"> of the Credit Agreement are incorporated by reference herein as if such Sections appeared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firstLine="1304"/>
        <w:spacing w:after="0" w:line="325" w:lineRule="auto"/>
        <w:tabs>
          <w:tab w:leader="none" w:pos="177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of the Credit Agreement is incorporated by reference herein as if such Section appeared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1304"/>
        <w:spacing w:after="0" w:line="296" w:lineRule="auto"/>
        <w:tabs>
          <w:tab w:leader="none" w:pos="170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Headings</w:t>
      </w:r>
      <w:r>
        <w:rPr>
          <w:rFonts w:ascii="Times New Roman" w:cs="Times New Roman" w:eastAsia="Times New Roman" w:hAnsi="Times New Roman"/>
          <w:sz w:val="20"/>
          <w:szCs w:val="20"/>
          <w:color w:val="auto"/>
        </w:rPr>
        <w:t>. This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Amendment shall be effective as delivery of an original executed counterpart of this Amendment. The Administrative Agent may also require that signatures delivered by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616" w:right="339" w:bottom="1440" w:gutter="0" w:footer="0" w:header="0"/>
        </w:sectPr>
      </w:pPr>
    </w:p>
    <w:bookmarkStart w:id="61" w:name="page62"/>
    <w:bookmarkEnd w:id="61"/>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telecopier, .pdf or other electronic imaging means be confirmed by a manually signed original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request or deliver the same shall not limit the effectiveness of this Amendment or signature delivered by telecopier, .pdf or other electronic imaging means. Section headings herein are included for convenience of reference only and shall not affect the interpretation of this Amendment.</w:t>
      </w:r>
    </w:p>
    <w:p>
      <w:pPr>
        <w:spacing w:after="0" w:line="175" w:lineRule="exact"/>
        <w:rPr>
          <w:sz w:val="20"/>
          <w:szCs w:val="20"/>
          <w:color w:val="auto"/>
        </w:rPr>
      </w:pPr>
    </w:p>
    <w:p>
      <w:pPr>
        <w:jc w:val="both"/>
        <w:ind w:firstLine="1304"/>
        <w:spacing w:after="0" w:line="296" w:lineRule="auto"/>
        <w:tabs>
          <w:tab w:leader="none" w:pos="18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xml:space="preserve">. The Borrower hereby agrees to pay and reimburse the Administrative Agent and the Lead Arranger for their respective reasonable and documented out-of-pocket expenses in connection with the negotiation, preparation, syndication and execution and delivery of this Amendment, including the reasonable fees, charges and disbursements of one counsel for the Administrative Agent and the Lead Arranger, all in accordance with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of the Credit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616"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executed and delivered this Amendment as of the date first above written.</w:t>
      </w:r>
    </w:p>
    <w:p>
      <w:pPr>
        <w:spacing w:after="0" w:line="237"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20"/>
          <w:szCs w:val="20"/>
          <w:b w:val="1"/>
          <w:bCs w:val="1"/>
          <w:color w:val="auto"/>
        </w:rPr>
        <w:t>PRIORITY HOLDINGS, LLC</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C. Priore</w:t>
      </w:r>
    </w:p>
    <w:p>
      <w:pPr>
        <w:ind w:left="390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1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0"/>
          <w:szCs w:val="20"/>
          <w:color w:val="auto"/>
        </w:rPr>
        <w:t>GUARANTORS:</w:t>
      </w:r>
      <w:r>
        <w:rPr>
          <w:sz w:val="20"/>
          <w:szCs w:val="20"/>
          <w:color w:val="auto"/>
        </w:rPr>
        <w:tab/>
      </w:r>
      <w:r>
        <w:rPr>
          <w:rFonts w:ascii="Times New Roman" w:cs="Times New Roman" w:eastAsia="Times New Roman" w:hAnsi="Times New Roman"/>
          <w:sz w:val="20"/>
          <w:szCs w:val="20"/>
          <w:b w:val="1"/>
          <w:bCs w:val="1"/>
          <w:color w:val="auto"/>
        </w:rPr>
        <w:t>PIPELINE CYNERGY HOLDINGS, LLC</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C. Priore</w:t>
      </w:r>
    </w:p>
    <w:p>
      <w:pPr>
        <w:ind w:left="390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PRIORITY INSTITUTIONAL PARTNER SERVICES LLC</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C. Priore</w:t>
      </w:r>
    </w:p>
    <w:p>
      <w:pPr>
        <w:ind w:left="390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PRIORITY PAYMENT SYSTEMS HOLDINGS LLC</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C. Priore</w:t>
      </w:r>
    </w:p>
    <w:p>
      <w:pPr>
        <w:ind w:left="3900"/>
        <w:spacing w:after="0"/>
        <w:rPr>
          <w:sz w:val="20"/>
          <w:szCs w:val="20"/>
          <w:color w:val="auto"/>
        </w:rPr>
      </w:pPr>
      <w:r>
        <w:rPr>
          <w:rFonts w:ascii="Times New Roman" w:cs="Times New Roman" w:eastAsia="Times New Roman" w:hAnsi="Times New Roman"/>
          <w:sz w:val="20"/>
          <w:szCs w:val="20"/>
          <w:color w:val="auto"/>
        </w:rPr>
        <w:t>Title: CEO</w:t>
      </w:r>
    </w:p>
    <w:p>
      <w:pPr>
        <w:spacing w:after="0" w:line="1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PRIORITY PAYMENT SYSTEMS LLC</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Thomas C. Priore</w:t>
      </w:r>
    </w:p>
    <w:p>
      <w:pPr>
        <w:ind w:left="3900"/>
        <w:spacing w:after="0"/>
        <w:rPr>
          <w:sz w:val="20"/>
          <w:szCs w:val="20"/>
          <w:color w:val="auto"/>
        </w:rPr>
      </w:pPr>
      <w:r>
        <w:rPr>
          <w:rFonts w:ascii="Times New Roman" w:cs="Times New Roman" w:eastAsia="Times New Roman" w:hAnsi="Times New Roman"/>
          <w:sz w:val="20"/>
          <w:szCs w:val="20"/>
          <w:color w:val="auto"/>
        </w:rPr>
        <w:t>Title: CEO</w:t>
      </w:r>
    </w:p>
    <w:p>
      <w:pPr>
        <w:sectPr>
          <w:pgSz w:w="11900" w:h="16838" w:orient="portrait"/>
          <w:cols w:equalWidth="0" w:num="1">
            <w:col w:w="10540"/>
          </w:cols>
          <w:pgMar w:left="320" w:top="616" w:right="1039" w:bottom="1440" w:gutter="0" w:footer="0" w:header="0"/>
        </w:sectPr>
      </w:pPr>
    </w:p>
    <w:bookmarkStart w:id="63" w:name="page64"/>
    <w:bookmarkEnd w:id="63"/>
    <w:p>
      <w:pPr>
        <w:ind w:left="2780"/>
        <w:spacing w:after="0"/>
        <w:rPr>
          <w:sz w:val="20"/>
          <w:szCs w:val="20"/>
          <w:color w:val="auto"/>
        </w:rPr>
      </w:pPr>
      <w:r>
        <w:rPr>
          <w:rFonts w:ascii="Times New Roman" w:cs="Times New Roman" w:eastAsia="Times New Roman" w:hAnsi="Times New Roman"/>
          <w:sz w:val="20"/>
          <w:szCs w:val="20"/>
          <w:b w:val="1"/>
          <w:bCs w:val="1"/>
          <w:color w:val="auto"/>
        </w:rPr>
        <w:t>FINCOR SYSTEMS LLC</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ind w:left="278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PIPELINE CYNERGY INC.</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ind w:left="278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CYNERGY HOLDINGS, LLC</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ind w:left="278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CYNERGY DATA, LLC</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ind w:left="278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PRIORITY PAYMENT EXPRESS SYSTEMS LLC</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ind w:left="278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PRIORITY INTEGRATED PARTNER HOLDINGS, LLC</w:t>
      </w: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ind w:left="2780"/>
        <w:spacing w:after="0"/>
        <w:rPr>
          <w:sz w:val="20"/>
          <w:szCs w:val="20"/>
          <w:color w:val="auto"/>
        </w:rPr>
      </w:pPr>
      <w:r>
        <w:rPr>
          <w:rFonts w:ascii="Times New Roman" w:cs="Times New Roman" w:eastAsia="Times New Roman" w:hAnsi="Times New Roman"/>
          <w:sz w:val="20"/>
          <w:szCs w:val="20"/>
          <w:color w:val="auto"/>
        </w:rPr>
        <w:t>Title: CEO</w:t>
      </w:r>
    </w:p>
    <w:p>
      <w:pPr>
        <w:sectPr>
          <w:pgSz w:w="11900" w:h="16838" w:orient="portrait"/>
          <w:cols w:equalWidth="0" w:num="1">
            <w:col w:w="9019"/>
          </w:cols>
          <w:pgMar w:left="1440" w:top="815" w:right="1440" w:bottom="1440" w:gutter="0" w:footer="0" w:header="0"/>
        </w:sectPr>
      </w:pPr>
    </w:p>
    <w:bookmarkStart w:id="64" w:name="page65"/>
    <w:bookmarkEnd w:id="64"/>
    <w:p>
      <w:pPr>
        <w:ind w:left="2780"/>
        <w:spacing w:after="0"/>
        <w:rPr>
          <w:sz w:val="20"/>
          <w:szCs w:val="20"/>
          <w:color w:val="auto"/>
        </w:rPr>
      </w:pPr>
      <w:r>
        <w:rPr>
          <w:rFonts w:ascii="Times New Roman" w:cs="Times New Roman" w:eastAsia="Times New Roman" w:hAnsi="Times New Roman"/>
          <w:sz w:val="19"/>
          <w:szCs w:val="19"/>
          <w:b w:val="1"/>
          <w:bCs w:val="1"/>
          <w:color w:val="auto"/>
        </w:rPr>
        <w:t>PRIORITY PAYRIGHT HEALTH SOLUTIONS, LLC</w:t>
      </w: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THOMAS C. PRIORE</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ind w:left="278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ROSCO ALPHA DELTA, LLC</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COPLEY BROER</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Copley Broer</w:t>
      </w:r>
    </w:p>
    <w:p>
      <w:pPr>
        <w:ind w:left="278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PRIORITY REAL ESTATE TECHNOLOGY, LLC</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COPLEY BROER</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Copley Broer</w:t>
      </w:r>
    </w:p>
    <w:p>
      <w:pPr>
        <w:ind w:left="2780"/>
        <w:spacing w:after="0"/>
        <w:rPr>
          <w:sz w:val="20"/>
          <w:szCs w:val="20"/>
          <w:color w:val="auto"/>
        </w:rPr>
      </w:pPr>
      <w:r>
        <w:rPr>
          <w:rFonts w:ascii="Times New Roman" w:cs="Times New Roman" w:eastAsia="Times New Roman" w:hAnsi="Times New Roman"/>
          <w:sz w:val="20"/>
          <w:szCs w:val="20"/>
          <w:color w:val="auto"/>
        </w:rPr>
        <w:t>Title: President</w:t>
      </w:r>
    </w:p>
    <w:p>
      <w:pPr>
        <w:sectPr>
          <w:pgSz w:w="11900" w:h="16838" w:orient="portrait"/>
          <w:cols w:equalWidth="0" w:num="1">
            <w:col w:w="9019"/>
          </w:cols>
          <w:pgMar w:left="1440" w:top="1044" w:right="1440" w:bottom="1440" w:gutter="0" w:footer="0" w:header="0"/>
        </w:sectPr>
      </w:pPr>
    </w:p>
    <w:bookmarkStart w:id="65" w:name="page66"/>
    <w:bookmarkEnd w:id="65"/>
    <w:p>
      <w:pPr>
        <w:spacing w:after="0"/>
        <w:tabs>
          <w:tab w:leader="none" w:pos="3880" w:val="left"/>
        </w:tabs>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ab/>
      </w:r>
      <w:r>
        <w:rPr>
          <w:rFonts w:ascii="Times New Roman" w:cs="Times New Roman" w:eastAsia="Times New Roman" w:hAnsi="Times New Roman"/>
          <w:sz w:val="19"/>
          <w:szCs w:val="19"/>
          <w:b w:val="1"/>
          <w:bCs w:val="1"/>
          <w:color w:val="auto"/>
        </w:rPr>
        <w:t>GOLDMAN SACHS SPECIALTY LENDING GROUP, L.P.</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JUSTIN BETZER</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Justin Betzer</w:t>
      </w:r>
    </w:p>
    <w:p>
      <w:pPr>
        <w:ind w:left="39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33"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9"/>
          <w:szCs w:val="19"/>
          <w:color w:val="auto"/>
        </w:rPr>
        <w:t>LENDERS:</w:t>
      </w:r>
      <w:r>
        <w:rPr>
          <w:sz w:val="20"/>
          <w:szCs w:val="20"/>
          <w:color w:val="auto"/>
        </w:rPr>
        <w:tab/>
      </w:r>
      <w:r>
        <w:rPr>
          <w:rFonts w:ascii="Times New Roman" w:cs="Times New Roman" w:eastAsia="Times New Roman" w:hAnsi="Times New Roman"/>
          <w:sz w:val="19"/>
          <w:szCs w:val="19"/>
          <w:b w:val="1"/>
          <w:bCs w:val="1"/>
          <w:color w:val="auto"/>
        </w:rPr>
        <w:t>GOLDMAN SACHS SPECIALTY LENDING HOLDINGS, INC.</w:t>
      </w: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JUSTIN BETZER</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Justin Betzer</w:t>
      </w:r>
    </w:p>
    <w:p>
      <w:pPr>
        <w:ind w:left="3900"/>
        <w:spacing w:after="0"/>
        <w:rPr>
          <w:sz w:val="20"/>
          <w:szCs w:val="20"/>
          <w:color w:val="auto"/>
        </w:rPr>
      </w:pPr>
      <w:r>
        <w:rPr>
          <w:rFonts w:ascii="Times New Roman" w:cs="Times New Roman" w:eastAsia="Times New Roman" w:hAnsi="Times New Roman"/>
          <w:sz w:val="20"/>
          <w:szCs w:val="20"/>
          <w:color w:val="auto"/>
        </w:rPr>
        <w:t>Title: Senior Vice President</w:t>
      </w:r>
    </w:p>
    <w:p>
      <w:pPr>
        <w:sectPr>
          <w:pgSz w:w="11900" w:h="16838" w:orient="portrait"/>
          <w:cols w:equalWidth="0" w:num="1">
            <w:col w:w="10139"/>
          </w:cols>
          <w:pgMar w:left="320" w:top="1031"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FIFTH AMENDMENT TO THE CREDIT AND GUARANTY AGREEMENT</w:t>
      </w:r>
    </w:p>
    <w:p>
      <w:pPr>
        <w:spacing w:after="0" w:line="22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FIFTH AMENDMENT TO THE CREDIT AND GUARANTY AGREEMENT (this “</w:t>
      </w:r>
      <w:r>
        <w:rPr>
          <w:rFonts w:ascii="Times New Roman" w:cs="Times New Roman" w:eastAsia="Times New Roman" w:hAnsi="Times New Roman"/>
          <w:sz w:val="22"/>
          <w:szCs w:val="22"/>
          <w:u w:val="single" w:color="auto"/>
          <w:color w:val="auto"/>
        </w:rPr>
        <w:t>Fifth Amendment</w:t>
      </w:r>
      <w:r>
        <w:rPr>
          <w:rFonts w:ascii="Times New Roman" w:cs="Times New Roman" w:eastAsia="Times New Roman" w:hAnsi="Times New Roman"/>
          <w:sz w:val="22"/>
          <w:szCs w:val="22"/>
          <w:color w:val="auto"/>
        </w:rPr>
        <w:t>”), dated as of April 12, 2019, among PIPELINE CYNERGY HOLDINGS, LLC, a Delaware limited liability company (“</w:t>
      </w:r>
      <w:r>
        <w:rPr>
          <w:rFonts w:ascii="Times New Roman" w:cs="Times New Roman" w:eastAsia="Times New Roman" w:hAnsi="Times New Roman"/>
          <w:sz w:val="22"/>
          <w:szCs w:val="22"/>
          <w:u w:val="single" w:color="auto"/>
          <w:color w:val="auto"/>
        </w:rPr>
        <w:t>PCH</w:t>
      </w:r>
      <w:r>
        <w:rPr>
          <w:rFonts w:ascii="Times New Roman" w:cs="Times New Roman" w:eastAsia="Times New Roman" w:hAnsi="Times New Roman"/>
          <w:sz w:val="22"/>
          <w:szCs w:val="22"/>
          <w:color w:val="auto"/>
        </w:rPr>
        <w:t>”), PRIORITY INSTITUTIONAL PARTNER SERVICES, LLC, a Delaware limited liability company (“</w:t>
      </w:r>
      <w:r>
        <w:rPr>
          <w:rFonts w:ascii="Times New Roman" w:cs="Times New Roman" w:eastAsia="Times New Roman" w:hAnsi="Times New Roman"/>
          <w:sz w:val="22"/>
          <w:szCs w:val="22"/>
          <w:u w:val="single" w:color="auto"/>
          <w:color w:val="auto"/>
        </w:rPr>
        <w:t>Priority Institutional</w:t>
      </w:r>
      <w:r>
        <w:rPr>
          <w:rFonts w:ascii="Times New Roman" w:cs="Times New Roman" w:eastAsia="Times New Roman" w:hAnsi="Times New Roman"/>
          <w:sz w:val="22"/>
          <w:szCs w:val="22"/>
          <w:color w:val="auto"/>
        </w:rPr>
        <w:t>”), PRIORITY PAYMENT SYSTEMS HOLDINGS LLC, a Georgia limited liability company (“</w:t>
      </w:r>
      <w:r>
        <w:rPr>
          <w:rFonts w:ascii="Times New Roman" w:cs="Times New Roman" w:eastAsia="Times New Roman" w:hAnsi="Times New Roman"/>
          <w:sz w:val="22"/>
          <w:szCs w:val="22"/>
          <w:u w:val="single" w:color="auto"/>
          <w:color w:val="auto"/>
        </w:rPr>
        <w:t>PPSH</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and, together with PCH and Priority Institutional,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PRIORITY HOLDINGS, LLC, a Delaware limited liability company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as a Guarantor, the other Guarantors party hereto, each of the Lenders party hereto and SUNTRUST BANK, as administrative agent under the Credit Agreement referred to below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All capitalized terms used herein (including in this preamble) and not otherwise defined herein shall have the respective meanings provided such terms in the Credit Agreement referred to below.</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PRELIMINARY STATEMENTS</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WHEREAS, the Borrowers have entered into that certain Credit and Guaranty Agreement, dated as of January 3, 2017, among the Borrowers, Holdings, the other Guarantors party thereto from time to time, the lenders party thereto from time to time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SunTrust Bank, as Administrative Agent, an Issuing Bank, Swing Line Lender and Collateral Agent (as amended, restated, amended and restated, supplemented and/or otherwise modified from time to time to, but not including, the date hereof,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WHEREAS, pursuant to Section 10.05(a) of the Credit Agreement, the parties hereto have agreed, subject to the satisfaction of the conditions precedent to effectiveness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hereof, to amend certain terms of the Credit Agreement as hereinafter provided;</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adequacy of which is acknowledged by each party hereto, it is agreed that: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RULES OF CONSTRUCTION</w:t>
      </w:r>
      <w:r>
        <w:rPr>
          <w:rFonts w:ascii="Times New Roman" w:cs="Times New Roman" w:eastAsia="Times New Roman" w:hAnsi="Times New Roman"/>
          <w:sz w:val="22"/>
          <w:szCs w:val="22"/>
          <w:color w:val="auto"/>
        </w:rPr>
        <w:t>. The rules of construction specified in Section 1.03 of the Credit Agreement shall apply to this Fifth Amendment, including the terms defined in the preamble and recitals hereto.</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AMENDMENTS TO CREDIT AGREEMENT</w:t>
      </w:r>
      <w:r>
        <w:rPr>
          <w:rFonts w:ascii="Times New Roman" w:cs="Times New Roman" w:eastAsia="Times New Roman" w:hAnsi="Times New Roman"/>
          <w:sz w:val="22"/>
          <w:szCs w:val="22"/>
          <w:color w:val="auto"/>
        </w:rPr>
        <w:t xml:space="preserve">. Subject to the satisfaction (or waiver in writing by each Requisite Lender and the Administrative Agent) of the conditions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hereof, in accordance with Section 10.05 of the Credit Agreement, the Credit Agreement is hereby amended as follows:</w:t>
      </w:r>
    </w:p>
    <w:p>
      <w:pPr>
        <w:spacing w:after="0" w:line="167" w:lineRule="exact"/>
        <w:rPr>
          <w:sz w:val="20"/>
          <w:szCs w:val="20"/>
          <w:color w:val="auto"/>
        </w:rPr>
      </w:pPr>
    </w:p>
    <w:p>
      <w:pPr>
        <w:ind w:firstLine="1952"/>
        <w:spacing w:after="0" w:line="284" w:lineRule="auto"/>
        <w:tabs>
          <w:tab w:leader="none" w:pos="244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1.01 of the Credit Agreement is hereby amended by adding in the appropriate alphabetical order the following new definitions:</w:t>
      </w:r>
    </w:p>
    <w:p>
      <w:pPr>
        <w:spacing w:after="0" w:line="138"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Fifth Amendment</w:t>
      </w:r>
      <w:r>
        <w:rPr>
          <w:rFonts w:ascii="Times New Roman" w:cs="Times New Roman" w:eastAsia="Times New Roman" w:hAnsi="Times New Roman"/>
          <w:sz w:val="22"/>
          <w:szCs w:val="22"/>
          <w:color w:val="auto"/>
        </w:rPr>
        <w:t>” means that Fifth Amendment to the Credit and Guaranty Agreement, dated as of April 12, 2019, among the Borrowers, Holdings, the other Guarantors party thereto, each Lender party thereto and the Administrative Agent.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Fifth Amendment Effective Date</w:t>
      </w:r>
      <w:r>
        <w:rPr>
          <w:rFonts w:ascii="Times New Roman" w:cs="Times New Roman" w:eastAsia="Times New Roman" w:hAnsi="Times New Roman"/>
          <w:sz w:val="22"/>
          <w:szCs w:val="22"/>
          <w:color w:val="auto"/>
        </w:rPr>
        <w:t>” has the meaning specified in the Fifth Amendment.</w:t>
      </w:r>
    </w:p>
    <w:p>
      <w:pPr>
        <w:spacing w:after="0" w:line="226" w:lineRule="exact"/>
        <w:rPr>
          <w:sz w:val="20"/>
          <w:szCs w:val="20"/>
          <w:color w:val="auto"/>
        </w:rPr>
      </w:pPr>
    </w:p>
    <w:p>
      <w:pPr>
        <w:ind w:firstLine="1952"/>
        <w:spacing w:after="0" w:line="284" w:lineRule="auto"/>
        <w:tabs>
          <w:tab w:leader="none" w:pos="237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1.01 of the Credit Agreement is hereby amended by (i) replacing clause (c) to the definition of “</w:t>
      </w:r>
      <w:r>
        <w:rPr>
          <w:rFonts w:ascii="Times New Roman" w:cs="Times New Roman" w:eastAsia="Times New Roman" w:hAnsi="Times New Roman"/>
          <w:sz w:val="22"/>
          <w:szCs w:val="22"/>
          <w:b w:val="1"/>
          <w:bCs w:val="1"/>
          <w:i w:val="1"/>
          <w:iCs w:val="1"/>
          <w:color w:val="auto"/>
        </w:rPr>
        <w:t>Available Amount</w:t>
      </w:r>
      <w:r>
        <w:rPr>
          <w:rFonts w:ascii="Times New Roman" w:cs="Times New Roman" w:eastAsia="Times New Roman" w:hAnsi="Times New Roman"/>
          <w:sz w:val="22"/>
          <w:szCs w:val="22"/>
          <w:color w:val="auto"/>
        </w:rPr>
        <w:t>” in its entirety with the following:</w:t>
      </w:r>
    </w:p>
    <w:p>
      <w:pPr>
        <w:spacing w:after="0" w:line="144" w:lineRule="exact"/>
        <w:rPr>
          <w:sz w:val="20"/>
          <w:szCs w:val="20"/>
          <w:color w:val="auto"/>
        </w:rPr>
      </w:pPr>
    </w:p>
    <w:p>
      <w:pPr>
        <w:jc w:val="both"/>
        <w:ind w:left="1300" w:firstLine="648"/>
        <w:spacing w:after="0" w:line="260" w:lineRule="auto"/>
        <w:rPr>
          <w:sz w:val="20"/>
          <w:szCs w:val="20"/>
          <w:color w:val="auto"/>
        </w:rPr>
      </w:pPr>
      <w:r>
        <w:rPr>
          <w:rFonts w:ascii="Times New Roman" w:cs="Times New Roman" w:eastAsia="Times New Roman" w:hAnsi="Times New Roman"/>
          <w:sz w:val="21"/>
          <w:szCs w:val="21"/>
          <w:color w:val="auto"/>
        </w:rPr>
        <w:t>“(c) an amount determined on a cumulative basis equal to the net proceeds from the issuance of, and any Cash contributed in respect of, Holdings’ (or any direct or indirect parent of Holdings) or any Borrower’s Permitted Stock Issuance after the Closing Date and, with respect to any Permitted Stock Issuance of Holdings (or any direct or indirect parent of Holdings), which net proceeds and Cash are in turn contributed to any Borrower in Cash in respect of such Borrower’s common equity (other than (i) any Specified Equity Contributions, (ii) Disqualified Capital Stock, (iii) any Permitted Stock Issuances pursuant to the definitions of “Consolidated Capital Expenditures” and “Permitted Joint Venture Investment”, Section 6.07(m) and Section 6.07(s) or (iv) any amount previously applied for a purpose other than a Permitted Available Amount Usage); plus”;</w:t>
      </w:r>
    </w:p>
    <w:p>
      <w:pPr>
        <w:spacing w:after="0" w:line="169"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replacing the definition of “</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in its entirety with the following:</w:t>
      </w:r>
    </w:p>
    <w:p>
      <w:pPr>
        <w:spacing w:after="0" w:line="226"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at any time, (a) the Permitted Holders shall cease to own (directly or indirectly), or to have the power to vote or direct the voting of, directly or indirectly, Capital Stock of Holdings representing more than 35% of the voting power of the total outstanding Capital Stock of Holdings;</w:t>
      </w:r>
    </w:p>
    <w:p>
      <w:pPr>
        <w:sectPr>
          <w:pgSz w:w="11900" w:h="16838" w:orient="portrait"/>
          <w:cols w:equalWidth="0" w:num="1">
            <w:col w:w="11240"/>
          </w:cols>
          <w:pgMar w:left="320" w:top="625" w:right="339" w:bottom="53" w:gutter="0" w:footer="0" w:header="0"/>
        </w:sectPr>
      </w:pPr>
    </w:p>
    <w:bookmarkStart w:id="67" w:name="page68"/>
    <w:bookmarkEnd w:id="67"/>
    <w:p>
      <w:pPr>
        <w:spacing w:after="0" w:line="114" w:lineRule="exact"/>
        <w:rPr>
          <w:sz w:val="20"/>
          <w:szCs w:val="20"/>
          <w:color w:val="auto"/>
        </w:rPr>
      </w:pPr>
    </w:p>
    <w:p>
      <w:pPr>
        <w:ind w:left="1732" w:hanging="436"/>
        <w:spacing w:after="0"/>
        <w:tabs>
          <w:tab w:leader="none" w:pos="1732"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Person or “group” (within the meaning of Rules 13(d) and 14(d) under the Exchange Act), other than one</w:t>
      </w:r>
    </w:p>
    <w:p>
      <w:pPr>
        <w:spacing w:after="0" w:line="40" w:lineRule="exact"/>
        <w:rPr>
          <w:rFonts w:ascii="Times New Roman" w:cs="Times New Roman" w:eastAsia="Times New Roman" w:hAnsi="Times New Roman"/>
          <w:sz w:val="19"/>
          <w:szCs w:val="19"/>
          <w:color w:val="auto"/>
        </w:rPr>
      </w:pPr>
    </w:p>
    <w:p>
      <w:pPr>
        <w:jc w:val="both"/>
        <w:ind w:left="1292"/>
        <w:spacing w:after="0" w:line="24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(1) or more Permitted Holders, is or becomes the beneficial owner (as defined in Rules 13d-3 and 13d-5 under the Exchange Act, except that for purposes of this clause (b), such Person or group shall be deemed to have “beneficial ownership” of all securities that such Person or group has the right to acquire, whether such right is exercisable immediately or only after the passage of time), directly or indirectly, of Capital Stock of Holdings representing more than the total Capital Stock of Holdings then held by the Permitted Holders (collectively);</w:t>
      </w:r>
    </w:p>
    <w:p>
      <w:pPr>
        <w:spacing w:after="0" w:line="184" w:lineRule="exact"/>
        <w:rPr>
          <w:rFonts w:ascii="Times New Roman" w:cs="Times New Roman" w:eastAsia="Times New Roman" w:hAnsi="Times New Roman"/>
          <w:sz w:val="19"/>
          <w:szCs w:val="19"/>
          <w:color w:val="auto"/>
        </w:rPr>
      </w:pPr>
    </w:p>
    <w:p>
      <w:pPr>
        <w:ind w:left="1292" w:right="20" w:firstLine="4"/>
        <w:spacing w:after="0" w:line="309" w:lineRule="auto"/>
        <w:tabs>
          <w:tab w:leader="none" w:pos="1729"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Holdings shall cease to beneficially own, directly or indirectly, 100% on a fully diluted basis of the economic and voting interests in the Capital Stock of each Borrower, except as otherwise provided in Section 6.09; or</w:t>
      </w:r>
    </w:p>
    <w:p>
      <w:pPr>
        <w:spacing w:after="0" w:line="120" w:lineRule="exact"/>
        <w:rPr>
          <w:rFonts w:ascii="Times New Roman" w:cs="Times New Roman" w:eastAsia="Times New Roman" w:hAnsi="Times New Roman"/>
          <w:sz w:val="21"/>
          <w:szCs w:val="21"/>
          <w:color w:val="auto"/>
        </w:rPr>
      </w:pPr>
    </w:p>
    <w:p>
      <w:pPr>
        <w:jc w:val="both"/>
        <w:ind w:left="1292" w:firstLine="4"/>
        <w:spacing w:after="0" w:line="256" w:lineRule="auto"/>
        <w:tabs>
          <w:tab w:leader="none" w:pos="183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(or similar event) shall occur in any document pertaining to the Subordinated Credit Agreement, any Incremental Equivalent Debt, any Permitted Pari Passu Secured Refinancing Debt, any Indebtedness incurred pursuant to Section 6.01(u) and (x) or, in each case, any Permitted Refinancing thereof and, in each case, is in an aggregate outstanding principal amount in excess of $15,000,000.” and</w:t>
      </w:r>
    </w:p>
    <w:p>
      <w:pPr>
        <w:spacing w:after="0" w:line="170" w:lineRule="exact"/>
        <w:rPr>
          <w:rFonts w:ascii="Times New Roman" w:cs="Times New Roman" w:eastAsia="Times New Roman" w:hAnsi="Times New Roman"/>
          <w:sz w:val="22"/>
          <w:szCs w:val="22"/>
          <w:color w:val="auto"/>
        </w:rPr>
      </w:pPr>
    </w:p>
    <w:p>
      <w:pPr>
        <w:ind w:left="512" w:hanging="512"/>
        <w:spacing w:after="0"/>
        <w:tabs>
          <w:tab w:leader="none" w:pos="51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replacing the definition of “</w:t>
      </w:r>
      <w:r>
        <w:rPr>
          <w:rFonts w:ascii="Times New Roman" w:cs="Times New Roman" w:eastAsia="Times New Roman" w:hAnsi="Times New Roman"/>
          <w:sz w:val="22"/>
          <w:szCs w:val="22"/>
          <w:b w:val="1"/>
          <w:bCs w:val="1"/>
          <w:i w:val="1"/>
          <w:iCs w:val="1"/>
          <w:color w:val="auto"/>
        </w:rPr>
        <w:t>Permitted Acquisition</w:t>
      </w:r>
      <w:r>
        <w:rPr>
          <w:rFonts w:ascii="Times New Roman" w:cs="Times New Roman" w:eastAsia="Times New Roman" w:hAnsi="Times New Roman"/>
          <w:sz w:val="22"/>
          <w:szCs w:val="22"/>
          <w:color w:val="auto"/>
        </w:rPr>
        <w:t>” in its entirety with the following:</w:t>
      </w:r>
    </w:p>
    <w:p>
      <w:pPr>
        <w:spacing w:after="0" w:line="239" w:lineRule="exact"/>
        <w:rPr>
          <w:sz w:val="20"/>
          <w:szCs w:val="20"/>
          <w:color w:val="auto"/>
        </w:rPr>
      </w:pPr>
    </w:p>
    <w:p>
      <w:pPr>
        <w:jc w:val="both"/>
        <w:ind w:left="1292"/>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xml:space="preserve">” means any transaction or series of related transactions by any Borrower or their respective Restricted Subsidiaries for (a) the direct or indirect acquisition of all or substantially all of the property of any Person, or of any line of business or division of any Person; (b) the acquisition of at least a majority (including by merger or consolidation) of the Capital Stock (other than director qualifying shares) of any Person that becomes a Restricted Subsidiary of any Borrower after giving effect to such transaction; or (c) a merger or consolidation or any other combination with any Person (so long as a Credit Party, to the extent such Credit Party is a party to such transaction, is the surviving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of the following conditions shall be met or waived by the Requisite Lenders:</w:t>
      </w:r>
    </w:p>
    <w:p>
      <w:pPr>
        <w:spacing w:after="0" w:line="185" w:lineRule="exact"/>
        <w:rPr>
          <w:sz w:val="20"/>
          <w:szCs w:val="20"/>
          <w:color w:val="auto"/>
        </w:rPr>
      </w:pPr>
    </w:p>
    <w:p>
      <w:pPr>
        <w:ind w:left="1952" w:hanging="656"/>
        <w:spacing w:after="0" w:line="271" w:lineRule="auto"/>
        <w:tabs>
          <w:tab w:leader="none" w:pos="195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and after giving Pro Forma Effect to the consummation of such acquisition, no Default or Event of Default exists;</w:t>
      </w:r>
    </w:p>
    <w:p>
      <w:pPr>
        <w:spacing w:after="0" w:line="157" w:lineRule="exact"/>
        <w:rPr>
          <w:rFonts w:ascii="Times New Roman" w:cs="Times New Roman" w:eastAsia="Times New Roman" w:hAnsi="Times New Roman"/>
          <w:sz w:val="22"/>
          <w:szCs w:val="22"/>
          <w:color w:val="auto"/>
        </w:rPr>
      </w:pPr>
    </w:p>
    <w:p>
      <w:pPr>
        <w:jc w:val="both"/>
        <w:ind w:left="1952" w:hanging="656"/>
        <w:spacing w:after="0" w:line="250" w:lineRule="auto"/>
        <w:tabs>
          <w:tab w:leader="none" w:pos="195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and to the incurrence of any Indebtedness in connection therewith, Holdings shall be in compliance with the Financial Covenant as of the most recent Test Period (assuming that such transaction and all other Permitted Acquisitions consummated since the first day of the relevant Test Period ending on or prior to the date of such transaction, had occurred on the first day of such relevant Test Period);</w:t>
      </w:r>
    </w:p>
    <w:p>
      <w:pPr>
        <w:spacing w:after="0" w:line="180" w:lineRule="exact"/>
        <w:rPr>
          <w:rFonts w:ascii="Times New Roman" w:cs="Times New Roman" w:eastAsia="Times New Roman" w:hAnsi="Times New Roman"/>
          <w:sz w:val="22"/>
          <w:szCs w:val="22"/>
          <w:color w:val="auto"/>
        </w:rPr>
      </w:pPr>
    </w:p>
    <w:p>
      <w:pPr>
        <w:jc w:val="both"/>
        <w:ind w:left="1952" w:hanging="656"/>
        <w:spacing w:after="0" w:line="246" w:lineRule="auto"/>
        <w:tabs>
          <w:tab w:leader="none" w:pos="195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to be acquired has positive Consolidated Adjusted EBITDA (calculated on a Pro Forma Basis) for the most recent 12-month period for which financial statements are available (the “</w:t>
      </w:r>
      <w:r>
        <w:rPr>
          <w:rFonts w:ascii="Times New Roman" w:cs="Times New Roman" w:eastAsia="Times New Roman" w:hAnsi="Times New Roman"/>
          <w:sz w:val="22"/>
          <w:szCs w:val="22"/>
          <w:u w:val="single" w:color="auto"/>
          <w:color w:val="auto"/>
        </w:rPr>
        <w:t>Positive EBITDA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Condition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Positive EBITDA Condition shall not apply if either (x) the Total Net Leverage Ratio, calculated on a Pro Forma Basis after giving effect to such Permitted Acquisition and any incurrence of Indebtedness in connection therewith, does not exceed 4.50:1.00 for the most recently ended Test Period or (y) the aggregate Cash consideration (excluding such portion of the purchase price consisting of Capital Stock of Holdings (or any direct or indirect parent of Holdings) or contingent earn-out obligations) for all such Permitted Acquisitions that do not satisfy the Positive EBITDA Condition shall not exceed the greater of (1) $20,000,000 and (2) 25% of Consolidated Adjusted EBITDA determined at the time of the consummation of such Permitted Acquisition (calculated on a Pro Forma Basis) as of the last day of the most recently ended Test Period;</w:t>
      </w:r>
    </w:p>
    <w:p>
      <w:pPr>
        <w:spacing w:after="0" w:line="185" w:lineRule="exact"/>
        <w:rPr>
          <w:rFonts w:ascii="Times New Roman" w:cs="Times New Roman" w:eastAsia="Times New Roman" w:hAnsi="Times New Roman"/>
          <w:sz w:val="22"/>
          <w:szCs w:val="22"/>
          <w:color w:val="auto"/>
        </w:rPr>
      </w:pPr>
    </w:p>
    <w:p>
      <w:pPr>
        <w:ind w:left="1952" w:hanging="656"/>
        <w:spacing w:after="0" w:line="271" w:lineRule="auto"/>
        <w:tabs>
          <w:tab w:leader="none" w:pos="195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is consensual (not “hostile”) and has been approved by the board of directors (or equivalent governing body) of the Person to be acquired;</w:t>
      </w:r>
    </w:p>
    <w:p>
      <w:pPr>
        <w:spacing w:after="0" w:line="157" w:lineRule="exact"/>
        <w:rPr>
          <w:rFonts w:ascii="Times New Roman" w:cs="Times New Roman" w:eastAsia="Times New Roman" w:hAnsi="Times New Roman"/>
          <w:sz w:val="22"/>
          <w:szCs w:val="22"/>
          <w:color w:val="auto"/>
        </w:rPr>
      </w:pPr>
    </w:p>
    <w:p>
      <w:pPr>
        <w:jc w:val="both"/>
        <w:ind w:left="1952" w:hanging="656"/>
        <w:spacing w:after="0" w:line="246" w:lineRule="auto"/>
        <w:tabs>
          <w:tab w:leader="none" w:pos="195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three (3) Business Days prior to the proposed closing date of such acquisition the Borrower Representative, (A) shall have delivered to the Administrative Agent promptly upon the finalization thereof copies of substantially final Permitted Acquisition Documents, and (B) in respect of any Permitted Acquisition involving aggregate Cash consideration (excluding such portion of the purchase price consisting of Capital Stock of Holdings (or any direct or indirect parent of Holdings) or contingent earn-out obligations) in excess of the greater of (1) $5,000,000 and (2) 7% of Consolidated Adjusted EBITDA (calculated on a Pro Forma Basis) for the most recently ended Test Period, shall have delivered to, or made available for inspection by, the Administrative Agent substantially complete Permitted Acquisition Diligence Information;</w:t>
      </w:r>
    </w:p>
    <w:p>
      <w:pPr>
        <w:spacing w:after="0" w:line="190" w:lineRule="exact"/>
        <w:rPr>
          <w:rFonts w:ascii="Times New Roman" w:cs="Times New Roman" w:eastAsia="Times New Roman" w:hAnsi="Times New Roman"/>
          <w:sz w:val="22"/>
          <w:szCs w:val="22"/>
          <w:color w:val="auto"/>
        </w:rPr>
      </w:pPr>
    </w:p>
    <w:p>
      <w:pPr>
        <w:jc w:val="both"/>
        <w:ind w:left="1952" w:hanging="656"/>
        <w:spacing w:after="0" w:line="263" w:lineRule="auto"/>
        <w:tabs>
          <w:tab w:leader="none" w:pos="195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such newly created or directly acquired Restricted Subsidiary (or assets acquired by a Borrower or any Restricted Subsidiary) shall either (y) to the extent required by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become a Credit Party (or Collateral) and comply with the requirements of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or (z) if such Restricted Subsidiary does not become a Credit Party (or its assets do not become Collateral) and comply with the requirements of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the aggregate purchase price paid in connection with such purchase or acquisition and all other such purchases or acquisitions described in this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together with Investments pursuant to</w:t>
      </w:r>
    </w:p>
    <w:p>
      <w:pPr>
        <w:sectPr>
          <w:pgSz w:w="11900" w:h="16953" w:orient="portrait"/>
          <w:cols w:equalWidth="0" w:num="1">
            <w:col w:w="11232"/>
          </w:cols>
          <w:pgMar w:left="328" w:top="126" w:right="339" w:bottom="0" w:gutter="0" w:footer="0" w:header="0"/>
        </w:sectPr>
      </w:pPr>
    </w:p>
    <w:bookmarkStart w:id="68" w:name="page69"/>
    <w:bookmarkEnd w:id="68"/>
    <w:p>
      <w:pPr>
        <w:jc w:val="both"/>
        <w:ind w:left="1960"/>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6.07(d)(iii)</w:t>
      </w:r>
      <w:r>
        <w:rPr>
          <w:rFonts w:ascii="Times New Roman" w:cs="Times New Roman" w:eastAsia="Times New Roman" w:hAnsi="Times New Roman"/>
          <w:sz w:val="22"/>
          <w:szCs w:val="22"/>
          <w:color w:val="auto"/>
        </w:rPr>
        <w:t>, shall not exceed the greater of (1) $20,000,000 and (2) 50.0% of Consolidated Adjusted EBITDA determined at the time of the consummation of such Permitted Acquisition (calculated on a Pro Forma Basis) as of the last day of the most recently ended Test Period; and</w:t>
      </w:r>
    </w:p>
    <w:p>
      <w:pPr>
        <w:spacing w:after="0" w:line="173" w:lineRule="exact"/>
        <w:rPr>
          <w:sz w:val="20"/>
          <w:szCs w:val="20"/>
          <w:color w:val="auto"/>
        </w:rPr>
      </w:pPr>
    </w:p>
    <w:p>
      <w:pPr>
        <w:ind w:left="1960" w:hanging="656"/>
        <w:spacing w:after="0" w:line="271" w:lineRule="auto"/>
        <w:tabs>
          <w:tab w:leader="none" w:pos="1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such newly acquired Restricted Subsidiary’s line of business or property shall comply with the requirements of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For purposes of greater certainty, (i) the purchase by any Credit Party of portfolios of Merchant Accounts shall be included as an acquisition subject to the requirements of the immediately preceding sentence and (ii) with respect to any Limited Condition Transaction that the Borrowers intend to use the proceeds of any Delayed Draw Term Loan to fund, (x) the conditions set forth in clauses (i) (other than with respect to the condition that no Default or Event of Default under Section 8.01(a), (f) or (g) has occurred and is continuing which shall be tested on the date of consummation of such Limited Condition Transaction) and (ii) shall be tested on the applicable LCT Test Date pursuant to Section 1.08(f) and (y) with respect to clause (vi), the extent that any security interest in any Collateral is not or cannot be provided and/or perfected (if applicable) on the date of consummation of any Limited Condition Transaction (other than (a) any security interest in any Collateral which may be perfected (if applicable) by (I) the filing of a financing statement under the UCC or (II) the delivery to the Collateral Agent (or its designee) of certificated equity interests with respect to certificated securities (and related stock powers or other similar transfer instruments) and (b) delivery of intellectual property security agreements to be filed in the United States Patent and Trademark Office or the United States Copyright Office) after your use of commercially reasonable efforts to do so without undue burden or expense, then the perfection of a security interest in such Collateral shall not constitute a condition precedent to the funding of the Delayed Draw Term Loan, but instead shall be required to be delivered and/or perfected pursuant to the arrangements and timing provisions set forth in Section 5.10 (or such later date as may be reasonably agreed between the Administrative Agent and the Borrowers).”</w:t>
      </w:r>
    </w:p>
    <w:p>
      <w:pPr>
        <w:spacing w:after="0" w:line="19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1"/>
          <w:szCs w:val="21"/>
          <w:color w:val="auto"/>
        </w:rPr>
        <w:t>replacing the definition of “</w:t>
      </w:r>
      <w:r>
        <w:rPr>
          <w:rFonts w:ascii="Times New Roman" w:cs="Times New Roman" w:eastAsia="Times New Roman" w:hAnsi="Times New Roman"/>
          <w:sz w:val="21"/>
          <w:szCs w:val="21"/>
          <w:b w:val="1"/>
          <w:bCs w:val="1"/>
          <w:i w:val="1"/>
          <w:iCs w:val="1"/>
          <w:color w:val="auto"/>
        </w:rPr>
        <w:t>Permitted Stock Issuances</w:t>
      </w:r>
      <w:r>
        <w:rPr>
          <w:rFonts w:ascii="Times New Roman" w:cs="Times New Roman" w:eastAsia="Times New Roman" w:hAnsi="Times New Roman"/>
          <w:sz w:val="21"/>
          <w:szCs w:val="21"/>
          <w:color w:val="auto"/>
        </w:rPr>
        <w:t>” in its entirety with the following:</w:t>
      </w:r>
    </w:p>
    <w:p>
      <w:pPr>
        <w:spacing w:after="0" w:line="239"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22"/>
          <w:szCs w:val="22"/>
          <w:color w:val="auto"/>
        </w:rPr>
        <w:t>“Permitted Stock Issuances” means any sale, transfer, issuance or other disposition of any Capital Stock by Holdings (or any direct or indirect parent of Holdings) or any Restricted Subsidiary in accordance with its Organizational Documents, other than Disqualified Capital Stock, in each case, to the extent not resulting in a Change of Control.”.</w:t>
      </w:r>
    </w:p>
    <w:p>
      <w:pPr>
        <w:spacing w:after="0" w:line="179" w:lineRule="exact"/>
        <w:rPr>
          <w:sz w:val="20"/>
          <w:szCs w:val="20"/>
          <w:color w:val="auto"/>
        </w:rPr>
      </w:pPr>
    </w:p>
    <w:p>
      <w:pPr>
        <w:ind w:left="2420" w:hanging="468"/>
        <w:spacing w:after="0"/>
        <w:tabs>
          <w:tab w:leader="none" w:pos="24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6.05(a) of the Credit Agreement is hereby amended by replacing clauses (iv) and (v) thereof</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their entirety as follows:</w:t>
      </w:r>
    </w:p>
    <w:p>
      <w:pPr>
        <w:spacing w:after="0" w:line="207" w:lineRule="exact"/>
        <w:rPr>
          <w:sz w:val="20"/>
          <w:szCs w:val="20"/>
          <w:color w:val="auto"/>
        </w:rPr>
      </w:pPr>
    </w:p>
    <w:p>
      <w:pPr>
        <w:jc w:val="both"/>
        <w:ind w:left="1300"/>
        <w:spacing w:after="0" w:line="244" w:lineRule="auto"/>
        <w:rPr>
          <w:sz w:val="20"/>
          <w:szCs w:val="20"/>
          <w:color w:val="auto"/>
        </w:rPr>
      </w:pPr>
      <w:r>
        <w:rPr>
          <w:rFonts w:ascii="Times New Roman" w:cs="Times New Roman" w:eastAsia="Times New Roman" w:hAnsi="Times New Roman"/>
          <w:sz w:val="22"/>
          <w:szCs w:val="22"/>
          <w:color w:val="auto"/>
        </w:rPr>
        <w:t>“(iv) each Borrower and its Restricted Subsidiaries may make Restricted Payments to Holdings (or any direct or indirect parent of Holdings) (1) to the extent necessary to permit Holdings (or any direct or indirect parent of Holdings) to pay reasonable and customary general administrative costs and expenses and out-of-pocket legal, accounting and filing and other general corporate overhead costs of Holdings (or any direct or indirect parent of Holdings) (including, without limitation, reasonable and customary salaries and benefits of officers and employees of Holdings (or any direct or indirect parent of Holdings)) and to pay franchise taxes and other fees required to maintain its organizational existence of Holdings or any direct or indirect parent of Holdings actually incurred by Holdings or such direct or indirect parent of Holdings, which are reasonable and customary and incurred in the ordinary course of business and attributable to the ownership or operations of the Borrowers and its Restricted Subsidiaries (and Unrestricted Subsidiaries, to the extent (x) of Cash received from the applicable Unrestricted Subsidiary for payment thereof by Holdings (or any direct or indirect parent of Holdings) or any Restricted Subsidiary or (y) the applicable payment is treated by Holdings or its applicable Restricted Subsidiary as an Investment in such Unrestricted Subsidiary and is permitted under Section 6.07), (2) to the extent necessary to permit Holdings (or any direct or indirect parent of Holdings), without duplication of any Permitted Tax Payments, to discharge the consolidated tax liabilities of Holdings (or any direct or indirect parent of Holdings) and its Subsidiaries when and as due, to the extent such liabilities are attributable to the income of Holdings (or any direct or indirect parent of Holdings) and its Restricted Subsidiaries (and Unrestricted Subsidiaries, to the extent of Cash received from the applicable Unrestricted Subsidiary for payment of its share of such tax liability by any Borrower or any Restricted Subsidiary), (3) so long as no Default or Event of Default shall have occurred and be continuing or would immediately thereafter result therefrom, to the extent necessary to permit Holdings (or any direct or indirect parent of Holdings) to pay directors’ fees (other than pursuant to the TCP Director Agreement), expenses and any reasonable and customary indemnification claims made by directors or officers of Holdings (or any direct or indirect parent of Holdings) attributable to the ownership or operations of the Borrowers and its Restricted Subsidiaries, in each case, so long as Holdings (or any direct or indirect parent of Holdings) applies the amount of any such Restricted Payment for such purpose (but, in each case, excluding, for the avoidance of doubt, the portion of any such amount, if any, that is attributable to the ownership or operations of any Subsidiary of Holdings (or any direct or indirect parent of Holdings) other than the Borrowers and/or their respective Subsidiaries) and (4) to the extent necessary to permit Holdings (or any direct or indirect parent of Holdings) to make payments permitted pursuant to Sections 6.12(h) and (i);</w:t>
      </w:r>
    </w:p>
    <w:p>
      <w:pPr>
        <w:sectPr>
          <w:pgSz w:w="11900" w:h="16838" w:orient="portrait"/>
          <w:cols w:equalWidth="0" w:num="1">
            <w:col w:w="11240"/>
          </w:cols>
          <w:pgMar w:left="320" w:top="126" w:right="339" w:bottom="0" w:gutter="0" w:footer="0" w:header="0"/>
        </w:sectPr>
      </w:pPr>
    </w:p>
    <w:bookmarkStart w:id="69" w:name="page70"/>
    <w:bookmarkEnd w:id="69"/>
    <w:p>
      <w:pPr>
        <w:spacing w:after="0" w:line="89" w:lineRule="exact"/>
        <w:rPr>
          <w:sz w:val="20"/>
          <w:szCs w:val="20"/>
          <w:color w:val="auto"/>
        </w:rPr>
      </w:pPr>
    </w:p>
    <w:p>
      <w:pPr>
        <w:jc w:val="both"/>
        <w:ind w:left="1300" w:firstLine="4"/>
        <w:spacing w:after="0" w:line="246" w:lineRule="auto"/>
        <w:tabs>
          <w:tab w:leader="none" w:pos="189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shall have occurred and be continuing or shall be caused thereby, any Borrower and its Restricted Subsidiaries may make Restricted Payments or otherwise transfer funds to Holdings (or any direct or indirect parent of Holdings) utilized for the repurchase, redemption or other acquisition or retirement for value of any Capital Stock of Holdings (or any direct or indirect parent of Holdings) held by any current or former officer, director, employee or consultant of Holdings (or any direct or indirect parent of Holdings), such Borrower or any of its Restricted Subsidiaries, or his or her estate, spouse, former spouse, family member or Affiliate of the foregoing (or for the payment of principal or interest on any Indebtedness issued in connection with such repurchase, redemption or other acquisition) in each case, pursuant to any equity subscription agreement, stock option agreement, shareholders’ agreement or other agreement or benefit plan of any kind; provided that the aggregate price paid for all such repurchased, redeemed, acquired or retired Capital Stock in any Fiscal Year may not exceed the greater of (x) $6,000,000 and (y) 12.5% of Consolidated Adjusted EBITDA determined at the time of incurrence of such repurchase, redemption, acquisition or retirement of Capital Stock (calculated on a Pro Forma Basis) as of the last day of the most recently ended Test Period;”.</w:t>
      </w:r>
    </w:p>
    <w:p>
      <w:pPr>
        <w:spacing w:after="0" w:line="193"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6.07 of the Credit Agreement is hereby amended by replacing clause (s) thereof in its entirety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follows:</w:t>
      </w:r>
    </w:p>
    <w:p>
      <w:pPr>
        <w:spacing w:after="0" w:line="207" w:lineRule="exact"/>
        <w:rPr>
          <w:sz w:val="20"/>
          <w:szCs w:val="20"/>
          <w:color w:val="auto"/>
        </w:rPr>
      </w:pPr>
    </w:p>
    <w:p>
      <w:pPr>
        <w:jc w:val="both"/>
        <w:ind w:left="1960"/>
        <w:spacing w:after="0" w:line="257" w:lineRule="auto"/>
        <w:rPr>
          <w:sz w:val="20"/>
          <w:szCs w:val="20"/>
          <w:color w:val="auto"/>
        </w:rPr>
      </w:pPr>
      <w:r>
        <w:rPr>
          <w:rFonts w:ascii="Times New Roman" w:cs="Times New Roman" w:eastAsia="Times New Roman" w:hAnsi="Times New Roman"/>
          <w:sz w:val="22"/>
          <w:szCs w:val="22"/>
          <w:color w:val="auto"/>
        </w:rPr>
        <w:t>“(s) additional Investments may be made from time to time to the extent made with proceeds of Permitted Stock Issuances of Holdings (or any direct or indirect parent of Holdings), which proceeds or Investments in turn are contributed (as common equity) to a Borrower;”.</w:t>
      </w:r>
    </w:p>
    <w:p>
      <w:pPr>
        <w:spacing w:after="0" w:line="173" w:lineRule="exact"/>
        <w:rPr>
          <w:sz w:val="20"/>
          <w:szCs w:val="20"/>
          <w:color w:val="auto"/>
        </w:rPr>
      </w:pPr>
    </w:p>
    <w:p>
      <w:pPr>
        <w:ind w:left="2480" w:hanging="528"/>
        <w:spacing w:after="0"/>
        <w:tabs>
          <w:tab w:leader="none" w:pos="24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6.08 of the Credit Agreement is hereby amended by replacing clause (a)(ii) thereof in 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entirety as follows:</w:t>
      </w:r>
    </w:p>
    <w:p>
      <w:pPr>
        <w:spacing w:after="0" w:line="207" w:lineRule="exact"/>
        <w:rPr>
          <w:sz w:val="20"/>
          <w:szCs w:val="20"/>
          <w:color w:val="auto"/>
        </w:rPr>
      </w:pPr>
    </w:p>
    <w:p>
      <w:pPr>
        <w:jc w:val="both"/>
        <w:ind w:left="1960"/>
        <w:spacing w:after="0" w:line="257" w:lineRule="auto"/>
        <w:rPr>
          <w:sz w:val="20"/>
          <w:szCs w:val="20"/>
          <w:color w:val="auto"/>
        </w:rPr>
      </w:pPr>
      <w:r>
        <w:rPr>
          <w:rFonts w:ascii="Times New Roman" w:cs="Times New Roman" w:eastAsia="Times New Roman" w:hAnsi="Times New Roman"/>
          <w:sz w:val="21"/>
          <w:szCs w:val="21"/>
          <w:color w:val="auto"/>
        </w:rPr>
        <w:t>“(ii) Notwithstanding anything herein to the contrary, to the extent that (a) the then outstanding principal amount of Indebtedness under the Subordinated Credit Agreement is converted into (or exchanged for) Capital Stock (other than Disqualified Capital Stock) of Holdings (or any direct or indirect parent of Holdings), any Borrower and/or any Restricted Subsidiary and/or (b) the Subordinated Term Loans are repaid or prepaid, in full, in cash (other than in connection with a Permitted Refinancing thereof), then, in either case, the levels for the Financial Covenant set forth in the table above shall be revised to (1) take into account the aggregate principal amount of Consolidated Total Debt outstanding on the date of such payment, exchange or conversion (after giving effect to such prepayment, exchange and/or conversion) and</w:t>
      </w:r>
    </w:p>
    <w:p>
      <w:pPr>
        <w:spacing w:after="0" w:line="7" w:lineRule="exact"/>
        <w:rPr>
          <w:sz w:val="20"/>
          <w:szCs w:val="20"/>
          <w:color w:val="auto"/>
        </w:rPr>
      </w:pPr>
    </w:p>
    <w:p>
      <w:pPr>
        <w:jc w:val="both"/>
        <w:ind w:left="1960" w:hanging="8"/>
        <w:spacing w:after="0" w:line="257" w:lineRule="auto"/>
        <w:tabs>
          <w:tab w:leader="none" w:pos="22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reflect a cushion to Consolidated Adjusted EBITDA similar to the cushion then in effect immediately prior to such prepayment, exchange and/or conversion with respect to the levels set forth in clause (i) above on the date of such prepayment, exchange and/or conversion. Borrower Representative and Administrative Agent may effect the provisions of this </w:t>
      </w:r>
      <w:r>
        <w:rPr>
          <w:rFonts w:ascii="Times New Roman" w:cs="Times New Roman" w:eastAsia="Times New Roman" w:hAnsi="Times New Roman"/>
          <w:sz w:val="21"/>
          <w:szCs w:val="21"/>
          <w:u w:val="single" w:color="auto"/>
          <w:color w:val="auto"/>
        </w:rPr>
        <w:t>Section 6.08(a)(ii)</w:t>
      </w:r>
      <w:r>
        <w:rPr>
          <w:rFonts w:ascii="Times New Roman" w:cs="Times New Roman" w:eastAsia="Times New Roman" w:hAnsi="Times New Roman"/>
          <w:sz w:val="21"/>
          <w:szCs w:val="21"/>
          <w:color w:val="auto"/>
        </w:rPr>
        <w:t xml:space="preserve">, without the consent of any other Credit Party, Agent or Lender, with such amendments to this Agreement and the other Credit Documents as may be necessary or appropriate, in the reasonable opinion of Administrative Agent and the Borrower Representative. This </w:t>
      </w:r>
      <w:r>
        <w:rPr>
          <w:rFonts w:ascii="Times New Roman" w:cs="Times New Roman" w:eastAsia="Times New Roman" w:hAnsi="Times New Roman"/>
          <w:sz w:val="21"/>
          <w:szCs w:val="21"/>
          <w:u w:val="single" w:color="auto"/>
          <w:color w:val="auto"/>
        </w:rPr>
        <w:t>Section 6.08(a)(ii)</w:t>
      </w:r>
      <w:r>
        <w:rPr>
          <w:rFonts w:ascii="Times New Roman" w:cs="Times New Roman" w:eastAsia="Times New Roman" w:hAnsi="Times New Roman"/>
          <w:sz w:val="21"/>
          <w:szCs w:val="21"/>
          <w:color w:val="auto"/>
        </w:rPr>
        <w:t xml:space="preserve"> shall supersede any provisions in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to the contrary.”</w:t>
      </w:r>
    </w:p>
    <w:p>
      <w:pPr>
        <w:spacing w:after="0" w:line="177" w:lineRule="exact"/>
        <w:rPr>
          <w:sz w:val="20"/>
          <w:szCs w:val="20"/>
          <w:color w:val="auto"/>
        </w:rPr>
      </w:pPr>
    </w:p>
    <w:p>
      <w:pPr>
        <w:ind w:left="1960"/>
        <w:spacing w:after="0"/>
        <w:tabs>
          <w:tab w:leader="none" w:pos="23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1"/>
          <w:szCs w:val="21"/>
          <w:color w:val="auto"/>
        </w:rPr>
        <w:t>Section 6.08 of the Credit Agreement is hereby amended by replacing clause (b) thereof in its entirety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follows:</w:t>
      </w:r>
    </w:p>
    <w:p>
      <w:pPr>
        <w:spacing w:after="0" w:line="207" w:lineRule="exact"/>
        <w:rPr>
          <w:sz w:val="20"/>
          <w:szCs w:val="20"/>
          <w:color w:val="auto"/>
        </w:rPr>
      </w:pPr>
    </w:p>
    <w:p>
      <w:pPr>
        <w:jc w:val="both"/>
        <w:ind w:left="1960"/>
        <w:spacing w:after="0" w:line="256"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u w:val="single" w:color="auto"/>
          <w:color w:val="auto"/>
        </w:rPr>
        <w:t>Equity Cure Right</w:t>
      </w:r>
      <w:r>
        <w:rPr>
          <w:rFonts w:ascii="Times New Roman" w:cs="Times New Roman" w:eastAsia="Times New Roman" w:hAnsi="Times New Roman"/>
          <w:sz w:val="21"/>
          <w:szCs w:val="21"/>
          <w:color w:val="auto"/>
        </w:rPr>
        <w:t xml:space="preserve">. Notwithstanding anything to the contrary contained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solely for the purpose of determining whether an Event of Default has occurred under the Total Net Leverage Ratio set forth in </w:t>
      </w:r>
      <w:r>
        <w:rPr>
          <w:rFonts w:ascii="Times New Roman" w:cs="Times New Roman" w:eastAsia="Times New Roman" w:hAnsi="Times New Roman"/>
          <w:sz w:val="21"/>
          <w:szCs w:val="21"/>
          <w:u w:val="single" w:color="auto"/>
          <w:color w:val="auto"/>
        </w:rPr>
        <w:t>Section 6.08(a)(i)</w:t>
      </w:r>
      <w:r>
        <w:rPr>
          <w:rFonts w:ascii="Times New Roman" w:cs="Times New Roman" w:eastAsia="Times New Roman" w:hAnsi="Times New Roman"/>
          <w:sz w:val="21"/>
          <w:szCs w:val="21"/>
          <w:color w:val="auto"/>
        </w:rPr>
        <w:t xml:space="preserve"> (as may be modified by </w:t>
      </w:r>
      <w:r>
        <w:rPr>
          <w:rFonts w:ascii="Times New Roman" w:cs="Times New Roman" w:eastAsia="Times New Roman" w:hAnsi="Times New Roman"/>
          <w:sz w:val="21"/>
          <w:szCs w:val="21"/>
          <w:u w:val="single" w:color="auto"/>
          <w:color w:val="auto"/>
        </w:rPr>
        <w:t>Section 6.08(a)(ii)</w:t>
      </w:r>
      <w:r>
        <w:rPr>
          <w:rFonts w:ascii="Times New Roman" w:cs="Times New Roman" w:eastAsia="Times New Roman" w:hAnsi="Times New Roman"/>
          <w:sz w:val="21"/>
          <w:szCs w:val="21"/>
          <w:color w:val="auto"/>
        </w:rPr>
        <w:t xml:space="preserve">) as of the last day of any Fiscal Quarter, for the period commencing after the last day of the applicable Fiscal Quarter until the tenth (10) Business Day after the date on which financial statements for such Fiscal Quarter are required to be delivered pursuant to </w:t>
      </w:r>
      <w:r>
        <w:rPr>
          <w:rFonts w:ascii="Times New Roman" w:cs="Times New Roman" w:eastAsia="Times New Roman" w:hAnsi="Times New Roman"/>
          <w:sz w:val="21"/>
          <w:szCs w:val="21"/>
          <w:u w:val="single" w:color="auto"/>
          <w:color w:val="auto"/>
        </w:rPr>
        <w:t>Section 5.01(b)</w:t>
      </w:r>
      <w:r>
        <w:rPr>
          <w:rFonts w:ascii="Times New Roman" w:cs="Times New Roman" w:eastAsia="Times New Roman" w:hAnsi="Times New Roman"/>
          <w:sz w:val="21"/>
          <w:szCs w:val="21"/>
          <w:color w:val="auto"/>
        </w:rPr>
        <w:t xml:space="preserve"> (or in the case of the fourth Fiscal Quarter, the financial statements delivered pursuant to </w:t>
      </w:r>
      <w:r>
        <w:rPr>
          <w:rFonts w:ascii="Times New Roman" w:cs="Times New Roman" w:eastAsia="Times New Roman" w:hAnsi="Times New Roman"/>
          <w:sz w:val="21"/>
          <w:szCs w:val="21"/>
          <w:u w:val="single" w:color="auto"/>
          <w:color w:val="auto"/>
        </w:rPr>
        <w:t>Section 5.01(c)</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Cure Deadline</w:t>
      </w:r>
      <w:r>
        <w:rPr>
          <w:rFonts w:ascii="Times New Roman" w:cs="Times New Roman" w:eastAsia="Times New Roman" w:hAnsi="Times New Roman"/>
          <w:sz w:val="21"/>
          <w:szCs w:val="21"/>
          <w:color w:val="auto"/>
        </w:rPr>
        <w:t>”), Holdings (or any direct or indirect parent of Holdings) shall have the right to contribute Cash proceeds from a Permitted Stock Issuance to the capital of the Borrowers prior to the Cure Deadline and apply the amount of the proceeds so contributed to increase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Times New Roman" w:cs="Times New Roman" w:eastAsia="Times New Roman" w:hAnsi="Times New Roman"/>
          <w:sz w:val="21"/>
          <w:szCs w:val="21"/>
          <w:u w:val="single" w:color="auto"/>
          <w:color w:val="auto"/>
        </w:rPr>
        <w:t>Specified Equity Contribution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Specified Equity Contribution is actually received by a Borrower after the last day of the applicable Fiscal Quarter and no later than the Cure Deadline, (b) in each consecutive four (4) Fiscal Quarter period there will be at least two (2) consecutive Fiscal Quarters in which no Specified Equity Contribution is made, (c) the amount of any Specified Equity Contribution will be no greater than the amount required to cause Holdings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any Specified Equity Contribution shall be required to</w:t>
      </w:r>
    </w:p>
    <w:p>
      <w:pPr>
        <w:sectPr>
          <w:pgSz w:w="11900" w:h="16928" w:orient="portrait"/>
          <w:cols w:equalWidth="0" w:num="1">
            <w:col w:w="11240"/>
          </w:cols>
          <w:pgMar w:left="320" w:top="220" w:right="339" w:bottom="0" w:gutter="0" w:footer="0" w:header="0"/>
        </w:sectPr>
      </w:pPr>
    </w:p>
    <w:bookmarkStart w:id="70" w:name="page71"/>
    <w:bookmarkEnd w:id="70"/>
    <w:p>
      <w:pPr>
        <w:jc w:val="both"/>
        <w:ind w:left="1960"/>
        <w:spacing w:after="0" w:line="256" w:lineRule="auto"/>
        <w:rPr>
          <w:sz w:val="20"/>
          <w:szCs w:val="20"/>
          <w:color w:val="auto"/>
        </w:rPr>
      </w:pPr>
      <w:r>
        <w:rPr>
          <w:rFonts w:ascii="Times New Roman" w:cs="Times New Roman" w:eastAsia="Times New Roman" w:hAnsi="Times New Roman"/>
          <w:sz w:val="21"/>
          <w:szCs w:val="21"/>
          <w:color w:val="auto"/>
        </w:rPr>
        <w:t xml:space="preserve">be applied in accordance with Section 2.14(b) to prepay any then outstanding principal amount of Term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Loans so prepaid shall be deemed outstanding for purposes of determining compliance with the Financial Covenant for the current Fiscal Quarter and the next three (3) Fiscal Quarters thereafter, and the cash proceeds from such Specified Equity Contribution shall not be included for cash netting purposes in the determination of Consolidated Total Debt or any financial ratio. Upon the making of any Specified Equity 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covenants at the end of such Fiscal Quarter and any subsequent period that includes such Fiscal Quarter), by an amount equal to the Specified Equity Contribution; and (B) if, after giving effect to the foregoing recalculations, Holdings shall then be in compliance with the requirements of the Financial Covenant, Holdings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purposes of this Agreement. Notwithstanding anything herein to the contrary, upon receipt by Administrative Agent of a notice from the Borrower Representative prior to the Cure Deadline of its intent to cure such Event of Default (“</w:t>
      </w:r>
      <w:r>
        <w:rPr>
          <w:rFonts w:ascii="Times New Roman" w:cs="Times New Roman" w:eastAsia="Times New Roman" w:hAnsi="Times New Roman"/>
          <w:sz w:val="21"/>
          <w:szCs w:val="21"/>
          <w:u w:val="single" w:color="auto"/>
          <w:color w:val="auto"/>
        </w:rPr>
        <w:t>Notice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Intent to Cure</w:t>
      </w:r>
      <w:r>
        <w:rPr>
          <w:rFonts w:ascii="Times New Roman" w:cs="Times New Roman" w:eastAsia="Times New Roman" w:hAnsi="Times New Roman"/>
          <w:sz w:val="21"/>
          <w:szCs w:val="21"/>
          <w:color w:val="auto"/>
        </w:rPr>
        <w:t xml:space="preserve">”), through the Cure Deadline (i) no Default or Event of Default shall be deemed to have occurred on the basis of any failure to comply with the Financial Covenant unless such failure is not cured pursuant to the Notice of Intent to Cure on or prior to the Cure Deadline and (ii) no Borrower shall be permitted to borrow Revolving Loans or Swing Line Loans and new Letters of Credit shall not be issued unless and until the Specified Equity Contribution is made or all existing Events of Default are waived or cured or otherwise agreed by the Requisite Revolving Credit Lenders. No Specified Equity Contribution shall have been previously applied to (i) increase Available Amount, (ii) make any Consolidated Capital Expenditures or (iii) make an Investment pursuant to </w:t>
      </w:r>
      <w:r>
        <w:rPr>
          <w:rFonts w:ascii="Times New Roman" w:cs="Times New Roman" w:eastAsia="Times New Roman" w:hAnsi="Times New Roman"/>
          <w:sz w:val="21"/>
          <w:szCs w:val="21"/>
          <w:u w:val="single" w:color="auto"/>
          <w:color w:val="auto"/>
        </w:rPr>
        <w:t>Section 6.07(m)</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2460" w:hanging="508"/>
        <w:spacing w:after="0"/>
        <w:tabs>
          <w:tab w:leader="none" w:pos="24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10.06 of the Credit Agreement is hereby amended by replacing clause (i)(ii) thereof in 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entirety as follows:</w:t>
      </w:r>
    </w:p>
    <w:p>
      <w:pPr>
        <w:spacing w:after="0" w:line="207" w:lineRule="exact"/>
        <w:rPr>
          <w:sz w:val="20"/>
          <w:szCs w:val="20"/>
          <w:color w:val="auto"/>
        </w:rPr>
      </w:pPr>
    </w:p>
    <w:p>
      <w:pPr>
        <w:jc w:val="both"/>
        <w:ind w:left="1960"/>
        <w:spacing w:after="0" w:line="257" w:lineRule="auto"/>
        <w:rPr>
          <w:sz w:val="20"/>
          <w:szCs w:val="20"/>
          <w:color w:val="auto"/>
        </w:rPr>
      </w:pPr>
      <w:r>
        <w:rPr>
          <w:rFonts w:ascii="Times New Roman" w:cs="Times New Roman" w:eastAsia="Times New Roman" w:hAnsi="Times New Roman"/>
          <w:sz w:val="21"/>
          <w:szCs w:val="21"/>
          <w:color w:val="auto"/>
        </w:rPr>
        <w:t>“(ii) Notwithstanding anything to the contrary herein, each Affiliated Lender, in its capacity as a Term Lender, in its sole and absolute discretion, may make one or more capital contributions or assignments of Term Loans that it acquires in accordance with this Section 10.06(ii) or otherwise directly or indirectly to Holdings or any Borrower solely in exchange for Permitted Stock Issuances of Holdings (or any direct or indirect parent of Holdings) upon written notice to Administrative Agent. Immediately upon Holdings’ or any Borrower’s acquisition of Term Loans from an Affiliated Lender, such Term Loans and all rights and obligations as a Lender related thereto shall for all purposes (including under this Agreement, the other Credit Documents and otherwise) be deemed to be irrevocably prepaid, terminated, extinguished, cancelled and of no further force and effect and neither any Borrower nor Holdings shall obtain or otherwise have any rights as a Lender hereunder or under the other Credit Documents by virtue of such capital contribution or assignment; provided that, upon such prepayment, termination, extinguishment and cancellation, the aggregate outstanding principal amount of the relevant Class of Term Loans shall be deemed reduced, as of the date of such contribution, by the full par value of the aggregate principal amount of Term Loans so contributed and cancelled, and each principal repayment installment with respect to such Class of Term Loans pursuant to Section 2.11 shall be reduced on a pro rata basis by the full par value of the aggregate principal amount of any applicable Term Loans so contributed and cancelled.”.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REFERENCE TO AND EFFECT ON THE CREDIT AGREEMENT</w:t>
      </w:r>
      <w:r>
        <w:rPr>
          <w:rFonts w:ascii="Times New Roman" w:cs="Times New Roman" w:eastAsia="Times New Roman" w:hAnsi="Times New Roman"/>
          <w:sz w:val="22"/>
          <w:szCs w:val="22"/>
          <w:color w:val="auto"/>
        </w:rPr>
        <w:t>. On and after the Fifth Amendment Effective Date, each reference in the Credit Agreement to “this Agreement,” “hereunder,” “hereof” or text of like import referring to the Credit Agreement shall mean and be a reference to the Credit Agreement as amended by this Fifth Amendment. On and after the effectiveness of this Fifth Amendment, this Fifth Amendment shall for all purposes constitute a “Credit Document” under and as defined in the Credit Agreement and the other Credit Documents.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REPRESENTATIONS &amp; WARRANTIES; ACKNOWLEDGMENTS</w:t>
      </w:r>
      <w:r>
        <w:rPr>
          <w:rFonts w:ascii="Times New Roman" w:cs="Times New Roman" w:eastAsia="Times New Roman" w:hAnsi="Times New Roman"/>
          <w:sz w:val="22"/>
          <w:szCs w:val="22"/>
          <w:color w:val="auto"/>
        </w:rPr>
        <w:t>. In order to induce each Requisite Lender and the Administrative Agent to enter into this Fifth Amendment, each Credit Party hereby:</w:t>
      </w:r>
    </w:p>
    <w:p>
      <w:pPr>
        <w:spacing w:after="0" w:line="144" w:lineRule="exact"/>
        <w:rPr>
          <w:sz w:val="20"/>
          <w:szCs w:val="20"/>
          <w:color w:val="auto"/>
        </w:rPr>
      </w:pPr>
    </w:p>
    <w:p>
      <w:pPr>
        <w:ind w:firstLine="1952"/>
        <w:spacing w:after="0" w:line="284" w:lineRule="auto"/>
        <w:tabs>
          <w:tab w:leader="none" w:pos="2377"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and warrants to each Requisite Lender and the Administrative Agent on and as of the Fifth Amendment Effective Date, that:</w:t>
      </w:r>
    </w:p>
    <w:p>
      <w:pPr>
        <w:spacing w:after="0" w:line="143"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party hereto has all requisite power and authority to execute, deliver and perform its obligations under this Fifth Amendment and the Credit Agreement (as amended by the Fifth Amendment), in each case, to which it is a party and to carry out the transactions contemplated thereby;</w:t>
      </w:r>
    </w:p>
    <w:p>
      <w:pPr>
        <w:spacing w:after="0" w:line="172" w:lineRule="exact"/>
        <w:rPr>
          <w:rFonts w:ascii="Times New Roman" w:cs="Times New Roman" w:eastAsia="Times New Roman" w:hAnsi="Times New Roman"/>
          <w:sz w:val="22"/>
          <w:szCs w:val="22"/>
          <w:color w:val="auto"/>
        </w:rPr>
      </w:pPr>
    </w:p>
    <w:p>
      <w:pPr>
        <w:ind w:left="1960" w:hanging="656"/>
        <w:spacing w:after="0" w:line="271" w:lineRule="auto"/>
        <w:tabs>
          <w:tab w:leader="none" w:pos="19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Fifth Amendment has been duly authorized by all necessary action on the part of each Credit Party that is a party thereto;</w:t>
      </w:r>
    </w:p>
    <w:p>
      <w:pPr>
        <w:sectPr>
          <w:pgSz w:w="11900" w:h="16838" w:orient="portrait"/>
          <w:cols w:equalWidth="0" w:num="1">
            <w:col w:w="11240"/>
          </w:cols>
          <w:pgMar w:left="320" w:top="126" w:right="339" w:bottom="0" w:gutter="0" w:footer="0" w:header="0"/>
        </w:sectPr>
      </w:pPr>
    </w:p>
    <w:bookmarkStart w:id="71" w:name="page72"/>
    <w:bookmarkEnd w:id="71"/>
    <w:p>
      <w:pPr>
        <w:spacing w:after="0" w:line="16" w:lineRule="exact"/>
        <w:rPr>
          <w:sz w:val="20"/>
          <w:szCs w:val="20"/>
          <w:color w:val="auto"/>
        </w:rPr>
      </w:pPr>
    </w:p>
    <w:p>
      <w:pPr>
        <w:jc w:val="both"/>
        <w:ind w:left="1960" w:hanging="656"/>
        <w:spacing w:after="0" w:line="250" w:lineRule="auto"/>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Fifth Amendment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 and</w:t>
      </w:r>
    </w:p>
    <w:p>
      <w:pPr>
        <w:spacing w:after="0" w:line="180" w:lineRule="exact"/>
        <w:rPr>
          <w:rFonts w:ascii="Times New Roman" w:cs="Times New Roman" w:eastAsia="Times New Roman" w:hAnsi="Times New Roman"/>
          <w:sz w:val="22"/>
          <w:szCs w:val="22"/>
          <w:color w:val="auto"/>
        </w:rPr>
      </w:pPr>
    </w:p>
    <w:p>
      <w:pPr>
        <w:jc w:val="both"/>
        <w:ind w:left="1960" w:hanging="656"/>
        <w:spacing w:after="0" w:line="248" w:lineRule="auto"/>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representations and warranties set forth in the Credit Agreement and in the other Credit Documents is true and correct in all material respects on and as of the Fifth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2" w:lineRule="exact"/>
        <w:rPr>
          <w:sz w:val="20"/>
          <w:szCs w:val="20"/>
          <w:color w:val="auto"/>
        </w:rPr>
      </w:pPr>
    </w:p>
    <w:p>
      <w:pPr>
        <w:ind w:firstLine="1952"/>
        <w:spacing w:after="0" w:line="284" w:lineRule="auto"/>
        <w:tabs>
          <w:tab w:leader="none" w:pos="243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and agrees for the benefit of each Lender and the Administrative Agent on and as of the Fifth Amendment Effective Date, that:</w:t>
      </w:r>
    </w:p>
    <w:p>
      <w:pPr>
        <w:spacing w:after="0" w:line="143" w:lineRule="exact"/>
        <w:rPr>
          <w:rFonts w:ascii="Times New Roman" w:cs="Times New Roman" w:eastAsia="Times New Roman" w:hAnsi="Times New Roman"/>
          <w:sz w:val="22"/>
          <w:szCs w:val="22"/>
          <w:color w:val="auto"/>
        </w:rPr>
      </w:pPr>
    </w:p>
    <w:p>
      <w:pPr>
        <w:jc w:val="both"/>
        <w:ind w:left="1960" w:hanging="656"/>
        <w:spacing w:after="0" w:line="250" w:lineRule="auto"/>
        <w:tabs>
          <w:tab w:leader="none" w:pos="19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right of offset, recoupment, defense, counterclaim, claim, cause of action or objection exists in favor of such Credit Party against the Administrative Agent or Lender arising out of or with respect to (x) the Obligations, this Fifth Amendment or the other Credit Documents, (y) any other documents now or heretofore evidencing, securing or in any way relating to the foregoing, or (z) the administration or funding of the Loans; and</w:t>
      </w:r>
    </w:p>
    <w:p>
      <w:pPr>
        <w:spacing w:after="0" w:line="180" w:lineRule="exact"/>
        <w:rPr>
          <w:rFonts w:ascii="Times New Roman" w:cs="Times New Roman" w:eastAsia="Times New Roman" w:hAnsi="Times New Roman"/>
          <w:sz w:val="22"/>
          <w:szCs w:val="22"/>
          <w:color w:val="auto"/>
        </w:rPr>
      </w:pPr>
    </w:p>
    <w:p>
      <w:pPr>
        <w:jc w:val="both"/>
        <w:ind w:left="1960" w:hanging="656"/>
        <w:spacing w:after="0" w:line="247" w:lineRule="auto"/>
        <w:tabs>
          <w:tab w:leader="none" w:pos="19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Administrative Agent’s and the Lender’s agreement to make the amendments contained herein does not and shall not create (nor shall any Credit Party rely upon the existence of or claim or assert that there exists) any obligation of the Administrative Agent or any Lender to consider or agree to any further waiver, consent or amendment with respect to any Credit Document, and (y) in the event that the Administrative Agent or any Lender subsequently agrees to consider any further waiver, consent or amendment with respect to any Credit Document, neither this Fifth Amendment nor any other conduct of the Administrative Agent or any Lender shall be of any force and effect on the Administrative Agent’s or any Lender’s consideration or decision with respect thereto.</w:t>
      </w:r>
    </w:p>
    <w:p>
      <w:pPr>
        <w:spacing w:after="0" w:line="18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CONDITIONS PRECEDENT</w:t>
      </w:r>
      <w:r>
        <w:rPr>
          <w:rFonts w:ascii="Times New Roman" w:cs="Times New Roman" w:eastAsia="Times New Roman" w:hAnsi="Times New Roman"/>
          <w:sz w:val="22"/>
          <w:szCs w:val="22"/>
          <w:color w:val="auto"/>
        </w:rPr>
        <w:t>. This Fifth Amendment shall become effective as of the first date (the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xml:space="preserve">”) when each of the conditions set forth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have been satisfied:</w:t>
      </w:r>
    </w:p>
    <w:p>
      <w:pPr>
        <w:spacing w:after="0" w:line="144" w:lineRule="exact"/>
        <w:rPr>
          <w:sz w:val="20"/>
          <w:szCs w:val="20"/>
          <w:color w:val="auto"/>
        </w:rPr>
      </w:pPr>
    </w:p>
    <w:p>
      <w:pPr>
        <w:jc w:val="both"/>
        <w:ind w:left="1960" w:hanging="656"/>
        <w:spacing w:after="0" w:line="257" w:lineRule="auto"/>
        <w:tabs>
          <w:tab w:leader="none" w:pos="19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duly authorized, executed and delivered counterpart of the signature page to this Fifth Amendment (whether the same or different counterparts) from each Credit Party named on the signature pages hereto, the Administrative Agent and the Requisite Lenders.</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of the Borrower Representative, dated as of the Fifth Amendment Effective Date, executed by a Senior Officer of the Borrower Representative certifying that the conditions set forth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have been satisfied.</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copy of the amendment to the Subordinated Credit Agreement (the “</w:t>
      </w:r>
      <w:r>
        <w:rPr>
          <w:rFonts w:ascii="Times New Roman" w:cs="Times New Roman" w:eastAsia="Times New Roman" w:hAnsi="Times New Roman"/>
          <w:sz w:val="22"/>
          <w:szCs w:val="22"/>
          <w:u w:val="single" w:color="auto"/>
          <w:color w:val="auto"/>
        </w:rPr>
        <w:t>Subordinated Credit Agreement Amendment</w:t>
      </w:r>
      <w:r>
        <w:rPr>
          <w:rFonts w:ascii="Times New Roman" w:cs="Times New Roman" w:eastAsia="Times New Roman" w:hAnsi="Times New Roman"/>
          <w:sz w:val="22"/>
          <w:szCs w:val="22"/>
          <w:color w:val="auto"/>
        </w:rPr>
        <w:t>”), in form and substance reasonably satisfactory to the Administrative Agent.</w:t>
      </w:r>
    </w:p>
    <w:p>
      <w:pPr>
        <w:spacing w:after="0" w:line="172" w:lineRule="exact"/>
        <w:rPr>
          <w:rFonts w:ascii="Times New Roman" w:cs="Times New Roman" w:eastAsia="Times New Roman" w:hAnsi="Times New Roman"/>
          <w:sz w:val="22"/>
          <w:szCs w:val="22"/>
          <w:color w:val="auto"/>
        </w:rPr>
      </w:pPr>
    </w:p>
    <w:p>
      <w:pPr>
        <w:ind w:left="1960" w:hanging="656"/>
        <w:spacing w:after="0" w:line="271" w:lineRule="auto"/>
        <w:tabs>
          <w:tab w:leader="none" w:pos="19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effectiveness of the Subordinated Credit Agreement Amendment shall have occurred or shall occur concurrently with the Fifth Amendment Effective Date.</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Both immediately before and after giving effect to this Fifth Amendment, (a) no Default or Event of Default shall have occurred or be continuing or result therefrom and (b) the representations and warranties contained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Fifth Amendment shall be true and correct.</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48" w:lineRule="auto"/>
        <w:tabs>
          <w:tab w:leader="none" w:pos="19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Contemporaneous with the Fifth Amendment Effective Date, all fees and other amounts due and payable to them on or prior to the Fifth Amendment Effective Date, and to the extent invoiced, reimbursement or payment of all reasonable and documented out-of-pocket fees and expenses (including the reasonable and documented legal fees and expenses of White &amp; Case LLP, counsel to Administrative Agent) required to be reimbursed or paid by the Borrowers under this Fifth Amendment and the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invoice for all such fees shall be received by the Borrower Representative at least one (1) Business Day prior to the Fifth Amendment Effective Date.</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REAFFIRMATION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952"/>
        <w:spacing w:after="0" w:line="284" w:lineRule="auto"/>
        <w:tabs>
          <w:tab w:leader="none" w:pos="245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induce the Lenders party hereto and Administrative Agent to enter into this Fifth Amendment, each of the Credit Parties hereby acknowledges and reaffirms its obligations under each Credit Document to which it is a party,</w:t>
      </w:r>
    </w:p>
    <w:p>
      <w:pPr>
        <w:sectPr>
          <w:pgSz w:w="11900" w:h="16855" w:orient="portrait"/>
          <w:cols w:equalWidth="0" w:num="1">
            <w:col w:w="11240"/>
          </w:cols>
          <w:pgMar w:left="320" w:top="126" w:right="339" w:bottom="0" w:gutter="0" w:footer="0" w:header="0"/>
        </w:sectPr>
      </w:pPr>
    </w:p>
    <w:bookmarkStart w:id="72" w:name="page73"/>
    <w:bookmarkEnd w:id="72"/>
    <w:p>
      <w:pPr>
        <w:jc w:val="both"/>
        <w:spacing w:after="0" w:line="250" w:lineRule="auto"/>
        <w:rPr>
          <w:sz w:val="20"/>
          <w:szCs w:val="20"/>
          <w:color w:val="auto"/>
        </w:rPr>
      </w:pPr>
      <w:r>
        <w:rPr>
          <w:rFonts w:ascii="Times New Roman" w:cs="Times New Roman" w:eastAsia="Times New Roman" w:hAnsi="Times New Roman"/>
          <w:sz w:val="22"/>
          <w:szCs w:val="22"/>
          <w:color w:val="auto"/>
        </w:rPr>
        <w:t>including, without limitation, any grant, pledge or collateral assignment of a lien or security interest, as applicable, contained therein, in each case, as amended, restated, supplemented or otherwise modified prior to or as of the date hereof. Each Borrower acknowledges and agrees that each of the Credit Documents to which it is a party or otherwise bound shall continue in full force and effect, that all of its obligations thereunder shall be valid and enforceable and shall not be impaired or limited by the execution or effectiveness of this Fifth Amendment.</w:t>
      </w:r>
    </w:p>
    <w:p>
      <w:pPr>
        <w:spacing w:after="0" w:line="181" w:lineRule="exact"/>
        <w:rPr>
          <w:sz w:val="20"/>
          <w:szCs w:val="20"/>
          <w:color w:val="auto"/>
        </w:rPr>
      </w:pPr>
    </w:p>
    <w:p>
      <w:pPr>
        <w:jc w:val="both"/>
        <w:ind w:firstLine="1952"/>
        <w:spacing w:after="0" w:line="246" w:lineRule="auto"/>
        <w:tabs>
          <w:tab w:leader="none" w:pos="243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furtherance of the foregoing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each Credit Party, in its capacity as a Guarantor under any Guaranty to which it is a party (in such capacity, each a “</w:t>
      </w:r>
      <w:r>
        <w:rPr>
          <w:rFonts w:ascii="Times New Roman" w:cs="Times New Roman" w:eastAsia="Times New Roman" w:hAnsi="Times New Roman"/>
          <w:sz w:val="22"/>
          <w:szCs w:val="22"/>
          <w:u w:val="single" w:color="auto"/>
          <w:color w:val="auto"/>
        </w:rPr>
        <w:t>Reaffirming Loan Guarantor</w:t>
      </w:r>
      <w:r>
        <w:rPr>
          <w:rFonts w:ascii="Times New Roman" w:cs="Times New Roman" w:eastAsia="Times New Roman" w:hAnsi="Times New Roman"/>
          <w:sz w:val="22"/>
          <w:szCs w:val="22"/>
          <w:color w:val="auto"/>
        </w:rPr>
        <w:t>”), reaffirms its guarantee of the Guaranteed Obligations under the terms and conditions of such Guaranty and agrees that such Guaranty remains in full force and effect to the extent set forth in such Guaranty and after giving effect to this Fifth Amendment. Each Reaffirming Loan Guarantor hereby confirms that it consents to the terms of this Fifth Amendment and the Credit Agreement. 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 without limitation,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and shall not be impaired or limited by the execution or effectiveness of this Fifth Amendment; and (iii) acknowledges, agrees and warrants for the benefit of the Administrative Agent, the Collateral Agent and each Secured Party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187" w:lineRule="exact"/>
        <w:rPr>
          <w:rFonts w:ascii="Times New Roman" w:cs="Times New Roman" w:eastAsia="Times New Roman" w:hAnsi="Times New Roman"/>
          <w:sz w:val="22"/>
          <w:szCs w:val="22"/>
          <w:color w:val="auto"/>
        </w:rPr>
      </w:pPr>
    </w:p>
    <w:p>
      <w:pPr>
        <w:jc w:val="both"/>
        <w:ind w:firstLine="1952"/>
        <w:spacing w:after="0" w:line="245" w:lineRule="auto"/>
        <w:tabs>
          <w:tab w:leader="none" w:pos="240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furtherance of the foregoing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each of the Credit Parties that is party to any Collateral Document, in its capacity as a Grantor (as defined in such Collateral Document) under such Collateral Document (in such capacity, each a “</w:t>
      </w:r>
      <w:r>
        <w:rPr>
          <w:rFonts w:ascii="Times New Roman" w:cs="Times New Roman" w:eastAsia="Times New Roman" w:hAnsi="Times New Roman"/>
          <w:sz w:val="22"/>
          <w:szCs w:val="22"/>
          <w:u w:val="single" w:color="auto"/>
          <w:color w:val="auto"/>
        </w:rPr>
        <w:t>Reaffirming Grantor</w:t>
      </w:r>
      <w:r>
        <w:rPr>
          <w:rFonts w:ascii="Times New Roman" w:cs="Times New Roman" w:eastAsia="Times New Roman" w:hAnsi="Times New Roman"/>
          <w:sz w:val="22"/>
          <w:szCs w:val="22"/>
          <w:color w:val="auto"/>
        </w:rPr>
        <w:t>”), hereby acknowledges that it has reviewed and consents to the terms and conditions of this Fifth Amendment and the transactions contemplated hereby. In addition, each Reaffirming Grantor reaffirms the security interests granted by such Reaffirming Grantor under the terms and conditions of the Security Agreement and each other Credit Document (in each case, to the extent a party thereto) to secure the Obligations and agrees that such security interests remain in full force and effect. Each Reaffirming Grantor hereby (i) confirms that each Collateral Document to which it is a party or is otherwise bound and all Collateral encumbered thereby will continue to secure, to the fullest extent possible in accordance with the Collateral Documents, the payment and performance of the Obligations, as the case may be, including, without limitation, the payment and performance of all such applicable Obligations that are joint and several obligations of each Guarantor and Grantor now or hereafter existing, (ii) confirms its respective grant to the Collateral Agent for the benefit of the Secured Parties of the security interest in and continuing Lien on all of such Grantor’s right, title and interest in, to and under all Collateral, in each case, whether now owned or existing or hereafter acquired or arising and wherever located, as collateral security for the prompt and complete payment and performance in full when due, whether at stated maturity, by required prepayment, declaration, acceleration, demand or otherwise, of all applicable Obligations (including all such Obligations as amended, reaffirmed and/or increased pursuant to this Fifth Amendment), subject to the terms contained in the applicable Credit Documents, and (iii) confirms its respective pledges, grants of security interests and other obligations, as applicable, under and subject to the terms of each of the Collateral Documents to which it is a party.</w:t>
      </w:r>
    </w:p>
    <w:p>
      <w:pPr>
        <w:spacing w:after="0" w:line="198"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1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acknowledges and agrees that (i) notwithstanding the conditions to effectiveness set forth in this Fifth Amendment, such Guarantor is not required by the terms of the Credit Agreement or any other Credit Document to consent to this Fifth Amendment and (ii) nothing in the Credit Agreement, this Fifth Amendment or any other Credit Document shall be deemed to require the consent of such Guarantor to any future amendment, consent or waiver of the terms of the Credit Agreement.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MISCELLANEOUS PROVISIONS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952"/>
        <w:spacing w:after="0" w:line="253" w:lineRule="auto"/>
        <w:tabs>
          <w:tab w:leader="none" w:pos="236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This Fifth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78"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5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Submission to Jurisdiction, Etc</w:t>
      </w:r>
      <w:r>
        <w:rPr>
          <w:rFonts w:ascii="Times New Roman" w:cs="Times New Roman" w:eastAsia="Times New Roman" w:hAnsi="Times New Roman"/>
          <w:sz w:val="22"/>
          <w:szCs w:val="22"/>
          <w:color w:val="auto"/>
        </w:rPr>
        <w:t xml:space="preserve">. This Fifth Amendment shall be governed by, and construed in accordance with, the law of the State of New York. Sections 10.15 and 10.16 of the Credit Agreement are incorporated by reference herein as if such Sections appeared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right="20" w:firstLine="1952"/>
        <w:spacing w:after="0" w:line="284" w:lineRule="auto"/>
        <w:tabs>
          <w:tab w:leader="none" w:pos="245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Section 10.11 of the Credit Agreement is incorporated by reference herein as if such Section appeared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jc w:val="both"/>
        <w:ind w:right="20" w:firstLine="1952"/>
        <w:spacing w:after="0" w:line="273" w:lineRule="auto"/>
        <w:tabs>
          <w:tab w:leader="none" w:pos="237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 Headings</w:t>
      </w:r>
      <w:r>
        <w:rPr>
          <w:rFonts w:ascii="Times New Roman" w:cs="Times New Roman" w:eastAsia="Times New Roman" w:hAnsi="Times New Roman"/>
          <w:sz w:val="21"/>
          <w:szCs w:val="21"/>
          <w:color w:val="auto"/>
        </w:rPr>
        <w:t>. This Fifth Amendment may be executed in one or more counterparts, each of which shall be deemed an original, but all of which together shall constitute one and the same instrument. Delivery by telecopier,</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.pdf or other electronic imaging means of an executed counterpart of a signature page to this Fifth Amendment shall be effective</w:t>
      </w:r>
    </w:p>
    <w:p>
      <w:pPr>
        <w:sectPr>
          <w:pgSz w:w="11900" w:h="16838" w:orient="portrait"/>
          <w:cols w:equalWidth="0" w:num="1">
            <w:col w:w="11240"/>
          </w:cols>
          <w:pgMar w:left="320" w:top="126" w:right="339" w:bottom="0" w:gutter="0" w:footer="0" w:header="0"/>
        </w:sectPr>
      </w:pPr>
    </w:p>
    <w:bookmarkStart w:id="73" w:name="page74"/>
    <w:bookmarkEnd w:id="73"/>
    <w:p>
      <w:pPr>
        <w:spacing w:after="0" w:line="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delivery of an original executed counterpart of this Fifth Amendment. The Administrative Agent may also require that signatures delivered by telecopier, .pdf or other electronic imaging means be confirmed by a manually signed original thereof; provided that the failure to request or deliver the same shall not limit the effectiveness of this Fifth Amendment or signature delivered by telecopier, .pdf or other electronic imaging means. Section headings herein are included for convenience of reference only and shall not affect the interpretation of this Fifth Amendment.</w:t>
      </w:r>
    </w:p>
    <w:p>
      <w:pPr>
        <w:spacing w:after="0" w:line="181" w:lineRule="exact"/>
        <w:rPr>
          <w:sz w:val="20"/>
          <w:szCs w:val="20"/>
          <w:color w:val="auto"/>
        </w:rPr>
      </w:pPr>
    </w:p>
    <w:p>
      <w:pPr>
        <w:jc w:val="both"/>
        <w:ind w:firstLine="1952"/>
        <w:spacing w:after="0" w:line="253" w:lineRule="auto"/>
        <w:tabs>
          <w:tab w:leader="none" w:pos="237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Borrowers hereby agree to pay and reimburse the Administrative Agent and the Lead Arranger for their respective reasonable and documented out-of-pocket expenses in connection with the negotiation, preparation, syndication and execution and delivery of this Fifth Amendment, including without limitation, the reasonable fees, charges and disbursements of one counsel for the Administrative Agent and the Lead Arranger, all in accordance with Section 10.02 of the Credit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blank]</w:t>
      </w:r>
    </w:p>
    <w:p>
      <w:pPr>
        <w:spacing w:after="0" w:line="200" w:lineRule="exact"/>
        <w:rPr>
          <w:sz w:val="20"/>
          <w:szCs w:val="20"/>
          <w:color w:val="auto"/>
        </w:rPr>
      </w:pPr>
    </w:p>
    <w:p>
      <w:pPr>
        <w:spacing w:after="0" w:line="3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IN WITNESS WHEREOF, the parties hereto have executed a d delivered this Fifth Amendment as of the date first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 written.</w:t>
      </w:r>
    </w:p>
    <w:p>
      <w:pPr>
        <w:spacing w:after="0" w:line="34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PIPELINE CYNERGY HOLDINGS, LLC</w:t>
      </w:r>
      <w:r>
        <w:rPr>
          <w:rFonts w:ascii="Times New Roman" w:cs="Times New Roman" w:eastAsia="Times New Roman" w:hAnsi="Times New Roman"/>
          <w:sz w:val="22"/>
          <w:szCs w:val="22"/>
          <w:color w:val="auto"/>
        </w:rPr>
        <w:t>, as a Borrower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510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5100" w:right="140"/>
        <w:spacing w:after="0" w:line="262" w:lineRule="auto"/>
        <w:rPr>
          <w:sz w:val="20"/>
          <w:szCs w:val="20"/>
          <w:color w:val="auto"/>
        </w:rPr>
      </w:pPr>
      <w:r>
        <w:rPr>
          <w:rFonts w:ascii="Times New Roman" w:cs="Times New Roman" w:eastAsia="Times New Roman" w:hAnsi="Times New Roman"/>
          <w:sz w:val="22"/>
          <w:szCs w:val="22"/>
          <w:b w:val="1"/>
          <w:bCs w:val="1"/>
          <w:color w:val="auto"/>
        </w:rPr>
        <w:t>PRIORITY INSTITUTIONAL PARTNER SERVICES LLC</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w:t>
      </w:r>
    </w:p>
    <w:p>
      <w:pPr>
        <w:spacing w:after="0" w:line="200" w:lineRule="exact"/>
        <w:rPr>
          <w:sz w:val="20"/>
          <w:szCs w:val="20"/>
          <w:color w:val="auto"/>
        </w:rPr>
      </w:pPr>
    </w:p>
    <w:p>
      <w:pPr>
        <w:spacing w:after="0" w:line="386" w:lineRule="exact"/>
        <w:rPr>
          <w:sz w:val="20"/>
          <w:szCs w:val="20"/>
          <w:color w:val="auto"/>
        </w:rPr>
      </w:pPr>
    </w:p>
    <w:tbl>
      <w:tblPr>
        <w:tblLayout w:type="fixed"/>
        <w:tblInd w:w="510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PRIORITY PAYMENT SYSTEM HOLDINGS</w:t>
      </w:r>
      <w:r>
        <w:rPr>
          <w:rFonts w:ascii="Times New Roman" w:cs="Times New Roman" w:eastAsia="Times New Roman" w:hAnsi="Times New Roman"/>
          <w:sz w:val="22"/>
          <w:szCs w:val="22"/>
          <w:color w:val="auto"/>
        </w:rPr>
        <w:t>, as a Borrower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510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PRIORITY HOLDINGS, LLC</w:t>
      </w:r>
      <w:r>
        <w:rPr>
          <w:rFonts w:ascii="Times New Roman" w:cs="Times New Roman" w:eastAsia="Times New Roman" w:hAnsi="Times New Roman"/>
          <w:sz w:val="22"/>
          <w:szCs w:val="22"/>
          <w:color w:val="auto"/>
        </w:rPr>
        <w:t>, as Holdings and a Guarantor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510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PRIORITY PAYMENT SYSTEMS LLC</w:t>
      </w:r>
      <w:r>
        <w:rPr>
          <w:rFonts w:ascii="Times New Roman" w:cs="Times New Roman" w:eastAsia="Times New Roman" w:hAnsi="Times New Roman"/>
          <w:sz w:val="22"/>
          <w:szCs w:val="22"/>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510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FINCOR SYSTEMS, LLC</w:t>
      </w:r>
      <w:r>
        <w:rPr>
          <w:rFonts w:ascii="Times New Roman" w:cs="Times New Roman" w:eastAsia="Times New Roman" w:hAnsi="Times New Roman"/>
          <w:sz w:val="22"/>
          <w:szCs w:val="22"/>
          <w:color w:val="auto"/>
        </w:rPr>
        <w:t>, as a Guarantor</w:t>
      </w:r>
    </w:p>
    <w:p>
      <w:pPr>
        <w:sectPr>
          <w:pgSz w:w="11900" w:h="16889" w:orient="portrait"/>
          <w:cols w:equalWidth="0" w:num="1">
            <w:col w:w="11240"/>
          </w:cols>
          <w:pgMar w:left="320" w:top="12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00"/>
        <w:spacing w:after="0"/>
        <w:tabs>
          <w:tab w:leader="none" w:pos="5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Thomas C. Priore</w:t>
      </w:r>
    </w:p>
    <w:p>
      <w:pPr>
        <w:sectPr>
          <w:pgSz w:w="11900" w:h="16889" w:orient="portrait"/>
          <w:cols w:equalWidth="0" w:num="1">
            <w:col w:w="11240"/>
          </w:cols>
          <w:pgMar w:left="320" w:top="126" w:right="339" w:bottom="0" w:gutter="0" w:footer="0" w:header="0"/>
          <w:type w:val="continuous"/>
        </w:sectPr>
      </w:pPr>
    </w:p>
    <w:bookmarkStart w:id="74" w:name="page75"/>
    <w:bookmarkEnd w:id="74"/>
    <w:tbl>
      <w:tblPr>
        <w:tblLayout w:type="fixed"/>
        <w:tblInd w:w="3980" w:type="dxa"/>
        <w:tblCellMar>
          <w:top w:w="0" w:type="dxa"/>
          <w:left w:w="0" w:type="dxa"/>
          <w:bottom w:w="0" w:type="dxa"/>
          <w:right w:w="0" w:type="dxa"/>
        </w:tblCellMar>
      </w:tblPr>
      <w:tr>
        <w:trPr>
          <w:trHeight w:val="30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PIPELINE CYNERGY INC.</w:t>
      </w:r>
      <w:r>
        <w:rPr>
          <w:rFonts w:ascii="Times New Roman" w:cs="Times New Roman" w:eastAsia="Times New Roman" w:hAnsi="Times New Roman"/>
          <w:sz w:val="22"/>
          <w:szCs w:val="22"/>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98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CYNERGY HOLDINGS, LLC</w:t>
      </w:r>
      <w:r>
        <w:rPr>
          <w:rFonts w:ascii="Times New Roman" w:cs="Times New Roman" w:eastAsia="Times New Roman" w:hAnsi="Times New Roman"/>
          <w:sz w:val="22"/>
          <w:szCs w:val="22"/>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98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CYNERGY DATA, LLC</w:t>
      </w:r>
      <w:r>
        <w:rPr>
          <w:rFonts w:ascii="Times New Roman" w:cs="Times New Roman" w:eastAsia="Times New Roman" w:hAnsi="Times New Roman"/>
          <w:sz w:val="22"/>
          <w:szCs w:val="22"/>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98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3980" w:right="920"/>
        <w:spacing w:after="0" w:line="262" w:lineRule="auto"/>
        <w:rPr>
          <w:sz w:val="20"/>
          <w:szCs w:val="20"/>
          <w:color w:val="auto"/>
        </w:rPr>
      </w:pPr>
      <w:r>
        <w:rPr>
          <w:rFonts w:ascii="Times New Roman" w:cs="Times New Roman" w:eastAsia="Times New Roman" w:hAnsi="Times New Roman"/>
          <w:sz w:val="22"/>
          <w:szCs w:val="22"/>
          <w:b w:val="1"/>
          <w:bCs w:val="1"/>
          <w:color w:val="auto"/>
        </w:rPr>
        <w:t>PRIORITY PAYMENT EXPRESS SYSTEMS LLC</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Guarantor</w:t>
      </w:r>
    </w:p>
    <w:p>
      <w:pPr>
        <w:spacing w:after="0" w:line="200" w:lineRule="exact"/>
        <w:rPr>
          <w:sz w:val="20"/>
          <w:szCs w:val="20"/>
          <w:color w:val="auto"/>
        </w:rPr>
      </w:pPr>
    </w:p>
    <w:p>
      <w:pPr>
        <w:spacing w:after="0" w:line="386" w:lineRule="exact"/>
        <w:rPr>
          <w:sz w:val="20"/>
          <w:szCs w:val="20"/>
          <w:color w:val="auto"/>
        </w:rPr>
      </w:pPr>
    </w:p>
    <w:tbl>
      <w:tblPr>
        <w:tblLayout w:type="fixed"/>
        <w:tblInd w:w="398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ROSCO ALPHA DELTA, LLC</w:t>
      </w:r>
      <w:r>
        <w:rPr>
          <w:rFonts w:ascii="Times New Roman" w:cs="Times New Roman" w:eastAsia="Times New Roman" w:hAnsi="Times New Roman"/>
          <w:sz w:val="22"/>
          <w:szCs w:val="22"/>
          <w:color w:val="auto"/>
        </w:rPr>
        <w:t>, as a Guarantor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98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3980" w:right="940"/>
        <w:spacing w:after="0" w:line="262" w:lineRule="auto"/>
        <w:rPr>
          <w:sz w:val="20"/>
          <w:szCs w:val="20"/>
          <w:color w:val="auto"/>
        </w:rPr>
      </w:pPr>
      <w:r>
        <w:rPr>
          <w:rFonts w:ascii="Times New Roman" w:cs="Times New Roman" w:eastAsia="Times New Roman" w:hAnsi="Times New Roman"/>
          <w:sz w:val="22"/>
          <w:szCs w:val="22"/>
          <w:b w:val="1"/>
          <w:bCs w:val="1"/>
          <w:color w:val="auto"/>
        </w:rPr>
        <w:t>PRIORITY REAL ESTATE TECHNOLOGY, LLC</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Guarantor</w:t>
      </w:r>
    </w:p>
    <w:p>
      <w:pPr>
        <w:spacing w:after="0" w:line="200" w:lineRule="exact"/>
        <w:rPr>
          <w:sz w:val="20"/>
          <w:szCs w:val="20"/>
          <w:color w:val="auto"/>
        </w:rPr>
      </w:pPr>
    </w:p>
    <w:p>
      <w:pPr>
        <w:spacing w:after="0" w:line="386" w:lineRule="exact"/>
        <w:rPr>
          <w:sz w:val="20"/>
          <w:szCs w:val="20"/>
          <w:color w:val="auto"/>
        </w:rPr>
      </w:pPr>
    </w:p>
    <w:tbl>
      <w:tblPr>
        <w:tblLayout w:type="fixed"/>
        <w:tblInd w:w="398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308" w:lineRule="exact"/>
        <w:rPr>
          <w:sz w:val="20"/>
          <w:szCs w:val="20"/>
          <w:color w:val="auto"/>
        </w:rPr>
      </w:pPr>
    </w:p>
    <w:p>
      <w:pPr>
        <w:ind w:left="3980" w:right="280"/>
        <w:spacing w:after="0" w:line="262" w:lineRule="auto"/>
        <w:rPr>
          <w:sz w:val="20"/>
          <w:szCs w:val="20"/>
          <w:color w:val="auto"/>
        </w:rPr>
      </w:pPr>
      <w:r>
        <w:rPr>
          <w:rFonts w:ascii="Times New Roman" w:cs="Times New Roman" w:eastAsia="Times New Roman" w:hAnsi="Times New Roman"/>
          <w:sz w:val="22"/>
          <w:szCs w:val="22"/>
          <w:b w:val="1"/>
          <w:bCs w:val="1"/>
          <w:color w:val="auto"/>
        </w:rPr>
        <w:t>PRIORITY INTEGRATED PARTNER HOLDINGS, LLC</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Guarantor</w:t>
      </w:r>
    </w:p>
    <w:p>
      <w:pPr>
        <w:spacing w:after="0" w:line="200" w:lineRule="exact"/>
        <w:rPr>
          <w:sz w:val="20"/>
          <w:szCs w:val="20"/>
          <w:color w:val="auto"/>
        </w:rPr>
      </w:pPr>
    </w:p>
    <w:p>
      <w:pPr>
        <w:spacing w:after="0" w:line="386" w:lineRule="exact"/>
        <w:rPr>
          <w:sz w:val="20"/>
          <w:szCs w:val="20"/>
          <w:color w:val="auto"/>
        </w:rPr>
      </w:pPr>
    </w:p>
    <w:tbl>
      <w:tblPr>
        <w:tblLayout w:type="fixed"/>
        <w:tblInd w:w="398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ectPr>
          <w:pgSz w:w="11900" w:h="16838" w:orient="portrait"/>
          <w:cols w:equalWidth="0" w:num="1">
            <w:col w:w="10120"/>
          </w:cols>
          <w:pgMar w:left="1440" w:top="147" w:right="339" w:bottom="138" w:gutter="0" w:footer="0" w:header="0"/>
        </w:sectPr>
      </w:pPr>
    </w:p>
    <w:bookmarkStart w:id="75" w:name="page76"/>
    <w:bookmarkEnd w:id="75"/>
    <w:p>
      <w:pPr>
        <w:ind w:left="5060"/>
        <w:spacing w:after="0"/>
        <w:rPr>
          <w:sz w:val="20"/>
          <w:szCs w:val="20"/>
          <w:color w:val="auto"/>
        </w:rPr>
      </w:pPr>
      <w:r>
        <w:rPr>
          <w:rFonts w:ascii="Times New Roman" w:cs="Times New Roman" w:eastAsia="Times New Roman" w:hAnsi="Times New Roman"/>
          <w:sz w:val="22"/>
          <w:szCs w:val="22"/>
          <w:b w:val="1"/>
          <w:bCs w:val="1"/>
          <w:color w:val="auto"/>
        </w:rPr>
        <w:t>PRIORITY PAYRIGHT HEALTH SOLUTIONS, LLC</w:t>
      </w:r>
      <w:r>
        <w:rPr>
          <w:rFonts w:ascii="Times New Roman" w:cs="Times New Roman" w:eastAsia="Times New Roman" w:hAnsi="Times New Roman"/>
          <w:sz w:val="22"/>
          <w:szCs w:val="22"/>
          <w:color w:val="auto"/>
        </w:rPr>
        <w:t>, as a</w:t>
      </w:r>
    </w:p>
    <w:p>
      <w:pPr>
        <w:spacing w:after="0" w:line="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506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Thomas C. Priore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Thomas C. Priore</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3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Chairman &amp; CEO</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SUNTRUST BANK</w:t>
      </w:r>
      <w:r>
        <w:rPr>
          <w:rFonts w:ascii="Times New Roman" w:cs="Times New Roman" w:eastAsia="Times New Roman" w:hAnsi="Times New Roman"/>
          <w:sz w:val="22"/>
          <w:szCs w:val="22"/>
          <w:color w:val="auto"/>
        </w:rPr>
        <w:t>, as the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5160" w:type="dxa"/>
        <w:tblCellMar>
          <w:top w:w="0" w:type="dxa"/>
          <w:left w:w="0" w:type="dxa"/>
          <w:bottom w:w="0" w:type="dxa"/>
          <w:right w:w="0" w:type="dxa"/>
        </w:tblCellMar>
      </w:tblPr>
      <w:tr>
        <w:trPr>
          <w:trHeight w:val="29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Locksley Randle</w:t>
            </w:r>
          </w:p>
        </w:tc>
      </w:tr>
      <w:tr>
        <w:trPr>
          <w:trHeight w:val="282"/>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5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Locksley Randle</w:t>
            </w: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SIGNATURE  PAGE  TO  THE  FIFTH  AMENDMENT  TO  THE</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CREDIT AND GUARANTY AGREEMENT, DATED AS OF THE</w:t>
      </w:r>
    </w:p>
    <w:p>
      <w:pPr>
        <w:ind w:left="4940"/>
        <w:spacing w:after="0" w:line="230" w:lineRule="auto"/>
        <w:tabs>
          <w:tab w:leader="none" w:pos="5680" w:val="left"/>
          <w:tab w:leader="none" w:pos="6480" w:val="left"/>
          <w:tab w:leader="none" w:pos="7640" w:val="left"/>
          <w:tab w:leader="none" w:pos="8640" w:val="left"/>
          <w:tab w:leader="none" w:pos="9700" w:val="left"/>
          <w:tab w:leader="none" w:pos="10500" w:val="left"/>
        </w:tabs>
        <w:rPr>
          <w:sz w:val="20"/>
          <w:szCs w:val="20"/>
          <w:color w:val="auto"/>
        </w:rPr>
      </w:pPr>
      <w:r>
        <w:rPr>
          <w:rFonts w:ascii="Times New Roman" w:cs="Times New Roman" w:eastAsia="Times New Roman" w:hAnsi="Times New Roman"/>
          <w:sz w:val="22"/>
          <w:szCs w:val="22"/>
          <w:color w:val="auto"/>
        </w:rPr>
        <w:t>DATE</w:t>
        <w:tab/>
        <w:t>FIFTH</w:t>
        <w:tab/>
        <w:t>WRITTEN</w:t>
        <w:tab/>
        <w:t>ABOVE,</w:t>
        <w:tab/>
        <w:t>AMONG,</w:t>
      </w:r>
      <w:r>
        <w:rPr>
          <w:sz w:val="20"/>
          <w:szCs w:val="20"/>
          <w:color w:val="auto"/>
        </w:rPr>
        <w:tab/>
      </w:r>
      <w:r>
        <w:rPr>
          <w:rFonts w:ascii="Times New Roman" w:cs="Times New Roman" w:eastAsia="Times New Roman" w:hAnsi="Times New Roman"/>
          <w:sz w:val="22"/>
          <w:szCs w:val="22"/>
          <w:i w:val="1"/>
          <w:iCs w:val="1"/>
          <w:color w:val="auto"/>
        </w:rPr>
        <w:t>INTER</w:t>
        <w:tab/>
        <w:t>ALIOS</w:t>
      </w:r>
      <w:r>
        <w:rPr>
          <w:rFonts w:ascii="Times New Roman" w:cs="Times New Roman" w:eastAsia="Times New Roman" w:hAnsi="Times New Roman"/>
          <w:sz w:val="22"/>
          <w:szCs w:val="22"/>
          <w:color w:val="auto"/>
        </w:rPr>
        <w:t>,</w:t>
      </w:r>
    </w:p>
    <w:p>
      <w:pPr>
        <w:ind w:left="4940"/>
        <w:spacing w:after="0" w:line="231" w:lineRule="auto"/>
        <w:rPr>
          <w:sz w:val="20"/>
          <w:szCs w:val="20"/>
          <w:color w:val="auto"/>
        </w:rPr>
      </w:pPr>
      <w:r>
        <w:rPr>
          <w:rFonts w:ascii="Times New Roman" w:cs="Times New Roman" w:eastAsia="Times New Roman" w:hAnsi="Times New Roman"/>
          <w:sz w:val="22"/>
          <w:szCs w:val="22"/>
          <w:color w:val="auto"/>
        </w:rPr>
        <w:t>PIPELINE  CYNERGY  HOLDINGS,  LLC,  AS  A  BORROWER,</w:t>
      </w:r>
    </w:p>
    <w:p>
      <w:pPr>
        <w:ind w:left="4940"/>
        <w:spacing w:after="0" w:line="230" w:lineRule="auto"/>
        <w:rPr>
          <w:sz w:val="20"/>
          <w:szCs w:val="20"/>
          <w:color w:val="auto"/>
        </w:rPr>
      </w:pPr>
      <w:r>
        <w:rPr>
          <w:rFonts w:ascii="Times New Roman" w:cs="Times New Roman" w:eastAsia="Times New Roman" w:hAnsi="Times New Roman"/>
          <w:sz w:val="22"/>
          <w:szCs w:val="22"/>
          <w:color w:val="auto"/>
        </w:rPr>
        <w:t>PRIORITY INSTITUTIONAL PARTNER SERVICES, LLC, AS A</w:t>
      </w:r>
    </w:p>
    <w:p>
      <w:pPr>
        <w:jc w:val="right"/>
        <w:ind w:right="20"/>
        <w:spacing w:after="0" w:line="231" w:lineRule="auto"/>
        <w:rPr>
          <w:sz w:val="20"/>
          <w:szCs w:val="20"/>
          <w:color w:val="auto"/>
        </w:rPr>
      </w:pPr>
      <w:r>
        <w:rPr>
          <w:rFonts w:ascii="Times New Roman" w:cs="Times New Roman" w:eastAsia="Times New Roman" w:hAnsi="Times New Roman"/>
          <w:sz w:val="22"/>
          <w:szCs w:val="22"/>
          <w:color w:val="auto"/>
        </w:rPr>
        <w:t>BORROWER, PRIORITY PAYMENT SYSTEM HOLDINGS LLC,</w:t>
      </w:r>
    </w:p>
    <w:p>
      <w:pPr>
        <w:ind w:left="4940"/>
        <w:spacing w:after="0" w:line="230" w:lineRule="auto"/>
        <w:rPr>
          <w:sz w:val="20"/>
          <w:szCs w:val="20"/>
          <w:color w:val="auto"/>
        </w:rPr>
      </w:pPr>
      <w:r>
        <w:rPr>
          <w:rFonts w:ascii="Times New Roman" w:cs="Times New Roman" w:eastAsia="Times New Roman" w:hAnsi="Times New Roman"/>
          <w:sz w:val="22"/>
          <w:szCs w:val="22"/>
          <w:color w:val="auto"/>
        </w:rPr>
        <w:t>AS A BORROWER, PRIORITY HOLDINGS LLC, AS HOLDINGS</w:t>
      </w:r>
    </w:p>
    <w:p>
      <w:pPr>
        <w:ind w:left="4940"/>
        <w:spacing w:after="0" w:line="231" w:lineRule="auto"/>
        <w:rPr>
          <w:sz w:val="20"/>
          <w:szCs w:val="20"/>
          <w:color w:val="auto"/>
        </w:rPr>
      </w:pPr>
      <w:r>
        <w:rPr>
          <w:rFonts w:ascii="Times New Roman" w:cs="Times New Roman" w:eastAsia="Times New Roman" w:hAnsi="Times New Roman"/>
          <w:sz w:val="22"/>
          <w:szCs w:val="22"/>
          <w:color w:val="auto"/>
        </w:rPr>
        <w:t>AND  A  GUARANTOR,  EACH  OTHER  GUARANTOR  PARTY</w:t>
      </w:r>
    </w:p>
    <w:p>
      <w:pPr>
        <w:ind w:left="4940"/>
        <w:spacing w:after="0" w:line="230" w:lineRule="auto"/>
        <w:rPr>
          <w:sz w:val="20"/>
          <w:szCs w:val="20"/>
          <w:color w:val="auto"/>
        </w:rPr>
      </w:pPr>
      <w:r>
        <w:rPr>
          <w:rFonts w:ascii="Times New Roman" w:cs="Times New Roman" w:eastAsia="Times New Roman" w:hAnsi="Times New Roman"/>
          <w:sz w:val="22"/>
          <w:szCs w:val="22"/>
          <w:color w:val="auto"/>
        </w:rPr>
        <w:t>THERETO, EACH LENDER PARTY THERETO AND SUNTRUST</w:t>
      </w:r>
    </w:p>
    <w:p>
      <w:pPr>
        <w:ind w:left="4940"/>
        <w:spacing w:after="0"/>
        <w:tabs>
          <w:tab w:leader="none" w:pos="5760" w:val="left"/>
          <w:tab w:leader="none" w:pos="6220" w:val="left"/>
          <w:tab w:leader="none" w:pos="8220" w:val="left"/>
          <w:tab w:leader="none" w:pos="9120" w:val="left"/>
          <w:tab w:leader="none" w:pos="9760" w:val="left"/>
        </w:tabs>
        <w:rPr>
          <w:sz w:val="20"/>
          <w:szCs w:val="20"/>
          <w:color w:val="auto"/>
        </w:rPr>
      </w:pPr>
      <w:r>
        <w:rPr>
          <w:rFonts w:ascii="Times New Roman" w:cs="Times New Roman" w:eastAsia="Times New Roman" w:hAnsi="Times New Roman"/>
          <w:sz w:val="22"/>
          <w:szCs w:val="22"/>
          <w:color w:val="auto"/>
        </w:rPr>
        <w:t>BANK,</w:t>
        <w:tab/>
        <w:t>AS</w:t>
        <w:tab/>
        <w:t>ADMINISTRATIVE</w:t>
        <w:tab/>
        <w:t>AGENT</w:t>
        <w:tab/>
        <w:t>AND</w:t>
      </w:r>
      <w:r>
        <w:rPr>
          <w:sz w:val="20"/>
          <w:szCs w:val="20"/>
          <w:color w:val="auto"/>
        </w:rPr>
        <w:tab/>
      </w:r>
      <w:r>
        <w:rPr>
          <w:rFonts w:ascii="Times New Roman" w:cs="Times New Roman" w:eastAsia="Times New Roman" w:hAnsi="Times New Roman"/>
          <w:sz w:val="21"/>
          <w:szCs w:val="21"/>
          <w:color w:val="auto"/>
        </w:rPr>
        <w:t>COLLATERAL</w:t>
      </w:r>
    </w:p>
    <w:p>
      <w:pPr>
        <w:ind w:left="4940"/>
        <w:spacing w:after="0"/>
        <w:rPr>
          <w:sz w:val="20"/>
          <w:szCs w:val="20"/>
          <w:color w:val="auto"/>
        </w:rPr>
      </w:pPr>
      <w:r>
        <w:rPr>
          <w:rFonts w:ascii="Times New Roman" w:cs="Times New Roman" w:eastAsia="Times New Roman" w:hAnsi="Times New Roman"/>
          <w:sz w:val="22"/>
          <w:szCs w:val="22"/>
          <w:color w:val="auto"/>
        </w:rPr>
        <w:t>AGENT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A3A3A"/>
        </w:rPr>
        <w:t>IVY HILL MIDDLE MARKET CREDIT FUND IV, LTD</w:t>
      </w:r>
      <w:r>
        <w:rPr>
          <w:rFonts w:ascii="Times New Roman" w:cs="Times New Roman" w:eastAsia="Times New Roman" w:hAnsi="Times New Roman"/>
          <w:sz w:val="22"/>
          <w:szCs w:val="22"/>
          <w:color w:val="525252"/>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Ivy Hill Asset Management, L.P., as Portfolio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Braddish</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Kevin Braddish</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A3A3A"/>
        </w:rPr>
        <w:t>IVY HILL MIDDLE MARKET CREDIT FUND V, LTD</w:t>
      </w:r>
      <w:r>
        <w:rPr>
          <w:rFonts w:ascii="Times New Roman" w:cs="Times New Roman" w:eastAsia="Times New Roman" w:hAnsi="Times New Roman"/>
          <w:sz w:val="22"/>
          <w:szCs w:val="22"/>
          <w:color w:val="525252"/>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Ivy Hill Asset Management, L.P., as Asset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Braddish</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Kevin Braddish</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A3A3A"/>
        </w:rPr>
        <w:t>IVY HILL MIDDLE MARKET CREDIT FUND VII, LTD</w:t>
      </w:r>
      <w:r>
        <w:rPr>
          <w:rFonts w:ascii="Times New Roman" w:cs="Times New Roman" w:eastAsia="Times New Roman" w:hAnsi="Times New Roman"/>
          <w:sz w:val="22"/>
          <w:szCs w:val="22"/>
          <w:color w:val="525252"/>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Ivy Hill Asset Management, L.P., as Collateral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Braddish</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Kevin Braddish</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A3A3A"/>
        </w:rPr>
        <w:t>IVY HILL MIDDLE MARKET CREDIT FUND VIII, LTD</w:t>
      </w:r>
      <w:r>
        <w:rPr>
          <w:rFonts w:ascii="Times New Roman" w:cs="Times New Roman" w:eastAsia="Times New Roman" w:hAnsi="Times New Roman"/>
          <w:sz w:val="22"/>
          <w:szCs w:val="22"/>
          <w:color w:val="525252"/>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Ivy Hill Asset Management, L.P., as Asset Manager</w:t>
      </w:r>
    </w:p>
    <w:p>
      <w:pPr>
        <w:sectPr>
          <w:pgSz w:w="11900" w:h="16838" w:orient="portrait"/>
          <w:cols w:equalWidth="0" w:num="1">
            <w:col w:w="11200"/>
          </w:cols>
          <w:pgMar w:left="360" w:top="459" w:right="339" w:bottom="0" w:gutter="0" w:footer="0" w:header="0"/>
        </w:sectPr>
      </w:pPr>
    </w:p>
    <w:bookmarkStart w:id="76" w:name="page77"/>
    <w:bookmarkEnd w:id="76"/>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Braddish</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Kevin Braddish</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Authorized Signatory</w:t>
            </w:r>
          </w:p>
        </w:tc>
      </w:tr>
      <w:tr>
        <w:trPr>
          <w:trHeight w:val="297"/>
        </w:trPr>
        <w:tc>
          <w:tcPr>
            <w:tcW w:w="7840" w:type="dxa"/>
            <w:vAlign w:val="bottom"/>
            <w:gridSpan w:val="2"/>
          </w:tcPr>
          <w:p>
            <w:pPr>
              <w:spacing w:after="0"/>
              <w:rPr>
                <w:sz w:val="20"/>
                <w:szCs w:val="20"/>
                <w:color w:val="auto"/>
              </w:rPr>
            </w:pPr>
            <w:r>
              <w:rPr>
                <w:rFonts w:ascii="Times New Roman" w:cs="Times New Roman" w:eastAsia="Times New Roman" w:hAnsi="Times New Roman"/>
                <w:sz w:val="22"/>
                <w:szCs w:val="22"/>
                <w:color w:val="3A3A3A"/>
              </w:rPr>
              <w:t>IVY HILL MIDDLE MARKET CREDIT FUND IX, LTD</w:t>
            </w:r>
            <w:r>
              <w:rPr>
                <w:rFonts w:ascii="Times New Roman" w:cs="Times New Roman" w:eastAsia="Times New Roman" w:hAnsi="Times New Roman"/>
                <w:sz w:val="22"/>
                <w:szCs w:val="22"/>
                <w:color w:val="525252"/>
              </w:rPr>
              <w:t>.</w:t>
            </w:r>
          </w:p>
        </w:tc>
      </w:tr>
      <w:tr>
        <w:trPr>
          <w:trHeight w:val="297"/>
        </w:trPr>
        <w:tc>
          <w:tcPr>
            <w:tcW w:w="7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Ivy Hill Asset Management, L.P., as Asset Manager</w:t>
            </w:r>
          </w:p>
        </w:tc>
      </w:tr>
      <w:tr>
        <w:trPr>
          <w:trHeight w:val="90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Braddish</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Kevin Braddish</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3A3A3A"/>
        </w:rPr>
        <w:t>IVY HILL MIDDLE MARKET CREDIT FUND X, LTD</w:t>
      </w:r>
      <w:r>
        <w:rPr>
          <w:rFonts w:ascii="Times New Roman" w:cs="Times New Roman" w:eastAsia="Times New Roman" w:hAnsi="Times New Roman"/>
          <w:sz w:val="22"/>
          <w:szCs w:val="22"/>
          <w:color w:val="525252"/>
        </w:rPr>
        <w: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 Ivy Hill Asset Management, L.P., as Asset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Braddish</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Kevin Braddish</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3A3A3A"/>
        </w:rPr>
        <w:t>IVY HILL MIDDLE MARKET CREDIT FUND XII, LTD</w:t>
      </w:r>
      <w:r>
        <w:rPr>
          <w:rFonts w:ascii="Times New Roman" w:cs="Times New Roman" w:eastAsia="Times New Roman" w:hAnsi="Times New Roman"/>
          <w:sz w:val="22"/>
          <w:szCs w:val="22"/>
          <w:color w:val="525252"/>
        </w:rPr>
        <w: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 Ivy Hill Asset Management, L.P., as Asset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Braddish</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Kevin Braddish</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3A3A3A"/>
        </w:rPr>
        <w:t>IVY HILL MIDDLE MARKET CREDIT FUND XIV, LTD</w:t>
      </w:r>
      <w:r>
        <w:rPr>
          <w:rFonts w:ascii="Times New Roman" w:cs="Times New Roman" w:eastAsia="Times New Roman" w:hAnsi="Times New Roman"/>
          <w:sz w:val="22"/>
          <w:szCs w:val="22"/>
          <w:color w:val="525252"/>
        </w:rPr>
        <w: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 Ivy Hill Asset Management, L.P., as Asset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w:t>
            </w:r>
          </w:p>
        </w:tc>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Braddish</w:t>
            </w:r>
          </w:p>
        </w:tc>
      </w:tr>
      <w:tr>
        <w:trPr>
          <w:trHeight w:val="282"/>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Kevin Braddish</w:t>
            </w:r>
          </w:p>
        </w:tc>
      </w:tr>
      <w:tr>
        <w:trPr>
          <w:trHeight w:val="297"/>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Authorized Signatory</w:t>
            </w:r>
          </w:p>
        </w:tc>
      </w:tr>
      <w:tr>
        <w:trPr>
          <w:trHeight w:val="488"/>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CHUBB</w:t>
            </w:r>
          </w:p>
        </w:tc>
        <w:tc>
          <w:tcPr>
            <w:tcW w:w="40" w:type="dxa"/>
            <w:vAlign w:val="bottom"/>
          </w:tcPr>
          <w:p>
            <w:pPr>
              <w:spacing w:after="0"/>
              <w:rPr>
                <w:sz w:val="24"/>
                <w:szCs w:val="24"/>
                <w:color w:val="auto"/>
              </w:rPr>
            </w:pPr>
          </w:p>
        </w:tc>
        <w:tc>
          <w:tcPr>
            <w:tcW w:w="708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FEDERAL INSURANCE COMPANY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 Ivy Hill Asset Management, L.P., as investment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Braddish</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Kevin Braddish</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PDS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PRIVATE DEBT STRATEGIES FUND III, L.P.</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 Ivy Hill Asset Management, L.P., as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Braddish</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70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Kevin Braddish</w:t>
            </w:r>
          </w:p>
        </w:tc>
      </w:tr>
    </w:tbl>
    <w:p>
      <w:pPr>
        <w:sectPr>
          <w:pgSz w:w="11900" w:h="16903" w:orient="portrait"/>
          <w:cols w:equalWidth="0" w:num="1">
            <w:col w:w="10139"/>
          </w:cols>
          <w:pgMar w:left="320" w:top="490" w:right="1440" w:bottom="0" w:gutter="0" w:footer="0" w:header="0"/>
        </w:sectPr>
      </w:pPr>
    </w:p>
    <w:bookmarkStart w:id="77" w:name="page78"/>
    <w:bookmarkEnd w:id="77"/>
    <w:p>
      <w:pPr>
        <w:spacing w:after="0"/>
        <w:tabs>
          <w:tab w:leader="none" w:pos="11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SIGNATURE  PAGE  TO  THE  FIFTH  AMENDMENT  TO  THE</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CREDIT AND GUARANTY AGREEMENT, DATED AS OF THE</w:t>
      </w:r>
    </w:p>
    <w:p>
      <w:pPr>
        <w:ind w:left="4940"/>
        <w:spacing w:after="0" w:line="230" w:lineRule="auto"/>
        <w:tabs>
          <w:tab w:leader="none" w:pos="5680" w:val="left"/>
          <w:tab w:leader="none" w:pos="6480" w:val="left"/>
          <w:tab w:leader="none" w:pos="7640" w:val="left"/>
          <w:tab w:leader="none" w:pos="8640" w:val="left"/>
          <w:tab w:leader="none" w:pos="9700" w:val="left"/>
          <w:tab w:leader="none" w:pos="10500" w:val="left"/>
        </w:tabs>
        <w:rPr>
          <w:sz w:val="20"/>
          <w:szCs w:val="20"/>
          <w:color w:val="auto"/>
        </w:rPr>
      </w:pPr>
      <w:r>
        <w:rPr>
          <w:rFonts w:ascii="Times New Roman" w:cs="Times New Roman" w:eastAsia="Times New Roman" w:hAnsi="Times New Roman"/>
          <w:sz w:val="22"/>
          <w:szCs w:val="22"/>
          <w:color w:val="auto"/>
        </w:rPr>
        <w:t>DATE</w:t>
        <w:tab/>
        <w:t>FIFTH</w:t>
        <w:tab/>
        <w:t>WRITTEN</w:t>
        <w:tab/>
        <w:t>ABOVE,</w:t>
        <w:tab/>
        <w:t>AMONG,</w:t>
      </w:r>
      <w:r>
        <w:rPr>
          <w:sz w:val="20"/>
          <w:szCs w:val="20"/>
          <w:color w:val="auto"/>
        </w:rPr>
        <w:tab/>
      </w:r>
      <w:r>
        <w:rPr>
          <w:rFonts w:ascii="Times New Roman" w:cs="Times New Roman" w:eastAsia="Times New Roman" w:hAnsi="Times New Roman"/>
          <w:sz w:val="22"/>
          <w:szCs w:val="22"/>
          <w:i w:val="1"/>
          <w:iCs w:val="1"/>
          <w:color w:val="auto"/>
        </w:rPr>
        <w:t>INTER</w:t>
        <w:tab/>
        <w:t>ALIOS</w:t>
      </w:r>
      <w:r>
        <w:rPr>
          <w:rFonts w:ascii="Times New Roman" w:cs="Times New Roman" w:eastAsia="Times New Roman" w:hAnsi="Times New Roman"/>
          <w:sz w:val="22"/>
          <w:szCs w:val="22"/>
          <w:color w:val="auto"/>
        </w:rPr>
        <w:t>,</w:t>
      </w:r>
    </w:p>
    <w:p>
      <w:pPr>
        <w:ind w:left="4940"/>
        <w:spacing w:after="0" w:line="231" w:lineRule="auto"/>
        <w:rPr>
          <w:sz w:val="20"/>
          <w:szCs w:val="20"/>
          <w:color w:val="auto"/>
        </w:rPr>
      </w:pPr>
      <w:r>
        <w:rPr>
          <w:rFonts w:ascii="Times New Roman" w:cs="Times New Roman" w:eastAsia="Times New Roman" w:hAnsi="Times New Roman"/>
          <w:sz w:val="22"/>
          <w:szCs w:val="22"/>
          <w:color w:val="auto"/>
        </w:rPr>
        <w:t>PIPELINE  CYNERGY  HOLDINGS,  LLC,  AS  A  BORROWER,</w:t>
      </w:r>
    </w:p>
    <w:p>
      <w:pPr>
        <w:ind w:left="4940"/>
        <w:spacing w:after="0" w:line="230" w:lineRule="auto"/>
        <w:rPr>
          <w:sz w:val="20"/>
          <w:szCs w:val="20"/>
          <w:color w:val="auto"/>
        </w:rPr>
      </w:pPr>
      <w:r>
        <w:rPr>
          <w:rFonts w:ascii="Times New Roman" w:cs="Times New Roman" w:eastAsia="Times New Roman" w:hAnsi="Times New Roman"/>
          <w:sz w:val="22"/>
          <w:szCs w:val="22"/>
          <w:color w:val="auto"/>
        </w:rPr>
        <w:t>PRIORITY INSTITUTIONAL PARTNER SERVICES, LLC, AS A</w:t>
      </w:r>
    </w:p>
    <w:p>
      <w:pPr>
        <w:jc w:val="right"/>
        <w:ind w:right="20"/>
        <w:spacing w:after="0" w:line="231" w:lineRule="auto"/>
        <w:rPr>
          <w:sz w:val="20"/>
          <w:szCs w:val="20"/>
          <w:color w:val="auto"/>
        </w:rPr>
      </w:pPr>
      <w:r>
        <w:rPr>
          <w:rFonts w:ascii="Times New Roman" w:cs="Times New Roman" w:eastAsia="Times New Roman" w:hAnsi="Times New Roman"/>
          <w:sz w:val="22"/>
          <w:szCs w:val="22"/>
          <w:color w:val="auto"/>
        </w:rPr>
        <w:t>BORROWER, PRIORITY PAYMENT SYSTEM HOLDINGS LLC,</w:t>
      </w:r>
    </w:p>
    <w:p>
      <w:pPr>
        <w:ind w:left="4940"/>
        <w:spacing w:after="0" w:line="230" w:lineRule="auto"/>
        <w:rPr>
          <w:sz w:val="20"/>
          <w:szCs w:val="20"/>
          <w:color w:val="auto"/>
        </w:rPr>
      </w:pPr>
      <w:r>
        <w:rPr>
          <w:rFonts w:ascii="Times New Roman" w:cs="Times New Roman" w:eastAsia="Times New Roman" w:hAnsi="Times New Roman"/>
          <w:sz w:val="22"/>
          <w:szCs w:val="22"/>
          <w:color w:val="auto"/>
        </w:rPr>
        <w:t>AS A BORROWER, PRIORITY HOLDINGS LLC, AS HOLDINGS</w:t>
      </w:r>
    </w:p>
    <w:p>
      <w:pPr>
        <w:ind w:left="4940"/>
        <w:spacing w:after="0" w:line="231" w:lineRule="auto"/>
        <w:rPr>
          <w:sz w:val="20"/>
          <w:szCs w:val="20"/>
          <w:color w:val="auto"/>
        </w:rPr>
      </w:pPr>
      <w:r>
        <w:rPr>
          <w:rFonts w:ascii="Times New Roman" w:cs="Times New Roman" w:eastAsia="Times New Roman" w:hAnsi="Times New Roman"/>
          <w:sz w:val="22"/>
          <w:szCs w:val="22"/>
          <w:color w:val="auto"/>
        </w:rPr>
        <w:t>AND  A  GUARANTOR,  EACH  OTHER  GUARANTOR  PARTY</w:t>
      </w:r>
    </w:p>
    <w:p>
      <w:pPr>
        <w:ind w:left="4940"/>
        <w:spacing w:after="0" w:line="230" w:lineRule="auto"/>
        <w:rPr>
          <w:sz w:val="20"/>
          <w:szCs w:val="20"/>
          <w:color w:val="auto"/>
        </w:rPr>
      </w:pPr>
      <w:r>
        <w:rPr>
          <w:rFonts w:ascii="Times New Roman" w:cs="Times New Roman" w:eastAsia="Times New Roman" w:hAnsi="Times New Roman"/>
          <w:sz w:val="22"/>
          <w:szCs w:val="22"/>
          <w:color w:val="auto"/>
        </w:rPr>
        <w:t>THERETO, EACH LENDER PARTY THERETO AND SUNTRUST</w:t>
      </w:r>
    </w:p>
    <w:p>
      <w:pPr>
        <w:ind w:left="4940"/>
        <w:spacing w:after="0"/>
        <w:tabs>
          <w:tab w:leader="none" w:pos="5760" w:val="left"/>
          <w:tab w:leader="none" w:pos="6220" w:val="left"/>
          <w:tab w:leader="none" w:pos="8220" w:val="left"/>
          <w:tab w:leader="none" w:pos="9120" w:val="left"/>
          <w:tab w:leader="none" w:pos="9760" w:val="left"/>
        </w:tabs>
        <w:rPr>
          <w:sz w:val="20"/>
          <w:szCs w:val="20"/>
          <w:color w:val="auto"/>
        </w:rPr>
      </w:pPr>
      <w:r>
        <w:rPr>
          <w:rFonts w:ascii="Times New Roman" w:cs="Times New Roman" w:eastAsia="Times New Roman" w:hAnsi="Times New Roman"/>
          <w:sz w:val="22"/>
          <w:szCs w:val="22"/>
          <w:color w:val="auto"/>
        </w:rPr>
        <w:t>BANK,</w:t>
        <w:tab/>
        <w:t>AS</w:t>
        <w:tab/>
        <w:t>ADMINISTRATIVE</w:t>
        <w:tab/>
        <w:t>AGENT</w:t>
        <w:tab/>
        <w:t>AND</w:t>
      </w:r>
      <w:r>
        <w:rPr>
          <w:sz w:val="20"/>
          <w:szCs w:val="20"/>
          <w:color w:val="auto"/>
        </w:rPr>
        <w:tab/>
      </w:r>
      <w:r>
        <w:rPr>
          <w:rFonts w:ascii="Times New Roman" w:cs="Times New Roman" w:eastAsia="Times New Roman" w:hAnsi="Times New Roman"/>
          <w:sz w:val="21"/>
          <w:szCs w:val="21"/>
          <w:color w:val="auto"/>
        </w:rPr>
        <w:t>COLLATERAL</w:t>
      </w:r>
    </w:p>
    <w:p>
      <w:pPr>
        <w:ind w:left="4940"/>
        <w:spacing w:after="0"/>
        <w:rPr>
          <w:sz w:val="20"/>
          <w:szCs w:val="20"/>
          <w:color w:val="auto"/>
        </w:rPr>
      </w:pPr>
      <w:r>
        <w:rPr>
          <w:rFonts w:ascii="Times New Roman" w:cs="Times New Roman" w:eastAsia="Times New Roman" w:hAnsi="Times New Roman"/>
          <w:sz w:val="22"/>
          <w:szCs w:val="22"/>
          <w:color w:val="auto"/>
        </w:rPr>
        <w:t>AGENT</w:t>
      </w:r>
    </w:p>
    <w:p>
      <w:pPr>
        <w:spacing w:after="0" w:line="31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Citizens Bank, N.A., as a Lender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94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Andrew J. Meara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Andrew J. Meara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SIGNATURE  PAGE  TO  THE  FIFTH  AMENDMENT  TO  THE</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CREDIT AND GUARANTY AGREEMENT, DATED AS OF THE</w:t>
      </w:r>
    </w:p>
    <w:p>
      <w:pPr>
        <w:ind w:left="4940"/>
        <w:spacing w:after="0" w:line="230" w:lineRule="auto"/>
        <w:tabs>
          <w:tab w:leader="none" w:pos="5680" w:val="left"/>
          <w:tab w:leader="none" w:pos="6480" w:val="left"/>
          <w:tab w:leader="none" w:pos="7640" w:val="left"/>
          <w:tab w:leader="none" w:pos="8640" w:val="left"/>
          <w:tab w:leader="none" w:pos="9700" w:val="left"/>
          <w:tab w:leader="none" w:pos="10500" w:val="left"/>
        </w:tabs>
        <w:rPr>
          <w:sz w:val="20"/>
          <w:szCs w:val="20"/>
          <w:color w:val="auto"/>
        </w:rPr>
      </w:pPr>
      <w:r>
        <w:rPr>
          <w:rFonts w:ascii="Times New Roman" w:cs="Times New Roman" w:eastAsia="Times New Roman" w:hAnsi="Times New Roman"/>
          <w:sz w:val="22"/>
          <w:szCs w:val="22"/>
          <w:color w:val="auto"/>
        </w:rPr>
        <w:t>DATE</w:t>
        <w:tab/>
        <w:t>FIFTH</w:t>
        <w:tab/>
        <w:t>WRITTEN</w:t>
        <w:tab/>
        <w:t>ABOVE,</w:t>
        <w:tab/>
        <w:t>AMONG,</w:t>
      </w:r>
      <w:r>
        <w:rPr>
          <w:sz w:val="20"/>
          <w:szCs w:val="20"/>
          <w:color w:val="auto"/>
        </w:rPr>
        <w:tab/>
      </w:r>
      <w:r>
        <w:rPr>
          <w:rFonts w:ascii="Times New Roman" w:cs="Times New Roman" w:eastAsia="Times New Roman" w:hAnsi="Times New Roman"/>
          <w:sz w:val="22"/>
          <w:szCs w:val="22"/>
          <w:i w:val="1"/>
          <w:iCs w:val="1"/>
          <w:color w:val="auto"/>
        </w:rPr>
        <w:t>INTER</w:t>
        <w:tab/>
        <w:t>ALIOS</w:t>
      </w:r>
      <w:r>
        <w:rPr>
          <w:rFonts w:ascii="Times New Roman" w:cs="Times New Roman" w:eastAsia="Times New Roman" w:hAnsi="Times New Roman"/>
          <w:sz w:val="22"/>
          <w:szCs w:val="22"/>
          <w:color w:val="auto"/>
        </w:rPr>
        <w:t>,</w:t>
      </w:r>
    </w:p>
    <w:p>
      <w:pPr>
        <w:ind w:left="4940"/>
        <w:spacing w:after="0" w:line="231" w:lineRule="auto"/>
        <w:rPr>
          <w:sz w:val="20"/>
          <w:szCs w:val="20"/>
          <w:color w:val="auto"/>
        </w:rPr>
      </w:pPr>
      <w:r>
        <w:rPr>
          <w:rFonts w:ascii="Times New Roman" w:cs="Times New Roman" w:eastAsia="Times New Roman" w:hAnsi="Times New Roman"/>
          <w:sz w:val="22"/>
          <w:szCs w:val="22"/>
          <w:color w:val="auto"/>
        </w:rPr>
        <w:t>PIPELINE  CYNERGY  HOLDINGS,  LLC,  AS  A  BORROWER,</w:t>
      </w:r>
    </w:p>
    <w:p>
      <w:pPr>
        <w:ind w:left="4940"/>
        <w:spacing w:after="0" w:line="230" w:lineRule="auto"/>
        <w:rPr>
          <w:sz w:val="20"/>
          <w:szCs w:val="20"/>
          <w:color w:val="auto"/>
        </w:rPr>
      </w:pPr>
      <w:r>
        <w:rPr>
          <w:rFonts w:ascii="Times New Roman" w:cs="Times New Roman" w:eastAsia="Times New Roman" w:hAnsi="Times New Roman"/>
          <w:sz w:val="22"/>
          <w:szCs w:val="22"/>
          <w:color w:val="auto"/>
        </w:rPr>
        <w:t>PRIORITY INSTITUTIONAL PARTNER SERVICES, LLC, AS A</w:t>
      </w:r>
    </w:p>
    <w:p>
      <w:pPr>
        <w:jc w:val="right"/>
        <w:ind w:right="20"/>
        <w:spacing w:after="0" w:line="231" w:lineRule="auto"/>
        <w:rPr>
          <w:sz w:val="20"/>
          <w:szCs w:val="20"/>
          <w:color w:val="auto"/>
        </w:rPr>
      </w:pPr>
      <w:r>
        <w:rPr>
          <w:rFonts w:ascii="Times New Roman" w:cs="Times New Roman" w:eastAsia="Times New Roman" w:hAnsi="Times New Roman"/>
          <w:sz w:val="22"/>
          <w:szCs w:val="22"/>
          <w:color w:val="auto"/>
        </w:rPr>
        <w:t>BORROWER, PRIORITY PAYMENT SYSTEM HOLDINGS LLC,</w:t>
      </w:r>
    </w:p>
    <w:p>
      <w:pPr>
        <w:ind w:left="4940"/>
        <w:spacing w:after="0" w:line="230" w:lineRule="auto"/>
        <w:rPr>
          <w:sz w:val="20"/>
          <w:szCs w:val="20"/>
          <w:color w:val="auto"/>
        </w:rPr>
      </w:pPr>
      <w:r>
        <w:rPr>
          <w:rFonts w:ascii="Times New Roman" w:cs="Times New Roman" w:eastAsia="Times New Roman" w:hAnsi="Times New Roman"/>
          <w:sz w:val="22"/>
          <w:szCs w:val="22"/>
          <w:color w:val="auto"/>
        </w:rPr>
        <w:t>AS A BORROWER, PRIORITY HOLDINGS LLC, AS HOLDINGS</w:t>
      </w:r>
    </w:p>
    <w:p>
      <w:pPr>
        <w:ind w:left="4940"/>
        <w:spacing w:after="0" w:line="231" w:lineRule="auto"/>
        <w:rPr>
          <w:sz w:val="20"/>
          <w:szCs w:val="20"/>
          <w:color w:val="auto"/>
        </w:rPr>
      </w:pPr>
      <w:r>
        <w:rPr>
          <w:rFonts w:ascii="Times New Roman" w:cs="Times New Roman" w:eastAsia="Times New Roman" w:hAnsi="Times New Roman"/>
          <w:sz w:val="22"/>
          <w:szCs w:val="22"/>
          <w:color w:val="auto"/>
        </w:rPr>
        <w:t>AND  A  GUARANTOR,  EACH  OTHER  GUARANTOR  PARTY</w:t>
      </w:r>
    </w:p>
    <w:p>
      <w:pPr>
        <w:ind w:left="4940"/>
        <w:spacing w:after="0" w:line="230" w:lineRule="auto"/>
        <w:rPr>
          <w:sz w:val="20"/>
          <w:szCs w:val="20"/>
          <w:color w:val="auto"/>
        </w:rPr>
      </w:pPr>
      <w:r>
        <w:rPr>
          <w:rFonts w:ascii="Times New Roman" w:cs="Times New Roman" w:eastAsia="Times New Roman" w:hAnsi="Times New Roman"/>
          <w:sz w:val="22"/>
          <w:szCs w:val="22"/>
          <w:color w:val="auto"/>
        </w:rPr>
        <w:t>THERETO, EACH LENDER PARTY THERETO AND SUNTRUST</w:t>
      </w:r>
    </w:p>
    <w:p>
      <w:pPr>
        <w:ind w:left="4940"/>
        <w:spacing w:after="0"/>
        <w:tabs>
          <w:tab w:leader="none" w:pos="5760" w:val="left"/>
          <w:tab w:leader="none" w:pos="6220" w:val="left"/>
          <w:tab w:leader="none" w:pos="8220" w:val="left"/>
          <w:tab w:leader="none" w:pos="9120" w:val="left"/>
          <w:tab w:leader="none" w:pos="9760" w:val="left"/>
        </w:tabs>
        <w:rPr>
          <w:sz w:val="20"/>
          <w:szCs w:val="20"/>
          <w:color w:val="auto"/>
        </w:rPr>
      </w:pPr>
      <w:r>
        <w:rPr>
          <w:rFonts w:ascii="Times New Roman" w:cs="Times New Roman" w:eastAsia="Times New Roman" w:hAnsi="Times New Roman"/>
          <w:sz w:val="22"/>
          <w:szCs w:val="22"/>
          <w:color w:val="auto"/>
        </w:rPr>
        <w:t>BANK,</w:t>
        <w:tab/>
        <w:t>AS</w:t>
        <w:tab/>
        <w:t>ADMINISTRATIVE</w:t>
        <w:tab/>
        <w:t>AGENT</w:t>
        <w:tab/>
        <w:t>AND</w:t>
      </w:r>
      <w:r>
        <w:rPr>
          <w:sz w:val="20"/>
          <w:szCs w:val="20"/>
          <w:color w:val="auto"/>
        </w:rPr>
        <w:tab/>
      </w:r>
      <w:r>
        <w:rPr>
          <w:rFonts w:ascii="Times New Roman" w:cs="Times New Roman" w:eastAsia="Times New Roman" w:hAnsi="Times New Roman"/>
          <w:sz w:val="21"/>
          <w:szCs w:val="21"/>
          <w:color w:val="auto"/>
        </w:rPr>
        <w:t>COLLATERAL</w:t>
      </w:r>
    </w:p>
    <w:p>
      <w:pPr>
        <w:ind w:left="4940"/>
        <w:spacing w:after="0"/>
        <w:rPr>
          <w:sz w:val="20"/>
          <w:szCs w:val="20"/>
          <w:color w:val="auto"/>
        </w:rPr>
      </w:pPr>
      <w:r>
        <w:rPr>
          <w:rFonts w:ascii="Times New Roman" w:cs="Times New Roman" w:eastAsia="Times New Roman" w:hAnsi="Times New Roman"/>
          <w:sz w:val="22"/>
          <w:szCs w:val="22"/>
          <w:color w:val="auto"/>
        </w:rPr>
        <w:t>AGENT</w:t>
      </w:r>
    </w:p>
    <w:p>
      <w:pPr>
        <w:spacing w:after="0" w:line="3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Venture 31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as a Lender</w:t>
      </w:r>
    </w:p>
    <w:p>
      <w:pPr>
        <w:ind w:left="494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MJX Venture Management III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94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SIGNATURE  PAGE  TO  THE  FIFTH  AMENDMENT  TO  THE</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CREDIT AND GUARANTY AGREEMENT, DATED AS OF THE</w:t>
      </w:r>
    </w:p>
    <w:p>
      <w:pPr>
        <w:ind w:left="4940"/>
        <w:spacing w:after="0" w:line="230" w:lineRule="auto"/>
        <w:tabs>
          <w:tab w:leader="none" w:pos="5680" w:val="left"/>
          <w:tab w:leader="none" w:pos="6480" w:val="left"/>
          <w:tab w:leader="none" w:pos="7640" w:val="left"/>
          <w:tab w:leader="none" w:pos="8640" w:val="left"/>
          <w:tab w:leader="none" w:pos="9700" w:val="left"/>
          <w:tab w:leader="none" w:pos="10500" w:val="left"/>
        </w:tabs>
        <w:rPr>
          <w:sz w:val="20"/>
          <w:szCs w:val="20"/>
          <w:color w:val="auto"/>
        </w:rPr>
      </w:pPr>
      <w:r>
        <w:rPr>
          <w:rFonts w:ascii="Times New Roman" w:cs="Times New Roman" w:eastAsia="Times New Roman" w:hAnsi="Times New Roman"/>
          <w:sz w:val="22"/>
          <w:szCs w:val="22"/>
          <w:color w:val="auto"/>
        </w:rPr>
        <w:t>DATE</w:t>
        <w:tab/>
        <w:t>FIFTH</w:t>
        <w:tab/>
        <w:t>WRITTEN</w:t>
        <w:tab/>
        <w:t>ABOVE,</w:t>
        <w:tab/>
        <w:t>AMONG,</w:t>
      </w:r>
      <w:r>
        <w:rPr>
          <w:sz w:val="20"/>
          <w:szCs w:val="20"/>
          <w:color w:val="auto"/>
        </w:rPr>
        <w:tab/>
      </w:r>
      <w:r>
        <w:rPr>
          <w:rFonts w:ascii="Times New Roman" w:cs="Times New Roman" w:eastAsia="Times New Roman" w:hAnsi="Times New Roman"/>
          <w:sz w:val="22"/>
          <w:szCs w:val="22"/>
          <w:i w:val="1"/>
          <w:iCs w:val="1"/>
          <w:color w:val="auto"/>
        </w:rPr>
        <w:t>INTER</w:t>
        <w:tab/>
        <w:t>ALIOS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PIPELINE  CYNERGY  HOLDINGS,  LLC,  AS  A  BORROWER,</w:t>
      </w:r>
    </w:p>
    <w:p>
      <w:pPr>
        <w:sectPr>
          <w:pgSz w:w="11900" w:h="16838" w:orient="portrait"/>
          <w:cols w:equalWidth="0" w:num="1">
            <w:col w:w="11200"/>
          </w:cols>
          <w:pgMar w:left="360" w:top="139" w:right="339" w:bottom="0" w:gutter="0" w:footer="0" w:header="0"/>
        </w:sectPr>
      </w:pPr>
    </w:p>
    <w:bookmarkStart w:id="78" w:name="page79"/>
    <w:bookmarkEnd w:id="78"/>
    <w:p>
      <w:pPr>
        <w:jc w:val="both"/>
        <w:ind w:left="3860" w:right="20"/>
        <w:spacing w:after="0" w:line="235" w:lineRule="auto"/>
        <w:rPr>
          <w:sz w:val="20"/>
          <w:szCs w:val="20"/>
          <w:color w:val="auto"/>
        </w:rPr>
      </w:pPr>
      <w:r>
        <w:rPr>
          <w:rFonts w:ascii="Times New Roman" w:cs="Times New Roman" w:eastAsia="Times New Roman" w:hAnsi="Times New Roman"/>
          <w:sz w:val="22"/>
          <w:szCs w:val="22"/>
          <w:color w:val="auto"/>
        </w:rPr>
        <w:t>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32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Asset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35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Asset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44"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111" w:right="339" w:bottom="0" w:gutter="0" w:footer="0" w:header="0"/>
        </w:sectPr>
      </w:pPr>
    </w:p>
    <w:bookmarkStart w:id="79" w:name="page80"/>
    <w:bookmarkEnd w:id="79"/>
    <w:p>
      <w:pPr>
        <w:spacing w:after="0" w:line="41" w:lineRule="exact"/>
        <w:rPr>
          <w:sz w:val="20"/>
          <w:szCs w:val="20"/>
          <w:color w:val="auto"/>
        </w:rPr>
      </w:pPr>
    </w:p>
    <w:p>
      <w:pPr>
        <w:jc w:val="both"/>
        <w:ind w:left="3860" w:right="20"/>
        <w:spacing w:after="0" w:line="235" w:lineRule="auto"/>
        <w:rPr>
          <w:sz w:val="20"/>
          <w:szCs w:val="20"/>
          <w:color w:val="auto"/>
        </w:rPr>
      </w:pPr>
      <w:r>
        <w:rPr>
          <w:rFonts w:ascii="Times New Roman" w:cs="Times New Roman" w:eastAsia="Times New Roman" w:hAnsi="Times New Roman"/>
          <w:sz w:val="22"/>
          <w:szCs w:val="22"/>
          <w:color w:val="auto"/>
        </w:rPr>
        <w:t>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XVII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Asset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XXVI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Venture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44"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w:t>
      </w:r>
    </w:p>
    <w:p>
      <w:pPr>
        <w:sectPr>
          <w:pgSz w:w="11900" w:h="16879" w:orient="portrait"/>
          <w:cols w:equalWidth="0" w:num="1">
            <w:col w:w="10120"/>
          </w:cols>
          <w:pgMar w:left="1440" w:top="111" w:right="339" w:bottom="0" w:gutter="0" w:footer="0" w:header="0"/>
        </w:sectPr>
      </w:pPr>
    </w:p>
    <w:bookmarkStart w:id="80" w:name="page81"/>
    <w:bookmarkEnd w:id="80"/>
    <w:p>
      <w:pPr>
        <w:jc w:val="both"/>
        <w:ind w:left="3860" w:right="20"/>
        <w:spacing w:after="0" w:line="235" w:lineRule="auto"/>
        <w:rPr>
          <w:sz w:val="20"/>
          <w:szCs w:val="20"/>
          <w:color w:val="auto"/>
        </w:rPr>
      </w:pPr>
      <w:r>
        <w:rPr>
          <w:rFonts w:ascii="Times New Roman" w:cs="Times New Roman" w:eastAsia="Times New Roman" w:hAnsi="Times New Roman"/>
          <w:sz w:val="22"/>
          <w:szCs w:val="22"/>
          <w:color w:val="auto"/>
        </w:rPr>
        <w:t>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XXVII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Venture Management II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XXV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Asset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20"/>
          </w:cols>
          <w:pgMar w:left="144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60" w:right="20"/>
        <w:spacing w:after="0" w:line="258" w:lineRule="auto"/>
        <w:rPr>
          <w:sz w:val="20"/>
          <w:szCs w:val="20"/>
          <w:color w:val="auto"/>
        </w:rPr>
      </w:pPr>
      <w:r>
        <w:rPr>
          <w:rFonts w:ascii="Times New Roman" w:cs="Times New Roman" w:eastAsia="Times New Roman" w:hAnsi="Times New Roman"/>
          <w:sz w:val="22"/>
          <w:szCs w:val="22"/>
          <w:color w:val="auto"/>
        </w:rPr>
        <w:t>SIGNATURE PAGE TO THE FIFTH AMENDMENT TO THE CREDIT AND GUARANTY AGREEMENT, DATED AS OF THE</w:t>
      </w:r>
    </w:p>
    <w:p>
      <w:pPr>
        <w:sectPr>
          <w:pgSz w:w="11900" w:h="16838" w:orient="portrait"/>
          <w:cols w:equalWidth="0" w:num="1">
            <w:col w:w="10120"/>
          </w:cols>
          <w:pgMar w:left="1440" w:top="111" w:right="339" w:bottom="0" w:gutter="0" w:footer="0" w:header="0"/>
          <w:type w:val="continuous"/>
        </w:sectPr>
      </w:pPr>
    </w:p>
    <w:bookmarkStart w:id="81" w:name="page82"/>
    <w:bookmarkEnd w:id="81"/>
    <w:p>
      <w:pPr>
        <w:spacing w:after="0" w:line="56" w:lineRule="exact"/>
        <w:rPr>
          <w:sz w:val="20"/>
          <w:szCs w:val="20"/>
          <w:color w:val="auto"/>
        </w:rPr>
      </w:pPr>
    </w:p>
    <w:p>
      <w:pPr>
        <w:jc w:val="both"/>
        <w:ind w:left="3860" w:right="20"/>
        <w:spacing w:after="0" w:line="234" w:lineRule="auto"/>
        <w:rPr>
          <w:sz w:val="20"/>
          <w:szCs w:val="20"/>
          <w:color w:val="auto"/>
        </w:rPr>
      </w:pPr>
      <w:r>
        <w:rPr>
          <w:rFonts w:ascii="Times New Roman" w:cs="Times New Roman" w:eastAsia="Times New Roman" w:hAnsi="Times New Roman"/>
          <w:sz w:val="22"/>
          <w:szCs w:val="22"/>
          <w:color w:val="auto"/>
        </w:rPr>
        <w:t xml:space="preserve">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XIII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Venture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XIV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Venture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ectPr>
          <w:pgSz w:w="11900" w:h="16894" w:orient="portrait"/>
          <w:cols w:equalWidth="0" w:num="1">
            <w:col w:w="10120"/>
          </w:cols>
          <w:pgMar w:left="1440" w:top="11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60" w:right="20"/>
        <w:spacing w:after="0" w:line="258" w:lineRule="auto"/>
        <w:rPr>
          <w:sz w:val="20"/>
          <w:szCs w:val="20"/>
          <w:color w:val="auto"/>
        </w:rPr>
      </w:pPr>
      <w:r>
        <w:rPr>
          <w:rFonts w:ascii="Times New Roman" w:cs="Times New Roman" w:eastAsia="Times New Roman" w:hAnsi="Times New Roman"/>
          <w:sz w:val="22"/>
          <w:szCs w:val="22"/>
          <w:color w:val="auto"/>
        </w:rPr>
        <w:t>SIGNATURE PAGE TO THE FIFTH AMENDMENT TO THE CREDIT AND GUARANTY AGREEMENT, DATED AS OF THE</w:t>
      </w:r>
    </w:p>
    <w:p>
      <w:pPr>
        <w:sectPr>
          <w:pgSz w:w="11900" w:h="16894" w:orient="portrait"/>
          <w:cols w:equalWidth="0" w:num="1">
            <w:col w:w="10120"/>
          </w:cols>
          <w:pgMar w:left="1440" w:top="110" w:right="339" w:bottom="0" w:gutter="0" w:footer="0" w:header="0"/>
          <w:type w:val="continuous"/>
        </w:sectPr>
      </w:pPr>
    </w:p>
    <w:bookmarkStart w:id="82" w:name="page83"/>
    <w:bookmarkEnd w:id="82"/>
    <w:p>
      <w:pPr>
        <w:jc w:val="both"/>
        <w:ind w:left="3860" w:right="20"/>
        <w:spacing w:after="0" w:line="234" w:lineRule="auto"/>
        <w:rPr>
          <w:sz w:val="20"/>
          <w:szCs w:val="20"/>
          <w:color w:val="auto"/>
        </w:rPr>
      </w:pPr>
      <w:r>
        <w:rPr>
          <w:rFonts w:ascii="Times New Roman" w:cs="Times New Roman" w:eastAsia="Times New Roman" w:hAnsi="Times New Roman"/>
          <w:sz w:val="22"/>
          <w:szCs w:val="22"/>
          <w:color w:val="auto"/>
        </w:rPr>
        <w:t xml:space="preserve">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XIX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Asset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XV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Asset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ectPr>
          <w:pgSz w:w="11900" w:h="16838" w:orient="portrait"/>
          <w:cols w:equalWidth="0" w:num="1">
            <w:col w:w="10120"/>
          </w:cols>
          <w:pgMar w:left="1440" w:top="110" w:right="339" w:bottom="1123" w:gutter="0" w:footer="0" w:header="0"/>
        </w:sectPr>
      </w:pPr>
    </w:p>
    <w:bookmarkStart w:id="83" w:name="page84"/>
    <w:bookmarkEnd w:id="83"/>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XVI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Venture Management II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XVIII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Venture Management II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ectPr>
          <w:pgSz w:w="11900" w:h="16838" w:orient="portrait"/>
          <w:cols w:equalWidth="0" w:num="1">
            <w:col w:w="10120"/>
          </w:cols>
          <w:pgMar w:left="1440" w:top="111" w:right="339" w:bottom="637" w:gutter="0" w:footer="0" w:header="0"/>
        </w:sectPr>
      </w:pPr>
    </w:p>
    <w:bookmarkStart w:id="84" w:name="page85"/>
    <w:bookmarkEnd w:id="84"/>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XX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Venture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XXI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Venture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ectPr>
          <w:pgSz w:w="11900" w:h="16838" w:orient="portrait"/>
          <w:cols w:equalWidth="0" w:num="1">
            <w:col w:w="10120"/>
          </w:cols>
          <w:pgMar w:left="1440" w:top="531" w:right="339" w:bottom="475" w:gutter="0" w:footer="0" w:header="0"/>
        </w:sectPr>
      </w:pPr>
    </w:p>
    <w:bookmarkStart w:id="85" w:name="page86"/>
    <w:bookmarkEnd w:id="85"/>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XXIV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Asset Management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VENTURE XXVIII CLO,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its investment advisor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MJX Venture Management II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John Calaba</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John Calaba</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ectPr>
          <w:pgSz w:w="11900" w:h="16838" w:orient="portrait"/>
          <w:cols w:equalWidth="0" w:num="1">
            <w:col w:w="10120"/>
          </w:cols>
          <w:pgMar w:left="1440" w:top="531" w:right="339" w:bottom="475" w:gutter="0" w:footer="0" w:header="0"/>
        </w:sectPr>
      </w:pPr>
    </w:p>
    <w:bookmarkStart w:id="86" w:name="page87"/>
    <w:bookmarkEnd w:id="86"/>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ALBANY FUNDING,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right"/>
              <w:ind w:right="3652"/>
              <w:spacing w:after="0"/>
              <w:rPr>
                <w:sz w:val="20"/>
                <w:szCs w:val="20"/>
                <w:color w:val="auto"/>
              </w:rPr>
            </w:pPr>
            <w:r>
              <w:rPr>
                <w:rFonts w:ascii="Times New Roman" w:cs="Times New Roman" w:eastAsia="Times New Roman" w:hAnsi="Times New Roman"/>
                <w:sz w:val="22"/>
                <w:szCs w:val="22"/>
                <w:color w:val="auto"/>
                <w:w w:val="99"/>
              </w:rPr>
              <w:t>/s/ Irfan Ahmed</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jc w:val="right"/>
              <w:ind w:right="3652"/>
              <w:spacing w:after="0"/>
              <w:rPr>
                <w:sz w:val="20"/>
                <w:szCs w:val="20"/>
                <w:color w:val="auto"/>
              </w:rPr>
            </w:pPr>
            <w:r>
              <w:rPr>
                <w:rFonts w:ascii="Times New Roman" w:cs="Times New Roman" w:eastAsia="Times New Roman" w:hAnsi="Times New Roman"/>
                <w:sz w:val="22"/>
                <w:szCs w:val="22"/>
                <w:color w:val="auto"/>
                <w:w w:val="90"/>
              </w:rPr>
              <w:t>IRFAN AHMED</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right"/>
              <w:ind w:right="3272"/>
              <w:spacing w:after="0"/>
              <w:rPr>
                <w:sz w:val="20"/>
                <w:szCs w:val="20"/>
                <w:color w:val="auto"/>
              </w:rPr>
            </w:pPr>
            <w:r>
              <w:rPr>
                <w:rFonts w:ascii="Times New Roman" w:cs="Times New Roman" w:eastAsia="Times New Roman" w:hAnsi="Times New Roman"/>
                <w:sz w:val="22"/>
                <w:szCs w:val="22"/>
                <w:color w:val="auto"/>
              </w:rPr>
              <w:t>Authorized Signatory</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AG Diversified Income Master Fund, L.P.</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rPr>
          <w:sz w:val="20"/>
          <w:szCs w:val="20"/>
          <w:color w:val="auto"/>
        </w:rPr>
      </w:pPr>
      <w:r>
        <w:rPr>
          <w:rFonts w:ascii="Times New Roman" w:cs="Times New Roman" w:eastAsia="Times New Roman" w:hAnsi="Times New Roman"/>
          <w:sz w:val="22"/>
          <w:szCs w:val="22"/>
          <w:color w:val="auto"/>
        </w:rPr>
        <w:t>BY: Angelo, Gordon &amp; Co., L.P., as Fund Advisor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ectPr>
          <w:pgSz w:w="11900" w:h="16838" w:orient="portrait"/>
          <w:cols w:equalWidth="0" w:num="1">
            <w:col w:w="10120"/>
          </w:cols>
          <w:pgMar w:left="1440" w:top="531" w:right="339" w:bottom="948" w:gutter="0" w:footer="0" w:header="0"/>
        </w:sectPr>
      </w:pPr>
    </w:p>
    <w:bookmarkStart w:id="87" w:name="page88"/>
    <w:bookmarkEnd w:id="87"/>
    <w:p>
      <w:pPr>
        <w:spacing w:after="0" w:line="8"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AG Diversified Income Master Plus, L.P.</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AG Diversified Income Plus GP, LLC, its General Partner</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Angelo, Gordon &amp; Co., L.P., its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AG Global Debt Strategy Partners, L.P.</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rPr>
          <w:sz w:val="20"/>
          <w:szCs w:val="20"/>
          <w:color w:val="auto"/>
        </w:rPr>
      </w:pPr>
      <w:r>
        <w:rPr>
          <w:rFonts w:ascii="Times New Roman" w:cs="Times New Roman" w:eastAsia="Times New Roman" w:hAnsi="Times New Roman"/>
          <w:sz w:val="22"/>
          <w:szCs w:val="22"/>
          <w:color w:val="auto"/>
        </w:rPr>
        <w:t>BY: Angelo, Gordon &amp; Co., L.P., its Advisor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ectPr>
          <w:pgSz w:w="11900" w:h="16847" w:orient="portrait"/>
          <w:cols w:equalWidth="0" w:num="1">
            <w:col w:w="10120"/>
          </w:cols>
          <w:pgMar w:left="144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SIGNATURE  PAGE  TO  THE  FIFTH  AMENDMENT  TO  THE</w:t>
      </w:r>
    </w:p>
    <w:p>
      <w:pPr>
        <w:sectPr>
          <w:pgSz w:w="11900" w:h="16847" w:orient="portrait"/>
          <w:cols w:equalWidth="0" w:num="1">
            <w:col w:w="10120"/>
          </w:cols>
          <w:pgMar w:left="1440" w:top="111" w:right="339" w:bottom="0" w:gutter="0" w:footer="0" w:header="0"/>
          <w:type w:val="continuous"/>
        </w:sectPr>
      </w:pPr>
    </w:p>
    <w:bookmarkStart w:id="88" w:name="page89"/>
    <w:bookmarkEnd w:id="88"/>
    <w:p>
      <w:pPr>
        <w:spacing w:after="0" w:line="41" w:lineRule="exact"/>
        <w:rPr>
          <w:sz w:val="20"/>
          <w:szCs w:val="20"/>
          <w:color w:val="auto"/>
        </w:rPr>
      </w:pPr>
    </w:p>
    <w:p>
      <w:pPr>
        <w:jc w:val="both"/>
        <w:ind w:left="3860" w:right="20"/>
        <w:spacing w:after="0" w:line="234" w:lineRule="auto"/>
        <w:rPr>
          <w:sz w:val="20"/>
          <w:szCs w:val="20"/>
          <w:color w:val="auto"/>
        </w:rPr>
      </w:pPr>
      <w:r>
        <w:rPr>
          <w:rFonts w:ascii="Times New Roman" w:cs="Times New Roman" w:eastAsia="Times New Roman" w:hAnsi="Times New Roman"/>
          <w:sz w:val="22"/>
          <w:szCs w:val="22"/>
          <w:color w:val="auto"/>
        </w:rPr>
        <w:t xml:space="preserve">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James River Insurance Company</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rPr>
          <w:sz w:val="20"/>
          <w:szCs w:val="20"/>
          <w:color w:val="auto"/>
        </w:rPr>
      </w:pPr>
      <w:r>
        <w:rPr>
          <w:rFonts w:ascii="Times New Roman" w:cs="Times New Roman" w:eastAsia="Times New Roman" w:hAnsi="Times New Roman"/>
          <w:sz w:val="22"/>
          <w:szCs w:val="22"/>
          <w:color w:val="auto"/>
        </w:rPr>
        <w:t>BY: Angelo, Gordon &amp; Co., L.P., as Investment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JRG Reinsurance Company, Ltd.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rPr>
          <w:sz w:val="20"/>
          <w:szCs w:val="20"/>
          <w:color w:val="auto"/>
        </w:rPr>
      </w:pPr>
      <w:r>
        <w:rPr>
          <w:rFonts w:ascii="Times New Roman" w:cs="Times New Roman" w:eastAsia="Times New Roman" w:hAnsi="Times New Roman"/>
          <w:sz w:val="22"/>
          <w:szCs w:val="22"/>
          <w:color w:val="auto"/>
        </w:rPr>
        <w:t>BY: Angelo, Gordon &amp; Co., L.P., as Investment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44"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w:t>
      </w:r>
    </w:p>
    <w:p>
      <w:pPr>
        <w:sectPr>
          <w:pgSz w:w="11900" w:h="16879" w:orient="portrait"/>
          <w:cols w:equalWidth="0" w:num="1">
            <w:col w:w="10120"/>
          </w:cols>
          <w:pgMar w:left="1440" w:top="111" w:right="339" w:bottom="0" w:gutter="0" w:footer="0" w:header="0"/>
        </w:sectPr>
      </w:pPr>
    </w:p>
    <w:bookmarkStart w:id="89" w:name="page90"/>
    <w:bookmarkEnd w:id="89"/>
    <w:p>
      <w:pPr>
        <w:spacing w:after="0" w:line="41" w:lineRule="exact"/>
        <w:rPr>
          <w:sz w:val="20"/>
          <w:szCs w:val="20"/>
          <w:color w:val="auto"/>
        </w:rPr>
      </w:pPr>
    </w:p>
    <w:p>
      <w:pPr>
        <w:jc w:val="both"/>
        <w:ind w:left="3860" w:right="20"/>
        <w:spacing w:after="0" w:line="235" w:lineRule="auto"/>
        <w:rPr>
          <w:sz w:val="20"/>
          <w:szCs w:val="20"/>
          <w:color w:val="auto"/>
        </w:rPr>
      </w:pPr>
      <w:r>
        <w:rPr>
          <w:rFonts w:ascii="Times New Roman" w:cs="Times New Roman" w:eastAsia="Times New Roman" w:hAnsi="Times New Roman"/>
          <w:sz w:val="22"/>
          <w:szCs w:val="22"/>
          <w:color w:val="auto"/>
        </w:rPr>
        <w:t>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0" w:lineRule="exact"/>
        <w:rPr>
          <w:sz w:val="20"/>
          <w:szCs w:val="20"/>
          <w:color w:val="auto"/>
        </w:rPr>
      </w:pPr>
    </w:p>
    <w:p>
      <w:pPr>
        <w:ind w:left="3860" w:right="460"/>
        <w:spacing w:after="0"/>
        <w:rPr>
          <w:sz w:val="20"/>
          <w:szCs w:val="20"/>
          <w:color w:val="auto"/>
        </w:rPr>
      </w:pPr>
      <w:r>
        <w:rPr>
          <w:rFonts w:ascii="Times New Roman" w:cs="Times New Roman" w:eastAsia="Times New Roman" w:hAnsi="Times New Roman"/>
          <w:sz w:val="22"/>
          <w:szCs w:val="22"/>
          <w:b w:val="1"/>
          <w:bCs w:val="1"/>
          <w:color w:val="auto"/>
        </w:rPr>
        <w:t>Kaiser Foundation Health Plan, Inc., as named fiduciary of the Kaiser Permanente Group Trust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Lender</w:t>
      </w:r>
    </w:p>
    <w:p>
      <w:pPr>
        <w:spacing w:after="0" w:line="24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Angelo, Gordon &amp; Co., L.P.,</w:t>
      </w:r>
    </w:p>
    <w:p>
      <w:pPr>
        <w:ind w:left="3860"/>
        <w:spacing w:after="0"/>
        <w:rPr>
          <w:sz w:val="20"/>
          <w:szCs w:val="20"/>
          <w:color w:val="auto"/>
        </w:rPr>
      </w:pPr>
      <w:r>
        <w:rPr>
          <w:rFonts w:ascii="Times New Roman" w:cs="Times New Roman" w:eastAsia="Times New Roman" w:hAnsi="Times New Roman"/>
          <w:sz w:val="22"/>
          <w:szCs w:val="22"/>
          <w:color w:val="auto"/>
        </w:rPr>
        <w:t>As Investment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Kaiser Foundation Hospitals</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rPr>
          <w:sz w:val="20"/>
          <w:szCs w:val="20"/>
          <w:color w:val="auto"/>
        </w:rPr>
      </w:pPr>
      <w:r>
        <w:rPr>
          <w:rFonts w:ascii="Times New Roman" w:cs="Times New Roman" w:eastAsia="Times New Roman" w:hAnsi="Times New Roman"/>
          <w:sz w:val="22"/>
          <w:szCs w:val="22"/>
          <w:color w:val="auto"/>
        </w:rPr>
        <w:t>By: Angelo, Gordon &amp; Co., L.P., as Investment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44"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w:t>
      </w:r>
    </w:p>
    <w:p>
      <w:pPr>
        <w:sectPr>
          <w:pgSz w:w="11900" w:h="16879" w:orient="portrait"/>
          <w:cols w:equalWidth="0" w:num="1">
            <w:col w:w="10120"/>
          </w:cols>
          <w:pgMar w:left="1440" w:top="111" w:right="339" w:bottom="0" w:gutter="0" w:footer="0" w:header="0"/>
        </w:sectPr>
      </w:pPr>
    </w:p>
    <w:bookmarkStart w:id="90" w:name="page91"/>
    <w:bookmarkEnd w:id="90"/>
    <w:p>
      <w:pPr>
        <w:spacing w:after="0" w:line="37" w:lineRule="exact"/>
        <w:rPr>
          <w:sz w:val="20"/>
          <w:szCs w:val="20"/>
          <w:color w:val="auto"/>
        </w:rPr>
      </w:pPr>
    </w:p>
    <w:p>
      <w:pPr>
        <w:jc w:val="both"/>
        <w:ind w:left="3860" w:right="20"/>
        <w:spacing w:after="0" w:line="235" w:lineRule="auto"/>
        <w:rPr>
          <w:sz w:val="20"/>
          <w:szCs w:val="20"/>
          <w:color w:val="auto"/>
        </w:rPr>
      </w:pPr>
      <w:r>
        <w:rPr>
          <w:rFonts w:ascii="Times New Roman" w:cs="Times New Roman" w:eastAsia="Times New Roman" w:hAnsi="Times New Roman"/>
          <w:sz w:val="22"/>
          <w:szCs w:val="22"/>
          <w:color w:val="auto"/>
        </w:rPr>
        <w:t>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NORTHWOODS CAPITAL XI-B,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rPr>
          <w:sz w:val="20"/>
          <w:szCs w:val="20"/>
          <w:color w:val="auto"/>
        </w:rPr>
      </w:pPr>
      <w:r>
        <w:rPr>
          <w:rFonts w:ascii="Times New Roman" w:cs="Times New Roman" w:eastAsia="Times New Roman" w:hAnsi="Times New Roman"/>
          <w:sz w:val="22"/>
          <w:szCs w:val="22"/>
          <w:color w:val="auto"/>
        </w:rPr>
        <w:t>BY: Angelo, Gordon &amp; Co., LP As Collateral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Northwoods Capital XII-B,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rPr>
          <w:sz w:val="20"/>
          <w:szCs w:val="20"/>
          <w:color w:val="auto"/>
        </w:rPr>
      </w:pPr>
      <w:r>
        <w:rPr>
          <w:rFonts w:ascii="Times New Roman" w:cs="Times New Roman" w:eastAsia="Times New Roman" w:hAnsi="Times New Roman"/>
          <w:sz w:val="22"/>
          <w:szCs w:val="22"/>
          <w:color w:val="auto"/>
        </w:rPr>
        <w:t>BY: Angelo, Gordon &amp; Co., LP As Collateral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8"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w:t>
      </w:r>
    </w:p>
    <w:p>
      <w:pPr>
        <w:sectPr>
          <w:pgSz w:w="11900" w:h="16876" w:orient="portrait"/>
          <w:cols w:equalWidth="0" w:num="1">
            <w:col w:w="10120"/>
          </w:cols>
          <w:pgMar w:left="1440" w:top="111" w:right="339" w:bottom="0" w:gutter="0" w:footer="0" w:header="0"/>
        </w:sectPr>
      </w:pPr>
    </w:p>
    <w:bookmarkStart w:id="91" w:name="page92"/>
    <w:bookmarkEnd w:id="91"/>
    <w:p>
      <w:pPr>
        <w:spacing w:after="0" w:line="37" w:lineRule="exact"/>
        <w:rPr>
          <w:sz w:val="20"/>
          <w:szCs w:val="20"/>
          <w:color w:val="auto"/>
        </w:rPr>
      </w:pPr>
    </w:p>
    <w:p>
      <w:pPr>
        <w:jc w:val="both"/>
        <w:ind w:left="3860" w:right="20"/>
        <w:spacing w:after="0" w:line="236" w:lineRule="auto"/>
        <w:rPr>
          <w:sz w:val="20"/>
          <w:szCs w:val="20"/>
          <w:color w:val="auto"/>
        </w:rPr>
      </w:pPr>
      <w:r>
        <w:rPr>
          <w:rFonts w:ascii="Times New Roman" w:cs="Times New Roman" w:eastAsia="Times New Roman" w:hAnsi="Times New Roman"/>
          <w:sz w:val="22"/>
          <w:szCs w:val="22"/>
          <w:color w:val="auto"/>
        </w:rPr>
        <w:t>BORROWER, PRIORITY PAYMENT SYSTEM HOLDINGS LLC, AS A BORROWER, PRIORITY HOLDINGS LLC, AS HOLDINGS AND A GUARANTOR, EACH OTHER GUARANTOR PARTY THERETO, EACH LENDER PARTY THERETO AND SUNTRUST BANK, AS ADMINISTRATIVE AGENT AND COLLATERAL AGENT</w:t>
      </w:r>
    </w:p>
    <w:p>
      <w:pPr>
        <w:spacing w:after="0" w:line="31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Northwoods Capital XIV-B,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Angelo, Gordon &amp; Co., LP</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Collateral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Northwoods Capital XV, Limited</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line="230" w:lineRule="auto"/>
        <w:rPr>
          <w:sz w:val="20"/>
          <w:szCs w:val="20"/>
          <w:color w:val="auto"/>
        </w:rPr>
      </w:pPr>
      <w:r>
        <w:rPr>
          <w:rFonts w:ascii="Times New Roman" w:cs="Times New Roman" w:eastAsia="Times New Roman" w:hAnsi="Times New Roman"/>
          <w:sz w:val="22"/>
          <w:szCs w:val="22"/>
          <w:color w:val="auto"/>
        </w:rPr>
        <w:t>By: Angelo, Gordon &amp; Co., LP</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Collateral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center"/>
              <w:ind w:right="3532"/>
              <w:spacing w:after="0"/>
              <w:rPr>
                <w:sz w:val="20"/>
                <w:szCs w:val="20"/>
                <w:color w:val="auto"/>
              </w:rPr>
            </w:pPr>
            <w:r>
              <w:rPr>
                <w:rFonts w:ascii="Times New Roman" w:cs="Times New Roman" w:eastAsia="Times New Roman" w:hAnsi="Times New Roman"/>
                <w:sz w:val="22"/>
                <w:szCs w:val="22"/>
                <w:color w:val="auto"/>
                <w:w w:val="98"/>
              </w:rPr>
              <w:t>/s/ Chris Brescio</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Chris Brescio</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center"/>
              <w:ind w:right="3232"/>
              <w:spacing w:after="0"/>
              <w:rPr>
                <w:sz w:val="20"/>
                <w:szCs w:val="20"/>
                <w:color w:val="auto"/>
              </w:rPr>
            </w:pPr>
            <w:r>
              <w:rPr>
                <w:rFonts w:ascii="Times New Roman" w:cs="Times New Roman" w:eastAsia="Times New Roman" w:hAnsi="Times New Roman"/>
                <w:sz w:val="22"/>
                <w:szCs w:val="22"/>
                <w:color w:val="auto"/>
                <w:w w:val="97"/>
              </w:rPr>
              <w:t>Director of Trading</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8"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w:t>
      </w:r>
    </w:p>
    <w:p>
      <w:pPr>
        <w:sectPr>
          <w:pgSz w:w="11900" w:h="16876" w:orient="portrait"/>
          <w:cols w:equalWidth="0" w:num="1">
            <w:col w:w="10120"/>
          </w:cols>
          <w:pgMar w:left="1440" w:top="111" w:right="339" w:bottom="0" w:gutter="0" w:footer="0" w:header="0"/>
        </w:sectPr>
      </w:pPr>
    </w:p>
    <w:bookmarkStart w:id="92" w:name="page93"/>
    <w:bookmarkEnd w:id="92"/>
    <w:p>
      <w:pPr>
        <w:jc w:val="both"/>
        <w:ind w:left="3860" w:right="20"/>
        <w:spacing w:after="0" w:line="236" w:lineRule="auto"/>
        <w:rPr>
          <w:sz w:val="20"/>
          <w:szCs w:val="20"/>
          <w:color w:val="auto"/>
        </w:rPr>
      </w:pPr>
      <w:r>
        <w:rPr>
          <w:rFonts w:ascii="Times New Roman" w:cs="Times New Roman" w:eastAsia="Times New Roman" w:hAnsi="Times New Roman"/>
          <w:sz w:val="22"/>
          <w:szCs w:val="22"/>
          <w:color w:val="auto"/>
        </w:rPr>
        <w:t>BORROWER, PRIORITY PAYMENT SYSTEM HOLDINGS LLC, AS A BORROWER, PRIORITY HOLDINGS LLC, AS HOLDINGS AND A GUARANTOR, EACH OTHER GUARANTOR PARTY THERETO, EACH LENDER PARTY THERETO AND SUNTRUST BANK, AS ADMINISTRATIVE AGENT AND COLLATERAL AGENT</w:t>
      </w:r>
    </w:p>
    <w:p>
      <w:pPr>
        <w:spacing w:after="0" w:line="31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ASF1 Loan Funding LLC</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rPr>
          <w:sz w:val="20"/>
          <w:szCs w:val="20"/>
          <w:color w:val="auto"/>
        </w:rPr>
      </w:pPr>
      <w:r>
        <w:rPr>
          <w:rFonts w:ascii="Times New Roman" w:cs="Times New Roman" w:eastAsia="Times New Roman" w:hAnsi="Times New Roman"/>
          <w:sz w:val="22"/>
          <w:szCs w:val="22"/>
          <w:color w:val="auto"/>
        </w:rPr>
        <w:t>By: Citibank, N.A.,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Lauri Pool</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Lauri Pool</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Associate Director</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2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[Apollo Trading LLC], as a Lender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Cassie Goodnight</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Cassie Goodnight</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Bronco Trading,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sectPr>
          <w:pgSz w:w="11900" w:h="16838" w:orient="portrait"/>
          <w:cols w:equalWidth="0" w:num="1">
            <w:col w:w="10120"/>
          </w:cols>
          <w:pgMar w:left="1440" w:top="111" w:right="339" w:bottom="359" w:gutter="0" w:footer="0" w:header="0"/>
        </w:sectPr>
      </w:pPr>
    </w:p>
    <w:bookmarkStart w:id="93" w:name="page94"/>
    <w:bookmarkEnd w:id="93"/>
    <w:tbl>
      <w:tblPr>
        <w:tblLayout w:type="fixed"/>
        <w:tblInd w:w="3860" w:type="dxa"/>
        <w:tblCellMar>
          <w:top w:w="0" w:type="dxa"/>
          <w:left w:w="0" w:type="dxa"/>
          <w:bottom w:w="0" w:type="dxa"/>
          <w:right w:w="0" w:type="dxa"/>
        </w:tblCellMar>
      </w:tblPr>
      <w:tr>
        <w:trPr>
          <w:trHeight w:val="29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Connie Bailey-Blake</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Connie Bailey-Blake</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8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32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ABPCI Direct Lending Fund CLO I Ltd</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AB Private Credit Investors LLC,</w:t>
      </w:r>
    </w:p>
    <w:p>
      <w:pPr>
        <w:ind w:left="3860"/>
        <w:spacing w:after="0"/>
        <w:rPr>
          <w:sz w:val="20"/>
          <w:szCs w:val="20"/>
          <w:color w:val="auto"/>
        </w:rPr>
      </w:pPr>
      <w:r>
        <w:rPr>
          <w:rFonts w:ascii="Times New Roman" w:cs="Times New Roman" w:eastAsia="Times New Roman" w:hAnsi="Times New Roman"/>
          <w:sz w:val="22"/>
          <w:szCs w:val="22"/>
          <w:color w:val="auto"/>
        </w:rPr>
        <w:t>Its Collateral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Alexander</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Kevin Alexander</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3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ABPCI Direct Lending Fund CLO II Ltd</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AB Private Credit Investors LLC,</w:t>
      </w:r>
    </w:p>
    <w:p>
      <w:pPr>
        <w:ind w:left="3860"/>
        <w:spacing w:after="0"/>
        <w:rPr>
          <w:sz w:val="20"/>
          <w:szCs w:val="20"/>
          <w:color w:val="auto"/>
        </w:rPr>
      </w:pPr>
      <w:r>
        <w:rPr>
          <w:rFonts w:ascii="Times New Roman" w:cs="Times New Roman" w:eastAsia="Times New Roman" w:hAnsi="Times New Roman"/>
          <w:sz w:val="22"/>
          <w:szCs w:val="22"/>
          <w:color w:val="auto"/>
        </w:rPr>
        <w:t>Its Collateral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Alexander</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Kevin Alexander</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3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ABPCI Direct Lending Fund CLO IV Ltd</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AB Private Credit Investors LLC,</w:t>
      </w:r>
    </w:p>
    <w:p>
      <w:pPr>
        <w:ind w:left="3860"/>
        <w:spacing w:after="0"/>
        <w:rPr>
          <w:sz w:val="20"/>
          <w:szCs w:val="20"/>
          <w:color w:val="auto"/>
        </w:rPr>
      </w:pPr>
      <w:r>
        <w:rPr>
          <w:rFonts w:ascii="Times New Roman" w:cs="Times New Roman" w:eastAsia="Times New Roman" w:hAnsi="Times New Roman"/>
          <w:sz w:val="22"/>
          <w:szCs w:val="22"/>
          <w:color w:val="auto"/>
        </w:rPr>
        <w:t>Its Collateral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Alexander</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Kevin Alexander</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ABPCI Direct Lending Funding III LLC</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AB Private Credit Investors LLC,</w:t>
      </w:r>
    </w:p>
    <w:p>
      <w:pPr>
        <w:ind w:left="3860"/>
        <w:spacing w:after="0"/>
        <w:rPr>
          <w:sz w:val="20"/>
          <w:szCs w:val="20"/>
          <w:color w:val="auto"/>
        </w:rPr>
      </w:pPr>
      <w:r>
        <w:rPr>
          <w:rFonts w:ascii="Times New Roman" w:cs="Times New Roman" w:eastAsia="Times New Roman" w:hAnsi="Times New Roman"/>
          <w:sz w:val="22"/>
          <w:szCs w:val="22"/>
          <w:color w:val="auto"/>
        </w:rPr>
        <w:t>Its Collateral Manager</w:t>
      </w:r>
    </w:p>
    <w:p>
      <w:pPr>
        <w:sectPr>
          <w:pgSz w:w="11900" w:h="16838" w:orient="portrait"/>
          <w:cols w:equalWidth="0" w:num="1">
            <w:col w:w="10120"/>
          </w:cols>
          <w:pgMar w:left="1440" w:top="111" w:right="339" w:bottom="0" w:gutter="0" w:footer="0" w:header="0"/>
        </w:sectPr>
      </w:pPr>
    </w:p>
    <w:bookmarkStart w:id="94" w:name="page95"/>
    <w:bookmarkEnd w:id="94"/>
    <w:p>
      <w:pPr>
        <w:spacing w:after="0" w:line="2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Alexander</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Kevin Alexander</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3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ABPCI Direct Lending Funding IV LLC</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AB Private Credit Investors LLC,</w:t>
      </w:r>
    </w:p>
    <w:p>
      <w:pPr>
        <w:ind w:left="3860"/>
        <w:spacing w:after="0"/>
        <w:rPr>
          <w:sz w:val="20"/>
          <w:szCs w:val="20"/>
          <w:color w:val="auto"/>
        </w:rPr>
      </w:pPr>
      <w:r>
        <w:rPr>
          <w:rFonts w:ascii="Times New Roman" w:cs="Times New Roman" w:eastAsia="Times New Roman" w:hAnsi="Times New Roman"/>
          <w:sz w:val="22"/>
          <w:szCs w:val="22"/>
          <w:color w:val="auto"/>
        </w:rPr>
        <w:t>Its Collateral Manager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Alexander</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Kevin Alexander</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3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ADDINGTON SQUARE FUNDING I, L.P., as a Lender</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AB Private Credit Investors LLC, its Advisor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Alexander</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Kevin Alexander</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3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ADDINGTON SQUARE FUNDING II, L.P., as a Lender</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AB Private Credit Investors LLC, its Advisor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Alexander</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Kevin Alexander</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3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AXA Equitable Life Insurance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 Kevin Alexander</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Kevin Alexander</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Investment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3860" w:right="20"/>
        <w:spacing w:after="0" w:line="233" w:lineRule="auto"/>
        <w:rPr>
          <w:sz w:val="20"/>
          <w:szCs w:val="20"/>
          <w:color w:val="auto"/>
        </w:rPr>
      </w:pPr>
      <w:r>
        <w:rPr>
          <w:rFonts w:ascii="Times New Roman" w:cs="Times New Roman" w:eastAsia="Times New Roman" w:hAnsi="Times New Roman"/>
          <w:sz w:val="22"/>
          <w:szCs w:val="22"/>
          <w:color w:val="auto"/>
        </w:rPr>
        <w:t xml:space="preserve">SIGNATURE PAGE TO THE FIFTH AMENDMENT TO THE CREDIT AND GUARANTY AGREEMENT, DATED AS OF THE DATE FIFTH WRITTEN ABOVE,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PIPELINE CYNERGY HOLDINGS, LLC, AS A BORROWER, PRIORITY INSTITUTIONAL PARTNER SERVICES, LLC, AS A BORROWER, PRIORITY PAYMENT SYSTEM HOLDINGS LLC, AS A BORROWER, PRIORITY HOLDINGS LLC, AS HOLDINGS AND A GUARANTOR, EACH OTHER GUARANTOR PARTY THERETO, EACH LENDER PARTY THERETO AND SUNTRUST BANK, AS ADMINISTRATIVE AGENT AND COLLATERAL AGENT</w:t>
      </w:r>
    </w:p>
    <w:p>
      <w:pPr>
        <w:spacing w:after="0" w:line="200" w:lineRule="exact"/>
        <w:rPr>
          <w:sz w:val="20"/>
          <w:szCs w:val="20"/>
          <w:color w:val="auto"/>
        </w:rPr>
      </w:pPr>
    </w:p>
    <w:p>
      <w:pPr>
        <w:spacing w:after="0" w:line="213" w:lineRule="exact"/>
        <w:rPr>
          <w:sz w:val="20"/>
          <w:szCs w:val="20"/>
          <w:color w:val="auto"/>
        </w:rPr>
      </w:pPr>
    </w:p>
    <w:p>
      <w:pPr>
        <w:ind w:left="3860" w:right="500"/>
        <w:spacing w:after="0" w:line="262" w:lineRule="auto"/>
        <w:rPr>
          <w:sz w:val="20"/>
          <w:szCs w:val="20"/>
          <w:color w:val="auto"/>
        </w:rPr>
      </w:pPr>
      <w:r>
        <w:rPr>
          <w:rFonts w:ascii="Times New Roman" w:cs="Times New Roman" w:eastAsia="Times New Roman" w:hAnsi="Times New Roman"/>
          <w:sz w:val="22"/>
          <w:szCs w:val="22"/>
          <w:b w:val="1"/>
          <w:bCs w:val="1"/>
          <w:color w:val="auto"/>
        </w:rPr>
        <w:t>BARINGS MIDDLE MARKET CLO LTD. 2017-I</w:t>
      </w:r>
      <w:r>
        <w:rPr>
          <w:rFonts w:ascii="Times New Roman" w:cs="Times New Roman" w:eastAsia="Times New Roman" w:hAnsi="Times New Roman"/>
          <w:sz w:val="22"/>
          <w:szCs w:val="22"/>
          <w:color w:val="auto"/>
        </w:rPr>
        <w:t>, as a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Barings LLC, as Collateral Manager</w:t>
      </w:r>
    </w:p>
    <w:p>
      <w:pPr>
        <w:spacing w:after="0" w:line="200" w:lineRule="exact"/>
        <w:rPr>
          <w:sz w:val="20"/>
          <w:szCs w:val="20"/>
          <w:color w:val="auto"/>
        </w:rPr>
      </w:pPr>
    </w:p>
    <w:p>
      <w:pPr>
        <w:spacing w:after="0" w:line="386"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right"/>
              <w:ind w:right="3492"/>
              <w:spacing w:after="0"/>
              <w:rPr>
                <w:sz w:val="20"/>
                <w:szCs w:val="20"/>
                <w:color w:val="auto"/>
              </w:rPr>
            </w:pPr>
            <w:r>
              <w:rPr>
                <w:rFonts w:ascii="Times New Roman" w:cs="Times New Roman" w:eastAsia="Times New Roman" w:hAnsi="Times New Roman"/>
                <w:sz w:val="22"/>
                <w:szCs w:val="22"/>
                <w:color w:val="auto"/>
                <w:w w:val="98"/>
              </w:rPr>
              <w:t>/s/ Scott Chappell</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jc w:val="right"/>
              <w:ind w:right="3852"/>
              <w:spacing w:after="0"/>
              <w:rPr>
                <w:sz w:val="20"/>
                <w:szCs w:val="20"/>
                <w:color w:val="auto"/>
              </w:rPr>
            </w:pPr>
            <w:r>
              <w:rPr>
                <w:rFonts w:ascii="Times New Roman" w:cs="Times New Roman" w:eastAsia="Times New Roman" w:hAnsi="Times New Roman"/>
                <w:sz w:val="22"/>
                <w:szCs w:val="22"/>
                <w:color w:val="auto"/>
                <w:w w:val="90"/>
              </w:rPr>
              <w:t>Scott Chappell</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right"/>
              <w:ind w:right="3472"/>
              <w:spacing w:after="0"/>
              <w:rPr>
                <w:sz w:val="20"/>
                <w:szCs w:val="20"/>
                <w:color w:val="auto"/>
              </w:rPr>
            </w:pPr>
            <w:r>
              <w:rPr>
                <w:rFonts w:ascii="Times New Roman" w:cs="Times New Roman" w:eastAsia="Times New Roman" w:hAnsi="Times New Roman"/>
                <w:sz w:val="22"/>
                <w:szCs w:val="22"/>
                <w:color w:val="auto"/>
              </w:rPr>
              <w:t>Managing Director</w:t>
            </w:r>
          </w:p>
        </w:tc>
      </w:tr>
    </w:tbl>
    <w:p>
      <w:pPr>
        <w:sectPr>
          <w:pgSz w:w="11900" w:h="16863" w:orient="portrait"/>
          <w:cols w:equalWidth="0" w:num="1">
            <w:col w:w="10120"/>
          </w:cols>
          <w:pgMar w:left="1440" w:top="409" w:right="339" w:bottom="0" w:gutter="0" w:footer="0" w:header="0"/>
        </w:sectPr>
      </w:pPr>
    </w:p>
    <w:bookmarkStart w:id="95" w:name="page96"/>
    <w:bookmarkEnd w:id="95"/>
    <w:p>
      <w:pPr>
        <w:ind w:left="3860" w:right="500"/>
        <w:spacing w:after="0" w:line="262" w:lineRule="auto"/>
        <w:rPr>
          <w:sz w:val="20"/>
          <w:szCs w:val="20"/>
          <w:color w:val="auto"/>
        </w:rPr>
      </w:pPr>
      <w:r>
        <w:rPr>
          <w:rFonts w:ascii="Times New Roman" w:cs="Times New Roman" w:eastAsia="Times New Roman" w:hAnsi="Times New Roman"/>
          <w:sz w:val="22"/>
          <w:szCs w:val="22"/>
          <w:b w:val="1"/>
          <w:bCs w:val="1"/>
          <w:color w:val="auto"/>
        </w:rPr>
        <w:t>BARINGS MIDDLE MARKET CLO LTD. 2018-I</w:t>
      </w:r>
      <w:r>
        <w:rPr>
          <w:rFonts w:ascii="Times New Roman" w:cs="Times New Roman" w:eastAsia="Times New Roman" w:hAnsi="Times New Roman"/>
          <w:sz w:val="22"/>
          <w:szCs w:val="22"/>
          <w:color w:val="auto"/>
        </w:rPr>
        <w:t>, as a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Barings LLC, as Collateral Manager</w:t>
      </w:r>
    </w:p>
    <w:p>
      <w:pPr>
        <w:spacing w:after="0" w:line="200" w:lineRule="exact"/>
        <w:rPr>
          <w:sz w:val="20"/>
          <w:szCs w:val="20"/>
          <w:color w:val="auto"/>
        </w:rPr>
      </w:pPr>
    </w:p>
    <w:p>
      <w:pPr>
        <w:spacing w:after="0" w:line="386"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right"/>
              <w:ind w:right="3492"/>
              <w:spacing w:after="0"/>
              <w:rPr>
                <w:sz w:val="20"/>
                <w:szCs w:val="20"/>
                <w:color w:val="auto"/>
              </w:rPr>
            </w:pPr>
            <w:r>
              <w:rPr>
                <w:rFonts w:ascii="Times New Roman" w:cs="Times New Roman" w:eastAsia="Times New Roman" w:hAnsi="Times New Roman"/>
                <w:sz w:val="22"/>
                <w:szCs w:val="22"/>
                <w:color w:val="auto"/>
                <w:w w:val="98"/>
              </w:rPr>
              <w:t>/s/ Scott Chappell</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jc w:val="right"/>
              <w:ind w:right="3852"/>
              <w:spacing w:after="0"/>
              <w:rPr>
                <w:sz w:val="20"/>
                <w:szCs w:val="20"/>
                <w:color w:val="auto"/>
              </w:rPr>
            </w:pPr>
            <w:r>
              <w:rPr>
                <w:rFonts w:ascii="Times New Roman" w:cs="Times New Roman" w:eastAsia="Times New Roman" w:hAnsi="Times New Roman"/>
                <w:sz w:val="22"/>
                <w:szCs w:val="22"/>
                <w:color w:val="auto"/>
                <w:w w:val="90"/>
              </w:rPr>
              <w:t>Scott Chappell</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right"/>
              <w:ind w:right="3472"/>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30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NAPLF (CAYMAN) SENIOR FUNDING I LLC</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as a Lender</w:t>
      </w:r>
    </w:p>
    <w:p>
      <w:pPr>
        <w:ind w:left="3860"/>
        <w:spacing w:after="0"/>
        <w:rPr>
          <w:sz w:val="20"/>
          <w:szCs w:val="20"/>
          <w:color w:val="auto"/>
        </w:rPr>
      </w:pPr>
      <w:r>
        <w:rPr>
          <w:rFonts w:ascii="Times New Roman" w:cs="Times New Roman" w:eastAsia="Times New Roman" w:hAnsi="Times New Roman"/>
          <w:sz w:val="22"/>
          <w:szCs w:val="22"/>
          <w:color w:val="auto"/>
        </w:rPr>
        <w:t>By: Barings LLC, as Servicer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right"/>
              <w:ind w:right="3492"/>
              <w:spacing w:after="0"/>
              <w:rPr>
                <w:sz w:val="20"/>
                <w:szCs w:val="20"/>
                <w:color w:val="auto"/>
              </w:rPr>
            </w:pPr>
            <w:r>
              <w:rPr>
                <w:rFonts w:ascii="Times New Roman" w:cs="Times New Roman" w:eastAsia="Times New Roman" w:hAnsi="Times New Roman"/>
                <w:sz w:val="22"/>
                <w:szCs w:val="22"/>
                <w:color w:val="auto"/>
                <w:w w:val="98"/>
              </w:rPr>
              <w:t>/s/ Scott Chappell</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jc w:val="right"/>
              <w:ind w:right="3852"/>
              <w:spacing w:after="0"/>
              <w:rPr>
                <w:sz w:val="20"/>
                <w:szCs w:val="20"/>
                <w:color w:val="auto"/>
              </w:rPr>
            </w:pPr>
            <w:r>
              <w:rPr>
                <w:rFonts w:ascii="Times New Roman" w:cs="Times New Roman" w:eastAsia="Times New Roman" w:hAnsi="Times New Roman"/>
                <w:sz w:val="22"/>
                <w:szCs w:val="22"/>
                <w:color w:val="auto"/>
                <w:w w:val="90"/>
              </w:rPr>
              <w:t>Scott Chappell</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right"/>
              <w:ind w:right="3472"/>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60" w:right="460"/>
        <w:spacing w:after="0" w:line="262" w:lineRule="auto"/>
        <w:rPr>
          <w:sz w:val="20"/>
          <w:szCs w:val="20"/>
          <w:color w:val="auto"/>
        </w:rPr>
      </w:pPr>
      <w:r>
        <w:rPr>
          <w:rFonts w:ascii="Times New Roman" w:cs="Times New Roman" w:eastAsia="Times New Roman" w:hAnsi="Times New Roman"/>
          <w:sz w:val="22"/>
          <w:szCs w:val="22"/>
          <w:b w:val="1"/>
          <w:bCs w:val="1"/>
          <w:color w:val="auto"/>
        </w:rPr>
        <w:t>NAPLF (CAYMAN)-A SENIOR FUNDING I LLC</w:t>
      </w:r>
      <w:r>
        <w:rPr>
          <w:rFonts w:ascii="Times New Roman" w:cs="Times New Roman" w:eastAsia="Times New Roman" w:hAnsi="Times New Roman"/>
          <w:sz w:val="22"/>
          <w:szCs w:val="22"/>
          <w:color w:val="auto"/>
        </w:rPr>
        <w:t>, as a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Barings LLC, as Servicer</w:t>
      </w:r>
    </w:p>
    <w:p>
      <w:pPr>
        <w:spacing w:after="0" w:line="200" w:lineRule="exact"/>
        <w:rPr>
          <w:sz w:val="20"/>
          <w:szCs w:val="20"/>
          <w:color w:val="auto"/>
        </w:rPr>
      </w:pPr>
    </w:p>
    <w:p>
      <w:pPr>
        <w:spacing w:after="0" w:line="386"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right"/>
              <w:ind w:right="3492"/>
              <w:spacing w:after="0"/>
              <w:rPr>
                <w:sz w:val="20"/>
                <w:szCs w:val="20"/>
                <w:color w:val="auto"/>
              </w:rPr>
            </w:pPr>
            <w:r>
              <w:rPr>
                <w:rFonts w:ascii="Times New Roman" w:cs="Times New Roman" w:eastAsia="Times New Roman" w:hAnsi="Times New Roman"/>
                <w:sz w:val="22"/>
                <w:szCs w:val="22"/>
                <w:color w:val="auto"/>
                <w:w w:val="98"/>
              </w:rPr>
              <w:t>/s/ Scott Chappell</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jc w:val="right"/>
              <w:ind w:right="3852"/>
              <w:spacing w:after="0"/>
              <w:rPr>
                <w:sz w:val="20"/>
                <w:szCs w:val="20"/>
                <w:color w:val="auto"/>
              </w:rPr>
            </w:pPr>
            <w:r>
              <w:rPr>
                <w:rFonts w:ascii="Times New Roman" w:cs="Times New Roman" w:eastAsia="Times New Roman" w:hAnsi="Times New Roman"/>
                <w:sz w:val="22"/>
                <w:szCs w:val="22"/>
                <w:color w:val="auto"/>
                <w:w w:val="90"/>
              </w:rPr>
              <w:t>Scott Chappell</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right"/>
              <w:ind w:right="3472"/>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30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NAPLF SENIOR FUNDING I LLC</w:t>
      </w:r>
      <w:r>
        <w:rPr>
          <w:rFonts w:ascii="Times New Roman" w:cs="Times New Roman" w:eastAsia="Times New Roman" w:hAnsi="Times New Roman"/>
          <w:sz w:val="22"/>
          <w:szCs w:val="22"/>
          <w:color w:val="auto"/>
        </w:rPr>
        <w:t>, as a Lender</w:t>
      </w:r>
    </w:p>
    <w:p>
      <w:pPr>
        <w:spacing w:after="0" w:line="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 Barings LLC, as Servicer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860" w:type="dxa"/>
        <w:tblCellMar>
          <w:top w:w="0" w:type="dxa"/>
          <w:left w:w="0" w:type="dxa"/>
          <w:bottom w:w="0" w:type="dxa"/>
          <w:right w:w="0" w:type="dxa"/>
        </w:tblCellMar>
      </w:tblP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00" w:type="dxa"/>
            <w:vAlign w:val="bottom"/>
          </w:tcPr>
          <w:p>
            <w:pPr>
              <w:spacing w:after="0"/>
              <w:rPr>
                <w:sz w:val="24"/>
                <w:szCs w:val="24"/>
                <w:color w:val="auto"/>
              </w:rPr>
            </w:pPr>
          </w:p>
        </w:tc>
        <w:tc>
          <w:tcPr>
            <w:tcW w:w="5160" w:type="dxa"/>
            <w:vAlign w:val="bottom"/>
            <w:tcBorders>
              <w:bottom w:val="single" w:sz="8" w:color="auto"/>
            </w:tcBorders>
          </w:tcPr>
          <w:p>
            <w:pPr>
              <w:jc w:val="right"/>
              <w:ind w:right="3492"/>
              <w:spacing w:after="0"/>
              <w:rPr>
                <w:sz w:val="20"/>
                <w:szCs w:val="20"/>
                <w:color w:val="auto"/>
              </w:rPr>
            </w:pPr>
            <w:r>
              <w:rPr>
                <w:rFonts w:ascii="Times New Roman" w:cs="Times New Roman" w:eastAsia="Times New Roman" w:hAnsi="Times New Roman"/>
                <w:sz w:val="22"/>
                <w:szCs w:val="22"/>
                <w:color w:val="auto"/>
                <w:w w:val="98"/>
              </w:rPr>
              <w:t>/s/ Scott Chappell</w:t>
            </w:r>
          </w:p>
        </w:tc>
      </w:t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00" w:type="dxa"/>
            <w:vAlign w:val="bottom"/>
          </w:tcPr>
          <w:p>
            <w:pPr>
              <w:spacing w:after="0"/>
              <w:rPr>
                <w:sz w:val="24"/>
                <w:szCs w:val="24"/>
                <w:color w:val="auto"/>
              </w:rPr>
            </w:pPr>
          </w:p>
        </w:tc>
        <w:tc>
          <w:tcPr>
            <w:tcW w:w="5160" w:type="dxa"/>
            <w:vAlign w:val="bottom"/>
          </w:tcPr>
          <w:p>
            <w:pPr>
              <w:jc w:val="right"/>
              <w:ind w:right="3852"/>
              <w:spacing w:after="0"/>
              <w:rPr>
                <w:sz w:val="20"/>
                <w:szCs w:val="20"/>
                <w:color w:val="auto"/>
              </w:rPr>
            </w:pPr>
            <w:r>
              <w:rPr>
                <w:rFonts w:ascii="Times New Roman" w:cs="Times New Roman" w:eastAsia="Times New Roman" w:hAnsi="Times New Roman"/>
                <w:sz w:val="22"/>
                <w:szCs w:val="22"/>
                <w:color w:val="auto"/>
                <w:w w:val="90"/>
              </w:rPr>
              <w:t>Scott Chappell</w:t>
            </w:r>
          </w:p>
        </w:tc>
      </w:tr>
      <w:tr>
        <w:trPr>
          <w:trHeight w:val="28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460" w:type="dxa"/>
            <w:vAlign w:val="bottom"/>
            <w:gridSpan w:val="2"/>
          </w:tcPr>
          <w:p>
            <w:pPr>
              <w:jc w:val="right"/>
              <w:ind w:right="3472"/>
              <w:spacing w:after="0"/>
              <w:rPr>
                <w:sz w:val="20"/>
                <w:szCs w:val="20"/>
                <w:color w:val="auto"/>
              </w:rPr>
            </w:pPr>
            <w:r>
              <w:rPr>
                <w:rFonts w:ascii="Times New Roman" w:cs="Times New Roman" w:eastAsia="Times New Roman" w:hAnsi="Times New Roman"/>
                <w:sz w:val="22"/>
                <w:szCs w:val="22"/>
                <w:color w:val="auto"/>
              </w:rPr>
              <w:t>Managing Director</w:t>
            </w:r>
          </w:p>
        </w:tc>
      </w:tr>
    </w:tbl>
    <w:p>
      <w:pPr>
        <w:sectPr>
          <w:pgSz w:w="11900" w:h="16838" w:orient="portrait"/>
          <w:cols w:equalWidth="0" w:num="1">
            <w:col w:w="10120"/>
          </w:cols>
          <w:pgMar w:left="1440" w:top="392"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FIFTH AMENDMENT TO</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CREDIT AND GUARANTY AGREEMENT</w:t>
      </w:r>
    </w:p>
    <w:p>
      <w:pPr>
        <w:spacing w:after="0" w:line="26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This FIFTH AMENDMENT TO CREDIT AND GUARANTY AGREEMENT (this “</w:t>
      </w:r>
      <w:r>
        <w:rPr>
          <w:rFonts w:ascii="Times New Roman" w:cs="Times New Roman" w:eastAsia="Times New Roman" w:hAnsi="Times New Roman"/>
          <w:sz w:val="22"/>
          <w:szCs w:val="22"/>
          <w:u w:val="single" w:color="auto"/>
          <w:color w:val="auto"/>
        </w:rPr>
        <w:t>Fifth Amendment</w:t>
      </w:r>
      <w:r>
        <w:rPr>
          <w:rFonts w:ascii="Times New Roman" w:cs="Times New Roman" w:eastAsia="Times New Roman" w:hAnsi="Times New Roman"/>
          <w:sz w:val="22"/>
          <w:szCs w:val="22"/>
          <w:color w:val="auto"/>
        </w:rPr>
        <w:t>”), dated as of April 12, 2019 is made by and among PRIORITY HOLDINGS LLC, a Delaware limited liability company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other Credit Parties party hereto as Guarantors, the Lenders party hereto and GOLDMAN SACHS SPECIALTY LENDING GROUP, L.P., as administrative agent under the Credit Agreement referred to below (in such capacity, the “</w:t>
      </w:r>
      <w:r>
        <w:rPr>
          <w:rFonts w:ascii="Times New Roman" w:cs="Times New Roman" w:eastAsia="Times New Roman" w:hAnsi="Times New Roman"/>
          <w:sz w:val="22"/>
          <w:szCs w:val="22"/>
          <w:u w:val="single" w:color="auto"/>
          <w:color w:val="auto"/>
        </w:rPr>
        <w:t>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All capitalized terms used herein (including in this preamble) and not otherwise defined herein shall have the respective meanings provided to such terms in the Credit Agreement referred to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PRELIMINARY STATEMENTS</w:t>
      </w:r>
    </w:p>
    <w:p>
      <w:pPr>
        <w:spacing w:after="0" w:line="260"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WHEREAS, Borrower has entered into that certain Credit and Guaranty Agreement, dated as of January 3, 2017, among Borrower, the other Credit Parties party thereto from time to time as Guarantors, the Lenders party thereto from time to time and Goldman Sachs Specialty Lending Group, L.P., as Administrative Agent and Lead Arranger (as the same has been and may be further amended, restated, amended and restated, supplemented and/or otherwise modified from time to time, and and as amended hereby,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WHEREAS, Borrower has requested that the Administrative Agent and Requisite Lenders agree to certain amendments to the Credit Agreement, as more fully set forth herein;</w:t>
      </w:r>
    </w:p>
    <w:p>
      <w:pPr>
        <w:spacing w:after="0" w:line="15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WHEREAS, the Administrative Agent and Requisite Lenders are willing to agree to such amendments, subject to and in accordance with the terms and conditions set forth herein; and</w:t>
      </w:r>
    </w:p>
    <w:p>
      <w:pPr>
        <w:spacing w:after="0" w:line="15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adequacy of which is acknowledged by each party hereto, it is agreed that:</w:t>
      </w:r>
    </w:p>
    <w:p>
      <w:pPr>
        <w:spacing w:after="0" w:line="159"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RULES OF CONSTRUCTION</w:t>
      </w:r>
      <w:r>
        <w:rPr>
          <w:rFonts w:ascii="Times New Roman" w:cs="Times New Roman" w:eastAsia="Times New Roman" w:hAnsi="Times New Roman"/>
          <w:sz w:val="22"/>
          <w:szCs w:val="22"/>
          <w:color w:val="auto"/>
        </w:rPr>
        <w:t xml:space="preserve">. The rules of construction specified in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the Credit Agreement shall apply to this Fifth Amendment, including the terms defined in the preamble and Preliminary Statements hereto.</w:t>
      </w:r>
    </w:p>
    <w:p>
      <w:pPr>
        <w:spacing w:after="0" w:line="159" w:lineRule="exact"/>
        <w:rPr>
          <w:sz w:val="20"/>
          <w:szCs w:val="20"/>
          <w:color w:val="auto"/>
        </w:rPr>
      </w:pPr>
    </w:p>
    <w:p>
      <w:pPr>
        <w:jc w:val="both"/>
        <w:ind w:firstLine="324"/>
        <w:spacing w:after="0" w:line="322"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1"/>
          <w:szCs w:val="21"/>
          <w:u w:val="single" w:color="auto"/>
          <w:color w:val="auto"/>
        </w:rPr>
        <w:t>AMENDMENTS TO CREDIT AGREEMENT</w:t>
      </w:r>
      <w:r>
        <w:rPr>
          <w:rFonts w:ascii="Times New Roman" w:cs="Times New Roman" w:eastAsia="Times New Roman" w:hAnsi="Times New Roman"/>
          <w:sz w:val="21"/>
          <w:szCs w:val="21"/>
          <w:color w:val="auto"/>
        </w:rPr>
        <w:t>. Subject to the satisfaction (or waiver in writing by Requisite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Lenders and the Administrative Agent) of the conditions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hereof, and in reliance on the representations, warranties, covenants and agreements contained in this Fifth Amendment, the Credit Agreement is hereby amended as follows:</w:t>
      </w:r>
    </w:p>
    <w:p>
      <w:pPr>
        <w:spacing w:after="0" w:line="149" w:lineRule="exact"/>
        <w:rPr>
          <w:sz w:val="20"/>
          <w:szCs w:val="20"/>
          <w:color w:val="auto"/>
        </w:rPr>
      </w:pPr>
    </w:p>
    <w:p>
      <w:pPr>
        <w:ind w:firstLine="1304"/>
        <w:spacing w:after="0" w:line="322" w:lineRule="auto"/>
        <w:tabs>
          <w:tab w:leader="none" w:pos="181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1.01 of the Credit Agreement is hereby amended by (i) replacing clause (b) to the definition of “</w:t>
      </w:r>
      <w:r>
        <w:rPr>
          <w:rFonts w:ascii="Times New Roman" w:cs="Times New Roman" w:eastAsia="Times New Roman" w:hAnsi="Times New Roman"/>
          <w:sz w:val="22"/>
          <w:szCs w:val="22"/>
          <w:b w:val="1"/>
          <w:bCs w:val="1"/>
          <w:i w:val="1"/>
          <w:iCs w:val="1"/>
          <w:color w:val="auto"/>
        </w:rPr>
        <w:t>Available Amount</w:t>
      </w:r>
      <w:r>
        <w:rPr>
          <w:rFonts w:ascii="Times New Roman" w:cs="Times New Roman" w:eastAsia="Times New Roman" w:hAnsi="Times New Roman"/>
          <w:sz w:val="22"/>
          <w:szCs w:val="22"/>
          <w:color w:val="auto"/>
        </w:rPr>
        <w:t>” in its entirety with the following:</w:t>
      </w:r>
    </w:p>
    <w:p>
      <w:pPr>
        <w:spacing w:after="0" w:line="131" w:lineRule="exact"/>
        <w:rPr>
          <w:sz w:val="20"/>
          <w:szCs w:val="20"/>
          <w:color w:val="auto"/>
        </w:rPr>
      </w:pPr>
    </w:p>
    <w:p>
      <w:pPr>
        <w:jc w:val="both"/>
        <w:ind w:left="1300" w:firstLine="54"/>
        <w:spacing w:after="0" w:line="265" w:lineRule="auto"/>
        <w:rPr>
          <w:sz w:val="20"/>
          <w:szCs w:val="20"/>
          <w:color w:val="auto"/>
        </w:rPr>
      </w:pPr>
      <w:r>
        <w:rPr>
          <w:rFonts w:ascii="Times New Roman" w:cs="Times New Roman" w:eastAsia="Times New Roman" w:hAnsi="Times New Roman"/>
          <w:sz w:val="21"/>
          <w:szCs w:val="21"/>
          <w:color w:val="auto"/>
        </w:rPr>
        <w:t xml:space="preserve">“(b) an amount determined on a cumulative basis equal to the net proceeds from any, and any Cash contributed in respect of, Permitted Stock Issuances after the Closing Date (other than (i) any Specified Equity Contributions, (ii) Disqualified Capital Stock, (iii) any Permitted Stock Issuances pursuant to the definitions of “Consolidated Capital Expenditures” and “Permitted Joint Venture Investment”, </w:t>
      </w:r>
      <w:r>
        <w:rPr>
          <w:rFonts w:ascii="Times New Roman" w:cs="Times New Roman" w:eastAsia="Times New Roman" w:hAnsi="Times New Roman"/>
          <w:sz w:val="21"/>
          <w:szCs w:val="21"/>
          <w:u w:val="single" w:color="auto"/>
          <w:color w:val="auto"/>
        </w:rPr>
        <w:t>Section 6.07(m)</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6.07(s)</w:t>
      </w:r>
      <w:r>
        <w:rPr>
          <w:rFonts w:ascii="Times New Roman" w:cs="Times New Roman" w:eastAsia="Times New Roman" w:hAnsi="Times New Roman"/>
          <w:sz w:val="21"/>
          <w:szCs w:val="21"/>
          <w:color w:val="auto"/>
        </w:rPr>
        <w:t xml:space="preserve"> or (iv) any amount previously applied for a purpose other than a Permitted Available Amount Usage); plus”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(ii) replacing the definition of “</w:t>
      </w:r>
      <w:r>
        <w:rPr>
          <w:rFonts w:ascii="Times New Roman" w:cs="Times New Roman" w:eastAsia="Times New Roman" w:hAnsi="Times New Roman"/>
          <w:sz w:val="22"/>
          <w:szCs w:val="22"/>
          <w:b w:val="1"/>
          <w:bCs w:val="1"/>
          <w:i w:val="1"/>
          <w:iCs w:val="1"/>
          <w:color w:val="auto"/>
        </w:rPr>
        <w:t>Change of Control</w:t>
      </w:r>
      <w:r>
        <w:rPr>
          <w:rFonts w:ascii="Times New Roman" w:cs="Times New Roman" w:eastAsia="Times New Roman" w:hAnsi="Times New Roman"/>
          <w:sz w:val="22"/>
          <w:szCs w:val="22"/>
          <w:color w:val="auto"/>
        </w:rPr>
        <w:t>” in its entirety with the following:</w:t>
      </w:r>
    </w:p>
    <w:p>
      <w:pPr>
        <w:spacing w:after="0" w:line="226" w:lineRule="exact"/>
        <w:rPr>
          <w:sz w:val="20"/>
          <w:szCs w:val="20"/>
          <w:color w:val="auto"/>
        </w:rPr>
      </w:pPr>
    </w:p>
    <w:p>
      <w:pPr>
        <w:jc w:val="both"/>
        <w:ind w:left="1300" w:firstLine="54"/>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at any time, (a) the Permitted Holders shall cease to own (directly or indirectly), or to have the power to vote or direct the voting of, directly or indirectly, Capital Stock of Borrower representing more than 35% of the voting power of the total outstanding Capital Stock of Borrower;</w:t>
      </w:r>
    </w:p>
    <w:p>
      <w:pPr>
        <w:spacing w:after="0" w:line="173" w:lineRule="exact"/>
        <w:rPr>
          <w:sz w:val="20"/>
          <w:szCs w:val="20"/>
          <w:color w:val="auto"/>
        </w:rPr>
      </w:pPr>
    </w:p>
    <w:p>
      <w:pPr>
        <w:jc w:val="both"/>
        <w:ind w:left="1300" w:firstLine="58"/>
        <w:spacing w:after="0" w:line="263" w:lineRule="auto"/>
        <w:tabs>
          <w:tab w:leader="none" w:pos="187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or “group” (within the meaning of Rules 13(d) and 14(d) under the Exchange Act), other than one (1) or more Permitted Holders, is or becomes the beneficial owner (as defined in Rules 13d-3 and 13d-5 under the Exchange Act, except that for purposes of this clause (b), such Person or group shall be deemed to have “beneficial ownership” of all securities that such Person or group has the right to acquire, whether such right is exercisable immediately or only after the passage of time), directly or indirectly, of Capital Stock of Borrower representing more than the total Capital Stock of Borrower then held by the Permitted Holders (collectively);</w:t>
      </w:r>
    </w:p>
    <w:p>
      <w:pPr>
        <w:sectPr>
          <w:pgSz w:w="11900" w:h="16838" w:orient="portrait"/>
          <w:cols w:equalWidth="0" w:num="1">
            <w:col w:w="11240"/>
          </w:cols>
          <w:pgMar w:left="320" w:top="612" w:right="339" w:bottom="34" w:gutter="0" w:footer="0" w:header="0"/>
        </w:sectPr>
      </w:pPr>
    </w:p>
    <w:bookmarkStart w:id="97" w:name="page98"/>
    <w:bookmarkEnd w:id="97"/>
    <w:p>
      <w:pPr>
        <w:ind w:left="1912" w:hanging="562"/>
        <w:spacing w:after="0"/>
        <w:tabs>
          <w:tab w:leader="none" w:pos="191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under Section 6.09, Borrower shall cease to beneficially own, directly or indirectly,</w:t>
      </w:r>
    </w:p>
    <w:p>
      <w:pPr>
        <w:spacing w:after="0" w:line="27" w:lineRule="exact"/>
        <w:rPr>
          <w:rFonts w:ascii="Times New Roman" w:cs="Times New Roman" w:eastAsia="Times New Roman" w:hAnsi="Times New Roman"/>
          <w:sz w:val="22"/>
          <w:szCs w:val="22"/>
          <w:color w:val="auto"/>
        </w:rPr>
      </w:pPr>
    </w:p>
    <w:p>
      <w:pPr>
        <w:ind w:left="1292"/>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on a fully diluted basis of the economic and voting interests in the Capital Stock of each “Borrower” (as defined in the Senior Credit Agreement); or</w:t>
      </w:r>
    </w:p>
    <w:p>
      <w:pPr>
        <w:spacing w:after="0" w:line="182" w:lineRule="exact"/>
        <w:rPr>
          <w:rFonts w:ascii="Times New Roman" w:cs="Times New Roman" w:eastAsia="Times New Roman" w:hAnsi="Times New Roman"/>
          <w:sz w:val="22"/>
          <w:szCs w:val="22"/>
          <w:color w:val="auto"/>
        </w:rPr>
      </w:pPr>
    </w:p>
    <w:p>
      <w:pPr>
        <w:jc w:val="both"/>
        <w:ind w:left="1292" w:firstLine="58"/>
        <w:spacing w:after="0" w:line="257" w:lineRule="auto"/>
        <w:tabs>
          <w:tab w:leader="none" w:pos="196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(or similar event) shall occur in any Senior Credit Document or any document governing any Subordinated Indebtedness, in each case, with an aggregate outstanding principal amount in excess of $17,250,000.”</w:t>
      </w:r>
    </w:p>
    <w:p>
      <w:pPr>
        <w:spacing w:after="0" w:line="166" w:lineRule="exact"/>
        <w:rPr>
          <w:rFonts w:ascii="Times New Roman" w:cs="Times New Roman" w:eastAsia="Times New Roman" w:hAnsi="Times New Roman"/>
          <w:sz w:val="22"/>
          <w:szCs w:val="22"/>
          <w:color w:val="auto"/>
        </w:rPr>
      </w:pPr>
    </w:p>
    <w:p>
      <w:pPr>
        <w:ind w:left="652" w:hanging="598"/>
        <w:spacing w:after="0"/>
        <w:tabs>
          <w:tab w:leader="none" w:pos="6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replacing the definition of “</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in its entirety with the following:</w:t>
      </w:r>
    </w:p>
    <w:p>
      <w:pPr>
        <w:spacing w:after="0" w:line="226"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any entity that directly or indirectly owns 100% of the Capital Stock of Borrower.”</w:t>
      </w:r>
    </w:p>
    <w:p>
      <w:pPr>
        <w:spacing w:after="0" w:line="227" w:lineRule="exact"/>
        <w:rPr>
          <w:sz w:val="20"/>
          <w:szCs w:val="20"/>
          <w:color w:val="auto"/>
        </w:rPr>
      </w:pPr>
    </w:p>
    <w:p>
      <w:pPr>
        <w:ind w:left="372" w:hanging="372"/>
        <w:spacing w:after="0"/>
        <w:tabs>
          <w:tab w:leader="none" w:pos="37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replacing the definition of “</w:t>
      </w:r>
      <w:r>
        <w:rPr>
          <w:rFonts w:ascii="Times New Roman" w:cs="Times New Roman" w:eastAsia="Times New Roman" w:hAnsi="Times New Roman"/>
          <w:sz w:val="22"/>
          <w:szCs w:val="22"/>
          <w:b w:val="1"/>
          <w:bCs w:val="1"/>
          <w:i w:val="1"/>
          <w:iCs w:val="1"/>
          <w:color w:val="auto"/>
        </w:rPr>
        <w:t>Permitted Acquisition</w:t>
      </w:r>
      <w:r>
        <w:rPr>
          <w:rFonts w:ascii="Times New Roman" w:cs="Times New Roman" w:eastAsia="Times New Roman" w:hAnsi="Times New Roman"/>
          <w:sz w:val="22"/>
          <w:szCs w:val="22"/>
          <w:color w:val="auto"/>
        </w:rPr>
        <w:t>” in its entirety with the following:</w:t>
      </w:r>
    </w:p>
    <w:p>
      <w:pPr>
        <w:spacing w:after="0" w:line="266" w:lineRule="exact"/>
        <w:rPr>
          <w:sz w:val="20"/>
          <w:szCs w:val="20"/>
          <w:color w:val="auto"/>
        </w:rPr>
      </w:pPr>
    </w:p>
    <w:p>
      <w:pPr>
        <w:jc w:val="both"/>
        <w:ind w:left="1292" w:firstLine="54"/>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xml:space="preserve">” means any transaction or series of related transactions by any Restricted Subsidiary of Borrower for (a) the direct or indirect acquisition of all or substantially all of the property of any Person, or of any line of business or division of any Person; (b) the acquisition of at least a majority (including by merger or consolidation) of the Capital Stock (other than director qualifying shares) of any Person that becomes a Restricted Subsidiary of Borrower after giving effect to such transaction; or (c) a merger or consolidation or any other combination with any Person (so long as a Credit Party, to the extent such Credit Party is a party to such transaction, is the surviving entity);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of the following conditions shall be met or waived by the Requisite Lenders:</w:t>
      </w:r>
    </w:p>
    <w:p>
      <w:pPr>
        <w:spacing w:after="0" w:line="199" w:lineRule="exact"/>
        <w:rPr>
          <w:sz w:val="20"/>
          <w:szCs w:val="20"/>
          <w:color w:val="auto"/>
        </w:rPr>
      </w:pPr>
    </w:p>
    <w:p>
      <w:pPr>
        <w:ind w:left="1992" w:hanging="642"/>
        <w:spacing w:after="0" w:line="309" w:lineRule="auto"/>
        <w:tabs>
          <w:tab w:leader="none" w:pos="199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and after giving Pro Forma Effect to the consummation of such acquisition, no Default or Event of Default exists;</w:t>
      </w:r>
    </w:p>
    <w:p>
      <w:pPr>
        <w:spacing w:after="0" w:line="158" w:lineRule="exact"/>
        <w:rPr>
          <w:rFonts w:ascii="Times New Roman" w:cs="Times New Roman" w:eastAsia="Times New Roman" w:hAnsi="Times New Roman"/>
          <w:sz w:val="22"/>
          <w:szCs w:val="22"/>
          <w:color w:val="auto"/>
        </w:rPr>
      </w:pPr>
    </w:p>
    <w:p>
      <w:pPr>
        <w:jc w:val="both"/>
        <w:ind w:left="1992" w:hanging="642"/>
        <w:spacing w:after="0" w:line="288" w:lineRule="auto"/>
        <w:tabs>
          <w:tab w:leader="none" w:pos="199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and to the incurrence of any Indebtedness in connection therewith, Borrower shall be in compliance with the Financial Covenant as of the most recent Test Period (assuming that such transaction and all other Permitted Acquisitions consummated since the first day of the relevant Test Period ending on or prior to the date of such transaction, had occurred on the first day of such relevant Test Period);</w:t>
      </w:r>
    </w:p>
    <w:p>
      <w:pPr>
        <w:spacing w:after="0" w:line="183" w:lineRule="exact"/>
        <w:rPr>
          <w:rFonts w:ascii="Times New Roman" w:cs="Times New Roman" w:eastAsia="Times New Roman" w:hAnsi="Times New Roman"/>
          <w:sz w:val="22"/>
          <w:szCs w:val="22"/>
          <w:color w:val="auto"/>
        </w:rPr>
      </w:pPr>
    </w:p>
    <w:p>
      <w:pPr>
        <w:jc w:val="both"/>
        <w:ind w:left="1992" w:hanging="642"/>
        <w:spacing w:after="0" w:line="295" w:lineRule="auto"/>
        <w:tabs>
          <w:tab w:leader="none" w:pos="199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to be acquired has positive Consolidated Adjusted EBITDA (calculated on a Pro Forma Basis) for the most recent 12-month period for which financial statements are available (the “</w:t>
      </w:r>
      <w:r>
        <w:rPr>
          <w:rFonts w:ascii="Times New Roman" w:cs="Times New Roman" w:eastAsia="Times New Roman" w:hAnsi="Times New Roman"/>
          <w:sz w:val="21"/>
          <w:szCs w:val="21"/>
          <w:u w:val="single" w:color="auto"/>
          <w:color w:val="auto"/>
        </w:rPr>
        <w:t>Positive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EBITDA Condition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Positive EBITDA Condition shall not apply if either (x) the Total Net Leverage Ratio, calculated on a Pro Forma Basis after giving effect to such Permitted Acquisition and any incurrence of Indebtedness in connection therewith, does not exceed 4.50:1.00 for the most recently ended Test Period or (y) the aggregate Cash consideration (excluding such portion of the purchase price consisting of Capital Stock of Borrower (or any Parent) or contingent earn-out obligations) for all such Permitted Acquisitions that do not satisfy the Positive EBITDA Condition shall not exceed the greater of</w:t>
      </w:r>
    </w:p>
    <w:p>
      <w:pPr>
        <w:spacing w:after="0" w:line="1" w:lineRule="exact"/>
        <w:rPr>
          <w:rFonts w:ascii="Times New Roman" w:cs="Times New Roman" w:eastAsia="Times New Roman" w:hAnsi="Times New Roman"/>
          <w:sz w:val="21"/>
          <w:szCs w:val="21"/>
          <w:color w:val="auto"/>
        </w:rPr>
      </w:pPr>
    </w:p>
    <w:p>
      <w:pPr>
        <w:jc w:val="both"/>
        <w:ind w:left="1992" w:firstLine="6"/>
        <w:spacing w:after="0" w:line="295" w:lineRule="auto"/>
        <w:tabs>
          <w:tab w:leader="none" w:pos="235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$23,000,000 and (2) 28.75% of Consolidated Adjusted EBITDA determined at the time of the consummation of such Permitted Acquisition (calculated on a Pro Forma Basis) as of the last day of the most recently ended Test Period;</w:t>
      </w:r>
    </w:p>
    <w:p>
      <w:pPr>
        <w:spacing w:after="0" w:line="174" w:lineRule="exact"/>
        <w:rPr>
          <w:rFonts w:ascii="Times New Roman" w:cs="Times New Roman" w:eastAsia="Times New Roman" w:hAnsi="Times New Roman"/>
          <w:sz w:val="22"/>
          <w:szCs w:val="22"/>
          <w:color w:val="auto"/>
        </w:rPr>
      </w:pPr>
    </w:p>
    <w:p>
      <w:pPr>
        <w:ind w:left="1992" w:hanging="642"/>
        <w:spacing w:after="0" w:line="309" w:lineRule="auto"/>
        <w:tabs>
          <w:tab w:leader="none" w:pos="199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is consensual (not “hostile”) and has been approved by the board of directors (or equivalent governing body) of the Person to be acquired;</w:t>
      </w:r>
    </w:p>
    <w:p>
      <w:pPr>
        <w:spacing w:after="0" w:line="158" w:lineRule="exact"/>
        <w:rPr>
          <w:rFonts w:ascii="Times New Roman" w:cs="Times New Roman" w:eastAsia="Times New Roman" w:hAnsi="Times New Roman"/>
          <w:sz w:val="22"/>
          <w:szCs w:val="22"/>
          <w:color w:val="auto"/>
        </w:rPr>
      </w:pPr>
    </w:p>
    <w:p>
      <w:pPr>
        <w:ind w:left="1992" w:hanging="642"/>
        <w:spacing w:after="0"/>
        <w:tabs>
          <w:tab w:leader="none" w:pos="199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three (3) Business Days prior to the proposed closing date of such acquisition the Borrower,</w:t>
      </w:r>
    </w:p>
    <w:p>
      <w:pPr>
        <w:spacing w:after="0" w:line="55" w:lineRule="exact"/>
        <w:rPr>
          <w:rFonts w:ascii="Times New Roman" w:cs="Times New Roman" w:eastAsia="Times New Roman" w:hAnsi="Times New Roman"/>
          <w:sz w:val="21"/>
          <w:szCs w:val="21"/>
          <w:color w:val="auto"/>
        </w:rPr>
      </w:pPr>
    </w:p>
    <w:p>
      <w:pPr>
        <w:jc w:val="both"/>
        <w:ind w:left="1992"/>
        <w:spacing w:after="0" w:line="28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shall have delivered to the Administrative Agent promptly upon the finalization thereof copies of substantially final Permitted Acquisition Documents, and (B) in respect of any Permitted Acquisition involving aggregate Cash consideration (excluding such portion of the purchase price consisting of Capital Stock of Borrower (or any Parent) or contingent earn-out obligations) in excess of the greater of (1) $5,750,000 and (2) 8% of Consolidated Adjusted EBITDA (calculated on a Pro Forma Basis) for the most recently ended Test Period, shall have delivered to, or made available for inspection by, the Administrative Agent substantially complete Permitted Acquisition Diligence Information;</w:t>
      </w:r>
    </w:p>
    <w:p>
      <w:pPr>
        <w:spacing w:after="0" w:line="184" w:lineRule="exact"/>
        <w:rPr>
          <w:rFonts w:ascii="Times New Roman" w:cs="Times New Roman" w:eastAsia="Times New Roman" w:hAnsi="Times New Roman"/>
          <w:sz w:val="21"/>
          <w:szCs w:val="21"/>
          <w:color w:val="auto"/>
        </w:rPr>
      </w:pPr>
    </w:p>
    <w:p>
      <w:pPr>
        <w:jc w:val="both"/>
        <w:ind w:left="1992" w:hanging="642"/>
        <w:spacing w:after="0" w:line="308" w:lineRule="auto"/>
        <w:tabs>
          <w:tab w:leader="none" w:pos="199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such newly created or directly acquired Restricted Subsidiary (or assets acquired by any Restricted Subsidiary) shall either (y) to the extent required by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become a Credit Party (or Collateral) and comply with the requirements of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or (z) if such Restricted Subsidiary does not become a Credit Party (or its assets do not become Collateral) and comply with the requirements of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the</w:t>
      </w:r>
    </w:p>
    <w:p>
      <w:pPr>
        <w:sectPr>
          <w:pgSz w:w="11900" w:h="16838" w:orient="portrait"/>
          <w:cols w:equalWidth="0" w:num="1">
            <w:col w:w="11232"/>
          </w:cols>
          <w:pgMar w:left="328" w:top="126" w:right="339" w:bottom="0" w:gutter="0" w:footer="0" w:header="0"/>
        </w:sectPr>
      </w:pPr>
    </w:p>
    <w:bookmarkStart w:id="98" w:name="page99"/>
    <w:bookmarkEnd w:id="98"/>
    <w:p>
      <w:pPr>
        <w:jc w:val="both"/>
        <w:ind w:left="1940"/>
        <w:spacing w:after="0" w:line="288" w:lineRule="auto"/>
        <w:rPr>
          <w:sz w:val="20"/>
          <w:szCs w:val="20"/>
          <w:color w:val="auto"/>
        </w:rPr>
      </w:pPr>
      <w:r>
        <w:rPr>
          <w:rFonts w:ascii="Times New Roman" w:cs="Times New Roman" w:eastAsia="Times New Roman" w:hAnsi="Times New Roman"/>
          <w:sz w:val="22"/>
          <w:szCs w:val="22"/>
          <w:color w:val="auto"/>
        </w:rPr>
        <w:t xml:space="preserve">aggregate purchase price paid in connection with such purchase or acquisition and all other such purchases or acquisitions described in this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xml:space="preserve">, together with Investments pursuant to </w:t>
      </w:r>
      <w:r>
        <w:rPr>
          <w:rFonts w:ascii="Times New Roman" w:cs="Times New Roman" w:eastAsia="Times New Roman" w:hAnsi="Times New Roman"/>
          <w:sz w:val="22"/>
          <w:szCs w:val="22"/>
          <w:u w:val="single" w:color="auto"/>
          <w:color w:val="auto"/>
        </w:rPr>
        <w:t>Section 6.07(d)(iii)</w:t>
      </w:r>
      <w:r>
        <w:rPr>
          <w:rFonts w:ascii="Times New Roman" w:cs="Times New Roman" w:eastAsia="Times New Roman" w:hAnsi="Times New Roman"/>
          <w:sz w:val="22"/>
          <w:szCs w:val="22"/>
          <w:color w:val="auto"/>
        </w:rPr>
        <w:t>, shall not exceed the greater of (1) $23,000,000 and (2) 57.5% of Consolidated Adjusted EBITDA determined at the time of the consummation of such Permitted Acquisition (calculated on a Pro Forma Basis) as of the last day of the most recently ended Test Period; and</w:t>
      </w:r>
    </w:p>
    <w:p>
      <w:pPr>
        <w:spacing w:after="0" w:line="183" w:lineRule="exact"/>
        <w:rPr>
          <w:sz w:val="20"/>
          <w:szCs w:val="20"/>
          <w:color w:val="auto"/>
        </w:rPr>
      </w:pPr>
    </w:p>
    <w:p>
      <w:pPr>
        <w:ind w:left="1940" w:hanging="642"/>
        <w:spacing w:after="0" w:line="309" w:lineRule="auto"/>
        <w:tabs>
          <w:tab w:leader="none" w:pos="19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such newly acquired Restricted Subsidiary’s line of business or property shall comply with the requirements of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left="12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For purposes of greater certainty, (i) the purchase by any Credit Party of portfolios of Merchant Accounts shall be included as an acquisition subject to the requirements of the immediately preceding sentence and (ii) with respect to any Limited Condition Transaction that the Borrower or any of its Subsidiaries intends to fund (in whole or in part) with the proceeds of any Loans or Senior Indebtedness, </w:t>
      </w:r>
      <w:r>
        <w:rPr>
          <w:rFonts w:ascii="Times New Roman" w:cs="Times New Roman" w:eastAsia="Times New Roman" w:hAnsi="Times New Roman"/>
          <w:sz w:val="22"/>
          <w:szCs w:val="22"/>
          <w:u w:val="single" w:color="auto"/>
          <w:color w:val="auto"/>
        </w:rPr>
        <w:t>Section 1.08(f)</w:t>
      </w:r>
      <w:r>
        <w:rPr>
          <w:rFonts w:ascii="Times New Roman" w:cs="Times New Roman" w:eastAsia="Times New Roman" w:hAnsi="Times New Roman"/>
          <w:sz w:val="22"/>
          <w:szCs w:val="22"/>
          <w:color w:val="auto"/>
        </w:rPr>
        <w:t xml:space="preserve"> shall apply in determining whether such Limited Condition Transaction constitutes a Permitted Acquisition.”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 replacing the definition of “</w:t>
      </w:r>
      <w:r>
        <w:rPr>
          <w:rFonts w:ascii="Times New Roman" w:cs="Times New Roman" w:eastAsia="Times New Roman" w:hAnsi="Times New Roman"/>
          <w:sz w:val="22"/>
          <w:szCs w:val="22"/>
          <w:b w:val="1"/>
          <w:bCs w:val="1"/>
          <w:i w:val="1"/>
          <w:iCs w:val="1"/>
          <w:color w:val="auto"/>
        </w:rPr>
        <w:t>Permitted Stock Issuances</w:t>
      </w:r>
      <w:r>
        <w:rPr>
          <w:rFonts w:ascii="Times New Roman" w:cs="Times New Roman" w:eastAsia="Times New Roman" w:hAnsi="Times New Roman"/>
          <w:sz w:val="22"/>
          <w:szCs w:val="22"/>
          <w:color w:val="auto"/>
        </w:rPr>
        <w:t>” in its entirety with the following:</w:t>
      </w:r>
    </w:p>
    <w:p>
      <w:pPr>
        <w:spacing w:after="0" w:line="226" w:lineRule="exact"/>
        <w:rPr>
          <w:sz w:val="20"/>
          <w:szCs w:val="20"/>
          <w:color w:val="auto"/>
        </w:rPr>
      </w:pPr>
    </w:p>
    <w:p>
      <w:pPr>
        <w:jc w:val="both"/>
        <w:ind w:left="1240" w:firstLine="54"/>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Stock Issuances</w:t>
      </w:r>
      <w:r>
        <w:rPr>
          <w:rFonts w:ascii="Times New Roman" w:cs="Times New Roman" w:eastAsia="Times New Roman" w:hAnsi="Times New Roman"/>
          <w:sz w:val="22"/>
          <w:szCs w:val="22"/>
          <w:color w:val="auto"/>
        </w:rPr>
        <w:t>” means any sale, transfer, issuance or other disposition of any Capital Stock by Borrower (or any Parent) or any Restricted Subsidiary in accordance with its Organizational Documents, other than Disqualified Capital Stock, in each case, to the extent not resulting in a Change of Control. For purposes of clarification, any issuance of Capital Stock of Borrower pursuant to the Warrant shall be a “Permitted Stock Issuance”.</w:t>
      </w:r>
    </w:p>
    <w:p>
      <w:pPr>
        <w:spacing w:after="0" w:line="194" w:lineRule="exact"/>
        <w:rPr>
          <w:sz w:val="20"/>
          <w:szCs w:val="20"/>
          <w:color w:val="auto"/>
        </w:rPr>
      </w:pPr>
    </w:p>
    <w:p>
      <w:pPr>
        <w:ind w:left="440" w:right="20" w:firstLine="804"/>
        <w:spacing w:after="0" w:line="309" w:lineRule="auto"/>
        <w:tabs>
          <w:tab w:leader="none" w:pos="181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6.05(a)</w:t>
      </w:r>
      <w:r>
        <w:rPr>
          <w:rFonts w:ascii="Times New Roman" w:cs="Times New Roman" w:eastAsia="Times New Roman" w:hAnsi="Times New Roman"/>
          <w:sz w:val="22"/>
          <w:szCs w:val="22"/>
          <w:color w:val="auto"/>
        </w:rPr>
        <w:t xml:space="preserve"> of the Credit Agreement is hereby amended by replacing clauses (iv) and (v) thereof in their entirety as follows:</w:t>
      </w:r>
    </w:p>
    <w:p>
      <w:pPr>
        <w:spacing w:after="0" w:line="145" w:lineRule="exact"/>
        <w:rPr>
          <w:sz w:val="20"/>
          <w:szCs w:val="20"/>
          <w:color w:val="auto"/>
        </w:rPr>
      </w:pPr>
    </w:p>
    <w:p>
      <w:pPr>
        <w:jc w:val="both"/>
        <w:ind w:left="1240" w:firstLine="54"/>
        <w:spacing w:after="0" w:line="261" w:lineRule="exact"/>
        <w:rPr>
          <w:sz w:val="20"/>
          <w:szCs w:val="20"/>
          <w:color w:val="auto"/>
        </w:rPr>
      </w:pPr>
      <w:r>
        <w:rPr>
          <w:rFonts w:ascii="Times New Roman" w:cs="Times New Roman" w:eastAsia="Times New Roman" w:hAnsi="Times New Roman"/>
          <w:sz w:val="22"/>
          <w:szCs w:val="22"/>
          <w:color w:val="auto"/>
        </w:rPr>
        <w:t xml:space="preserve">“(iv) Borrower may make Restricted Payments to any Parent (1) to the extent necessary to permit such Parent to pay (A) </w:t>
      </w:r>
      <w:r>
        <w:rPr>
          <w:rFonts w:ascii="Times New Roman" w:cs="Times New Roman" w:eastAsia="Times New Roman" w:hAnsi="Times New Roman"/>
          <w:sz w:val="19"/>
          <w:szCs w:val="19"/>
          <w:color w:val="auto"/>
        </w:rPr>
        <w:t>reasonable and customary general administrative costs and expenses and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legal, accounting and filing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and other general corporate overhead costs of such Parent (including, without limitation, reasonable and customary salaries and benefits of officers and employees of such Parent) and </w:t>
      </w:r>
      <w:r>
        <w:rPr>
          <w:rFonts w:ascii="Times New Roman" w:cs="Times New Roman" w:eastAsia="Times New Roman" w:hAnsi="Times New Roman"/>
          <w:sz w:val="21"/>
          <w:szCs w:val="21"/>
          <w:color w:val="auto"/>
        </w:rPr>
        <w:t>(B) franchise taxes and other fees required to maintain such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Parent’s organizational existence, in any case under this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xml:space="preserve">, that are actually incurred by such Parent and are reasonable and customary and incurred in the ordinary course of business and attributable to the ownership or operations of Borrower and its Restricted Subsidiaries (and Unrestricted Subsidiaries, to the extent (x) of Cash received from the applicable Unrestricted Subsidiary for payment thereof by Borrower or any Restricted Subsidiary or (y) the applicable payment is treated by Borrower or its applicable Restricted Subsidiary as an Investment in such Unrestricted Subsidiary and is permitted under Section 6.07), </w:t>
      </w:r>
      <w:r>
        <w:rPr>
          <w:rFonts w:ascii="Times New Roman" w:cs="Times New Roman" w:eastAsia="Times New Roman" w:hAnsi="Times New Roman"/>
          <w:sz w:val="19"/>
          <w:szCs w:val="19"/>
          <w:color w:val="auto"/>
        </w:rPr>
        <w:t>(2) to the extent necessary to permit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such Parent, without duplication of any Permitted Tax Payments, to discharge its consolidated tax liabilities when and as due, to the extent such liabilities are attributable to the income of Borrower (or any Parent) and its Restricted Subsidiaries (and Unrestricted Subsidiaries, to the extent of Cash received from the applicable Unrestricted Subsidiary for payment of its share of such tax liability by Borrower or any Restricted Subsidiary) and (3) so long as no Default or Event of Default shall have occurred and be continuing or would immediately thereafter result therefrom, to the extent necessary to permit such Parent to pay directors’ fees (other than pursuant to the TCP Director Agreement), expenses and any reasonable and customary indemnification claims made by directors or officers of such Parent attributable to the ownership or operations of Borrower and its Restricted Subsidiaries, in each case, so long as such Parent applies the amount of any such Restricted Payment for such purpose (but, in each case, excluding, for the avoidance of doubt, the portion of any such amount, if any, that is attributable to the ownership or operations of any Subsidiary of any Parent other than Borrower and its Subsidiaries)</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left="1240" w:firstLine="58"/>
        <w:spacing w:after="0" w:line="245" w:lineRule="auto"/>
        <w:tabs>
          <w:tab w:leader="none" w:pos="16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Event of Default shall have occurred and be continuing or shall be caused thereby, Borrower and its Restricted Subsidiaries may make Restricted Payments or otherwise, to the extent not otherwise prohibited by this Agreement, transfer funds to any Parent to be utilized for the repurchase, redemption or other acquisition or retirement for value of any Capital Stock of Borrower (or any Parent) held by any current or former officer, director, employee or consultant of Borrower (or any Parent), or any of its Restricted Subsidiaries, or his or her estate, spouse, former spouse, family member or Affiliate of the foregoing (or for the payment of principal or interest on any Indebtedness issued in connection with such repurchase, redemption or other acquisition) in each case, pursuant to any equity subscription agreement, stock option agreement, shareholders’ agreement or other agreement or benefit plan of any kind;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price paid for all such repurchased, redeemed, acquired or retired Capital Stock in any Fiscal Year may not exceed the greater of (x) $6,000,000 and (y) 12.5% of Consolidated Adjusted EBITDA determined at the time of incurrence of such repurchase, redemption, acquisition or retirement of Capital Stock (calculated on a Pro Forma Basis) as of the last day of the most recently ended Test Period;”</w:t>
      </w:r>
    </w:p>
    <w:p>
      <w:pPr>
        <w:spacing w:after="0" w:line="206" w:lineRule="exact"/>
        <w:rPr>
          <w:rFonts w:ascii="Times New Roman" w:cs="Times New Roman" w:eastAsia="Times New Roman" w:hAnsi="Times New Roman"/>
          <w:sz w:val="22"/>
          <w:szCs w:val="22"/>
          <w:color w:val="auto"/>
        </w:rPr>
      </w:pPr>
    </w:p>
    <w:p>
      <w:pPr>
        <w:ind w:left="1820" w:hanging="576"/>
        <w:spacing w:after="0"/>
        <w:tabs>
          <w:tab w:leader="none" w:pos="18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of the Credit Agreement is hereby amended by replacing clause (s) thereof in its entirety as</w:t>
      </w:r>
    </w:p>
    <w:p>
      <w:pPr>
        <w:spacing w:after="0" w:line="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follows:</w:t>
      </w:r>
    </w:p>
    <w:p>
      <w:pPr>
        <w:sectPr>
          <w:pgSz w:w="11900" w:h="16838" w:orient="portrait"/>
          <w:cols w:equalWidth="0" w:num="1">
            <w:col w:w="11180"/>
          </w:cols>
          <w:pgMar w:left="380" w:top="139" w:right="339" w:bottom="0" w:gutter="0" w:footer="0" w:header="0"/>
        </w:sectPr>
      </w:pPr>
    </w:p>
    <w:bookmarkStart w:id="99" w:name="page100"/>
    <w:bookmarkEnd w:id="99"/>
    <w:p>
      <w:pPr>
        <w:jc w:val="both"/>
        <w:ind w:left="720" w:right="20" w:firstLine="54"/>
        <w:spacing w:after="0" w:line="257" w:lineRule="auto"/>
        <w:rPr>
          <w:sz w:val="20"/>
          <w:szCs w:val="20"/>
          <w:color w:val="auto"/>
        </w:rPr>
      </w:pPr>
      <w:r>
        <w:rPr>
          <w:rFonts w:ascii="Times New Roman" w:cs="Times New Roman" w:eastAsia="Times New Roman" w:hAnsi="Times New Roman"/>
          <w:sz w:val="22"/>
          <w:szCs w:val="22"/>
          <w:color w:val="auto"/>
        </w:rPr>
        <w:t>“(s) additional Investments may be made from time to time to the extent made with proceeds of Permitted Stock Issuances of Borrower (or any Parent), which proceeds or Investments in turn are contributed (as common equity) to a Credit Party;”</w:t>
      </w:r>
    </w:p>
    <w:p>
      <w:pPr>
        <w:spacing w:after="0" w:line="186" w:lineRule="exact"/>
        <w:rPr>
          <w:sz w:val="20"/>
          <w:szCs w:val="20"/>
          <w:color w:val="auto"/>
        </w:rPr>
      </w:pPr>
    </w:p>
    <w:p>
      <w:pPr>
        <w:ind w:left="1280" w:hanging="556"/>
        <w:spacing w:after="0"/>
        <w:tabs>
          <w:tab w:leader="none" w:pos="128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6.08</w:t>
      </w:r>
      <w:r>
        <w:rPr>
          <w:rFonts w:ascii="Times New Roman" w:cs="Times New Roman" w:eastAsia="Times New Roman" w:hAnsi="Times New Roman"/>
          <w:sz w:val="21"/>
          <w:szCs w:val="21"/>
          <w:color w:val="auto"/>
        </w:rPr>
        <w:t xml:space="preserve"> of the Credit Agreement is hereby amended by replacing clause (a)(ii) thereof in its entirety as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247" w:lineRule="exact"/>
        <w:rPr>
          <w:sz w:val="20"/>
          <w:szCs w:val="20"/>
          <w:color w:val="auto"/>
        </w:rPr>
      </w:pPr>
    </w:p>
    <w:p>
      <w:pPr>
        <w:jc w:val="both"/>
        <w:ind w:left="720"/>
        <w:spacing w:after="0" w:line="245" w:lineRule="auto"/>
        <w:rPr>
          <w:sz w:val="20"/>
          <w:szCs w:val="20"/>
          <w:color w:val="auto"/>
        </w:rPr>
      </w:pPr>
      <w:r>
        <w:rPr>
          <w:rFonts w:ascii="Times New Roman" w:cs="Times New Roman" w:eastAsia="Times New Roman" w:hAnsi="Times New Roman"/>
          <w:sz w:val="22"/>
          <w:szCs w:val="22"/>
          <w:color w:val="auto"/>
        </w:rPr>
        <w:t xml:space="preserve">“(ii) Notwithstanding anything herein to the contrary, to the extent that (a) the then outstanding principal amount of Indebtedness under the Senior Credit Agreement is converted into (or exchanged for) Capital Stock (other than Disqualified Capital Stock) of Borrower (or any Parent) and/or any Restricted Subsidiary and/or (b) the Senior Indebtedness is repaid or prepaid, in full, in cash (other than in connection with a Permitted Refinancing thereof), then, in either case, the levels for the Financial Covenant set forth in the table above shall be revised to (1) take into account the aggregate principal amount of Consolidated Total Debt outstanding on the date of such payment, exchange or conversion (after giving effect to such prepayment, exchange and/or conversion) and (2) reflect a cushion to Consolidated Adjusted EBITDA similar to the cushion then in effect immediately prior to such prepayment, exchange and/or conversion with respect to the levels set forth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on the date of such prepayment, exchange and/or conversion. Borrower and Administrative Agent may effect the provisions of this </w:t>
      </w:r>
      <w:r>
        <w:rPr>
          <w:rFonts w:ascii="Times New Roman" w:cs="Times New Roman" w:eastAsia="Times New Roman" w:hAnsi="Times New Roman"/>
          <w:sz w:val="22"/>
          <w:szCs w:val="22"/>
          <w:u w:val="single" w:color="auto"/>
          <w:color w:val="auto"/>
        </w:rPr>
        <w:t>Section 6.08(a)(ii)</w:t>
      </w:r>
      <w:r>
        <w:rPr>
          <w:rFonts w:ascii="Times New Roman" w:cs="Times New Roman" w:eastAsia="Times New Roman" w:hAnsi="Times New Roman"/>
          <w:sz w:val="22"/>
          <w:szCs w:val="22"/>
          <w:color w:val="auto"/>
        </w:rPr>
        <w:t xml:space="preserve">, without the consent of any other Credit Party, Agent or Lender, with such amendments to this Agreement and the other Credit Documents as may be necessary or appropriate, in the reasonable opinion of Administrative Agent and the Borrower. This </w:t>
      </w:r>
      <w:r>
        <w:rPr>
          <w:rFonts w:ascii="Times New Roman" w:cs="Times New Roman" w:eastAsia="Times New Roman" w:hAnsi="Times New Roman"/>
          <w:sz w:val="22"/>
          <w:szCs w:val="22"/>
          <w:u w:val="single" w:color="auto"/>
          <w:color w:val="auto"/>
        </w:rPr>
        <w:t>Section 6.08(a)(ii)</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to the contrary.”</w:t>
      </w:r>
    </w:p>
    <w:p>
      <w:pPr>
        <w:spacing w:after="0" w:line="246" w:lineRule="exact"/>
        <w:rPr>
          <w:sz w:val="20"/>
          <w:szCs w:val="20"/>
          <w:color w:val="auto"/>
        </w:rPr>
      </w:pPr>
    </w:p>
    <w:p>
      <w:pPr>
        <w:ind w:left="1260" w:hanging="536"/>
        <w:spacing w:after="0"/>
        <w:tabs>
          <w:tab w:leader="none" w:pos="12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6.08</w:t>
      </w:r>
      <w:r>
        <w:rPr>
          <w:rFonts w:ascii="Times New Roman" w:cs="Times New Roman" w:eastAsia="Times New Roman" w:hAnsi="Times New Roman"/>
          <w:sz w:val="22"/>
          <w:szCs w:val="22"/>
          <w:color w:val="auto"/>
        </w:rPr>
        <w:t xml:space="preserve"> of the Credit Agreement is hereby amended by replacing clause (b) thereof in its entirety as</w:t>
      </w:r>
    </w:p>
    <w:p>
      <w:pPr>
        <w:spacing w:after="0" w:line="44" w:lineRule="exact"/>
        <w:rPr>
          <w:rFonts w:ascii="Times New Roman" w:cs="Times New Roman" w:eastAsia="Times New Roman" w:hAnsi="Times New Roman"/>
          <w:sz w:val="22"/>
          <w:szCs w:val="22"/>
          <w:color w:val="auto"/>
        </w:rPr>
      </w:pP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follows:</w:t>
      </w:r>
    </w:p>
    <w:p>
      <w:pPr>
        <w:spacing w:after="0" w:line="260" w:lineRule="exact"/>
        <w:rPr>
          <w:sz w:val="20"/>
          <w:szCs w:val="20"/>
          <w:color w:val="auto"/>
        </w:rPr>
      </w:pPr>
    </w:p>
    <w:p>
      <w:pPr>
        <w:jc w:val="both"/>
        <w:ind w:left="720"/>
        <w:spacing w:after="0" w:line="296"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u w:val="single" w:color="auto"/>
          <w:color w:val="auto"/>
        </w:rPr>
        <w:t>Equity Cure Right</w:t>
      </w:r>
      <w:r>
        <w:rPr>
          <w:rFonts w:ascii="Times New Roman" w:cs="Times New Roman" w:eastAsia="Times New Roman" w:hAnsi="Times New Roman"/>
          <w:sz w:val="21"/>
          <w:szCs w:val="21"/>
          <w:color w:val="auto"/>
        </w:rPr>
        <w:t xml:space="preserve">. Notwithstanding anything to the contrary contained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solely for the purpose of determining whether an Event of Default has occurred under the Total Net Leverage Ratio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6.08(a)</w:t>
      </w:r>
      <w:r>
        <w:rPr>
          <w:rFonts w:ascii="Times New Roman" w:cs="Times New Roman" w:eastAsia="Times New Roman" w:hAnsi="Times New Roman"/>
          <w:sz w:val="21"/>
          <w:szCs w:val="21"/>
          <w:color w:val="auto"/>
        </w:rPr>
        <w:t xml:space="preserve"> as of the last day of any Fiscal Quarter, for the period commencing after the last day of the applicable Fiscal Quarter until the tenth (10) Business Day after the date on which financial statements for such Fiscal Quarter are required to be delivered pursuant to </w:t>
      </w:r>
      <w:r>
        <w:rPr>
          <w:rFonts w:ascii="Times New Roman" w:cs="Times New Roman" w:eastAsia="Times New Roman" w:hAnsi="Times New Roman"/>
          <w:sz w:val="21"/>
          <w:szCs w:val="21"/>
          <w:u w:val="single" w:color="auto"/>
          <w:color w:val="auto"/>
        </w:rPr>
        <w:t>Section 5.01(b)</w:t>
      </w:r>
      <w:r>
        <w:rPr>
          <w:rFonts w:ascii="Times New Roman" w:cs="Times New Roman" w:eastAsia="Times New Roman" w:hAnsi="Times New Roman"/>
          <w:sz w:val="21"/>
          <w:szCs w:val="21"/>
          <w:color w:val="auto"/>
        </w:rPr>
        <w:t xml:space="preserve"> (or in the case of the fourth Fiscal Quarter, the financial statements delivered pursuant to </w:t>
      </w:r>
      <w:r>
        <w:rPr>
          <w:rFonts w:ascii="Times New Roman" w:cs="Times New Roman" w:eastAsia="Times New Roman" w:hAnsi="Times New Roman"/>
          <w:sz w:val="21"/>
          <w:szCs w:val="21"/>
          <w:u w:val="single" w:color="auto"/>
          <w:color w:val="auto"/>
        </w:rPr>
        <w:t>Section 5.01(c)</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Cure Deadline</w:t>
      </w:r>
      <w:r>
        <w:rPr>
          <w:rFonts w:ascii="Times New Roman" w:cs="Times New Roman" w:eastAsia="Times New Roman" w:hAnsi="Times New Roman"/>
          <w:sz w:val="21"/>
          <w:szCs w:val="21"/>
          <w:color w:val="auto"/>
        </w:rPr>
        <w:t>”), Borrower (or any Parent) shall have the right to contribute Cash proceeds from a Permitted Stock Issuance to the capital of the Credit Parties prior to the Cure Deadline and apply the amount of the proceeds so contributed to increase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Times New Roman" w:cs="Times New Roman" w:eastAsia="Times New Roman" w:hAnsi="Times New Roman"/>
          <w:sz w:val="21"/>
          <w:szCs w:val="21"/>
          <w:u w:val="single" w:color="auto"/>
          <w:color w:val="auto"/>
        </w:rPr>
        <w:t>Specified Equity Contribution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Specified Equity Contribution is actually received by Borrower after the last day of the applicable Fiscal Quarter and no later than the Cure Deadline, (b) in each consecutive four (4) Fiscal Quarter period there will be at least two (2) consecutive Fiscal Quarters in which no Specified Equity Contribution is made, (c) the amount of any Specified Equity Contribution will be no greater than the amount required to cause Borrower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any Specified Equity Contribution shall be required to be applied to prepay any then outstanding principal amount of Term Loans or, subject to the Senior Subordination Agreement, the Senior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loans so prepaid shall be deemed outstanding for purposes of determining compliance with the Financial Covenant for the current Fiscal Quarter and the next three (3) Fiscal Quarters thereafter, and the cash proceeds from such Specified Equity Contribution shall not be included for cash netting purposes in the determination of Consolidated Total Debt or any financial ratio. Upon the making of any Specified Equity 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covenants at the end of such Fiscal Quarter and any subsequent period that includes such Fiscal Quarter), by an amount equal to the Specified Equity Contribution; and (B) if, after giving effect to the foregoing recalculations, Borrower shall then be in compliance with the requirements of the Financial Covenant,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w:t>
      </w:r>
    </w:p>
    <w:p>
      <w:pPr>
        <w:sectPr>
          <w:pgSz w:w="11900" w:h="16838" w:orient="portrait"/>
          <w:cols w:equalWidth="0" w:num="1">
            <w:col w:w="10660"/>
          </w:cols>
          <w:pgMar w:left="900" w:top="126" w:right="339" w:bottom="0" w:gutter="0" w:footer="0" w:header="0"/>
        </w:sectPr>
      </w:pPr>
    </w:p>
    <w:bookmarkStart w:id="100" w:name="page101"/>
    <w:bookmarkEnd w:id="100"/>
    <w:p>
      <w:pPr>
        <w:jc w:val="both"/>
        <w:ind w:left="1300"/>
        <w:spacing w:after="0" w:line="286" w:lineRule="auto"/>
        <w:rPr>
          <w:sz w:val="20"/>
          <w:szCs w:val="20"/>
          <w:color w:val="auto"/>
        </w:rPr>
      </w:pPr>
      <w:r>
        <w:rPr>
          <w:rFonts w:ascii="Times New Roman" w:cs="Times New Roman" w:eastAsia="Times New Roman" w:hAnsi="Times New Roman"/>
          <w:sz w:val="22"/>
          <w:szCs w:val="22"/>
          <w:color w:val="auto"/>
        </w:rPr>
        <w:t>purposes of this Agreement. Notwithstanding anything herein to the contrary, upon receipt by Administrative Agent of a notice from the Borrower prior to the Cure Deadline of its intent to cure such Event of Default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 Intent to Cure</w:t>
      </w:r>
      <w:r>
        <w:rPr>
          <w:rFonts w:ascii="Times New Roman" w:cs="Times New Roman" w:eastAsia="Times New Roman" w:hAnsi="Times New Roman"/>
          <w:sz w:val="22"/>
          <w:szCs w:val="22"/>
          <w:color w:val="auto"/>
        </w:rPr>
        <w:t xml:space="preserve">”), through the Cure Deadline no Default or Event of Default shall be deemed to have occurred on the basis of any failure to comply with the Financial Covenant unless such failure is not cured pursuant to the Notice of Intent to Cure on or prior to the Cure Deadline. No Specified Equity Contribution shall be applied to (i) increase the Available Amount, (ii) make any Consolidated Capital Expenditures or (iii) make an Investment pursuant to </w:t>
      </w:r>
      <w:r>
        <w:rPr>
          <w:rFonts w:ascii="Times New Roman" w:cs="Times New Roman" w:eastAsia="Times New Roman" w:hAnsi="Times New Roman"/>
          <w:sz w:val="22"/>
          <w:szCs w:val="22"/>
          <w:u w:val="single" w:color="auto"/>
          <w:color w:val="auto"/>
        </w:rPr>
        <w:t>Section 6.07(m)</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1880" w:hanging="576"/>
        <w:spacing w:after="0"/>
        <w:tabs>
          <w:tab w:leader="none" w:pos="188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10.06</w:t>
      </w:r>
      <w:r>
        <w:rPr>
          <w:rFonts w:ascii="Times New Roman" w:cs="Times New Roman" w:eastAsia="Times New Roman" w:hAnsi="Times New Roman"/>
          <w:sz w:val="21"/>
          <w:szCs w:val="21"/>
          <w:color w:val="auto"/>
        </w:rPr>
        <w:t xml:space="preserve"> of the Credit Agreement is hereby amended by replacing clause (i)(ii) thereof in its entirety as</w:t>
      </w:r>
    </w:p>
    <w:p>
      <w:pPr>
        <w:spacing w:after="0" w:line="55"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follows:</w:t>
      </w:r>
    </w:p>
    <w:p>
      <w:pPr>
        <w:spacing w:after="0" w:line="247" w:lineRule="exact"/>
        <w:rPr>
          <w:sz w:val="20"/>
          <w:szCs w:val="20"/>
          <w:color w:val="auto"/>
        </w:rPr>
      </w:pPr>
    </w:p>
    <w:p>
      <w:pPr>
        <w:jc w:val="both"/>
        <w:ind w:left="1300" w:firstLine="648"/>
        <w:spacing w:after="0" w:line="245" w:lineRule="auto"/>
        <w:rPr>
          <w:sz w:val="20"/>
          <w:szCs w:val="20"/>
          <w:color w:val="auto"/>
        </w:rPr>
      </w:pPr>
      <w:r>
        <w:rPr>
          <w:rFonts w:ascii="Times New Roman" w:cs="Times New Roman" w:eastAsia="Times New Roman" w:hAnsi="Times New Roman"/>
          <w:sz w:val="22"/>
          <w:szCs w:val="22"/>
          <w:color w:val="auto"/>
        </w:rPr>
        <w:t xml:space="preserve">“(ii) Notwithstanding anything to the contrary herein, each Affiliated Lender, in its capacity as a Lender, in its sole and absolute discretion, may make one or more capital contributions or assignments of Term Loans that it acquires in accordance with this </w:t>
      </w:r>
      <w:r>
        <w:rPr>
          <w:rFonts w:ascii="Times New Roman" w:cs="Times New Roman" w:eastAsia="Times New Roman" w:hAnsi="Times New Roman"/>
          <w:sz w:val="22"/>
          <w:szCs w:val="22"/>
          <w:u w:val="single" w:color="auto"/>
          <w:color w:val="auto"/>
        </w:rPr>
        <w:t>Section 10.06(ii)</w:t>
      </w:r>
      <w:r>
        <w:rPr>
          <w:rFonts w:ascii="Times New Roman" w:cs="Times New Roman" w:eastAsia="Times New Roman" w:hAnsi="Times New Roman"/>
          <w:sz w:val="22"/>
          <w:szCs w:val="22"/>
          <w:color w:val="auto"/>
        </w:rPr>
        <w:t xml:space="preserve"> or otherwise directly or indirectly to Borrower solely in exchange for Permitted Stock Issuances of Borrower (or any Parent) upon written notice to Administrative Agent. Immediately upon Borrower’s acquisition of Term Loans from an Affiliated Lender, such Term Loans and all rights and obligations as a Lender related thereto shall for all purposes (including under this Agreement, the other Credit Documents and otherwise) be deemed to be irrevocably prepaid, terminated, extinguished, cancelled and of no further force and effect and the Borrower shall neither obtain nor have any rights as a Lender hereunder or under the other Credit Documents by virtue of such capital contribution or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such prepayment, termination, extinguishment and cancellation, the aggregate outstanding principal amount of the Term Loans shall be deemed reduced, as of the date of such contribution, by the full par value of the aggregate principal amount of Term Loans so contributed and cancelled, and each principal repayment installment with respect to the Term Loans 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be reduced on a pro rata basis by the full par value of the aggregate principal amount of the Term Loans so contributed and cancelled.”.</w:t>
      </w:r>
    </w:p>
    <w:p>
      <w:pPr>
        <w:spacing w:after="0" w:line="200" w:lineRule="exact"/>
        <w:rPr>
          <w:sz w:val="20"/>
          <w:szCs w:val="20"/>
          <w:color w:val="auto"/>
        </w:rPr>
      </w:pPr>
    </w:p>
    <w:p>
      <w:pPr>
        <w:spacing w:after="0" w:line="302" w:lineRule="exact"/>
        <w:rPr>
          <w:sz w:val="20"/>
          <w:szCs w:val="20"/>
          <w:color w:val="auto"/>
        </w:rPr>
      </w:pPr>
    </w:p>
    <w:p>
      <w:pPr>
        <w:ind w:left="340"/>
        <w:spacing w:after="0"/>
        <w:tabs>
          <w:tab w:leader="none" w:pos="168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22"/>
          <w:szCs w:val="22"/>
          <w:u w:val="single" w:color="auto"/>
          <w:color w:val="auto"/>
        </w:rPr>
        <w:t>REFERENCE TO AND EFFECT ON THE CREDIT AGREEMENT</w:t>
      </w:r>
      <w:r>
        <w:rPr>
          <w:rFonts w:ascii="Times New Roman" w:cs="Times New Roman" w:eastAsia="Times New Roman" w:hAnsi="Times New Roman"/>
          <w:sz w:val="22"/>
          <w:szCs w:val="22"/>
          <w:color w:val="auto"/>
        </w:rPr>
        <w:t>. On and after the date hereof, each</w:t>
      </w:r>
    </w:p>
    <w:p>
      <w:pPr>
        <w:spacing w:after="0" w:line="5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2"/>
          <w:szCs w:val="22"/>
          <w:color w:val="auto"/>
        </w:rPr>
        <w:t>reference in the Credit Agreement to “this Agreement,” “hereunder,” “hereof” or text of like import referring to the Credit Agreement shall mean and be a reference to the Credit Agreement as amended by this Fifth Amendment. On and after the effectiveness of this Fifth Amendment, this Fifth Amendment shall for all purposes constitute a “Credit Document” under and as defined in the Credit Agreement and the other Credit Documents.</w:t>
      </w:r>
    </w:p>
    <w:p>
      <w:pPr>
        <w:spacing w:after="0" w:line="177" w:lineRule="exact"/>
        <w:rPr>
          <w:sz w:val="20"/>
          <w:szCs w:val="20"/>
          <w:color w:val="auto"/>
        </w:rPr>
      </w:pPr>
    </w:p>
    <w:p>
      <w:pPr>
        <w:ind w:firstLine="324"/>
        <w:spacing w:after="0" w:line="349"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1"/>
          <w:szCs w:val="21"/>
          <w:u w:val="single" w:color="auto"/>
          <w:color w:val="auto"/>
        </w:rPr>
        <w:t>REPRESENTATIONS &amp; WARRANTIES; ACKNOWLEDGEMENTS</w:t>
      </w:r>
      <w:r>
        <w:rPr>
          <w:rFonts w:ascii="Times New Roman" w:cs="Times New Roman" w:eastAsia="Times New Roman" w:hAnsi="Times New Roman"/>
          <w:sz w:val="21"/>
          <w:szCs w:val="21"/>
          <w:color w:val="auto"/>
        </w:rPr>
        <w:t>. In order to induce each Lender 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hereto and the Administrative Agent to enter into this Fifth Amendment, each Credit Party:</w:t>
      </w:r>
    </w:p>
    <w:p>
      <w:pPr>
        <w:spacing w:after="0" w:line="121" w:lineRule="exact"/>
        <w:rPr>
          <w:sz w:val="20"/>
          <w:szCs w:val="20"/>
          <w:color w:val="auto"/>
        </w:rPr>
      </w:pPr>
    </w:p>
    <w:p>
      <w:pPr>
        <w:ind w:left="1800" w:hanging="496"/>
        <w:spacing w:after="0"/>
        <w:tabs>
          <w:tab w:leader="none" w:pos="18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represents and warrants to each Lender and the Administrative Agent on and as of the Fifth Amendment</w:t>
      </w:r>
    </w:p>
    <w:p>
      <w:pPr>
        <w:spacing w:after="0" w:line="5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Effective Date, that:</w:t>
      </w:r>
    </w:p>
    <w:p>
      <w:pPr>
        <w:spacing w:after="0" w:line="260" w:lineRule="exact"/>
        <w:rPr>
          <w:rFonts w:ascii="Times New Roman" w:cs="Times New Roman" w:eastAsia="Times New Roman" w:hAnsi="Times New Roman"/>
          <w:sz w:val="20"/>
          <w:szCs w:val="20"/>
          <w:color w:val="auto"/>
        </w:rPr>
      </w:pPr>
    </w:p>
    <w:p>
      <w:pPr>
        <w:jc w:val="both"/>
        <w:ind w:left="1300" w:firstLine="652"/>
        <w:spacing w:after="0" w:line="302" w:lineRule="auto"/>
        <w:tabs>
          <w:tab w:leader="none" w:pos="242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Credit Party hereto has all requisite power and authority to execute, deliver and perform its obligations under this Fifth Amendment and the Credit Agreement, in each case, to which it is a party and to carry out the transactions contemplated thereby.</w:t>
      </w:r>
    </w:p>
    <w:p>
      <w:pPr>
        <w:spacing w:after="0" w:line="165" w:lineRule="exact"/>
        <w:rPr>
          <w:rFonts w:ascii="Times New Roman" w:cs="Times New Roman" w:eastAsia="Times New Roman" w:hAnsi="Times New Roman"/>
          <w:sz w:val="20"/>
          <w:szCs w:val="20"/>
          <w:color w:val="auto"/>
        </w:rPr>
      </w:pPr>
    </w:p>
    <w:p>
      <w:pPr>
        <w:ind w:left="1300" w:firstLine="652"/>
        <w:spacing w:after="0" w:line="322" w:lineRule="auto"/>
        <w:tabs>
          <w:tab w:leader="none" w:pos="242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execution, delivery and performance of this Fifth Amendment have been duly authorized by all necessary action on the part of each Credit Party that is a party thereto.</w:t>
      </w:r>
    </w:p>
    <w:p>
      <w:pPr>
        <w:spacing w:after="0" w:line="144" w:lineRule="exact"/>
        <w:rPr>
          <w:rFonts w:ascii="Times New Roman" w:cs="Times New Roman" w:eastAsia="Times New Roman" w:hAnsi="Times New Roman"/>
          <w:sz w:val="20"/>
          <w:szCs w:val="20"/>
          <w:color w:val="auto"/>
        </w:rPr>
      </w:pPr>
    </w:p>
    <w:p>
      <w:pPr>
        <w:jc w:val="both"/>
        <w:ind w:left="1300" w:firstLine="652"/>
        <w:spacing w:after="0" w:line="291" w:lineRule="auto"/>
        <w:tabs>
          <w:tab w:leader="none" w:pos="251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This Fifth Amendment has been duly executed and delivered by each Credit Party that is a party 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80" w:lineRule="exact"/>
        <w:rPr>
          <w:rFonts w:ascii="Times New Roman" w:cs="Times New Roman" w:eastAsia="Times New Roman" w:hAnsi="Times New Roman"/>
          <w:sz w:val="20"/>
          <w:szCs w:val="20"/>
          <w:color w:val="auto"/>
        </w:rPr>
      </w:pPr>
    </w:p>
    <w:p>
      <w:pPr>
        <w:jc w:val="both"/>
        <w:ind w:left="1300" w:firstLine="652"/>
        <w:spacing w:after="0" w:line="288" w:lineRule="auto"/>
        <w:tabs>
          <w:tab w:leader="none" w:pos="245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Each of the representations and warranties set forth in the Credit Agreement and in the other Credit Documents is true and correct in all material respects on and as of the Fifth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representation and warranty that is qualified as to “materiality,” “Material Adverse Effect” or similar language shall be true and correct (after giving effect to any qualification therein) in all respects on such respective dates.</w:t>
      </w:r>
    </w:p>
    <w:p>
      <w:pPr>
        <w:sectPr>
          <w:pgSz w:w="11900" w:h="16838" w:orient="portrait"/>
          <w:cols w:equalWidth="0" w:num="1">
            <w:col w:w="11240"/>
          </w:cols>
          <w:pgMar w:left="320" w:top="139" w:right="339" w:bottom="0" w:gutter="0" w:footer="0" w:header="0"/>
        </w:sectPr>
      </w:pPr>
    </w:p>
    <w:bookmarkStart w:id="101" w:name="page102"/>
    <w:bookmarkEnd w:id="101"/>
    <w:p>
      <w:pPr>
        <w:spacing w:after="0" w:line="2" w:lineRule="exact"/>
        <w:rPr>
          <w:sz w:val="20"/>
          <w:szCs w:val="20"/>
          <w:color w:val="auto"/>
        </w:rPr>
      </w:pPr>
    </w:p>
    <w:p>
      <w:pPr>
        <w:ind w:firstLine="1304"/>
        <w:spacing w:after="0" w:line="322" w:lineRule="auto"/>
        <w:tabs>
          <w:tab w:leader="none" w:pos="173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acknowledges and agrees for the benefit of each Lender and the Administrative Agent on and as of the Fifth Amendment Effective Date, that:</w:t>
      </w:r>
    </w:p>
    <w:p>
      <w:pPr>
        <w:spacing w:after="0" w:line="144" w:lineRule="exact"/>
        <w:rPr>
          <w:rFonts w:ascii="Times New Roman" w:cs="Times New Roman" w:eastAsia="Times New Roman" w:hAnsi="Times New Roman"/>
          <w:sz w:val="20"/>
          <w:szCs w:val="20"/>
          <w:color w:val="auto"/>
        </w:rPr>
      </w:pPr>
    </w:p>
    <w:p>
      <w:pPr>
        <w:jc w:val="both"/>
        <w:ind w:left="1300" w:firstLine="652"/>
        <w:spacing w:after="0" w:line="295" w:lineRule="auto"/>
        <w:tabs>
          <w:tab w:leader="none" w:pos="242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 right of offset, recoupment, defense, counterclaim, claim, cause of action or objection exists in favor of such Credit Party against Administrative Agent or any Lender arising out of or with respect to (x) the Obligations, this Fifth Amendment or the other Credit Documents, (y) any other documents now or heretofore evidencing, securing or in any way relating to the foregoing, or (z) the administration or funding of the Loans;</w:t>
      </w:r>
    </w:p>
    <w:p>
      <w:pPr>
        <w:spacing w:after="0" w:line="173" w:lineRule="exact"/>
        <w:rPr>
          <w:rFonts w:ascii="Times New Roman" w:cs="Times New Roman" w:eastAsia="Times New Roman" w:hAnsi="Times New Roman"/>
          <w:sz w:val="20"/>
          <w:szCs w:val="20"/>
          <w:color w:val="auto"/>
        </w:rPr>
      </w:pPr>
    </w:p>
    <w:p>
      <w:pPr>
        <w:jc w:val="both"/>
        <w:ind w:left="1300" w:firstLine="652"/>
        <w:spacing w:after="0" w:line="304" w:lineRule="auto"/>
        <w:tabs>
          <w:tab w:leader="none" w:pos="2410"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(x) Administrative Agent’s and Requisite Lenders’ agreement to agree to the amendments contained herein does not and shall not create (nor shall any Credit Party rely upon the existence of or claim or assert that there exists) any obligation of Administrative Agent or any Lender to consider or agree to any further waiver, consent or amendment with respect to any Credit Document, and (y) in the event that Administrative Agent or any Lender subsequently agrees to consider any further waiver, consent or amendment with respect to any Credit Document, neither this Fifth Amendment nor any other conduct of Administrative Agent or any Lender shall be of any force and effect on Administrative Agent’s or any Lender’s consideration or decision with respect thereto.</w:t>
      </w:r>
    </w:p>
    <w:p>
      <w:pPr>
        <w:spacing w:after="0" w:line="167" w:lineRule="exact"/>
        <w:rPr>
          <w:sz w:val="20"/>
          <w:szCs w:val="20"/>
          <w:color w:val="auto"/>
        </w:rPr>
      </w:pPr>
    </w:p>
    <w:p>
      <w:pPr>
        <w:ind w:right="20" w:firstLine="324"/>
        <w:spacing w:after="0" w:line="349"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1"/>
          <w:szCs w:val="21"/>
          <w:u w:val="single" w:color="auto"/>
          <w:color w:val="auto"/>
        </w:rPr>
        <w:t>CONDITIONS PRECEDENT</w:t>
      </w:r>
      <w:r>
        <w:rPr>
          <w:rFonts w:ascii="Times New Roman" w:cs="Times New Roman" w:eastAsia="Times New Roman" w:hAnsi="Times New Roman"/>
          <w:sz w:val="21"/>
          <w:szCs w:val="21"/>
          <w:color w:val="auto"/>
        </w:rPr>
        <w:t>. This Fifth Amendment shall become effective as of the first date (the “</w:t>
      </w: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Amendment Effective Date</w:t>
      </w:r>
      <w:r>
        <w:rPr>
          <w:rFonts w:ascii="Times New Roman" w:cs="Times New Roman" w:eastAsia="Times New Roman" w:hAnsi="Times New Roman"/>
          <w:sz w:val="21"/>
          <w:szCs w:val="21"/>
          <w:color w:val="auto"/>
        </w:rPr>
        <w:t xml:space="preserve">”) when each of the conditions set forth in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shall have been satisfied:</w:t>
      </w:r>
    </w:p>
    <w:p>
      <w:pPr>
        <w:spacing w:after="0" w:line="121" w:lineRule="exact"/>
        <w:rPr>
          <w:sz w:val="20"/>
          <w:szCs w:val="20"/>
          <w:color w:val="auto"/>
        </w:rPr>
      </w:pPr>
    </w:p>
    <w:p>
      <w:pPr>
        <w:jc w:val="both"/>
        <w:ind w:firstLine="1304"/>
        <w:spacing w:after="0" w:line="302" w:lineRule="auto"/>
        <w:tabs>
          <w:tab w:leader="none" w:pos="176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Administrative Agent shall have received a duly authorized, executed and delivered counterpart of the signature page to this Fifth Amendment (whether the same or different counterparts) from each Credit Party named on the signature pages hereto, the Administrative Agent and the Requisite Lenders.</w:t>
      </w:r>
    </w:p>
    <w:p>
      <w:pPr>
        <w:spacing w:after="0" w:line="165" w:lineRule="exact"/>
        <w:rPr>
          <w:rFonts w:ascii="Times New Roman" w:cs="Times New Roman" w:eastAsia="Times New Roman" w:hAnsi="Times New Roman"/>
          <w:sz w:val="20"/>
          <w:szCs w:val="20"/>
          <w:color w:val="auto"/>
        </w:rPr>
      </w:pPr>
    </w:p>
    <w:p>
      <w:pPr>
        <w:jc w:val="both"/>
        <w:ind w:firstLine="1304"/>
        <w:spacing w:after="0" w:line="302" w:lineRule="auto"/>
        <w:tabs>
          <w:tab w:leader="none" w:pos="1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Administrative Agent shall have received a fully-executed copy of the Fifth Amendment to the Senior Credit Agreement (the “</w:t>
      </w:r>
      <w:r>
        <w:rPr>
          <w:rFonts w:ascii="Times New Roman" w:cs="Times New Roman" w:eastAsia="Times New Roman" w:hAnsi="Times New Roman"/>
          <w:sz w:val="22"/>
          <w:szCs w:val="22"/>
          <w:u w:val="single" w:color="auto"/>
          <w:color w:val="auto"/>
        </w:rPr>
        <w:t>Senior Credit Agreement Amendment</w:t>
      </w:r>
      <w:r>
        <w:rPr>
          <w:rFonts w:ascii="Times New Roman" w:cs="Times New Roman" w:eastAsia="Times New Roman" w:hAnsi="Times New Roman"/>
          <w:sz w:val="22"/>
          <w:szCs w:val="22"/>
          <w:color w:val="auto"/>
        </w:rPr>
        <w:t>”), in form and substance reasonably satisfactory to the Administrative Agent.</w:t>
      </w:r>
    </w:p>
    <w:p>
      <w:pPr>
        <w:spacing w:after="0" w:line="165" w:lineRule="exact"/>
        <w:rPr>
          <w:rFonts w:ascii="Times New Roman" w:cs="Times New Roman" w:eastAsia="Times New Roman" w:hAnsi="Times New Roman"/>
          <w:sz w:val="20"/>
          <w:szCs w:val="20"/>
          <w:color w:val="auto"/>
        </w:rPr>
      </w:pPr>
    </w:p>
    <w:p>
      <w:pPr>
        <w:ind w:firstLine="1304"/>
        <w:spacing w:after="0" w:line="322" w:lineRule="auto"/>
        <w:tabs>
          <w:tab w:leader="none" w:pos="169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effectiveness of the Senior Credit Agreement Amendment shall have occurred or shall occur concurrently with the effectiveness of this Fifth Amendment.</w:t>
      </w:r>
    </w:p>
    <w:p>
      <w:pPr>
        <w:spacing w:after="0" w:line="110" w:lineRule="exact"/>
        <w:rPr>
          <w:rFonts w:ascii="Times New Roman" w:cs="Times New Roman" w:eastAsia="Times New Roman" w:hAnsi="Times New Roman"/>
          <w:sz w:val="20"/>
          <w:szCs w:val="20"/>
          <w:color w:val="auto"/>
        </w:rPr>
      </w:pPr>
    </w:p>
    <w:p>
      <w:pPr>
        <w:jc w:val="both"/>
        <w:ind w:firstLine="1304"/>
        <w:spacing w:after="0" w:line="305" w:lineRule="exact"/>
        <w:tabs>
          <w:tab w:leader="none" w:pos="173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Borrower shall have paid all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pocket fees and expenses (including the reasonable and documented legal fees and expenses of Hunton Andrews Kurth LLP, counsel to Administrative Agent) required to be paid or reimbursed by Borrower under this Fifth Amendment and the Credit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 invoice for all such fees and expenses shall be received by Borrower at least one (1) Business Day prior to the Fifth Amendment Effective Date.</w:t>
      </w:r>
    </w:p>
    <w:p>
      <w:pPr>
        <w:spacing w:after="0" w:line="232" w:lineRule="exact"/>
        <w:rPr>
          <w:rFonts w:ascii="Times New Roman" w:cs="Times New Roman" w:eastAsia="Times New Roman" w:hAnsi="Times New Roman"/>
          <w:sz w:val="19"/>
          <w:szCs w:val="19"/>
          <w:color w:val="auto"/>
        </w:rPr>
      </w:pPr>
    </w:p>
    <w:p>
      <w:pPr>
        <w:jc w:val="both"/>
        <w:ind w:firstLine="1304"/>
        <w:spacing w:after="0" w:line="302" w:lineRule="auto"/>
        <w:tabs>
          <w:tab w:leader="none" w:pos="173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Both immediately before and after giving effect to this Fifth Amendment, (i) no Default or Event of Default shall have occurred or be continuing or result therefrom and (ii) the representations and warranties contained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Fifth Amendment shall be true and correct.</w:t>
      </w:r>
    </w:p>
    <w:p>
      <w:pPr>
        <w:spacing w:after="0" w:line="166"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1"/>
          <w:szCs w:val="21"/>
          <w:u w:val="single" w:color="auto"/>
          <w:color w:val="auto"/>
        </w:rPr>
        <w:t>REAFFIRMATION</w:t>
      </w:r>
      <w:r>
        <w:rPr>
          <w:rFonts w:ascii="Times New Roman" w:cs="Times New Roman" w:eastAsia="Times New Roman" w:hAnsi="Times New Roman"/>
          <w:sz w:val="21"/>
          <w:szCs w:val="21"/>
          <w:color w:val="auto"/>
        </w:rPr>
        <w:t>. To induce the Lenders party hereto and Administrative Agent to enter into this Fifth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Amendment, each of the Credit Parties hereby acknowledges and reaffirms its obligations under each Credit Document to which it is a party, in each case, as amended, restated, supplemented or otherwise modified prior to or as of the date hereof. Each Credit Party acknowledges and agrees that (a) each of the Credit Documents to which it is a party or otherwise bound shall continue in full force and effect, that all of its obligations thereunder shall be valid and enforceable and shall not be impaired or limited by the execution or effectiveness of this Fifth Amendment and (b) there are no rights of set-off or counterclaim, nor any defenses of any kind, whether legal, equitable or otherwise, that would enable such Credit Party to avoid or delay timely performance of its obligations under the Credit Documents.</w:t>
      </w:r>
    </w:p>
    <w:p>
      <w:pPr>
        <w:spacing w:after="0" w:line="175" w:lineRule="exact"/>
        <w:rPr>
          <w:sz w:val="20"/>
          <w:szCs w:val="20"/>
          <w:color w:val="auto"/>
        </w:rPr>
      </w:pPr>
    </w:p>
    <w:p>
      <w:pPr>
        <w:ind w:left="340"/>
        <w:spacing w:after="0"/>
        <w:tabs>
          <w:tab w:leader="none" w:pos="152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21"/>
          <w:szCs w:val="21"/>
          <w:u w:val="single" w:color="auto"/>
          <w:color w:val="auto"/>
        </w:rPr>
        <w:t>MISCELLANEOUS PROVISIONS</w:t>
      </w:r>
      <w:r>
        <w:rPr>
          <w:rFonts w:ascii="Times New Roman" w:cs="Times New Roman" w:eastAsia="Times New Roman" w:hAnsi="Times New Roman"/>
          <w:sz w:val="21"/>
          <w:szCs w:val="21"/>
          <w:color w:val="auto"/>
        </w:rPr>
        <w:t>.</w:t>
      </w:r>
    </w:p>
    <w:p>
      <w:pPr>
        <w:spacing w:after="0" w:line="285" w:lineRule="exact"/>
        <w:rPr>
          <w:sz w:val="20"/>
          <w:szCs w:val="20"/>
          <w:color w:val="auto"/>
        </w:rPr>
      </w:pPr>
    </w:p>
    <w:p>
      <w:pPr>
        <w:jc w:val="both"/>
        <w:ind w:firstLine="1304"/>
        <w:spacing w:after="0" w:line="291" w:lineRule="auto"/>
        <w:tabs>
          <w:tab w:leader="none" w:pos="18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This Fifth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80" w:lineRule="exact"/>
        <w:rPr>
          <w:rFonts w:ascii="Times New Roman" w:cs="Times New Roman" w:eastAsia="Times New Roman" w:hAnsi="Times New Roman"/>
          <w:sz w:val="20"/>
          <w:szCs w:val="20"/>
          <w:color w:val="auto"/>
        </w:rPr>
      </w:pPr>
    </w:p>
    <w:p>
      <w:pPr>
        <w:ind w:firstLine="1304"/>
        <w:spacing w:after="0" w:line="322" w:lineRule="auto"/>
        <w:tabs>
          <w:tab w:leader="none" w:pos="170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 Submission to Jurisdiction,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10.14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10.16</w:t>
      </w:r>
      <w:r>
        <w:rPr>
          <w:rFonts w:ascii="Times New Roman" w:cs="Times New Roman" w:eastAsia="Times New Roman" w:hAnsi="Times New Roman"/>
          <w:sz w:val="22"/>
          <w:szCs w:val="22"/>
          <w:color w:val="auto"/>
        </w:rPr>
        <w:t xml:space="preserve"> of the Credit Agreement are incorporated by reference herein as if such Sections appeared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ectPr>
          <w:pgSz w:w="11900" w:h="16840" w:orient="portrait"/>
          <w:cols w:equalWidth="0" w:num="1">
            <w:col w:w="11240"/>
          </w:cols>
          <w:pgMar w:left="320" w:top="139" w:right="339" w:bottom="0" w:gutter="0" w:footer="0" w:header="0"/>
        </w:sectPr>
      </w:pPr>
    </w:p>
    <w:bookmarkStart w:id="102" w:name="page103"/>
    <w:bookmarkEnd w:id="102"/>
    <w:p>
      <w:pPr>
        <w:ind w:firstLine="1304"/>
        <w:spacing w:after="0" w:line="322" w:lineRule="auto"/>
        <w:tabs>
          <w:tab w:leader="none" w:pos="17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 xml:space="preserve"> of the Credit Agreement is incorporated by reference herein as if such Section appeared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0"/>
          <w:szCs w:val="20"/>
          <w:color w:val="auto"/>
        </w:rPr>
      </w:pPr>
    </w:p>
    <w:p>
      <w:pPr>
        <w:jc w:val="both"/>
        <w:ind w:firstLine="1304"/>
        <w:spacing w:after="0" w:line="287" w:lineRule="auto"/>
        <w:tabs>
          <w:tab w:leader="none" w:pos="1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 Headings</w:t>
      </w:r>
      <w:r>
        <w:rPr>
          <w:rFonts w:ascii="Times New Roman" w:cs="Times New Roman" w:eastAsia="Times New Roman" w:hAnsi="Times New Roman"/>
          <w:sz w:val="22"/>
          <w:szCs w:val="22"/>
          <w:color w:val="auto"/>
        </w:rPr>
        <w:t xml:space="preserve">. This Fifth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Fifth Amendment shall be effective as delivery of an original executed counterpart of this Fifth Amendment. The Administrative Agent may also require that signatures delivered by telecopier, .pdf or other electronic imaging means be confirmed by a manually signed original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request or deliver the same shall not limit the effectiveness of this Fifth Amendment or signature delivered by telecopier, .pdf or other electronic imaging means. Section headings herein are included for convenience of reference only and shall not affect the interpretation of this Fifth Amendment.</w:t>
      </w:r>
    </w:p>
    <w:p>
      <w:pPr>
        <w:spacing w:after="0" w:line="185" w:lineRule="exact"/>
        <w:rPr>
          <w:rFonts w:ascii="Times New Roman" w:cs="Times New Roman" w:eastAsia="Times New Roman" w:hAnsi="Times New Roman"/>
          <w:sz w:val="20"/>
          <w:szCs w:val="20"/>
          <w:color w:val="auto"/>
        </w:rPr>
      </w:pPr>
    </w:p>
    <w:p>
      <w:pPr>
        <w:jc w:val="both"/>
        <w:ind w:firstLine="1304"/>
        <w:spacing w:after="0" w:line="291" w:lineRule="auto"/>
        <w:tabs>
          <w:tab w:leader="none" w:pos="17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xml:space="preserve">. The Borrower hereby agrees to pay and reimburse the Administrative Agent and the Lead Arranger for their respective reasonable and documented out-of-pocket expenses in connection with the negotiation, preparation, syndication and execution and delivery of this Fifth Amendment, including the reasonable fees, charges and disbursements of one counsel for the Administrative Agent and the Lead Arranger, all in accordance with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xml:space="preserve"> of the Credit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648"/>
        <w:spacing w:after="0" w:line="309" w:lineRule="auto"/>
        <w:rPr>
          <w:sz w:val="20"/>
          <w:szCs w:val="20"/>
          <w:color w:val="auto"/>
        </w:rPr>
      </w:pPr>
      <w:r>
        <w:rPr>
          <w:rFonts w:ascii="Times New Roman" w:cs="Times New Roman" w:eastAsia="Times New Roman" w:hAnsi="Times New Roman"/>
          <w:sz w:val="22"/>
          <w:szCs w:val="22"/>
          <w:color w:val="auto"/>
        </w:rPr>
        <w:t>IN WITNESS WHEREOF, the parties hereto have executed and delivered this Fifth Amendment as of the date first above written.</w:t>
      </w:r>
    </w:p>
    <w:p>
      <w:pPr>
        <w:spacing w:after="0" w:line="141"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BORROWER:</w:t>
      </w:r>
      <w:r>
        <w:rPr>
          <w:sz w:val="20"/>
          <w:szCs w:val="20"/>
          <w:color w:val="auto"/>
        </w:rPr>
        <w:tab/>
      </w:r>
      <w:r>
        <w:rPr>
          <w:rFonts w:ascii="Times New Roman" w:cs="Times New Roman" w:eastAsia="Times New Roman" w:hAnsi="Times New Roman"/>
          <w:sz w:val="22"/>
          <w:szCs w:val="22"/>
          <w:b w:val="1"/>
          <w:bCs w:val="1"/>
          <w:color w:val="auto"/>
        </w:rPr>
        <w:t>PRIORITY HOLDINGS, LLC</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48"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color w:val="auto"/>
        </w:rPr>
        <w:t>GUARANTORS:</w:t>
      </w:r>
      <w:r>
        <w:rPr>
          <w:sz w:val="20"/>
          <w:szCs w:val="20"/>
          <w:color w:val="auto"/>
        </w:rPr>
        <w:tab/>
      </w:r>
      <w:r>
        <w:rPr>
          <w:rFonts w:ascii="Times New Roman" w:cs="Times New Roman" w:eastAsia="Times New Roman" w:hAnsi="Times New Roman"/>
          <w:sz w:val="22"/>
          <w:szCs w:val="22"/>
          <w:b w:val="1"/>
          <w:bCs w:val="1"/>
          <w:color w:val="auto"/>
        </w:rPr>
        <w:t>PIPELINE CYNERGY HOLDINGS, LLC</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PRIORITY INSTITUTIONAL PARTNER SERVICES LLC</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PRIORITY PAYMENT SYSTEMS HOLDINGS LLC</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1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PRIORITY PAYMENT SYSTEMS LLC</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Chairman and CEO</w:t>
      </w:r>
    </w:p>
    <w:p>
      <w:pPr>
        <w:sectPr>
          <w:pgSz w:w="11900" w:h="16838" w:orient="portrait"/>
          <w:cols w:equalWidth="0" w:num="1">
            <w:col w:w="11240"/>
          </w:cols>
          <w:pgMar w:left="320" w:top="207" w:right="339" w:bottom="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FINCOR SYSTEMS LLC</w:t>
      </w:r>
    </w:p>
    <w:p>
      <w:pPr>
        <w:sectPr>
          <w:pgSz w:w="11900" w:h="16838" w:orient="portrait"/>
          <w:cols w:equalWidth="0" w:num="1">
            <w:col w:w="11240"/>
          </w:cols>
          <w:pgMar w:left="320" w:top="207" w:right="339" w:bottom="48" w:gutter="0" w:footer="0" w:header="0"/>
          <w:type w:val="continuous"/>
        </w:sectPr>
      </w:pPr>
    </w:p>
    <w:bookmarkStart w:id="103" w:name="page104"/>
    <w:bookmarkEnd w:id="103"/>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PIPELINE CYNERGY INC.</w:t>
      </w: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CYNERGY HOLDINGS, LLC</w:t>
      </w: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CYNERGY DATA, LLC</w:t>
      </w: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PRIORITY PAYMENT EXPRESS SYSTEMS LLC</w:t>
      </w: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PRIORITY INTEGRATED PARTNER HOLDINGS, LLC</w:t>
      </w:r>
    </w:p>
    <w:p>
      <w:pPr>
        <w:spacing w:after="0" w:line="27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PRIORITY PAYRIGHT HEALTH SOLUTIONS, LLC</w:t>
      </w: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ROSCO ALPHA DELTA, LLC</w:t>
      </w: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0" w:lineRule="exact"/>
        <w:rPr>
          <w:sz w:val="20"/>
          <w:szCs w:val="20"/>
          <w:color w:val="auto"/>
        </w:rPr>
      </w:pPr>
    </w:p>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PRIORITY REAL ESTATE TECHNOLOGY, LLC</w:t>
      </w: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C. PRIORE</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Thomas C. Priore</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Chairman and CEO</w:t>
      </w:r>
    </w:p>
    <w:p>
      <w:pPr>
        <w:sectPr>
          <w:pgSz w:w="11900" w:h="16838" w:orient="portrait"/>
          <w:cols w:equalWidth="0" w:num="1">
            <w:col w:w="9019"/>
          </w:cols>
          <w:pgMar w:left="1440" w:top="126" w:right="1440" w:bottom="481" w:gutter="0" w:footer="0" w:header="0"/>
        </w:sectPr>
      </w:pPr>
    </w:p>
    <w:bookmarkStart w:id="104" w:name="page105"/>
    <w:bookmarkEnd w:id="104"/>
    <w:p>
      <w:pPr>
        <w:spacing w:after="0"/>
        <w:tabs>
          <w:tab w:leader="none" w:pos="3880" w:val="left"/>
        </w:tabs>
        <w:rPr>
          <w:sz w:val="20"/>
          <w:szCs w:val="20"/>
          <w:color w:val="auto"/>
        </w:rPr>
      </w:pPr>
      <w:r>
        <w:rPr>
          <w:rFonts w:ascii="Times New Roman" w:cs="Times New Roman" w:eastAsia="Times New Roman" w:hAnsi="Times New Roman"/>
          <w:sz w:val="22"/>
          <w:szCs w:val="22"/>
          <w:color w:val="auto"/>
        </w:rPr>
        <w:t>ADMINISTRATIVE AGENT:</w:t>
      </w:r>
      <w:r>
        <w:rPr>
          <w:sz w:val="20"/>
          <w:szCs w:val="20"/>
          <w:color w:val="auto"/>
        </w:rPr>
        <w:tab/>
      </w:r>
      <w:r>
        <w:rPr>
          <w:rFonts w:ascii="Times New Roman" w:cs="Times New Roman" w:eastAsia="Times New Roman" w:hAnsi="Times New Roman"/>
          <w:sz w:val="21"/>
          <w:szCs w:val="21"/>
          <w:b w:val="1"/>
          <w:bCs w:val="1"/>
          <w:color w:val="auto"/>
        </w:rPr>
        <w:t>GOLDMAN SACHS SPECIALTY LENDING GROUP, L.P.</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JUSTIN BETZEN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Justin Betzen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89"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1"/>
          <w:szCs w:val="21"/>
          <w:color w:val="auto"/>
        </w:rPr>
        <w:t>LENDERS:</w:t>
      </w:r>
      <w:r>
        <w:rPr>
          <w:sz w:val="20"/>
          <w:szCs w:val="20"/>
          <w:color w:val="auto"/>
        </w:rPr>
        <w:tab/>
      </w:r>
      <w:r>
        <w:rPr>
          <w:rFonts w:ascii="Times New Roman" w:cs="Times New Roman" w:eastAsia="Times New Roman" w:hAnsi="Times New Roman"/>
          <w:sz w:val="21"/>
          <w:szCs w:val="21"/>
          <w:b w:val="1"/>
          <w:bCs w:val="1"/>
          <w:color w:val="auto"/>
        </w:rPr>
        <w:t>GOLDMAN SACHS SPECIALTY LENDING HOLDINGS, INC.</w:t>
      </w:r>
    </w:p>
    <w:p>
      <w:pPr>
        <w:spacing w:after="0" w:line="2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JUSTIN BETZEN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Justin Betzen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139"/>
          </w:cols>
          <w:pgMar w:left="320" w:top="176"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 AS ADOPTED PURSUANT TO SECTION 303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 Priore, certify that:</w:t>
      </w:r>
    </w:p>
    <w:p>
      <w:pPr>
        <w:spacing w:after="0" w:line="225"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Priority Technology Holdings,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40" w:hanging="324"/>
        <w:spacing w:after="0" w:line="255"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p>
      <w:pPr>
        <w:ind w:left="880"/>
        <w:spacing w:after="0"/>
        <w:tabs>
          <w:tab w:leader="none" w:pos="6660" w:val="left"/>
        </w:tabs>
        <w:rPr>
          <w:sz w:val="20"/>
          <w:szCs w:val="20"/>
          <w:color w:val="auto"/>
        </w:rPr>
      </w:pPr>
      <w:r>
        <w:rPr>
          <w:rFonts w:ascii="Times New Roman" w:cs="Times New Roman" w:eastAsia="Times New Roman" w:hAnsi="Times New Roman"/>
          <w:sz w:val="18"/>
          <w:szCs w:val="18"/>
          <w:color w:val="auto"/>
        </w:rPr>
        <w:t>August 14, 2019</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34290</wp:posOffset>
            </wp:positionV>
            <wp:extent cx="3831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31590" cy="17145"/>
                    </a:xfrm>
                    <a:prstGeom prst="rect">
                      <a:avLst/>
                    </a:prstGeom>
                    <a:noFill/>
                  </pic:spPr>
                </pic:pic>
              </a:graphicData>
            </a:graphic>
          </wp:anchor>
        </w:drawing>
      </w:r>
    </w:p>
    <w:p>
      <w:pPr>
        <w:spacing w:after="0" w:line="70"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61"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63" w:lineRule="exact"/>
        <w:rPr>
          <w:sz w:val="20"/>
          <w:szCs w:val="20"/>
          <w:color w:val="auto"/>
        </w:rPr>
      </w:pPr>
    </w:p>
    <w:p>
      <w:pPr>
        <w:jc w:val="center"/>
        <w:ind w:left="3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ind w:left="340" w:right="260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Vollkommer, certify that:</w:t>
      </w:r>
    </w:p>
    <w:p>
      <w:pPr>
        <w:spacing w:after="0" w:line="225"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Priority Technology Holdings,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57" w:lineRule="auto"/>
        <w:tabs>
          <w:tab w:leader="none" w:pos="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40" w:hanging="324"/>
        <w:spacing w:after="0" w:line="255" w:lineRule="auto"/>
        <w:tabs>
          <w:tab w:leader="none" w:pos="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p>
      <w:pPr>
        <w:ind w:left="140"/>
        <w:spacing w:after="0"/>
        <w:tabs>
          <w:tab w:leader="none" w:pos="7840" w:val="left"/>
        </w:tabs>
        <w:rPr>
          <w:sz w:val="20"/>
          <w:szCs w:val="20"/>
          <w:color w:val="auto"/>
        </w:rPr>
      </w:pPr>
      <w:r>
        <w:rPr>
          <w:rFonts w:ascii="Times New Roman" w:cs="Times New Roman" w:eastAsia="Times New Roman" w:hAnsi="Times New Roman"/>
          <w:sz w:val="18"/>
          <w:szCs w:val="18"/>
          <w:color w:val="auto"/>
        </w:rPr>
        <w:t>August 14, 2019</w:t>
      </w:r>
      <w:r>
        <w:rPr>
          <w:sz w:val="20"/>
          <w:szCs w:val="20"/>
          <w:color w:val="auto"/>
        </w:rPr>
        <w:tab/>
      </w:r>
      <w:r>
        <w:rPr>
          <w:rFonts w:ascii="Times New Roman" w:cs="Times New Roman" w:eastAsia="Times New Roman" w:hAnsi="Times New Roman"/>
          <w:sz w:val="17"/>
          <w:szCs w:val="17"/>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30861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7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Michael Vollkommer</w:t>
      </w:r>
    </w:p>
    <w:p>
      <w:pPr>
        <w:spacing w:after="0" w:line="61"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39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Priority Technology Holdings, Inc. (the "Company") for the quarter ended June 30, 2019 as filed with the Securities and Exchange Commission (the "Report"), each of the undersigned, on the dates indicated below, hereby certifies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Act of 1934;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August 14, 2019</w:t>
      </w:r>
      <w:r>
        <w:rPr>
          <w:sz w:val="20"/>
          <w:szCs w:val="20"/>
          <w:color w:val="auto"/>
        </w:rPr>
        <w:tab/>
      </w:r>
      <w:r>
        <w:rPr>
          <w:rFonts w:ascii="Times New Roman" w:cs="Times New Roman" w:eastAsia="Times New Roman" w:hAnsi="Times New Roman"/>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34290</wp:posOffset>
            </wp:positionV>
            <wp:extent cx="42005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Thomas C. Priore</w:t>
      </w:r>
    </w:p>
    <w:p>
      <w:pPr>
        <w:spacing w:after="0" w:line="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w:t>
      </w:r>
    </w:p>
    <w:p>
      <w:pPr>
        <w:spacing w:after="0" w:line="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tabs>
          <w:tab w:leader="none" w:pos="4660" w:val="left"/>
        </w:tabs>
        <w:rPr>
          <w:sz w:val="20"/>
          <w:szCs w:val="20"/>
          <w:color w:val="auto"/>
        </w:rPr>
      </w:pPr>
      <w:r>
        <w:rPr>
          <w:rFonts w:ascii="Times New Roman" w:cs="Times New Roman" w:eastAsia="Times New Roman" w:hAnsi="Times New Roman"/>
          <w:sz w:val="18"/>
          <w:szCs w:val="18"/>
          <w:color w:val="auto"/>
        </w:rPr>
        <w:t>August 14, 2019</w:t>
      </w:r>
      <w:r>
        <w:rPr>
          <w:sz w:val="20"/>
          <w:szCs w:val="20"/>
          <w:color w:val="auto"/>
        </w:rPr>
        <w:tab/>
      </w:r>
      <w:r>
        <w:rPr>
          <w:rFonts w:ascii="Times New Roman" w:cs="Times New Roman" w:eastAsia="Times New Roman" w:hAnsi="Times New Roman"/>
          <w:sz w:val="17"/>
          <w:szCs w:val="17"/>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34290</wp:posOffset>
            </wp:positionV>
            <wp:extent cx="42005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Michael Vollkommer</w:t>
      </w:r>
    </w:p>
    <w:p>
      <w:pPr>
        <w:spacing w:after="0" w:line="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800"/>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lvl w:ilvl="1">
      <w:lvlJc w:val="left"/>
      <w:lvlText w:val="-"/>
      <w:numFmt w:val="bullet"/>
      <w:start w:val="1"/>
    </w:lvl>
  </w:abstractNum>
  <w:abstractNum w:abstractNumId="5">
    <w:nsid w:val="2463B9EA"/>
    <w:multiLevelType w:val="hybridMultilevel"/>
    <w:lvl w:ilvl="0">
      <w:lvlJc w:val="left"/>
      <w:lvlText w:val="%1."/>
      <w:numFmt w:val="decimal"/>
      <w:start w:val="11"/>
    </w:lvl>
  </w:abstractNum>
  <w:abstractNum w:abstractNumId="6">
    <w:nsid w:val="5E884ADC"/>
    <w:multiLevelType w:val="hybridMultilevel"/>
    <w:lvl w:ilvl="0">
      <w:lvlJc w:val="left"/>
      <w:lvlText w:val="(%1)"/>
      <w:numFmt w:val="lowerLetter"/>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16"/>
    </w:lvl>
  </w:abstractNum>
  <w:abstractNum w:abstractNumId="9">
    <w:nsid w:val="580BD78F"/>
    <w:multiLevelType w:val="hybridMultilevel"/>
    <w:lvl w:ilvl="0">
      <w:lvlJc w:val="left"/>
      <w:lvlText w:val="(%1)"/>
      <w:numFmt w:val="lowerLetter"/>
      <w:start w:val="1"/>
    </w:lvl>
    <w:lvl w:ilvl="1">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lvl w:ilvl="1">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1)"/>
      <w:numFmt w:val="lowerLetter"/>
      <w:start w:val="1"/>
    </w:lvl>
  </w:abstractNum>
  <w:abstractNum w:abstractNumId="15">
    <w:nsid w:val="1D4ED43B"/>
    <w:multiLevelType w:val="hybridMultilevel"/>
    <w:lvl w:ilvl="0">
      <w:lvlJc w:val="left"/>
      <w:lvlText w:val="(%1)"/>
      <w:numFmt w:val="lowerLetter"/>
      <w:start w:val="1"/>
    </w:lvl>
  </w:abstractNum>
  <w:abstractNum w:abstractNumId="16">
    <w:nsid w:val="725A06FB"/>
    <w:multiLevelType w:val="hybridMultilevel"/>
    <w:lvl w:ilvl="0">
      <w:lvlJc w:val="left"/>
      <w:lvlText w:val="(%1)"/>
      <w:numFmt w:val="lowerLetter"/>
      <w:start w:val="1"/>
    </w:lvl>
  </w:abstractNum>
  <w:abstractNum w:abstractNumId="17">
    <w:nsid w:val="2CD89A32"/>
    <w:multiLevelType w:val="hybridMultilevel"/>
    <w:lvl w:ilvl="0">
      <w:lvlJc w:val="left"/>
      <w:lvlText w:val="(%1)"/>
      <w:numFmt w:val="lowerLetter"/>
      <w:start w:val="1"/>
    </w:lvl>
  </w:abstractNum>
  <w:abstractNum w:abstractNumId="18">
    <w:nsid w:val="57E4CCAF"/>
    <w:multiLevelType w:val="hybridMultilevel"/>
    <w:lvl w:ilvl="0">
      <w:lvlJc w:val="left"/>
      <w:lvlText w:val="(%1)"/>
      <w:numFmt w:val="lowerLetter"/>
      <w:start w:val="2"/>
    </w:lvl>
  </w:abstractNum>
  <w:abstractNum w:abstractNumId="19">
    <w:nsid w:val="7A6D8D3C"/>
    <w:multiLevelType w:val="hybridMultilevel"/>
    <w:lvl w:ilvl="0">
      <w:lvlJc w:val="left"/>
      <w:lvlText w:val="%1."/>
      <w:numFmt w:val="lowerLetter"/>
      <w:start w:val="1"/>
    </w:lvl>
  </w:abstractNum>
  <w:abstractNum w:abstractNumId="20">
    <w:nsid w:val="4B588F54"/>
    <w:multiLevelType w:val="hybridMultilevel"/>
    <w:lvl w:ilvl="0">
      <w:lvlJc w:val="left"/>
      <w:lvlText w:val="(%1)"/>
      <w:numFmt w:val="upperLetter"/>
      <w:start w:val="35"/>
    </w:lvl>
  </w:abstractNum>
  <w:abstractNum w:abstractNumId="21">
    <w:nsid w:val="542289EC"/>
    <w:multiLevelType w:val="hybridMultilevel"/>
    <w:lvl w:ilvl="0">
      <w:lvlJc w:val="left"/>
      <w:lvlText w:val="(%1)"/>
      <w:numFmt w:val="lowerLetter"/>
      <w:start w:val="1"/>
    </w:lvl>
    <w:lvl w:ilvl="1">
      <w:lvlJc w:val="left"/>
      <w:lvlText w:val="(%2)"/>
      <w:numFmt w:val="lowerRoman"/>
      <w:start w:val="1"/>
    </w:lvl>
  </w:abstractNum>
  <w:abstractNum w:abstractNumId="22">
    <w:nsid w:val="6DE91B18"/>
    <w:multiLevelType w:val="hybridMultilevel"/>
    <w:lvl w:ilvl="0">
      <w:lvlJc w:val="left"/>
      <w:lvlText w:val="%1"/>
      <w:numFmt w:val="lowerLetter"/>
      <w:start w:val="1"/>
    </w:lvl>
    <w:lvl w:ilvl="1">
      <w:lvlJc w:val="left"/>
      <w:lvlText w:val="(%2)"/>
      <w:numFmt w:val="lowerRoman"/>
      <w:start w:val="4"/>
    </w:lvl>
  </w:abstractNum>
  <w:abstractNum w:abstractNumId="23">
    <w:nsid w:val="38437FDB"/>
    <w:multiLevelType w:val="hybridMultilevel"/>
    <w:lvl w:ilvl="0">
      <w:lvlJc w:val="left"/>
      <w:lvlText w:val="(%1)"/>
      <w:numFmt w:val="lowerLetter"/>
      <w:start w:val="2"/>
    </w:lvl>
    <w:lvl w:ilvl="1">
      <w:lvlJc w:val="left"/>
      <w:lvlText w:val="(%2)"/>
      <w:numFmt w:val="lowerRoman"/>
      <w:start w:val="1"/>
    </w:lvl>
  </w:abstractNum>
  <w:abstractNum w:abstractNumId="24">
    <w:nsid w:val="7644A45C"/>
    <w:multiLevelType w:val="hybridMultilevel"/>
    <w:lvl w:ilvl="0">
      <w:lvlJc w:val="left"/>
      <w:lvlText w:val="(%1)"/>
      <w:numFmt w:val="lowerLetter"/>
      <w:start w:val="1"/>
    </w:lvl>
  </w:abstractNum>
  <w:abstractNum w:abstractNumId="25">
    <w:nsid w:val="32FFF902"/>
    <w:multiLevelType w:val="hybridMultilevel"/>
    <w:lvl w:ilvl="0">
      <w:lvlJc w:val="left"/>
      <w:lvlText w:val="(%1)"/>
      <w:numFmt w:val="lowerLetter"/>
      <w:start w:val="3"/>
    </w:lvl>
  </w:abstractNum>
  <w:abstractNum w:abstractNumId="26">
    <w:nsid w:val="684A481A"/>
    <w:multiLevelType w:val="hybridMultilevel"/>
    <w:lvl w:ilvl="0">
      <w:lvlJc w:val="left"/>
      <w:lvlText w:val="(%1)"/>
      <w:numFmt w:val="lowerLetter"/>
      <w:start w:val="1"/>
    </w:lvl>
  </w:abstractNum>
  <w:abstractNum w:abstractNumId="27">
    <w:nsid w:val="579478FE"/>
    <w:multiLevelType w:val="hybridMultilevel"/>
    <w:lvl w:ilvl="0">
      <w:lvlJc w:val="left"/>
      <w:lvlText w:val="(%1)"/>
      <w:numFmt w:val="lowerLetter"/>
      <w:start w:val="5"/>
    </w:lvl>
  </w:abstractNum>
  <w:abstractNum w:abstractNumId="28">
    <w:nsid w:val="749ABB43"/>
    <w:multiLevelType w:val="hybridMultilevel"/>
    <w:lvl w:ilvl="0">
      <w:lvlJc w:val="left"/>
      <w:lvlText w:val="(%1)"/>
      <w:numFmt w:val="lowerLetter"/>
      <w:start w:val="1"/>
    </w:lvl>
  </w:abstractNum>
  <w:abstractNum w:abstractNumId="29">
    <w:nsid w:val="3DC240FB"/>
    <w:multiLevelType w:val="hybridMultilevel"/>
    <w:lvl w:ilvl="0">
      <w:lvlJc w:val="left"/>
      <w:lvlText w:val="(%1)"/>
      <w:numFmt w:val="lowerLetter"/>
      <w:start w:val="2"/>
    </w:lvl>
  </w:abstractNum>
  <w:abstractNum w:abstractNumId="30">
    <w:nsid w:val="1BA026FA"/>
    <w:multiLevelType w:val="hybridMultilevel"/>
    <w:lvl w:ilvl="0">
      <w:lvlJc w:val="left"/>
      <w:lvlText w:val="(%1)"/>
      <w:numFmt w:val="lowerRoman"/>
      <w:start w:val="2"/>
    </w:lvl>
  </w:abstractNum>
  <w:abstractNum w:abstractNumId="31">
    <w:nsid w:val="79A1DEAA"/>
    <w:multiLevelType w:val="hybridMultilevel"/>
    <w:lvl w:ilvl="0">
      <w:lvlJc w:val="left"/>
      <w:lvlText w:val="%1"/>
      <w:numFmt w:val="lowerLetter"/>
      <w:start w:val="1"/>
    </w:lvl>
    <w:lvl w:ilvl="1">
      <w:lvlJc w:val="left"/>
      <w:lvlText w:val="(%2)"/>
      <w:numFmt w:val="lowerLetter"/>
      <w:start w:val="2"/>
    </w:lvl>
  </w:abstractNum>
  <w:abstractNum w:abstractNumId="32">
    <w:nsid w:val="75C6C33A"/>
    <w:multiLevelType w:val="hybridMultilevel"/>
    <w:lvl w:ilvl="0">
      <w:lvlJc w:val="left"/>
      <w:lvlText w:val="(%1)"/>
      <w:numFmt w:val="lowerLetter"/>
      <w:start w:val="61"/>
    </w:lvl>
    <w:lvl w:ilvl="1">
      <w:lvlJc w:val="left"/>
      <w:lvlText w:val="%2"/>
      <w:numFmt w:val="lowerLetter"/>
      <w:start w:val="1"/>
    </w:lvl>
  </w:abstractNum>
  <w:abstractNum w:abstractNumId="33">
    <w:nsid w:val="12E685FB"/>
    <w:multiLevelType w:val="hybridMultilevel"/>
    <w:lvl w:ilvl="0">
      <w:lvlJc w:val="left"/>
      <w:lvlText w:val="(%1)"/>
      <w:numFmt w:val="lowerRoman"/>
      <w:start w:val="1"/>
    </w:lvl>
  </w:abstractNum>
  <w:abstractNum w:abstractNumId="34">
    <w:nsid w:val="70C6A529"/>
    <w:multiLevelType w:val="hybridMultilevel"/>
    <w:lvl w:ilvl="0">
      <w:lvlJc w:val="left"/>
      <w:lvlText w:val="(%1)"/>
      <w:numFmt w:val="lowerRoman"/>
      <w:start w:val="7"/>
    </w:lvl>
  </w:abstractNum>
  <w:abstractNum w:abstractNumId="35">
    <w:nsid w:val="520EEDD1"/>
    <w:multiLevelType w:val="hybridMultilevel"/>
    <w:lvl w:ilvl="0">
      <w:lvlJc w:val="left"/>
      <w:lvlText w:val="(%1)"/>
      <w:numFmt w:val="lowerLetter"/>
      <w:start w:val="3"/>
    </w:lvl>
  </w:abstractNum>
  <w:abstractNum w:abstractNumId="36">
    <w:nsid w:val="374A3FE6"/>
    <w:multiLevelType w:val="hybridMultilevel"/>
    <w:lvl w:ilvl="0">
      <w:lvlJc w:val="left"/>
      <w:lvlText w:val="(%1)"/>
      <w:numFmt w:val="lowerLetter"/>
      <w:start w:val="22"/>
    </w:lvl>
    <w:lvl w:ilvl="1">
      <w:lvlJc w:val="left"/>
      <w:lvlText w:val="(%2)"/>
      <w:numFmt w:val="lowerLetter"/>
      <w:start w:val="4"/>
    </w:lvl>
  </w:abstractNum>
  <w:abstractNum w:abstractNumId="37">
    <w:nsid w:val="4F4EF005"/>
    <w:multiLevelType w:val="hybridMultilevel"/>
    <w:lvl w:ilvl="0">
      <w:lvlJc w:val="left"/>
      <w:lvlText w:val="(%1)"/>
      <w:numFmt w:val="lowerLetter"/>
      <w:start w:val="5"/>
    </w:lvl>
  </w:abstractNum>
  <w:abstractNum w:abstractNumId="38">
    <w:nsid w:val="23F9C13C"/>
    <w:multiLevelType w:val="hybridMultilevel"/>
    <w:lvl w:ilvl="0">
      <w:lvlJc w:val="left"/>
      <w:lvlText w:val="(%1)"/>
      <w:numFmt w:val="decimal"/>
      <w:start w:val="2"/>
    </w:lvl>
  </w:abstractNum>
  <w:abstractNum w:abstractNumId="39">
    <w:nsid w:val="649BB77C"/>
    <w:multiLevelType w:val="hybridMultilevel"/>
    <w:lvl w:ilvl="0">
      <w:lvlJc w:val="left"/>
      <w:lvlText w:val="(%1)"/>
      <w:numFmt w:val="lowerLetter"/>
      <w:start w:val="7"/>
    </w:lvl>
  </w:abstractNum>
  <w:abstractNum w:abstractNumId="40">
    <w:nsid w:val="275AC794"/>
    <w:multiLevelType w:val="hybridMultilevel"/>
    <w:lvl w:ilvl="0">
      <w:lvlJc w:val="left"/>
      <w:lvlText w:val="%1"/>
      <w:numFmt w:val="lowerRoman"/>
      <w:start w:val="1"/>
    </w:lvl>
    <w:lvl w:ilvl="1">
      <w:lvlJc w:val="left"/>
      <w:lvlText w:val="(%2)"/>
      <w:numFmt w:val="lowerLetter"/>
      <w:start w:val="1"/>
    </w:lvl>
  </w:abstractNum>
  <w:abstractNum w:abstractNumId="41">
    <w:nsid w:val="39386575"/>
    <w:multiLevelType w:val="hybridMultilevel"/>
    <w:lvl w:ilvl="0">
      <w:lvlJc w:val="left"/>
      <w:lvlText w:val="(%1)"/>
      <w:numFmt w:val="lowerRoman"/>
      <w:start w:val="1"/>
    </w:lvl>
    <w:lvl w:ilvl="1">
      <w:lvlJc w:val="left"/>
      <w:lvlText w:val="%2"/>
      <w:numFmt w:val="lowerLetter"/>
      <w:start w:val="1"/>
    </w:lvl>
  </w:abstractNum>
  <w:abstractNum w:abstractNumId="42">
    <w:nsid w:val="1CF10FD8"/>
    <w:multiLevelType w:val="hybridMultilevel"/>
    <w:lvl w:ilvl="0">
      <w:lvlJc w:val="left"/>
      <w:lvlText w:val="(%1)"/>
      <w:numFmt w:val="lowerRoman"/>
      <w:start w:val="3"/>
    </w:lvl>
  </w:abstractNum>
  <w:abstractNum w:abstractNumId="43">
    <w:nsid w:val="180115BE"/>
    <w:multiLevelType w:val="hybridMultilevel"/>
    <w:lvl w:ilvl="0">
      <w:lvlJc w:val="left"/>
      <w:lvlText w:val="%1"/>
      <w:numFmt w:val="lowerRoman"/>
      <w:start w:val="1"/>
    </w:lvl>
    <w:lvl w:ilvl="1">
      <w:lvlJc w:val="left"/>
      <w:lvlText w:val="(%2)"/>
      <w:numFmt w:val="lowerLetter"/>
      <w:start w:val="2"/>
    </w:lvl>
  </w:abstractNum>
  <w:abstractNum w:abstractNumId="44">
    <w:nsid w:val="235BA861"/>
    <w:multiLevelType w:val="hybridMultilevel"/>
    <w:lvl w:ilvl="0">
      <w:lvlJc w:val="left"/>
      <w:lvlText w:val="(%1)"/>
      <w:numFmt w:val="lowerRoman"/>
      <w:start w:val="1"/>
    </w:lvl>
    <w:lvl w:ilvl="1">
      <w:lvlJc w:val="left"/>
      <w:lvlText w:val="%2"/>
      <w:numFmt w:val="lowerLetter"/>
      <w:start w:val="1"/>
    </w:lvl>
  </w:abstractNum>
  <w:abstractNum w:abstractNumId="45">
    <w:nsid w:val="47398C89"/>
    <w:multiLevelType w:val="hybridMultilevel"/>
    <w:lvl w:ilvl="0">
      <w:lvlJc w:val="left"/>
      <w:lvlText w:val="(%1)"/>
      <w:numFmt w:val="lowerRoman"/>
      <w:start w:val="1"/>
    </w:lvl>
  </w:abstractNum>
  <w:abstractNum w:abstractNumId="46">
    <w:nsid w:val="354FE9F9"/>
    <w:multiLevelType w:val="hybridMultilevel"/>
    <w:lvl w:ilvl="0">
      <w:lvlJc w:val="left"/>
      <w:lvlText w:val="(%1)"/>
      <w:numFmt w:val="lowerLetter"/>
      <w:start w:val="1"/>
    </w:lvl>
  </w:abstractNum>
  <w:abstractNum w:abstractNumId="47">
    <w:nsid w:val="15B5AF5C"/>
    <w:multiLevelType w:val="hybridMultilevel"/>
    <w:lvl w:ilvl="0">
      <w:lvlJc w:val="left"/>
      <w:lvlText w:val="(%1)"/>
      <w:numFmt w:val="lowerLetter"/>
      <w:start w:val="2"/>
    </w:lvl>
  </w:abstractNum>
  <w:abstractNum w:abstractNumId="48">
    <w:nsid w:val="741226BB"/>
    <w:multiLevelType w:val="hybridMultilevel"/>
    <w:lvl w:ilvl="0">
      <w:lvlJc w:val="left"/>
      <w:lvlText w:val="(%1)"/>
      <w:numFmt w:val="lowerLetter"/>
      <w:start w:val="1"/>
    </w:lvl>
  </w:abstractNum>
  <w:abstractNum w:abstractNumId="49">
    <w:nsid w:val="D34B6A8"/>
    <w:multiLevelType w:val="hybridMultilevel"/>
    <w:lvl w:ilvl="0">
      <w:lvlJc w:val="left"/>
      <w:lvlText w:val="(%1)"/>
      <w:numFmt w:val="lowerLetter"/>
      <w:start w:val="5"/>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1)"/>
      <w:numFmt w:val="lowerLetter"/>
      <w:start w:val="2"/>
    </w:lvl>
  </w:abstractNum>
  <w:abstractNum w:abstractNumId="52">
    <w:nsid w:val="61574095"/>
    <w:multiLevelType w:val="hybridMultilevel"/>
    <w:lvl w:ilvl="0">
      <w:lvlJc w:val="left"/>
      <w:lvlText w:val="%1"/>
      <w:numFmt w:val="lowerLetter"/>
      <w:start w:val="1"/>
    </w:lvl>
    <w:lvl w:ilvl="1">
      <w:lvlJc w:val="left"/>
      <w:lvlText w:val="(%2)"/>
      <w:numFmt w:val="lowerLetter"/>
      <w:start w:val="3"/>
    </w:lvl>
  </w:abstractNum>
  <w:abstractNum w:abstractNumId="53">
    <w:nsid w:val="7E0C57B1"/>
    <w:multiLevelType w:val="hybridMultilevel"/>
    <w:lvl w:ilvl="0">
      <w:lvlJc w:val="left"/>
      <w:lvlText w:val="(%1)"/>
      <w:numFmt w:val="lowerLetter"/>
      <w:start w:val="61"/>
    </w:lvl>
    <w:lvl w:ilvl="1">
      <w:lvlJc w:val="left"/>
      <w:lvlText w:val="%2"/>
      <w:numFmt w:val="lowerLetter"/>
      <w:start w:val="1"/>
    </w:lvl>
  </w:abstractNum>
  <w:abstractNum w:abstractNumId="54">
    <w:nsid w:val="77AE35EB"/>
    <w:multiLevelType w:val="hybridMultilevel"/>
    <w:lvl w:ilvl="0">
      <w:lvlJc w:val="left"/>
      <w:lvlText w:val="(%1)"/>
      <w:numFmt w:val="lowerRoman"/>
      <w:start w:val="1"/>
    </w:lvl>
  </w:abstractNum>
  <w:abstractNum w:abstractNumId="55">
    <w:nsid w:val="579BE4F1"/>
    <w:multiLevelType w:val="hybridMultilevel"/>
    <w:lvl w:ilvl="0">
      <w:lvlJc w:val="left"/>
      <w:lvlText w:val="(%1)"/>
      <w:numFmt w:val="lowerRoman"/>
      <w:start w:val="1"/>
    </w:lvl>
    <w:lvl w:ilvl="1">
      <w:lvlJc w:val="left"/>
      <w:lvlText w:val="(%2)"/>
      <w:numFmt w:val="decimal"/>
      <w:start w:val="1"/>
    </w:lvl>
  </w:abstractNum>
  <w:abstractNum w:abstractNumId="56">
    <w:nsid w:val="310C50B3"/>
    <w:multiLevelType w:val="hybridMultilevel"/>
    <w:lvl w:ilvl="0">
      <w:lvlJc w:val="left"/>
      <w:lvlText w:val="(%1)"/>
      <w:numFmt w:val="lowerRoman"/>
      <w:start w:val="7"/>
    </w:lvl>
  </w:abstractNum>
  <w:abstractNum w:abstractNumId="57">
    <w:nsid w:val="5FF87E05"/>
    <w:multiLevelType w:val="hybridMultilevel"/>
    <w:lvl w:ilvl="0">
      <w:lvlJc w:val="left"/>
      <w:lvlText w:val="(%1)"/>
      <w:numFmt w:val="lowerLetter"/>
      <w:start w:val="3"/>
    </w:lvl>
  </w:abstractNum>
  <w:abstractNum w:abstractNumId="58">
    <w:nsid w:val="2F305DEF"/>
    <w:multiLevelType w:val="hybridMultilevel"/>
    <w:lvl w:ilvl="0">
      <w:lvlJc w:val="left"/>
      <w:lvlText w:val="%1"/>
      <w:numFmt w:val="lowerLetter"/>
      <w:start w:val="1"/>
    </w:lvl>
    <w:lvl w:ilvl="1">
      <w:lvlJc w:val="left"/>
      <w:lvlText w:val="(%2)"/>
      <w:numFmt w:val="lowerLetter"/>
      <w:start w:val="22"/>
    </w:lvl>
  </w:abstractNum>
  <w:abstractNum w:abstractNumId="59">
    <w:nsid w:val="25A70BF7"/>
    <w:multiLevelType w:val="hybridMultilevel"/>
    <w:lvl w:ilvl="0">
      <w:lvlJc w:val="left"/>
      <w:lvlText w:val="(%1)"/>
      <w:numFmt w:val="lowerLetter"/>
      <w:start w:val="4"/>
    </w:lvl>
    <w:lvl w:ilvl="1">
      <w:lvlJc w:val="left"/>
      <w:lvlText w:val="%2"/>
      <w:numFmt w:val="lowerLetter"/>
      <w:start w:val="1"/>
    </w:lvl>
  </w:abstractNum>
  <w:abstractNum w:abstractNumId="60">
    <w:nsid w:val="1DBABF00"/>
    <w:multiLevelType w:val="hybridMultilevel"/>
    <w:lvl w:ilvl="0">
      <w:lvlJc w:val="left"/>
      <w:lvlText w:val="(%1)"/>
      <w:numFmt w:val="lowerLetter"/>
      <w:start w:val="5"/>
    </w:lvl>
  </w:abstractNum>
  <w:abstractNum w:abstractNumId="61">
    <w:nsid w:val="4AD084E9"/>
    <w:multiLevelType w:val="hybridMultilevel"/>
    <w:lvl w:ilvl="0">
      <w:lvlJc w:val="left"/>
      <w:lvlText w:val="(%1)"/>
      <w:numFmt w:val="lowerLetter"/>
      <w:start w:val="6"/>
    </w:lvl>
  </w:abstractNum>
  <w:abstractNum w:abstractNumId="62">
    <w:nsid w:val="1F48EAA1"/>
    <w:multiLevelType w:val="hybridMultilevel"/>
    <w:lvl w:ilvl="0">
      <w:lvlJc w:val="left"/>
      <w:lvlText w:val="(%1)"/>
      <w:numFmt w:val="lowerLetter"/>
      <w:start w:val="7"/>
    </w:lvl>
  </w:abstractNum>
  <w:abstractNum w:abstractNumId="63">
    <w:nsid w:val="1381823A"/>
    <w:multiLevelType w:val="hybridMultilevel"/>
    <w:lvl w:ilvl="0">
      <w:lvlJc w:val="left"/>
      <w:lvlText w:val="(%1)"/>
      <w:numFmt w:val="lowerLetter"/>
      <w:start w:val="1"/>
    </w:lvl>
    <w:lvl w:ilvl="1">
      <w:lvlJc w:val="left"/>
      <w:lvlText w:val="(%2)"/>
      <w:numFmt w:val="lowerRoman"/>
      <w:start w:val="1"/>
    </w:lvl>
  </w:abstractNum>
  <w:abstractNum w:abstractNumId="64">
    <w:nsid w:val="5DB70AE5"/>
    <w:multiLevelType w:val="hybridMultilevel"/>
    <w:lvl w:ilvl="0">
      <w:lvlJc w:val="left"/>
      <w:lvlText w:val="(%1)"/>
      <w:numFmt w:val="lowerLetter"/>
      <w:start w:val="2"/>
    </w:lvl>
    <w:lvl w:ilvl="1">
      <w:lvlJc w:val="left"/>
      <w:lvlText w:val="(%2)"/>
      <w:numFmt w:val="lowerRoman"/>
      <w:start w:val="1"/>
    </w:lvl>
  </w:abstractNum>
  <w:abstractNum w:abstractNumId="65">
    <w:nsid w:val="100F8FCA"/>
    <w:multiLevelType w:val="hybridMultilevel"/>
    <w:lvl w:ilvl="0">
      <w:lvlJc w:val="left"/>
      <w:lvlText w:val="(%1)"/>
      <w:numFmt w:val="lowerLetter"/>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lowerLetter"/>
      <w:start w:val="3"/>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2020-10-08T00:20:51Z</dcterms:created>
  <dcterms:modified xsi:type="dcterms:W3CDTF">2020-10-08T00:20:51Z</dcterms:modified>
</cp:coreProperties>
</file>