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May 11, 2022</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44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88" w:lineRule="exact"/>
        <w:rPr>
          <w:sz w:val="20"/>
          <w:szCs w:val="20"/>
          <w:color w:val="auto"/>
        </w:rPr>
      </w:pPr>
    </w:p>
    <w:p>
      <w:pPr>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On May 11, 2022, Priority Technology Holdings, Inc. ("Priority") issued a press release announcing its financial results for the quarter ended March 31, 2022.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On May 11, 2022, Priority will hold an earnings conference call and webcast at 11:00 a.m. (Eastern Time) to discuss the financial results for the quarter ended March 31, 2022.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May 11, 2022</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11, 2022</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Michael Vollkommer</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98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16510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ckettmann@lincolnchurchilladvisors.com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Priority Technology Holdings, Inc. Announces First Quarter Financial Results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Strong First Quarter Revenue Growth Across all Business Segments</w:t>
      </w:r>
    </w:p>
    <w:p>
      <w:pPr>
        <w:spacing w:after="0" w:line="176" w:lineRule="exact"/>
        <w:rPr>
          <w:sz w:val="20"/>
          <w:szCs w:val="20"/>
          <w:color w:val="auto"/>
        </w:rPr>
      </w:pPr>
    </w:p>
    <w:p>
      <w:pPr>
        <w:ind w:right="240"/>
        <w:spacing w:after="0" w:line="324" w:lineRule="auto"/>
        <w:rPr>
          <w:sz w:val="20"/>
          <w:szCs w:val="20"/>
          <w:color w:val="auto"/>
        </w:rPr>
      </w:pPr>
      <w:r>
        <w:rPr>
          <w:rFonts w:ascii="Times New Roman" w:cs="Times New Roman" w:eastAsia="Times New Roman" w:hAnsi="Times New Roman"/>
          <w:sz w:val="13"/>
          <w:szCs w:val="13"/>
          <w:color w:val="auto"/>
        </w:rPr>
        <w:t>ALPHARETTA, GA - May 11, 2022 -- Priority Technology Holdings, Inc. (NASDAQ: PRTH) ("Priority" or the "Company"), a leading payments technology company helping customers collect, store and send money, today announced its first quarter 2022 financial results including strong quarter-over-quarter diversified revenue growth.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First Quarter 2022, Compared with First Quarter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first quarter of 2022 compared with the first quarter of 2021, are as follows:</w:t>
      </w:r>
    </w:p>
    <w:p>
      <w:pPr>
        <w:spacing w:after="0" w:line="175" w:lineRule="exact"/>
        <w:rPr>
          <w:sz w:val="20"/>
          <w:szCs w:val="20"/>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$153.2 million increased 35.2% from $113.3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$51.8 million increased $20.4 million from $31.4 million.</w:t>
      </w:r>
    </w:p>
    <w:p>
      <w:pPr>
        <w:spacing w:after="0" w:line="7"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33.8% increased 610 basis points from 27.7%.</w:t>
      </w: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$10.8 million increased 140.0% from $4.5 million.</w:t>
      </w:r>
    </w:p>
    <w:p>
      <w:pPr>
        <w:spacing w:after="0" w:line="1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$30.3 million increased 68.3% from $18.0 million.</w:t>
      </w:r>
    </w:p>
    <w:p>
      <w:pPr>
        <w:spacing w:after="0" w:line="94" w:lineRule="exact"/>
        <w:rPr>
          <w:rFonts w:ascii="Times New Roman" w:cs="Times New Roman" w:eastAsia="Times New Roman" w:hAnsi="Times New Roman"/>
          <w:sz w:val="13"/>
          <w:szCs w:val="13"/>
          <w:color w:val="auto"/>
        </w:rPr>
      </w:pPr>
    </w:p>
    <w:p>
      <w:pPr>
        <w:ind w:left="260" w:right="700" w:hanging="108"/>
        <w:spacing w:after="0" w:line="21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i w:val="1"/>
          <w:iCs w:val="1"/>
          <w:color w:val="auto"/>
        </w:rPr>
        <w:t xml:space="preserve"> See "Non-GAAP Financial Measures" and the reconciliations of Gross Profit, Gross Profit Margin, and Adjusted EBITDA, to their most comparable GAAP measures provided below for additional information.</w:t>
      </w:r>
    </w:p>
    <w:p>
      <w:pPr>
        <w:spacing w:after="0" w:line="29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3"/>
          <w:szCs w:val="13"/>
          <w:color w:val="auto"/>
        </w:rPr>
        <w:t>"The momentum we established in 2021 continued to build in the first quarter of 2022 driven by strong growth in each of our business segments," said Tom Priore, Chairman and CEO of Priority. "Priority’s modern commerce platform is being embraced by customers in SMB, B2B and Enterprise payments and our results – particularly through the recent economic turbulence – clearly demonstrate our strong competitive positioning that can continue to achieve industry leading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51"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2022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70707"/>
        </w:rPr>
        <w:t>Priority's outlook remains strong and we are reaffirming our full-year 2022 guidance.</w:t>
      </w:r>
    </w:p>
    <w:p>
      <w:pPr>
        <w:spacing w:after="0" w:line="17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is forecasted to range between $650 million to $665 million, a growth rate of 26% to 29%.</w:t>
      </w:r>
    </w:p>
    <w:p>
      <w:pPr>
        <w:spacing w:after="0" w:line="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is forecasted to range between $145 million to $150 million, a growth rate of 51% to 56%.</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86" w:lineRule="exact"/>
        <w:rPr>
          <w:sz w:val="20"/>
          <w:szCs w:val="20"/>
          <w:color w:val="auto"/>
        </w:rPr>
      </w:pPr>
    </w:p>
    <w:p>
      <w:pPr>
        <w:ind w:right="60"/>
        <w:spacing w:after="0" w:line="324" w:lineRule="auto"/>
        <w:rPr>
          <w:sz w:val="20"/>
          <w:szCs w:val="20"/>
          <w:color w:val="auto"/>
        </w:rPr>
      </w:pPr>
      <w:r>
        <w:rPr>
          <w:rFonts w:ascii="Times New Roman" w:cs="Times New Roman" w:eastAsia="Times New Roman" w:hAnsi="Times New Roman"/>
          <w:sz w:val="13"/>
          <w:szCs w:val="13"/>
          <w:color w:val="070707"/>
        </w:rPr>
        <w:t>Priority Technology Holdings, Inc.'s leadership will host a conference call on Wednesday, May 11, 2022 at 11:00 a.m. EDT to discuss its first quarter 2022 financial results. Participants can access the call by p</w:t>
      </w:r>
      <w:r>
        <w:rPr>
          <w:rFonts w:ascii="Times New Roman" w:cs="Times New Roman" w:eastAsia="Times New Roman" w:hAnsi="Times New Roman"/>
          <w:sz w:val="13"/>
          <w:szCs w:val="13"/>
          <w:color w:val="000000"/>
        </w:rPr>
        <w:t>hone</w:t>
      </w:r>
      <w:r>
        <w:rPr>
          <w:rFonts w:ascii="Times New Roman" w:cs="Times New Roman" w:eastAsia="Times New Roman" w:hAnsi="Times New Roman"/>
          <w:sz w:val="13"/>
          <w:szCs w:val="13"/>
          <w:color w:val="070707"/>
        </w:rPr>
        <w:t xml:space="preserve"> </w:t>
      </w:r>
      <w:r>
        <w:rPr>
          <w:rFonts w:ascii="Times New Roman" w:cs="Times New Roman" w:eastAsia="Times New Roman" w:hAnsi="Times New Roman"/>
          <w:sz w:val="13"/>
          <w:szCs w:val="13"/>
          <w:color w:val="000000"/>
        </w:rPr>
        <w:t>in the U.S. or Canada at (877) 501-3161 or internationally at (786) 815-8443.</w:t>
      </w:r>
    </w:p>
    <w:p>
      <w:pPr>
        <w:spacing w:after="0" w:line="100"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3"/>
          <w:szCs w:val="13"/>
          <w:color w:val="auto"/>
        </w:rPr>
        <w:t>The Internet webcast link and accompanying slide presentation can be accessed at https://edge.media-server.com/mmc/p/sorgi7rd and will also be posted in the "Investor Relations" section of the Company's website at www.PRTH.com.</w:t>
      </w:r>
    </w:p>
    <w:p>
      <w:pPr>
        <w:spacing w:after="0" w:line="92" w:lineRule="exact"/>
        <w:rPr>
          <w:sz w:val="20"/>
          <w:szCs w:val="20"/>
          <w:color w:val="auto"/>
        </w:rPr>
      </w:pPr>
    </w:p>
    <w:p>
      <w:pPr>
        <w:ind w:right="340"/>
        <w:spacing w:after="0" w:line="324"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May 18, 2022 at 2:00 p.m. EDT. To listen to the audio replay, dial (855) 859-2056 or (404) 537-3406 and enter conference ID number </w:t>
      </w:r>
      <w:r>
        <w:rPr>
          <w:rFonts w:ascii="Times New Roman" w:cs="Times New Roman" w:eastAsia="Times New Roman" w:hAnsi="Times New Roman"/>
          <w:sz w:val="13"/>
          <w:szCs w:val="13"/>
          <w:b w:val="1"/>
          <w:bCs w:val="1"/>
          <w:color w:val="auto"/>
        </w:rPr>
        <w:t>7068926</w:t>
      </w:r>
      <w:r>
        <w:rPr>
          <w:rFonts w:ascii="Times New Roman" w:cs="Times New Roman" w:eastAsia="Times New Roman" w:hAnsi="Times New Roman"/>
          <w:sz w:val="13"/>
          <w:szCs w:val="13"/>
          <w:color w:val="auto"/>
        </w:rPr>
        <w:t>. Alternatively, you may access the webcast replay in the "Investor Relations" section of the Company's website at www.PRTH.com.</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Gross Profit Margin</w:t>
      </w:r>
    </w:p>
    <w:p>
      <w:pPr>
        <w:spacing w:after="0" w:line="179" w:lineRule="exact"/>
        <w:rPr>
          <w:sz w:val="20"/>
          <w:szCs w:val="20"/>
          <w:color w:val="auto"/>
        </w:rPr>
      </w:pPr>
    </w:p>
    <w:p>
      <w:pPr>
        <w:ind w:right="160"/>
        <w:spacing w:after="0" w:line="324" w:lineRule="auto"/>
        <w:rPr>
          <w:sz w:val="20"/>
          <w:szCs w:val="20"/>
          <w:color w:val="auto"/>
        </w:rPr>
      </w:pPr>
      <w:r>
        <w:rPr>
          <w:rFonts w:ascii="Times New Roman" w:cs="Times New Roman" w:eastAsia="Times New Roman" w:hAnsi="Times New Roman"/>
          <w:sz w:val="13"/>
          <w:szCs w:val="13"/>
          <w:color w:val="auto"/>
        </w:rPr>
        <w:t>The Company's non-GAAP gross profit metric represents revenues less costs of services. Gross profit margin is gross profit divided by revenues. We review these non-GAAP measures to evaluate our underlying profit trends. The reconciliation of gross profit to its most comparable GAAP measure is provided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gridSpan w:val="3"/>
          </w:tcPr>
          <w:p>
            <w:pPr>
              <w:jc w:val="right"/>
              <w:ind w:right="79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153,239</w:t>
            </w:r>
          </w:p>
        </w:tc>
        <w:tc>
          <w:tcPr>
            <w:tcW w:w="60" w:type="dxa"/>
            <w:vAlign w:val="bottom"/>
          </w:tcPr>
          <w:p>
            <w:pPr>
              <w:spacing w:after="0"/>
              <w:rPr>
                <w:sz w:val="13"/>
                <w:szCs w:val="13"/>
                <w:color w:val="auto"/>
              </w:rPr>
            </w:pPr>
          </w:p>
        </w:tc>
        <w:tc>
          <w:tcPr>
            <w:tcW w:w="1200" w:type="dxa"/>
            <w:vAlign w:val="bottom"/>
          </w:tcPr>
          <w:p>
            <w:pPr>
              <w:jc w:val="right"/>
              <w:ind w:right="10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113,297</w:t>
            </w:r>
          </w:p>
        </w:tc>
        <w:tc>
          <w:tcPr>
            <w:tcW w:w="0" w:type="dxa"/>
            <w:vAlign w:val="bottom"/>
          </w:tcPr>
          <w:p>
            <w:pPr>
              <w:spacing w:after="0"/>
              <w:rPr>
                <w:sz w:val="1"/>
                <w:szCs w:val="1"/>
                <w:color w:val="auto"/>
              </w:rPr>
            </w:pPr>
          </w:p>
        </w:tc>
      </w:tr>
      <w:tr>
        <w:trPr>
          <w:trHeight w:val="174"/>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Costs of services</w:t>
            </w:r>
          </w:p>
        </w:tc>
        <w:tc>
          <w:tcPr>
            <w:tcW w:w="1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(101,480)</w:t>
            </w:r>
          </w:p>
        </w:tc>
        <w:tc>
          <w:tcPr>
            <w:tcW w:w="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(81,863)</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51,759</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31,434</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4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33.8 %</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27.7 %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206" w:lineRule="exact"/>
        <w:rPr>
          <w:sz w:val="20"/>
          <w:szCs w:val="20"/>
          <w:color w:val="auto"/>
        </w:rPr>
      </w:pPr>
    </w:p>
    <w:p>
      <w:pPr>
        <w:jc w:val="both"/>
        <w:ind w:right="40"/>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40" w:type="dxa"/>
            <w:vAlign w:val="bottom"/>
            <w:gridSpan w:val="3"/>
          </w:tcPr>
          <w:p>
            <w:pPr>
              <w:jc w:val="right"/>
              <w:ind w:right="47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720" w:type="dxa"/>
            <w:vAlign w:val="bottom"/>
          </w:tcPr>
          <w:p>
            <w:pPr>
              <w:spacing w:after="0"/>
              <w:rPr>
                <w:sz w:val="13"/>
                <w:szCs w:val="13"/>
                <w:color w:val="auto"/>
              </w:rPr>
            </w:pPr>
          </w:p>
        </w:tc>
        <w:tc>
          <w:tcPr>
            <w:tcW w:w="1160" w:type="dxa"/>
            <w:vAlign w:val="bottom"/>
          </w:tcPr>
          <w:p>
            <w:pPr>
              <w:jc w:val="right"/>
              <w:ind w:right="1041"/>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60" w:type="dxa"/>
            <w:vAlign w:val="bottom"/>
          </w:tcPr>
          <w:p>
            <w:pPr>
              <w:spacing w:after="0"/>
              <w:rPr>
                <w:sz w:val="13"/>
                <w:szCs w:val="13"/>
                <w:color w:val="auto"/>
              </w:rPr>
            </w:pP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11,535</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9,168</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benefit</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w:t>
            </w:r>
          </w:p>
        </w:tc>
        <w:tc>
          <w:tcPr>
            <w:tcW w:w="0" w:type="dxa"/>
            <w:vAlign w:val="bottom"/>
          </w:tcPr>
          <w:p>
            <w:pPr>
              <w:spacing w:after="0"/>
              <w:rPr>
                <w:sz w:val="1"/>
                <w:szCs w:val="1"/>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7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17,353</w:t>
            </w: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9,070</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1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28,230</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13,328</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174"/>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non-operating expense</w:t>
            </w:r>
          </w:p>
        </w:tc>
        <w:tc>
          <w:tcPr>
            <w:tcW w:w="17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720" w:type="dxa"/>
            <w:vAlign w:val="bottom"/>
          </w:tcPr>
          <w:p>
            <w:pPr>
              <w:spacing w:after="0"/>
              <w:rPr>
                <w:sz w:val="14"/>
                <w:szCs w:val="14"/>
                <w:color w:val="auto"/>
              </w:rPr>
            </w:pPr>
          </w:p>
        </w:tc>
        <w:tc>
          <w:tcPr>
            <w:tcW w:w="116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30,323</w:t>
            </w: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18,001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20" w:type="dxa"/>
            <w:vAlign w:val="bottom"/>
            <w:vMerge w:val="restart"/>
          </w:tcPr>
          <w:p>
            <w:pPr>
              <w:jc w:val="right"/>
              <w:ind w:right="1380"/>
              <w:spacing w:after="0"/>
              <w:rPr>
                <w:sz w:val="20"/>
                <w:szCs w:val="20"/>
                <w:color w:val="auto"/>
              </w:rPr>
            </w:pPr>
            <w:r>
              <w:rPr>
                <w:rFonts w:ascii="Times New Roman" w:cs="Times New Roman" w:eastAsia="Times New Roman" w:hAnsi="Times New Roman"/>
                <w:sz w:val="12"/>
                <w:szCs w:val="12"/>
                <w:color w:val="auto"/>
              </w:rPr>
              <w:t>3</w:t>
            </w: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54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5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gridSpan w:val="3"/>
          </w:tcPr>
          <w:p>
            <w:pPr>
              <w:jc w:val="right"/>
              <w:ind w:right="77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6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7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1200" w:type="dxa"/>
            <w:vAlign w:val="bottom"/>
          </w:tcPr>
          <w:p>
            <w:pPr>
              <w:jc w:val="right"/>
              <w:ind w:right="10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1180" w:type="dxa"/>
            <w:vAlign w:val="bottom"/>
          </w:tcPr>
          <w:p>
            <w:pPr>
              <w:jc w:val="right"/>
              <w:ind w:right="103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0" w:type="dxa"/>
            <w:vAlign w:val="bottom"/>
          </w:tcPr>
          <w:p>
            <w:pPr>
              <w:spacing w:after="0"/>
              <w:rPr>
                <w:sz w:val="1"/>
                <w:szCs w:val="1"/>
                <w:color w:val="auto"/>
              </w:rPr>
            </w:pPr>
          </w:p>
        </w:tc>
      </w:tr>
      <w:tr>
        <w:trPr>
          <w:trHeight w:val="174"/>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0" w:type="dxa"/>
            <w:vAlign w:val="bottom"/>
          </w:tcPr>
          <w:p>
            <w:pPr>
              <w:spacing w:after="0"/>
              <w:rPr>
                <w:sz w:val="1"/>
                <w:szCs w:val="1"/>
                <w:color w:val="auto"/>
              </w:rPr>
            </w:pPr>
          </w:p>
        </w:tc>
      </w:tr>
      <w:tr>
        <w:trPr>
          <w:trHeight w:val="163"/>
        </w:trPr>
        <w:tc>
          <w:tcPr>
            <w:tcW w:w="7760" w:type="dxa"/>
            <w:vAlign w:val="bottom"/>
          </w:tcPr>
          <w:p>
            <w:pPr>
              <w:spacing w:after="0"/>
              <w:rPr>
                <w:sz w:val="14"/>
                <w:szCs w:val="14"/>
                <w:color w:val="auto"/>
              </w:rPr>
            </w:pPr>
          </w:p>
        </w:tc>
        <w:tc>
          <w:tcPr>
            <w:tcW w:w="120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310</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3,627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56"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3"/>
          <w:szCs w:val="13"/>
          <w:color w:val="auto"/>
        </w:rPr>
        <w:t>Priority is a payments powerhouse driving the convergence of payments and banking. The company has built a single platform to collect, store, and send money that operates at scale. We help our customers take and make payments while managing business and consumer operating accounts to monetize payment networks. Our tailored, agile technology powers high-value, payments products bolstered by our industry-leading personalized support. Additional information can be found at www.PRTH.com.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2022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17, 2022. These filings are available online at www.sec.gov or www.PRTH.com.</w:t>
      </w:r>
    </w:p>
    <w:p>
      <w:pPr>
        <w:spacing w:after="0" w:line="10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3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242424"/>
              </w:rPr>
              <w:t>2022</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153,239</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113,297</w:t>
            </w:r>
          </w:p>
        </w:tc>
        <w:tc>
          <w:tcPr>
            <w:tcW w:w="0" w:type="dxa"/>
            <w:vAlign w:val="bottom"/>
          </w:tcPr>
          <w:p>
            <w:pPr>
              <w:spacing w:after="0"/>
              <w:rPr>
                <w:sz w:val="1"/>
                <w:szCs w:val="1"/>
                <w:color w:val="auto"/>
              </w:rPr>
            </w:pPr>
          </w:p>
        </w:tc>
      </w:tr>
      <w:tr>
        <w:trPr>
          <w:trHeight w:val="131"/>
        </w:trPr>
        <w:tc>
          <w:tcPr>
            <w:tcW w:w="80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Costs of services</w:t>
            </w: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101,480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81,863</w:t>
            </w:r>
          </w:p>
        </w:tc>
        <w:tc>
          <w:tcPr>
            <w:tcW w:w="0" w:type="dxa"/>
            <w:vAlign w:val="bottom"/>
          </w:tcPr>
          <w:p>
            <w:pPr>
              <w:spacing w:after="0"/>
              <w:rPr>
                <w:sz w:val="1"/>
                <w:szCs w:val="1"/>
                <w:color w:val="auto"/>
              </w:rPr>
            </w:pPr>
          </w:p>
        </w:tc>
      </w:tr>
      <w:tr>
        <w:trPr>
          <w:trHeight w:val="153"/>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16,077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9,548</w:t>
            </w:r>
          </w:p>
        </w:tc>
        <w:tc>
          <w:tcPr>
            <w:tcW w:w="0" w:type="dxa"/>
            <w:vAlign w:val="bottom"/>
          </w:tcPr>
          <w:p>
            <w:pPr>
              <w:spacing w:after="0"/>
              <w:rPr>
                <w:sz w:val="1"/>
                <w:szCs w:val="1"/>
                <w:color w:val="auto"/>
              </w:rPr>
            </w:pPr>
          </w:p>
        </w:tc>
      </w:tr>
      <w:tr>
        <w:trPr>
          <w:trHeight w:val="153"/>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17,353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9,070</w:t>
            </w:r>
          </w:p>
        </w:tc>
        <w:tc>
          <w:tcPr>
            <w:tcW w:w="0" w:type="dxa"/>
            <w:vAlign w:val="bottom"/>
          </w:tcPr>
          <w:p>
            <w:pPr>
              <w:spacing w:after="0"/>
              <w:rPr>
                <w:sz w:val="1"/>
                <w:szCs w:val="1"/>
                <w:color w:val="auto"/>
              </w:rPr>
            </w:pPr>
          </w:p>
        </w:tc>
      </w:tr>
      <w:tr>
        <w:trPr>
          <w:trHeight w:val="155"/>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7,503</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8,289</w:t>
            </w:r>
          </w:p>
        </w:tc>
        <w:tc>
          <w:tcPr>
            <w:tcW w:w="0" w:type="dxa"/>
            <w:vAlign w:val="bottom"/>
          </w:tcPr>
          <w:p>
            <w:pPr>
              <w:spacing w:after="0"/>
              <w:rPr>
                <w:sz w:val="1"/>
                <w:szCs w:val="1"/>
                <w:color w:val="auto"/>
              </w:rPr>
            </w:pPr>
          </w:p>
        </w:tc>
      </w:tr>
      <w:tr>
        <w:trPr>
          <w:trHeight w:val="142"/>
        </w:trPr>
        <w:tc>
          <w:tcPr>
            <w:tcW w:w="8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142,413</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108,770</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10,826</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4,527</w:t>
            </w:r>
          </w:p>
        </w:tc>
        <w:tc>
          <w:tcPr>
            <w:tcW w:w="0" w:type="dxa"/>
            <w:vAlign w:val="bottom"/>
          </w:tcPr>
          <w:p>
            <w:pPr>
              <w:spacing w:after="0"/>
              <w:rPr>
                <w:sz w:val="1"/>
                <w:szCs w:val="1"/>
                <w:color w:val="auto"/>
              </w:rPr>
            </w:pPr>
          </w:p>
        </w:tc>
      </w:tr>
      <w:tr>
        <w:trPr>
          <w:trHeight w:val="131"/>
        </w:trPr>
        <w:tc>
          <w:tcPr>
            <w:tcW w:w="80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(11,535)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(9,168)</w:t>
            </w:r>
          </w:p>
        </w:tc>
        <w:tc>
          <w:tcPr>
            <w:tcW w:w="0" w:type="dxa"/>
            <w:vAlign w:val="bottom"/>
          </w:tcPr>
          <w:p>
            <w:pPr>
              <w:spacing w:after="0"/>
              <w:rPr>
                <w:sz w:val="1"/>
                <w:szCs w:val="1"/>
                <w:color w:val="auto"/>
              </w:rPr>
            </w:pPr>
          </w:p>
        </w:tc>
      </w:tr>
      <w:tr>
        <w:trPr>
          <w:trHeight w:val="155"/>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(expense), net</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(269)</w:t>
            </w:r>
          </w:p>
        </w:tc>
        <w:tc>
          <w:tcPr>
            <w:tcW w:w="0" w:type="dxa"/>
            <w:vAlign w:val="bottom"/>
          </w:tcPr>
          <w:p>
            <w:pPr>
              <w:spacing w:after="0"/>
              <w:rPr>
                <w:sz w:val="1"/>
                <w:szCs w:val="1"/>
                <w:color w:val="auto"/>
              </w:rPr>
            </w:pPr>
          </w:p>
        </w:tc>
      </w:tr>
      <w:tr>
        <w:trPr>
          <w:trHeight w:val="142"/>
        </w:trPr>
        <w:tc>
          <w:tcPr>
            <w:tcW w:w="80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(11,484)</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(9,437)</w:t>
            </w:r>
          </w:p>
        </w:tc>
        <w:tc>
          <w:tcPr>
            <w:tcW w:w="0" w:type="dxa"/>
            <w:vAlign w:val="bottom"/>
          </w:tcPr>
          <w:p>
            <w:pPr>
              <w:spacing w:after="0"/>
              <w:rPr>
                <w:sz w:val="1"/>
                <w:szCs w:val="1"/>
                <w:color w:val="auto"/>
              </w:rPr>
            </w:pPr>
          </w:p>
        </w:tc>
      </w:tr>
      <w:tr>
        <w:trPr>
          <w:trHeight w:val="140"/>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360" w:type="dxa"/>
            <w:vAlign w:val="bottom"/>
          </w:tcPr>
          <w:p>
            <w:pPr>
              <w:spacing w:after="0"/>
              <w:rPr>
                <w:sz w:val="12"/>
                <w:szCs w:val="1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(658)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(4,910)</w:t>
            </w:r>
          </w:p>
        </w:tc>
        <w:tc>
          <w:tcPr>
            <w:tcW w:w="0" w:type="dxa"/>
            <w:vAlign w:val="bottom"/>
          </w:tcPr>
          <w:p>
            <w:pPr>
              <w:spacing w:after="0"/>
              <w:rPr>
                <w:sz w:val="1"/>
                <w:szCs w:val="1"/>
                <w:color w:val="auto"/>
              </w:rPr>
            </w:pPr>
          </w:p>
        </w:tc>
      </w:tr>
      <w:tr>
        <w:trPr>
          <w:trHeight w:val="155"/>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(2,231)</w:t>
            </w:r>
          </w:p>
        </w:tc>
        <w:tc>
          <w:tcPr>
            <w:tcW w:w="0" w:type="dxa"/>
            <w:vAlign w:val="bottom"/>
          </w:tcPr>
          <w:p>
            <w:pPr>
              <w:spacing w:after="0"/>
              <w:rPr>
                <w:sz w:val="1"/>
                <w:szCs w:val="1"/>
                <w:color w:val="auto"/>
              </w:rPr>
            </w:pPr>
          </w:p>
        </w:tc>
      </w:tr>
      <w:tr>
        <w:trPr>
          <w:trHeight w:val="140"/>
        </w:trPr>
        <w:tc>
          <w:tcPr>
            <w:tcW w:w="8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60" w:type="dxa"/>
            <w:vAlign w:val="bottom"/>
          </w:tcPr>
          <w:p>
            <w:pPr>
              <w:spacing w:after="0"/>
              <w:rPr>
                <w:sz w:val="12"/>
                <w:szCs w:val="1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(2,679)</w:t>
            </w:r>
          </w:p>
        </w:tc>
        <w:tc>
          <w:tcPr>
            <w:tcW w:w="0" w:type="dxa"/>
            <w:vAlign w:val="bottom"/>
          </w:tcPr>
          <w:p>
            <w:pPr>
              <w:spacing w:after="0"/>
              <w:rPr>
                <w:sz w:val="1"/>
                <w:szCs w:val="1"/>
                <w:color w:val="auto"/>
              </w:rPr>
            </w:pPr>
          </w:p>
        </w:tc>
      </w:tr>
      <w:tr>
        <w:trPr>
          <w:trHeight w:val="155"/>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(8,400)</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(8,733)</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(2,679)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0" w:type="dxa"/>
            <w:vAlign w:val="bottom"/>
          </w:tcPr>
          <w:p>
            <w:pPr>
              <w:spacing w:after="0"/>
              <w:rPr>
                <w:sz w:val="1"/>
                <w:szCs w:val="1"/>
                <w:color w:val="auto"/>
              </w:rPr>
            </w:pPr>
          </w:p>
        </w:tc>
      </w:tr>
      <w:tr>
        <w:trPr>
          <w:trHeight w:val="331"/>
        </w:trPr>
        <w:tc>
          <w:tcPr>
            <w:tcW w:w="8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78,597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80"/>
          </w:cols>
          <w:pgMar w:left="300" w:top="809"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5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53"/>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5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40" w:type="dxa"/>
            <w:vAlign w:val="bottom"/>
            <w:vMerge w:val="continue"/>
          </w:tcPr>
          <w:p>
            <w:pPr>
              <w:spacing w:after="0"/>
              <w:rPr>
                <w:sz w:val="11"/>
                <w:szCs w:val="11"/>
                <w:color w:val="auto"/>
              </w:rPr>
            </w:pPr>
          </w:p>
        </w:tc>
        <w:tc>
          <w:tcPr>
            <w:tcW w:w="2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940" w:type="dxa"/>
            <w:vAlign w:val="bottom"/>
            <w:gridSpan w:val="2"/>
          </w:tcPr>
          <w:p>
            <w:pPr>
              <w:jc w:val="right"/>
              <w:ind w:right="12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28,859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 account balances</w:t>
            </w:r>
          </w:p>
        </w:tc>
        <w:tc>
          <w:tcPr>
            <w:tcW w:w="25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498,616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479,471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611,654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603,132</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25,397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25,233</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365,740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365,740</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340,211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5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8,944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9,256</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560" w:type="dxa"/>
            <w:vAlign w:val="bottom"/>
          </w:tcPr>
          <w:p>
            <w:pPr>
              <w:spacing w:after="0"/>
              <w:rPr>
                <w:sz w:val="12"/>
                <w:szCs w:val="12"/>
                <w:color w:val="auto"/>
              </w:rPr>
            </w:pPr>
          </w:p>
        </w:tc>
        <w:tc>
          <w:tcPr>
            <w:tcW w:w="138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1,350,339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and Stockholders' Deficit</w:t>
            </w:r>
          </w:p>
        </w:tc>
        <w:tc>
          <w:tcPr>
            <w:tcW w:w="2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4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940" w:type="dxa"/>
            <w:vAlign w:val="bottom"/>
            <w:gridSpan w:val="2"/>
          </w:tcPr>
          <w:p>
            <w:pPr>
              <w:jc w:val="right"/>
              <w:ind w:right="12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 account obligations</w:t>
            </w:r>
          </w:p>
        </w:tc>
        <w:tc>
          <w:tcPr>
            <w:tcW w:w="25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503,731</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500,291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592,775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583,567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598,403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604,105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5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15,677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18,349</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noncurrent liabilities</w:t>
            </w:r>
          </w:p>
        </w:tc>
        <w:tc>
          <w:tcPr>
            <w:tcW w:w="256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614,080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622,454</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56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1,206,855</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1,206,021</w:t>
            </w:r>
          </w:p>
        </w:tc>
        <w:tc>
          <w:tcPr>
            <w:tcW w:w="0" w:type="dxa"/>
            <w:vAlign w:val="bottom"/>
          </w:tcPr>
          <w:p>
            <w:pPr>
              <w:spacing w:after="0"/>
              <w:rPr>
                <w:sz w:val="1"/>
                <w:szCs w:val="1"/>
                <w:color w:val="auto"/>
              </w:rPr>
            </w:pPr>
          </w:p>
        </w:tc>
      </w:tr>
      <w:tr>
        <w:trPr>
          <w:trHeight w:val="140"/>
        </w:trPr>
        <w:tc>
          <w:tcPr>
            <w:tcW w:w="4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w:t>
            </w:r>
          </w:p>
        </w:tc>
        <w:tc>
          <w:tcPr>
            <w:tcW w:w="2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215,053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210,158</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32,992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39,835</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5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(100,391)</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(100,058)</w:t>
            </w:r>
          </w:p>
        </w:tc>
        <w:tc>
          <w:tcPr>
            <w:tcW w:w="0" w:type="dxa"/>
            <w:vAlign w:val="bottom"/>
          </w:tcPr>
          <w:p>
            <w:pPr>
              <w:spacing w:after="0"/>
              <w:rPr>
                <w:sz w:val="1"/>
                <w:szCs w:val="1"/>
                <w:color w:val="auto"/>
              </w:rPr>
            </w:pPr>
          </w:p>
        </w:tc>
      </w:tr>
      <w:tr>
        <w:trPr>
          <w:trHeight w:val="142"/>
        </w:trPr>
        <w:tc>
          <w:tcPr>
            <w:tcW w:w="47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56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(71,569)</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(64,237)</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and stockholders' deficit</w:t>
            </w:r>
          </w:p>
        </w:tc>
        <w:tc>
          <w:tcPr>
            <w:tcW w:w="2560" w:type="dxa"/>
            <w:vAlign w:val="bottom"/>
          </w:tcPr>
          <w:p>
            <w:pPr>
              <w:spacing w:after="0"/>
              <w:rPr>
                <w:sz w:val="12"/>
                <w:szCs w:val="12"/>
                <w:color w:val="auto"/>
              </w:rPr>
            </w:pPr>
          </w:p>
        </w:tc>
        <w:tc>
          <w:tcPr>
            <w:tcW w:w="138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1,350,339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560" w:type="dxa"/>
            <w:vAlign w:val="bottom"/>
            <w:vMerge w:val="restart"/>
          </w:tcPr>
          <w:p>
            <w:pPr>
              <w:jc w:val="right"/>
              <w:ind w:right="1560"/>
              <w:spacing w:after="0"/>
              <w:rPr>
                <w:sz w:val="20"/>
                <w:szCs w:val="20"/>
                <w:color w:val="auto"/>
              </w:rPr>
            </w:pPr>
            <w:r>
              <w:rPr>
                <w:rFonts w:ascii="Times New Roman" w:cs="Times New Roman" w:eastAsia="Times New Roman" w:hAnsi="Times New Roman"/>
                <w:sz w:val="12"/>
                <w:szCs w:val="12"/>
                <w:color w:val="auto"/>
              </w:rPr>
              <w:t>7</w:t>
            </w: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66" w:right="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00" w:type="dxa"/>
            <w:vAlign w:val="bottom"/>
          </w:tcPr>
          <w:p>
            <w:pPr>
              <w:spacing w:after="0"/>
              <w:rPr>
                <w:sz w:val="13"/>
                <w:szCs w:val="13"/>
                <w:color w:val="auto"/>
              </w:rPr>
            </w:pPr>
          </w:p>
        </w:tc>
        <w:tc>
          <w:tcPr>
            <w:tcW w:w="4340" w:type="dxa"/>
            <w:vAlign w:val="bottom"/>
            <w:gridSpan w:val="2"/>
          </w:tcPr>
          <w:p>
            <w:pPr>
              <w:jc w:val="center"/>
              <w:ind w:right="120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4340" w:type="dxa"/>
            <w:vAlign w:val="bottom"/>
            <w:gridSpan w:val="2"/>
          </w:tcPr>
          <w:p>
            <w:pPr>
              <w:jc w:val="center"/>
              <w:ind w:right="120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42"/>
        </w:trPr>
        <w:tc>
          <w:tcPr>
            <w:tcW w:w="4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31"/>
        </w:trPr>
        <w:tc>
          <w:tcPr>
            <w:tcW w:w="4100" w:type="dxa"/>
            <w:vAlign w:val="bottom"/>
            <w:vMerge w:val="continue"/>
          </w:tcPr>
          <w:p>
            <w:pPr>
              <w:spacing w:after="0"/>
              <w:rPr>
                <w:sz w:val="11"/>
                <w:szCs w:val="11"/>
                <w:color w:val="auto"/>
              </w:rPr>
            </w:pPr>
          </w:p>
        </w:tc>
        <w:tc>
          <w:tcPr>
            <w:tcW w:w="3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w:t>
            </w:r>
          </w:p>
        </w:tc>
        <w:tc>
          <w:tcPr>
            <w:tcW w:w="4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w:t>
            </w: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17,353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9,070</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(3,227)</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PIK interest</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1,924</w:t>
            </w:r>
          </w:p>
        </w:tc>
        <w:tc>
          <w:tcPr>
            <w:tcW w:w="0" w:type="dxa"/>
            <w:vAlign w:val="bottom"/>
          </w:tcPr>
          <w:p>
            <w:pPr>
              <w:spacing w:after="0"/>
              <w:rPr>
                <w:sz w:val="1"/>
                <w:szCs w:val="1"/>
                <w:color w:val="auto"/>
              </w:rPr>
            </w:pPr>
          </w:p>
        </w:tc>
      </w:tr>
      <w:tr>
        <w:trPr>
          <w:trHeight w:val="153"/>
        </w:trPr>
        <w:tc>
          <w:tcPr>
            <w:tcW w:w="41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(14,440)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(9,575)</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payable (receivable)</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8,633</w:t>
            </w:r>
          </w:p>
        </w:tc>
        <w:tc>
          <w:tcPr>
            <w:tcW w:w="0" w:type="dxa"/>
            <w:vAlign w:val="bottom"/>
          </w:tcPr>
          <w:p>
            <w:pPr>
              <w:spacing w:after="0"/>
              <w:rPr>
                <w:sz w:val="1"/>
                <w:szCs w:val="1"/>
                <w:color w:val="auto"/>
              </w:rPr>
            </w:pPr>
          </w:p>
        </w:tc>
      </w:tr>
      <w:tr>
        <w:trPr>
          <w:trHeight w:val="153"/>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2,604</w:t>
            </w:r>
          </w:p>
        </w:tc>
        <w:tc>
          <w:tcPr>
            <w:tcW w:w="0" w:type="dxa"/>
            <w:vAlign w:val="bottom"/>
          </w:tcPr>
          <w:p>
            <w:pPr>
              <w:spacing w:after="0"/>
              <w:rPr>
                <w:sz w:val="1"/>
                <w:szCs w:val="1"/>
                <w:color w:val="auto"/>
              </w:rPr>
            </w:pPr>
          </w:p>
        </w:tc>
      </w:tr>
      <w:tr>
        <w:trPr>
          <w:trHeight w:val="155"/>
        </w:trPr>
        <w:tc>
          <w:tcPr>
            <w:tcW w:w="4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3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42"/>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9,613</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9,100</w:t>
            </w:r>
          </w:p>
        </w:tc>
        <w:tc>
          <w:tcPr>
            <w:tcW w:w="0" w:type="dxa"/>
            <w:vAlign w:val="bottom"/>
          </w:tcPr>
          <w:p>
            <w:pPr>
              <w:spacing w:after="0"/>
              <w:rPr>
                <w:sz w:val="1"/>
                <w:szCs w:val="1"/>
                <w:color w:val="auto"/>
              </w:rPr>
            </w:pPr>
          </w:p>
        </w:tc>
      </w:tr>
      <w:tr>
        <w:trPr>
          <w:trHeight w:val="131"/>
        </w:trPr>
        <w:tc>
          <w:tcPr>
            <w:tcW w:w="41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(2,754)</w:t>
            </w: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loan funding</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intangible assets</w:t>
            </w:r>
          </w:p>
        </w:tc>
        <w:tc>
          <w:tcPr>
            <w:tcW w:w="3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(941)</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(2,937)</w:t>
            </w:r>
          </w:p>
        </w:tc>
        <w:tc>
          <w:tcPr>
            <w:tcW w:w="0" w:type="dxa"/>
            <w:vAlign w:val="bottom"/>
          </w:tcPr>
          <w:p>
            <w:pPr>
              <w:spacing w:after="0"/>
              <w:rPr>
                <w:sz w:val="1"/>
                <w:szCs w:val="1"/>
                <w:color w:val="auto"/>
              </w:rPr>
            </w:pPr>
          </w:p>
        </w:tc>
      </w:tr>
      <w:tr>
        <w:trPr>
          <w:trHeight w:val="142"/>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(5,711)</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(5,691)</w:t>
            </w:r>
          </w:p>
        </w:tc>
        <w:tc>
          <w:tcPr>
            <w:tcW w:w="0" w:type="dxa"/>
            <w:vAlign w:val="bottom"/>
          </w:tcPr>
          <w:p>
            <w:pPr>
              <w:spacing w:after="0"/>
              <w:rPr>
                <w:sz w:val="1"/>
                <w:szCs w:val="1"/>
                <w:color w:val="auto"/>
              </w:rPr>
            </w:pPr>
          </w:p>
        </w:tc>
      </w:tr>
      <w:tr>
        <w:trPr>
          <w:trHeight w:val="131"/>
        </w:trPr>
        <w:tc>
          <w:tcPr>
            <w:tcW w:w="41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(4,860)</w:t>
            </w: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 accounts obligations, net</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12,749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(22,526)</w:t>
            </w:r>
          </w:p>
        </w:tc>
        <w:tc>
          <w:tcPr>
            <w:tcW w:w="0" w:type="dxa"/>
            <w:vAlign w:val="bottom"/>
          </w:tcPr>
          <w:p>
            <w:pPr>
              <w:spacing w:after="0"/>
              <w:rPr>
                <w:sz w:val="1"/>
                <w:szCs w:val="1"/>
                <w:color w:val="auto"/>
              </w:rPr>
            </w:pPr>
          </w:p>
        </w:tc>
      </w:tr>
      <w:tr>
        <w:trPr>
          <w:trHeight w:val="155"/>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financing activities</w:t>
            </w:r>
          </w:p>
        </w:tc>
        <w:tc>
          <w:tcPr>
            <w:tcW w:w="3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0" w:type="dxa"/>
            <w:vAlign w:val="bottom"/>
          </w:tcPr>
          <w:p>
            <w:pPr>
              <w:spacing w:after="0"/>
              <w:rPr>
                <w:sz w:val="1"/>
                <w:szCs w:val="1"/>
                <w:color w:val="auto"/>
              </w:rPr>
            </w:pPr>
          </w:p>
        </w:tc>
      </w:tr>
      <w:tr>
        <w:trPr>
          <w:trHeight w:val="136"/>
        </w:trPr>
        <w:tc>
          <w:tcPr>
            <w:tcW w:w="41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3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2,538</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(26,769)</w:t>
            </w:r>
          </w:p>
        </w:tc>
        <w:tc>
          <w:tcPr>
            <w:tcW w:w="0" w:type="dxa"/>
            <w:vAlign w:val="bottom"/>
          </w:tcPr>
          <w:p>
            <w:pPr>
              <w:spacing w:after="0"/>
              <w:rPr>
                <w:sz w:val="1"/>
                <w:szCs w:val="1"/>
                <w:color w:val="auto"/>
              </w:rPr>
            </w:pPr>
          </w:p>
        </w:tc>
      </w:tr>
      <w:tr>
        <w:trPr>
          <w:trHeight w:val="157"/>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(23,360)</w:t>
            </w:r>
          </w:p>
        </w:tc>
        <w:tc>
          <w:tcPr>
            <w:tcW w:w="0" w:type="dxa"/>
            <w:vAlign w:val="bottom"/>
          </w:tcPr>
          <w:p>
            <w:pPr>
              <w:spacing w:after="0"/>
              <w:rPr>
                <w:sz w:val="1"/>
                <w:szCs w:val="1"/>
                <w:color w:val="auto"/>
              </w:rPr>
            </w:pPr>
          </w:p>
        </w:tc>
      </w:tr>
      <w:tr>
        <w:trPr>
          <w:trHeight w:val="155"/>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3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518,093</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88,120</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equivalents at end of period</w:t>
            </w:r>
          </w:p>
        </w:tc>
        <w:tc>
          <w:tcPr>
            <w:tcW w:w="39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524,533</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64,760</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100" w:type="dxa"/>
            <w:vAlign w:val="bottom"/>
            <w:vMerge w:val="continue"/>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13,557</w:t>
            </w:r>
          </w:p>
        </w:tc>
        <w:tc>
          <w:tcPr>
            <w:tcW w:w="1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5,827</w:t>
            </w:r>
          </w:p>
        </w:tc>
        <w:tc>
          <w:tcPr>
            <w:tcW w:w="0" w:type="dxa"/>
            <w:vAlign w:val="bottom"/>
          </w:tcPr>
          <w:p>
            <w:pPr>
              <w:spacing w:after="0"/>
              <w:rPr>
                <w:sz w:val="1"/>
                <w:szCs w:val="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13,588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58,933</w:t>
            </w:r>
          </w:p>
        </w:tc>
        <w:tc>
          <w:tcPr>
            <w:tcW w:w="0" w:type="dxa"/>
            <w:vAlign w:val="bottom"/>
          </w:tcPr>
          <w:p>
            <w:pPr>
              <w:spacing w:after="0"/>
              <w:rPr>
                <w:sz w:val="1"/>
                <w:szCs w:val="1"/>
                <w:color w:val="auto"/>
              </w:rPr>
            </w:pPr>
          </w:p>
        </w:tc>
      </w:tr>
      <w:tr>
        <w:trPr>
          <w:trHeight w:val="155"/>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account balances</w:t>
            </w:r>
          </w:p>
        </w:tc>
        <w:tc>
          <w:tcPr>
            <w:tcW w:w="3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497,388</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39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524,533</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64,760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980" w:type="dxa"/>
            <w:vAlign w:val="bottom"/>
            <w:vMerge w:val="restart"/>
          </w:tcPr>
          <w:p>
            <w:pPr>
              <w:jc w:val="center"/>
              <w:ind w:right="820"/>
              <w:spacing w:after="0"/>
              <w:rPr>
                <w:sz w:val="20"/>
                <w:szCs w:val="20"/>
                <w:color w:val="auto"/>
              </w:rPr>
            </w:pPr>
            <w:r>
              <w:rPr>
                <w:rFonts w:ascii="Times New Roman" w:cs="Times New Roman" w:eastAsia="Times New Roman" w:hAnsi="Times New Roman"/>
                <w:sz w:val="12"/>
                <w:szCs w:val="12"/>
                <w:color w:val="auto"/>
                <w:w w:val="99"/>
              </w:rPr>
              <w:t>8</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1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4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Reportable Segments'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42"/>
        </w:trPr>
        <w:tc>
          <w:tcPr>
            <w:tcW w:w="38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40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31"/>
        </w:trPr>
        <w:tc>
          <w:tcPr>
            <w:tcW w:w="388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129,959</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109,101</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40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117,473</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95,812</w:t>
            </w:r>
          </w:p>
        </w:tc>
        <w:tc>
          <w:tcPr>
            <w:tcW w:w="0" w:type="dxa"/>
            <w:vAlign w:val="bottom"/>
          </w:tcPr>
          <w:p>
            <w:pPr>
              <w:spacing w:after="0"/>
              <w:rPr>
                <w:sz w:val="1"/>
                <w:szCs w:val="1"/>
                <w:color w:val="auto"/>
              </w:rPr>
            </w:pPr>
          </w:p>
        </w:tc>
      </w:tr>
      <w:tr>
        <w:trPr>
          <w:trHeight w:val="142"/>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404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12,486</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13,289</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9.6 %</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12.2 %</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10,824</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8,708</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14,076,847</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11,883,166</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145,948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127,583</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5,925</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3,500</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40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5,516</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3,909</w:t>
            </w:r>
          </w:p>
        </w:tc>
        <w:tc>
          <w:tcPr>
            <w:tcW w:w="0" w:type="dxa"/>
            <w:vAlign w:val="bottom"/>
          </w:tcPr>
          <w:p>
            <w:pPr>
              <w:spacing w:after="0"/>
              <w:rPr>
                <w:sz w:val="1"/>
                <w:szCs w:val="1"/>
                <w:color w:val="auto"/>
              </w:rPr>
            </w:pPr>
          </w:p>
        </w:tc>
      </w:tr>
      <w:tr>
        <w:trPr>
          <w:trHeight w:val="142"/>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 (loss)</w:t>
            </w:r>
          </w:p>
        </w:tc>
        <w:tc>
          <w:tcPr>
            <w:tcW w:w="404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409</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(409)</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6.9 %</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108,407</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63,650</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17,355</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696</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40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12,861</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532</w:t>
            </w:r>
          </w:p>
        </w:tc>
        <w:tc>
          <w:tcPr>
            <w:tcW w:w="0" w:type="dxa"/>
            <w:vAlign w:val="bottom"/>
          </w:tcPr>
          <w:p>
            <w:pPr>
              <w:spacing w:after="0"/>
              <w:rPr>
                <w:sz w:val="1"/>
                <w:szCs w:val="1"/>
                <w:color w:val="auto"/>
              </w:rPr>
            </w:pPr>
          </w:p>
        </w:tc>
      </w:tr>
      <w:tr>
        <w:trPr>
          <w:trHeight w:val="142"/>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404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4,494</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164</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25.9 %</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23.6 %</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6,197</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216,398</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22"/>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 of reportable segments</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17,389</w:t>
            </w:r>
          </w:p>
        </w:tc>
        <w:tc>
          <w:tcPr>
            <w:tcW w:w="100" w:type="dxa"/>
            <w:vAlign w:val="bottom"/>
          </w:tcPr>
          <w:p>
            <w:pPr>
              <w:spacing w:after="0"/>
              <w:rPr>
                <w:sz w:val="24"/>
                <w:szCs w:val="2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13,044</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Corporate expense</w:t>
            </w:r>
          </w:p>
        </w:tc>
        <w:tc>
          <w:tcPr>
            <w:tcW w:w="40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(6,563)</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(8,517)</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operating income</w:t>
            </w:r>
          </w:p>
        </w:tc>
        <w:tc>
          <w:tcPr>
            <w:tcW w:w="404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10,826</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4,527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Corporate depreciation and amortization</w:t>
            </w:r>
          </w:p>
        </w:tc>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8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400" w:type="dxa"/>
            <w:vAlign w:val="bottom"/>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259</w:t>
            </w:r>
          </w:p>
        </w:tc>
        <w:tc>
          <w:tcPr>
            <w:tcW w:w="100" w:type="dxa"/>
            <w:vAlign w:val="bottom"/>
          </w:tcPr>
          <w:p>
            <w:pPr>
              <w:spacing w:after="0"/>
              <w:rPr>
                <w:sz w:val="11"/>
                <w:szCs w:val="11"/>
                <w:color w:val="auto"/>
              </w:rPr>
            </w:pPr>
          </w:p>
        </w:tc>
        <w:tc>
          <w:tcPr>
            <w:tcW w:w="380" w:type="dxa"/>
            <w:vAlign w:val="bottom"/>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14,401,652</w:t>
            </w:r>
          </w:p>
        </w:tc>
        <w:tc>
          <w:tcPr>
            <w:tcW w:w="10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11,946,816</w:t>
            </w:r>
          </w:p>
        </w:tc>
        <w:tc>
          <w:tcPr>
            <w:tcW w:w="0" w:type="dxa"/>
            <w:vAlign w:val="bottom"/>
          </w:tcPr>
          <w:p>
            <w:pPr>
              <w:spacing w:after="0"/>
              <w:rPr>
                <w:sz w:val="1"/>
                <w:szCs w:val="1"/>
                <w:color w:val="auto"/>
              </w:rPr>
            </w:pPr>
          </w:p>
        </w:tc>
      </w:tr>
      <w:tr>
        <w:trPr>
          <w:trHeight w:val="155"/>
        </w:trPr>
        <w:tc>
          <w:tcPr>
            <w:tcW w:w="3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146,408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127,622</w:t>
            </w:r>
          </w:p>
        </w:tc>
        <w:tc>
          <w:tcPr>
            <w:tcW w:w="0" w:type="dxa"/>
            <w:vAlign w:val="bottom"/>
          </w:tcPr>
          <w:p>
            <w:pPr>
              <w:spacing w:after="0"/>
              <w:rPr>
                <w:sz w:val="1"/>
                <w:szCs w:val="1"/>
                <w:color w:val="auto"/>
              </w:rPr>
            </w:pPr>
          </w:p>
        </w:tc>
      </w:tr>
      <w:tr>
        <w:trPr>
          <w:trHeight w:val="873"/>
        </w:trPr>
        <w:tc>
          <w:tcPr>
            <w:tcW w:w="3880" w:type="dxa"/>
            <w:vAlign w:val="bottom"/>
          </w:tcPr>
          <w:p>
            <w:pPr>
              <w:spacing w:after="0"/>
              <w:rPr>
                <w:sz w:val="24"/>
                <w:szCs w:val="24"/>
                <w:color w:val="auto"/>
              </w:rPr>
            </w:pPr>
          </w:p>
        </w:tc>
        <w:tc>
          <w:tcPr>
            <w:tcW w:w="4040" w:type="dxa"/>
            <w:vAlign w:val="bottom"/>
          </w:tcPr>
          <w:p>
            <w:pPr>
              <w:jc w:val="right"/>
              <w:ind w:right="2180"/>
              <w:spacing w:after="0"/>
              <w:rPr>
                <w:sz w:val="20"/>
                <w:szCs w:val="20"/>
                <w:color w:val="auto"/>
              </w:rPr>
            </w:pPr>
            <w:r>
              <w:rPr>
                <w:rFonts w:ascii="Times New Roman" w:cs="Times New Roman" w:eastAsia="Times New Roman" w:hAnsi="Times New Roman"/>
                <w:sz w:val="12"/>
                <w:szCs w:val="12"/>
                <w:color w:val="auto"/>
              </w:rPr>
              <w:t>9</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47"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2022-05-11T07:03:15Z</dcterms:created>
  <dcterms:modified xsi:type="dcterms:W3CDTF">2022-05-11T07:03:15Z</dcterms:modified>
</cp:coreProperties>
</file>