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4, 2019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52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right"/>
              <w:ind w:right="1300"/>
              <w:spacing w:after="0"/>
              <w:rPr>
                <w:sz w:val="20"/>
                <w:szCs w:val="20"/>
                <w:color w:val="auto"/>
              </w:rPr>
            </w:pPr>
            <w:r>
              <w:rPr>
                <w:rFonts w:ascii="Arial" w:cs="Arial" w:eastAsia="Arial" w:hAnsi="Arial"/>
                <w:sz w:val="18"/>
                <w:szCs w:val="18"/>
                <w:b w:val="1"/>
                <w:bCs w:val="1"/>
                <w:color w:val="auto"/>
              </w:rPr>
              <w:t>001-37872</w:t>
            </w:r>
          </w:p>
        </w:tc>
        <w:tc>
          <w:tcPr>
            <w:tcW w:w="340" w:type="dxa"/>
            <w:vAlign w:val="bottom"/>
          </w:tcPr>
          <w:p>
            <w:pPr>
              <w:spacing w:after="0"/>
              <w:rPr>
                <w:sz w:val="20"/>
                <w:szCs w:val="20"/>
                <w:color w:val="auto"/>
              </w:rPr>
            </w:pPr>
          </w:p>
        </w:tc>
        <w:tc>
          <w:tcPr>
            <w:tcW w:w="364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54"/>
        </w:trPr>
        <w:tc>
          <w:tcPr>
            <w:tcW w:w="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52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97"/>
        </w:trPr>
        <w:tc>
          <w:tcPr>
            <w:tcW w:w="60" w:type="dxa"/>
            <w:vAlign w:val="bottom"/>
          </w:tcPr>
          <w:p>
            <w:pPr>
              <w:spacing w:after="0"/>
              <w:rPr>
                <w:sz w:val="24"/>
                <w:szCs w:val="24"/>
                <w:color w:val="auto"/>
              </w:rPr>
            </w:pPr>
          </w:p>
        </w:tc>
        <w:tc>
          <w:tcPr>
            <w:tcW w:w="452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0"/>
              </w:rPr>
              <w:t>2001 Westside Parkway</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452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8"/>
              </w:rPr>
              <w:t>Suite 155</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452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2"/>
              </w:rPr>
              <w:t>Alpharetta, Georgia</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2330"/>
              <w:spacing w:after="0"/>
              <w:rPr>
                <w:sz w:val="20"/>
                <w:szCs w:val="20"/>
                <w:color w:val="auto"/>
              </w:rPr>
            </w:pPr>
            <w:r>
              <w:rPr>
                <w:rFonts w:ascii="Arial" w:cs="Arial" w:eastAsia="Arial" w:hAnsi="Arial"/>
                <w:sz w:val="18"/>
                <w:szCs w:val="18"/>
                <w:b w:val="1"/>
                <w:bCs w:val="1"/>
                <w:color w:val="auto"/>
              </w:rPr>
              <w:t>30004</w:t>
            </w:r>
          </w:p>
        </w:tc>
      </w:tr>
      <w:tr>
        <w:trPr>
          <w:trHeight w:val="54"/>
        </w:trPr>
        <w:tc>
          <w:tcPr>
            <w:tcW w:w="60" w:type="dxa"/>
            <w:vAlign w:val="bottom"/>
          </w:tcPr>
          <w:p>
            <w:pPr>
              <w:spacing w:after="0"/>
              <w:rPr>
                <w:sz w:val="4"/>
                <w:szCs w:val="4"/>
                <w:color w:val="auto"/>
              </w:rPr>
            </w:pPr>
          </w:p>
        </w:tc>
        <w:tc>
          <w:tcPr>
            <w:tcW w:w="452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52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(Address of Principal Executive Offices)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bl>
    <w:p>
      <w:pPr>
        <w:spacing w:after="0" w:line="3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4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4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4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6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54"/>
        </w:trPr>
        <w:tc>
          <w:tcPr>
            <w:tcW w:w="58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37"/>
        </w:trPr>
        <w:tc>
          <w:tcPr>
            <w:tcW w:w="580" w:type="dxa"/>
            <w:vAlign w:val="bottom"/>
          </w:tcPr>
          <w:p>
            <w:pPr>
              <w:spacing w:after="0"/>
              <w:rPr>
                <w:sz w:val="20"/>
                <w:szCs w:val="20"/>
                <w:color w:val="auto"/>
              </w:rPr>
            </w:pPr>
          </w:p>
        </w:tc>
        <w:tc>
          <w:tcPr>
            <w:tcW w:w="36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 stock, $0.001 par value</w:t>
            </w: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PRTH</w:t>
            </w:r>
          </w:p>
        </w:tc>
        <w:tc>
          <w:tcPr>
            <w:tcW w:w="4400" w:type="dxa"/>
            <w:vAlign w:val="bottom"/>
          </w:tcPr>
          <w:p>
            <w:pPr>
              <w:ind w:left="1400"/>
              <w:spacing w:after="0"/>
              <w:rPr>
                <w:sz w:val="20"/>
                <w:szCs w:val="20"/>
                <w:color w:val="auto"/>
              </w:rPr>
            </w:pPr>
            <w:r>
              <w:rPr>
                <w:rFonts w:ascii="Arial" w:cs="Arial" w:eastAsia="Arial" w:hAnsi="Arial"/>
                <w:sz w:val="18"/>
                <w:szCs w:val="18"/>
                <w:color w:val="auto"/>
              </w:rPr>
              <w:t>Nasdaq Global Market</w:t>
            </w: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756"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74" w:lineRule="exact"/>
        <w:rPr>
          <w:sz w:val="20"/>
          <w:szCs w:val="20"/>
          <w:color w:val="auto"/>
        </w:rPr>
      </w:pPr>
    </w:p>
    <w:p>
      <w:pPr>
        <w:jc w:val="both"/>
        <w:ind w:firstLine="486"/>
        <w:spacing w:after="0" w:line="290" w:lineRule="auto"/>
        <w:rPr>
          <w:rFonts w:ascii="Arial" w:cs="Arial" w:eastAsia="Arial" w:hAnsi="Arial"/>
          <w:sz w:val="16"/>
          <w:szCs w:val="16"/>
          <w:color w:val="0000EE"/>
        </w:rPr>
      </w:pPr>
      <w:r>
        <w:rPr>
          <w:rFonts w:ascii="Arial" w:cs="Arial" w:eastAsia="Arial" w:hAnsi="Arial"/>
          <w:sz w:val="16"/>
          <w:szCs w:val="16"/>
          <w:color w:val="auto"/>
        </w:rPr>
        <w:t xml:space="preserve">On June 4, 2019, the board of directors (the "Board") of Priority Technology Holdings, Inc. (the "Company"), upon the recommendation of its nominating and corporate governance committee, appointed Michael K. Passilla to the Board, effective immediately, with a term that expires at the Company's 2019 annual meeting of stockholders or until his successor is duly elected and qualified. The Board affirmatively determined that Mr. Passilla is independent in accordance with the corporate governance rules of the Nasdaq Stock Market LLC for listed companies and also independent under the rules of the Securities and Exchange Commission applicable to members of an audit committee. Consistent with the Company's other non-employee directors, the </w:t>
      </w:r>
      <w:hyperlink r:id="rId8">
        <w:r>
          <w:rPr>
            <w:rFonts w:ascii="Arial" w:cs="Arial" w:eastAsia="Arial" w:hAnsi="Arial"/>
            <w:sz w:val="16"/>
            <w:szCs w:val="16"/>
            <w:color w:val="auto"/>
          </w:rPr>
          <w:t xml:space="preserve">Company entered into its customary Independent Director Agreement with Mr. Passilla, a form of which was previously filed by the Company as </w:t>
        </w:r>
        <w:r>
          <w:rPr>
            <w:rFonts w:ascii="Arial" w:cs="Arial" w:eastAsia="Arial" w:hAnsi="Arial"/>
            <w:sz w:val="16"/>
            <w:szCs w:val="16"/>
            <w:u w:val="single" w:color="auto"/>
            <w:color w:val="0000EE"/>
          </w:rPr>
          <w:t>Exhibit</w:t>
        </w:r>
      </w:hyperlink>
      <w:r>
        <w:rPr>
          <w:rFonts w:ascii="Arial" w:cs="Arial" w:eastAsia="Arial" w:hAnsi="Arial"/>
          <w:sz w:val="16"/>
          <w:szCs w:val="16"/>
          <w:color w:val="auto"/>
        </w:rPr>
        <w:t xml:space="preserve"> </w:t>
      </w:r>
      <w:hyperlink r:id="rId8">
        <w:r>
          <w:rPr>
            <w:rFonts w:ascii="Arial" w:cs="Arial" w:eastAsia="Arial" w:hAnsi="Arial"/>
            <w:sz w:val="16"/>
            <w:szCs w:val="16"/>
            <w:u w:val="single" w:color="auto"/>
            <w:color w:val="0000EE"/>
          </w:rPr>
          <w:t>10.19</w:t>
        </w:r>
        <w:r>
          <w:rPr>
            <w:rFonts w:ascii="Arial" w:cs="Arial" w:eastAsia="Arial" w:hAnsi="Arial"/>
            <w:sz w:val="16"/>
            <w:szCs w:val="16"/>
            <w:color w:val="0000EE"/>
          </w:rPr>
          <w:t xml:space="preserve"> </w:t>
        </w:r>
        <w:r>
          <w:rPr>
            <w:rFonts w:ascii="Arial" w:cs="Arial" w:eastAsia="Arial" w:hAnsi="Arial"/>
            <w:sz w:val="16"/>
            <w:szCs w:val="16"/>
            <w:color w:val="000000"/>
          </w:rPr>
          <w:t>to the Company’s Form 10-K filed with the Securities and Exchange Commission on March 29, 2019, pursuant to which Mr. Passilla will be entitled to</w:t>
        </w:r>
      </w:hyperlink>
      <w:r>
        <w:rPr>
          <w:rFonts w:ascii="Arial" w:cs="Arial" w:eastAsia="Arial" w:hAnsi="Arial"/>
          <w:sz w:val="16"/>
          <w:szCs w:val="16"/>
          <w:color w:val="0000EE"/>
        </w:rPr>
        <w:t xml:space="preserve"> </w:t>
      </w:r>
      <w:r>
        <w:rPr>
          <w:rFonts w:ascii="Arial" w:cs="Arial" w:eastAsia="Arial" w:hAnsi="Arial"/>
          <w:sz w:val="16"/>
          <w:szCs w:val="16"/>
          <w:color w:val="000000"/>
        </w:rPr>
        <w:t>receive in respect of 2019 a prorated portion of the $50,000 annual cash compensation. Mr. Passilla will also serve on the Board's audit committee.</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no arrangements or understanding between Mr. Passilla and any other person pursuant to which he was selected as a director. There also are no transactions in which Mr. Passilla has an interest requiring disclosure under Item 404(a) of Regulation S-K.</w:t>
      </w:r>
    </w:p>
    <w:p>
      <w:pPr>
        <w:sectPr>
          <w:pgSz w:w="11900" w:h="16838" w:orient="portrait"/>
          <w:cols w:equalWidth="0" w:num="1">
            <w:col w:w="11420"/>
          </w:cols>
          <w:pgMar w:left="240" w:top="985" w:right="239" w:bottom="1440" w:gutter="0" w:footer="0" w:header="0"/>
        </w:sectPr>
      </w:pPr>
    </w:p>
    <w:bookmarkStart w:id="2" w:name="page3"/>
    <w:bookmarkEnd w:id="2"/>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6, 2019</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PRIORITY TECHNOLOGY HOLDINGS, INC.</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By: /s/ Michael Vollkommer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Michael Vollkommer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www.sec.gov/Archives/edgar/data/1653558/000162828019003666/prioritytechnology-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2019-12-01T23:18:40Z</dcterms:created>
  <dcterms:modified xsi:type="dcterms:W3CDTF">2019-12-01T23:18:40Z</dcterms:modified>
</cp:coreProperties>
</file>